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66040</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62230</wp:posOffset>
            </wp:positionV>
            <wp:extent cx="15944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13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REGISTRATION STATEMENT PURSUANT TO SECTION 12(b) OR 12(g)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42" w:lineRule="exact"/>
        <w:rPr>
          <w:sz w:val="24"/>
          <w:szCs w:val="24"/>
          <w:color w:val="auto"/>
        </w:rPr>
      </w:pPr>
    </w:p>
    <w:p>
      <w:pPr>
        <w:ind w:left="4240" w:right="3840" w:hanging="4232"/>
        <w:spacing w:after="0" w:line="322" w:lineRule="auto"/>
        <w:tabs>
          <w:tab w:leader="none" w:pos="365"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2020.</w:t>
      </w:r>
    </w:p>
    <w:p>
      <w:pPr>
        <w:ind w:left="55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42" w:lineRule="exact"/>
        <w:rPr>
          <w:sz w:val="24"/>
          <w:szCs w:val="24"/>
          <w:color w:val="auto"/>
        </w:rPr>
      </w:pPr>
    </w:p>
    <w:p>
      <w:pPr>
        <w:ind w:left="380" w:hanging="372"/>
        <w:spacing w:after="0"/>
        <w:tabs>
          <w:tab w:leader="none" w:pos="380"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240"/>
          </w:cols>
          <w:pgMar w:left="320" w:top="580" w:right="339" w:bottom="747" w:gutter="0" w:footer="0" w:header="0"/>
        </w:sectPr>
      </w:pPr>
    </w:p>
    <w:p>
      <w:pPr>
        <w:spacing w:after="0" w:line="69" w:lineRule="exact"/>
        <w:rPr>
          <w:sz w:val="24"/>
          <w:szCs w:val="24"/>
          <w:color w:val="auto"/>
        </w:rPr>
      </w:pPr>
    </w:p>
    <w:p>
      <w:pPr>
        <w:ind w:left="4220"/>
        <w:spacing w:after="0"/>
        <w:tabs>
          <w:tab w:leader="none" w:pos="68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42" w:lineRule="exact"/>
        <w:rPr>
          <w:sz w:val="24"/>
          <w:szCs w:val="24"/>
          <w:color w:val="auto"/>
        </w:rPr>
      </w:pPr>
    </w:p>
    <w:p>
      <w:pPr>
        <w:ind w:left="5520"/>
        <w:spacing w:after="0"/>
        <w:rPr>
          <w:sz w:val="20"/>
          <w:szCs w:val="20"/>
          <w:color w:val="auto"/>
        </w:rPr>
      </w:pPr>
      <w:r>
        <w:rPr>
          <w:rFonts w:ascii="Arial" w:cs="Arial" w:eastAsia="Arial" w:hAnsi="Arial"/>
          <w:sz w:val="14"/>
          <w:szCs w:val="14"/>
          <w:b w:val="1"/>
          <w:bCs w:val="1"/>
          <w:color w:val="auto"/>
        </w:rPr>
        <w:t>OR</w:t>
      </w:r>
    </w:p>
    <w:p>
      <w:pPr>
        <w:sectPr>
          <w:pgSz w:w="11900" w:h="16838" w:orient="portrait"/>
          <w:cols w:equalWidth="0" w:num="1">
            <w:col w:w="11240"/>
          </w:cols>
          <w:pgMar w:left="320" w:top="580" w:right="339" w:bottom="747" w:gutter="0" w:footer="0" w:header="0"/>
          <w:type w:val="continuous"/>
        </w:sectPr>
      </w:pPr>
    </w:p>
    <w:p>
      <w:pPr>
        <w:spacing w:after="0" w:line="42" w:lineRule="exact"/>
        <w:rPr>
          <w:sz w:val="24"/>
          <w:szCs w:val="24"/>
          <w:color w:val="auto"/>
        </w:rPr>
      </w:pPr>
    </w:p>
    <w:p>
      <w:pPr>
        <w:ind w:left="4120" w:right="3200" w:hanging="4112"/>
        <w:spacing w:after="0" w:line="379" w:lineRule="auto"/>
        <w:tabs>
          <w:tab w:leader="none" w:pos="372"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SHELL COMPANY REPORT PURSUANT TO SECTION 13 OR 15(d) OF THE SECURITIES EXCHANGE ACT OF 1934 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-16510</wp:posOffset>
            </wp:positionV>
            <wp:extent cx="1594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001-38313</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iClick Interactive Asia Group Limited</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N/A</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(Translation of Registrant’s name into English)</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Cayman Islands</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(Jurisdiction of incorporation or organization)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15/F</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Prosperity Millennia Plaza 663 King’s Road, Quarry Bay</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Hong Kong S.A.R., People’s Republic of China Tel: +852 3700 9000</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(Address of principal executive offices) Terence Li, Chief Financial Officer</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15/F</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Prosperity Millennia Plaza</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663 King’s Road, Quarry Bay</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Hong Kong S.A.R., People’s Republic of China Tel: +852 3700 9000</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E-mail: terence.li@i-click.com</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(Name, Telephone, E-mail and/or Facsimile number and Address of Company Contact Person) Securities registered or to be registered pursuant to Section 12(b) of the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41"/>
        </w:trPr>
        <w:tc>
          <w:tcPr>
            <w:tcW w:w="5020" w:type="dxa"/>
            <w:vAlign w:val="bottom"/>
            <w:gridSpan w:val="3"/>
          </w:tcPr>
          <w:p>
            <w:pPr>
              <w:jc w:val="center"/>
              <w:ind w:right="500"/>
              <w:spacing w:after="0"/>
              <w:rPr>
                <w:sz w:val="20"/>
                <w:szCs w:val="20"/>
                <w:color w:val="auto"/>
              </w:rPr>
            </w:pPr>
            <w:r>
              <w:rPr>
                <w:rFonts w:ascii="Arial" w:cs="Arial" w:eastAsia="Arial" w:hAnsi="Arial"/>
                <w:sz w:val="12"/>
                <w:szCs w:val="12"/>
                <w:color w:val="auto"/>
                <w:w w:val="87"/>
              </w:rPr>
              <w:t>Title of each class</w:t>
            </w:r>
          </w:p>
        </w:tc>
        <w:tc>
          <w:tcPr>
            <w:tcW w:w="1740" w:type="dxa"/>
            <w:vAlign w:val="bottom"/>
            <w:gridSpan w:val="2"/>
          </w:tcPr>
          <w:p>
            <w:pPr>
              <w:jc w:val="center"/>
              <w:ind w:right="500"/>
              <w:spacing w:after="0"/>
              <w:rPr>
                <w:sz w:val="20"/>
                <w:szCs w:val="20"/>
                <w:color w:val="auto"/>
              </w:rPr>
            </w:pPr>
            <w:r>
              <w:rPr>
                <w:rFonts w:ascii="Arial" w:cs="Arial" w:eastAsia="Arial" w:hAnsi="Arial"/>
                <w:sz w:val="12"/>
                <w:szCs w:val="12"/>
                <w:color w:val="auto"/>
                <w:w w:val="90"/>
              </w:rPr>
              <w:t>Trading Symbol</w:t>
            </w:r>
          </w:p>
        </w:tc>
        <w:tc>
          <w:tcPr>
            <w:tcW w:w="4480" w:type="dxa"/>
            <w:vAlign w:val="bottom"/>
          </w:tcPr>
          <w:p>
            <w:pPr>
              <w:jc w:val="center"/>
              <w:spacing w:after="0"/>
              <w:rPr>
                <w:sz w:val="20"/>
                <w:szCs w:val="20"/>
                <w:color w:val="auto"/>
              </w:rPr>
            </w:pPr>
            <w:r>
              <w:rPr>
                <w:rFonts w:ascii="Arial" w:cs="Arial" w:eastAsia="Arial" w:hAnsi="Arial"/>
                <w:sz w:val="12"/>
                <w:szCs w:val="12"/>
                <w:color w:val="auto"/>
                <w:w w:val="87"/>
              </w:rPr>
              <w:t>Name of each exchange on which registered</w:t>
            </w:r>
          </w:p>
        </w:tc>
      </w:tr>
      <w:tr>
        <w:trPr>
          <w:trHeight w:val="122"/>
        </w:trPr>
        <w:tc>
          <w:tcPr>
            <w:tcW w:w="45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2"/>
                <w:szCs w:val="12"/>
                <w:color w:val="auto"/>
                <w:w w:val="88"/>
              </w:rPr>
              <w:t>American Depositary Shares, two representing one Class A ordinary share, par value US$0.001</w:t>
            </w:r>
          </w:p>
        </w:tc>
        <w:tc>
          <w:tcPr>
            <w:tcW w:w="1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jc w:val="center"/>
              <w:ind w:right="322"/>
              <w:spacing w:after="0" w:line="122" w:lineRule="exact"/>
              <w:rPr>
                <w:sz w:val="20"/>
                <w:szCs w:val="20"/>
                <w:color w:val="auto"/>
              </w:rPr>
            </w:pPr>
            <w:r>
              <w:rPr>
                <w:rFonts w:ascii="Arial" w:cs="Arial" w:eastAsia="Arial" w:hAnsi="Arial"/>
                <w:sz w:val="12"/>
                <w:szCs w:val="12"/>
                <w:color w:val="auto"/>
              </w:rPr>
              <w:t>ICLK</w:t>
            </w:r>
          </w:p>
        </w:tc>
        <w:tc>
          <w:tcPr>
            <w:tcW w:w="120" w:type="dxa"/>
            <w:vAlign w:val="bottom"/>
          </w:tcPr>
          <w:p>
            <w:pPr>
              <w:spacing w:after="0"/>
              <w:rPr>
                <w:sz w:val="10"/>
                <w:szCs w:val="10"/>
                <w:color w:val="auto"/>
              </w:rPr>
            </w:pPr>
          </w:p>
        </w:tc>
        <w:tc>
          <w:tcPr>
            <w:tcW w:w="44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2"/>
                <w:szCs w:val="12"/>
                <w:color w:val="auto"/>
                <w:w w:val="93"/>
              </w:rPr>
              <w:t>NASDAQ Global Market</w:t>
            </w:r>
          </w:p>
        </w:tc>
      </w:tr>
      <w:tr>
        <w:trPr>
          <w:trHeight w:val="135"/>
        </w:trPr>
        <w:tc>
          <w:tcPr>
            <w:tcW w:w="5020" w:type="dxa"/>
            <w:vAlign w:val="bottom"/>
            <w:gridSpan w:val="3"/>
          </w:tcPr>
          <w:p>
            <w:pPr>
              <w:jc w:val="center"/>
              <w:ind w:right="500"/>
              <w:spacing w:after="0" w:line="135" w:lineRule="exact"/>
              <w:rPr>
                <w:sz w:val="20"/>
                <w:szCs w:val="20"/>
                <w:color w:val="auto"/>
              </w:rPr>
            </w:pPr>
            <w:r>
              <w:rPr>
                <w:rFonts w:ascii="Arial" w:cs="Arial" w:eastAsia="Arial" w:hAnsi="Arial"/>
                <w:sz w:val="12"/>
                <w:szCs w:val="12"/>
                <w:color w:val="auto"/>
                <w:w w:val="86"/>
              </w:rPr>
              <w:t>per share*</w:t>
            </w: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80" w:type="dxa"/>
            <w:vAlign w:val="bottom"/>
          </w:tcPr>
          <w:p>
            <w:pPr>
              <w:spacing w:after="0"/>
              <w:rPr>
                <w:sz w:val="11"/>
                <w:szCs w:val="11"/>
                <w:color w:val="auto"/>
              </w:rPr>
            </w:pPr>
          </w:p>
        </w:tc>
      </w:tr>
      <w:tr>
        <w:trPr>
          <w:trHeight w:val="135"/>
        </w:trPr>
        <w:tc>
          <w:tcPr>
            <w:tcW w:w="5020" w:type="dxa"/>
            <w:vAlign w:val="bottom"/>
            <w:gridSpan w:val="3"/>
          </w:tcPr>
          <w:p>
            <w:pPr>
              <w:jc w:val="center"/>
              <w:ind w:right="520"/>
              <w:spacing w:after="0" w:line="135" w:lineRule="exact"/>
              <w:rPr>
                <w:sz w:val="20"/>
                <w:szCs w:val="20"/>
                <w:color w:val="auto"/>
              </w:rPr>
            </w:pPr>
            <w:r>
              <w:rPr>
                <w:rFonts w:ascii="Arial" w:cs="Arial" w:eastAsia="Arial" w:hAnsi="Arial"/>
                <w:sz w:val="12"/>
                <w:szCs w:val="12"/>
                <w:color w:val="auto"/>
                <w:w w:val="91"/>
              </w:rPr>
              <w:t>*Not for trading, but only in connection with the listing on the Nasdaq Global Market of</w:t>
            </w: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80" w:type="dxa"/>
            <w:vAlign w:val="bottom"/>
          </w:tcPr>
          <w:p>
            <w:pPr>
              <w:spacing w:after="0"/>
              <w:rPr>
                <w:sz w:val="11"/>
                <w:szCs w:val="11"/>
                <w:color w:val="auto"/>
              </w:rPr>
            </w:pPr>
          </w:p>
        </w:tc>
      </w:tr>
      <w:tr>
        <w:trPr>
          <w:trHeight w:val="148"/>
        </w:trPr>
        <w:tc>
          <w:tcPr>
            <w:tcW w:w="5020" w:type="dxa"/>
            <w:vAlign w:val="bottom"/>
            <w:gridSpan w:val="3"/>
          </w:tcPr>
          <w:p>
            <w:pPr>
              <w:jc w:val="center"/>
              <w:ind w:right="500"/>
              <w:spacing w:after="0"/>
              <w:rPr>
                <w:sz w:val="20"/>
                <w:szCs w:val="20"/>
                <w:color w:val="auto"/>
              </w:rPr>
            </w:pPr>
            <w:r>
              <w:rPr>
                <w:rFonts w:ascii="Arial" w:cs="Arial" w:eastAsia="Arial" w:hAnsi="Arial"/>
                <w:sz w:val="12"/>
                <w:szCs w:val="12"/>
                <w:color w:val="auto"/>
                <w:w w:val="86"/>
              </w:rPr>
              <w:t>American depositary shares.</w:t>
            </w: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203"/>
        </w:trPr>
        <w:tc>
          <w:tcPr>
            <w:tcW w:w="5020" w:type="dxa"/>
            <w:vAlign w:val="bottom"/>
            <w:gridSpan w:val="3"/>
          </w:tcPr>
          <w:p>
            <w:pPr>
              <w:spacing w:after="0"/>
              <w:rPr>
                <w:sz w:val="20"/>
                <w:szCs w:val="20"/>
                <w:color w:val="auto"/>
              </w:rPr>
            </w:pPr>
            <w:r>
              <w:rPr>
                <w:rFonts w:ascii="Arial" w:cs="Arial" w:eastAsia="Arial" w:hAnsi="Arial"/>
                <w:sz w:val="12"/>
                <w:szCs w:val="12"/>
                <w:color w:val="auto"/>
              </w:rPr>
              <w:t>Securities registered or to be registered pursuant to Section 12(g) of the Act:</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2"/>
                <w:szCs w:val="12"/>
                <w:color w:val="auto"/>
                <w:w w:val="90"/>
              </w:rPr>
              <w:t>None</w:t>
            </w:r>
          </w:p>
        </w:tc>
        <w:tc>
          <w:tcPr>
            <w:tcW w:w="4480" w:type="dxa"/>
            <w:vAlign w:val="bottom"/>
          </w:tcPr>
          <w:p>
            <w:pPr>
              <w:spacing w:after="0"/>
              <w:rPr>
                <w:sz w:val="16"/>
                <w:szCs w:val="16"/>
                <w:color w:val="auto"/>
              </w:rPr>
            </w:pPr>
          </w:p>
        </w:tc>
      </w:tr>
      <w:tr>
        <w:trPr>
          <w:trHeight w:val="189"/>
        </w:trPr>
        <w:tc>
          <w:tcPr>
            <w:tcW w:w="5020" w:type="dxa"/>
            <w:vAlign w:val="bottom"/>
            <w:gridSpan w:val="3"/>
          </w:tcPr>
          <w:p>
            <w:pPr>
              <w:ind w:left="4100"/>
              <w:spacing w:after="0"/>
              <w:rPr>
                <w:sz w:val="20"/>
                <w:szCs w:val="20"/>
                <w:color w:val="auto"/>
              </w:rPr>
            </w:pPr>
            <w:r>
              <w:rPr>
                <w:rFonts w:ascii="Arial" w:cs="Arial" w:eastAsia="Arial" w:hAnsi="Arial"/>
                <w:sz w:val="12"/>
                <w:szCs w:val="12"/>
                <w:color w:val="auto"/>
              </w:rPr>
              <w:t>(Title of Class)</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tcPr>
          <w:p>
            <w:pPr>
              <w:spacing w:after="0"/>
              <w:rPr>
                <w:sz w:val="16"/>
                <w:szCs w:val="16"/>
                <w:color w:val="auto"/>
              </w:rPr>
            </w:pPr>
          </w:p>
        </w:tc>
      </w:tr>
      <w:tr>
        <w:trPr>
          <w:trHeight w:val="189"/>
        </w:trPr>
        <w:tc>
          <w:tcPr>
            <w:tcW w:w="5020" w:type="dxa"/>
            <w:vAlign w:val="bottom"/>
            <w:gridSpan w:val="3"/>
          </w:tcPr>
          <w:p>
            <w:pPr>
              <w:spacing w:after="0"/>
              <w:rPr>
                <w:sz w:val="20"/>
                <w:szCs w:val="20"/>
                <w:color w:val="auto"/>
              </w:rPr>
            </w:pPr>
            <w:r>
              <w:rPr>
                <w:rFonts w:ascii="Arial" w:cs="Arial" w:eastAsia="Arial" w:hAnsi="Arial"/>
                <w:sz w:val="12"/>
                <w:szCs w:val="12"/>
                <w:color w:val="auto"/>
              </w:rPr>
              <w:t>Securities for which there is a reporting obligation pursuant to Section 15(d) of the Act:</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tcPr>
          <w:p>
            <w:pPr>
              <w:spacing w:after="0"/>
              <w:rPr>
                <w:sz w:val="16"/>
                <w:szCs w:val="16"/>
                <w:color w:val="auto"/>
              </w:rPr>
            </w:pPr>
          </w:p>
        </w:tc>
      </w:t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2"/>
                <w:szCs w:val="12"/>
                <w:color w:val="auto"/>
                <w:w w:val="90"/>
              </w:rPr>
              <w:t>None</w:t>
            </w:r>
          </w:p>
        </w:tc>
        <w:tc>
          <w:tcPr>
            <w:tcW w:w="4480" w:type="dxa"/>
            <w:vAlign w:val="bottom"/>
          </w:tcPr>
          <w:p>
            <w:pPr>
              <w:spacing w:after="0"/>
              <w:rPr>
                <w:sz w:val="16"/>
                <w:szCs w:val="16"/>
                <w:color w:val="auto"/>
              </w:rPr>
            </w:pPr>
          </w:p>
        </w:tc>
      </w:tr>
      <w:tr>
        <w:trPr>
          <w:trHeight w:val="189"/>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2"/>
                <w:szCs w:val="12"/>
                <w:color w:val="auto"/>
                <w:w w:val="90"/>
              </w:rPr>
              <w:t>(Title of Class)</w:t>
            </w:r>
          </w:p>
        </w:tc>
        <w:tc>
          <w:tcPr>
            <w:tcW w:w="4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55245</wp:posOffset>
            </wp:positionV>
            <wp:extent cx="15944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142" w:lineRule="exact"/>
        <w:rPr>
          <w:sz w:val="24"/>
          <w:szCs w:val="24"/>
          <w:color w:val="auto"/>
        </w:rPr>
      </w:pPr>
    </w:p>
    <w:p>
      <w:pPr>
        <w:spacing w:after="0"/>
        <w:rPr>
          <w:sz w:val="20"/>
          <w:szCs w:val="20"/>
          <w:color w:val="auto"/>
        </w:rPr>
      </w:pPr>
      <w:r>
        <w:rPr>
          <w:rFonts w:ascii="Arial" w:cs="Arial" w:eastAsia="Arial" w:hAnsi="Arial"/>
          <w:sz w:val="12"/>
          <w:szCs w:val="12"/>
          <w:color w:val="auto"/>
        </w:rPr>
        <w:t>Indicate the number of outstanding shares of each of the Issuer’s classes of capital or common stock as of the close of the period covered by the annual report.</w:t>
      </w:r>
    </w:p>
    <w:p>
      <w:pPr>
        <w:spacing w:after="0" w:line="43" w:lineRule="exact"/>
        <w:rPr>
          <w:sz w:val="24"/>
          <w:szCs w:val="24"/>
          <w:color w:val="auto"/>
        </w:rPr>
      </w:pPr>
    </w:p>
    <w:p>
      <w:pPr>
        <w:spacing w:after="0"/>
        <w:rPr>
          <w:sz w:val="20"/>
          <w:szCs w:val="20"/>
          <w:color w:val="auto"/>
        </w:rPr>
      </w:pPr>
      <w:r>
        <w:rPr>
          <w:rFonts w:ascii="Arial" w:cs="Arial" w:eastAsia="Arial" w:hAnsi="Arial"/>
          <w:sz w:val="12"/>
          <w:szCs w:val="12"/>
          <w:color w:val="auto"/>
        </w:rPr>
        <w:t>As of December 31, 2020, there were 47,774,901 ordinary shares outstanding, par value $0.001 per share, being the sum of 42,954,293 Class A ordinary shares† and 4,820,608 Class B ordinary shares.</w:t>
      </w:r>
    </w:p>
    <w:p>
      <w:pPr>
        <w:spacing w:after="0" w:line="59"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31" w:lineRule="exact"/>
        <w:rPr>
          <w:sz w:val="24"/>
          <w:szCs w:val="24"/>
          <w:color w:val="auto"/>
        </w:rPr>
      </w:pPr>
    </w:p>
    <w:p>
      <w:pPr>
        <w:ind w:left="5440" w:hanging="142"/>
        <w:spacing w:after="0" w:line="138" w:lineRule="exact"/>
        <w:tabs>
          <w:tab w:leader="none" w:pos="544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71" w:lineRule="exact"/>
        <w:rPr>
          <w:sz w:val="24"/>
          <w:szCs w:val="24"/>
          <w:color w:val="auto"/>
        </w:rPr>
      </w:pPr>
    </w:p>
    <w:p>
      <w:pPr>
        <w:spacing w:after="0"/>
        <w:rPr>
          <w:sz w:val="20"/>
          <w:szCs w:val="20"/>
          <w:color w:val="auto"/>
        </w:rPr>
      </w:pPr>
      <w:r>
        <w:rPr>
          <w:rFonts w:ascii="Arial" w:cs="Arial" w:eastAsia="Arial" w:hAnsi="Arial"/>
          <w:sz w:val="12"/>
          <w:szCs w:val="12"/>
          <w:color w:val="auto"/>
        </w:rPr>
        <w:t>If this report is an annual or transition report, indicate by check mark if the registrant is not required to file reports pursuant to Section 13 or 15(d) of the Securities Exchange Act of 1934.</w:t>
      </w:r>
    </w:p>
    <w:p>
      <w:pPr>
        <w:spacing w:after="0" w:line="31" w:lineRule="exact"/>
        <w:rPr>
          <w:sz w:val="24"/>
          <w:szCs w:val="24"/>
          <w:color w:val="auto"/>
        </w:rPr>
      </w:pPr>
    </w:p>
    <w:p>
      <w:pPr>
        <w:ind w:left="5440" w:hanging="142"/>
        <w:spacing w:after="0" w:line="138" w:lineRule="exact"/>
        <w:tabs>
          <w:tab w:leader="none" w:pos="5440" w:val="left"/>
        </w:tabs>
        <w:numPr>
          <w:ilvl w:val="0"/>
          <w:numId w:val="6"/>
        </w:numPr>
        <w:rPr>
          <w:rFonts w:ascii="MS PGothic" w:cs="MS PGothic" w:eastAsia="MS PGothic" w:hAnsi="MS PGothic"/>
          <w:sz w:val="12"/>
          <w:szCs w:val="12"/>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71" w:lineRule="exact"/>
        <w:rPr>
          <w:sz w:val="24"/>
          <w:szCs w:val="24"/>
          <w:color w:val="auto"/>
        </w:rPr>
      </w:pPr>
    </w:p>
    <w:p>
      <w:pPr>
        <w:ind w:right="260"/>
        <w:spacing w:after="0" w:line="252"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 w:lineRule="exact"/>
        <w:rPr>
          <w:sz w:val="24"/>
          <w:szCs w:val="24"/>
          <w:color w:val="auto"/>
        </w:rPr>
      </w:pPr>
    </w:p>
    <w:p>
      <w:pPr>
        <w:ind w:left="5440" w:hanging="142"/>
        <w:spacing w:after="0" w:line="138" w:lineRule="exact"/>
        <w:tabs>
          <w:tab w:leader="none" w:pos="5440" w:val="left"/>
        </w:tabs>
        <w:numPr>
          <w:ilvl w:val="0"/>
          <w:numId w:val="7"/>
        </w:numPr>
        <w:rPr>
          <w:rFonts w:ascii="MS PGothic" w:cs="MS PGothic" w:eastAsia="MS PGothic" w:hAnsi="MS PGothic"/>
          <w:sz w:val="12"/>
          <w:szCs w:val="12"/>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71" w:lineRule="exact"/>
        <w:rPr>
          <w:sz w:val="24"/>
          <w:szCs w:val="24"/>
          <w:color w:val="auto"/>
        </w:rPr>
      </w:pPr>
    </w:p>
    <w:p>
      <w:pPr>
        <w:ind w:right="60"/>
        <w:spacing w:after="0" w:line="252"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ectPr>
          <w:pgSz w:w="11900" w:h="16838" w:orient="portrait"/>
          <w:cols w:equalWidth="0" w:num="1">
            <w:col w:w="11240"/>
          </w:cols>
          <w:pgMar w:left="320" w:top="580" w:right="339" w:bottom="747" w:gutter="0" w:footer="0" w:header="0"/>
          <w:type w:val="continuous"/>
        </w:sectPr>
      </w:pPr>
    </w:p>
    <w:p>
      <w:pPr>
        <w:spacing w:after="0" w:line="14" w:lineRule="exact"/>
        <w:rPr>
          <w:sz w:val="24"/>
          <w:szCs w:val="24"/>
          <w:color w:val="auto"/>
        </w:rPr>
      </w:pPr>
    </w:p>
    <w:p>
      <w:pPr>
        <w:ind w:left="5300"/>
        <w:spacing w:after="0" w:line="91" w:lineRule="exact"/>
        <w:rPr>
          <w:sz w:val="20"/>
          <w:szCs w:val="20"/>
          <w:color w:val="auto"/>
        </w:rPr>
      </w:pP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115"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51" w:lineRule="exact"/>
        <w:rPr>
          <w:sz w:val="24"/>
          <w:szCs w:val="24"/>
          <w:color w:val="auto"/>
        </w:rPr>
      </w:pPr>
    </w:p>
    <w:p>
      <w:pPr>
        <w:sectPr>
          <w:pgSz w:w="11900" w:h="16838" w:orient="portrait"/>
          <w:cols w:equalWidth="0" w:num="4">
            <w:col w:w="5400" w:space="40"/>
            <w:col w:w="160" w:space="60"/>
            <w:col w:w="120" w:space="20"/>
            <w:col w:w="5440"/>
          </w:cols>
          <w:pgMar w:left="320" w:top="580" w:right="339" w:bottom="747" w:gutter="0" w:footer="0" w:header="0"/>
          <w:type w:val="continuous"/>
        </w:sectPr>
      </w:pPr>
    </w:p>
    <w:p>
      <w:pPr>
        <w:spacing w:after="0"/>
        <w:rPr>
          <w:sz w:val="20"/>
          <w:szCs w:val="20"/>
          <w:color w:val="auto"/>
        </w:rPr>
      </w:pPr>
      <w:r>
        <w:rPr>
          <w:rFonts w:ascii="Arial" w:cs="Arial" w:eastAsia="Arial" w:hAnsi="Arial"/>
          <w:sz w:val="9"/>
          <w:szCs w:val="9"/>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580" w:right="339" w:bottom="747" w:gutter="0" w:footer="0" w:header="0"/>
          <w:type w:val="continuous"/>
        </w:sectPr>
      </w:pPr>
    </w:p>
    <w:p>
      <w:pPr>
        <w:spacing w:after="0" w:line="79" w:lineRule="exact"/>
        <w:rPr>
          <w:sz w:val="24"/>
          <w:szCs w:val="24"/>
          <w:color w:val="auto"/>
        </w:rPr>
      </w:pPr>
    </w:p>
    <w:p>
      <w:pPr>
        <w:ind w:left="780"/>
        <w:spacing w:after="0" w:line="104" w:lineRule="exact"/>
        <w:rPr>
          <w:sz w:val="20"/>
          <w:szCs w:val="20"/>
          <w:color w:val="auto"/>
        </w:rPr>
      </w:pPr>
      <w:r>
        <w:rPr>
          <w:rFonts w:ascii="Arial" w:cs="Arial" w:eastAsia="Arial" w:hAnsi="Arial"/>
          <w:sz w:val="9"/>
          <w:szCs w:val="9"/>
          <w:color w:val="auto"/>
        </w:rPr>
        <w:t xml:space="preserve">Large accelerated filer.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940"/>
        <w:spacing w:after="0" w:line="104" w:lineRule="exact"/>
        <w:rPr>
          <w:sz w:val="20"/>
          <w:szCs w:val="20"/>
          <w:color w:val="auto"/>
        </w:rPr>
      </w:pPr>
      <w:r>
        <w:rPr>
          <w:rFonts w:ascii="Arial" w:cs="Arial" w:eastAsia="Arial" w:hAnsi="Arial"/>
          <w:sz w:val="9"/>
          <w:szCs w:val="9"/>
          <w:color w:val="auto"/>
        </w:rPr>
        <w:t xml:space="preserve">Accelerated filer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960"/>
        <w:spacing w:after="0" w:line="104" w:lineRule="exact"/>
        <w:rPr>
          <w:sz w:val="20"/>
          <w:szCs w:val="20"/>
          <w:color w:val="auto"/>
        </w:rPr>
      </w:pPr>
      <w:r>
        <w:rPr>
          <w:rFonts w:ascii="Arial" w:cs="Arial" w:eastAsia="Arial" w:hAnsi="Arial"/>
          <w:sz w:val="9"/>
          <w:szCs w:val="9"/>
          <w:color w:val="auto"/>
        </w:rPr>
        <w:t xml:space="preserve">Non-accelerated filer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Emerging growth company </w:t>
      </w:r>
      <w:r>
        <w:rPr>
          <w:rFonts w:ascii="MS PGothic" w:cs="MS PGothic" w:eastAsia="MS PGothic" w:hAnsi="MS PGothic"/>
          <w:sz w:val="9"/>
          <w:szCs w:val="9"/>
          <w:color w:val="auto"/>
        </w:rPr>
        <w:t>☒</w:t>
      </w:r>
    </w:p>
    <w:p>
      <w:pPr>
        <w:spacing w:after="0" w:line="119" w:lineRule="exact"/>
        <w:rPr>
          <w:sz w:val="24"/>
          <w:szCs w:val="24"/>
          <w:color w:val="auto"/>
        </w:rPr>
      </w:pPr>
    </w:p>
    <w:p>
      <w:pPr>
        <w:sectPr>
          <w:pgSz w:w="11900" w:h="16838" w:orient="portrait"/>
          <w:cols w:equalWidth="0" w:num="4">
            <w:col w:w="3020" w:space="720"/>
            <w:col w:w="1840" w:space="720"/>
            <w:col w:w="2100" w:space="720"/>
            <w:col w:w="2120"/>
          </w:cols>
          <w:pgMar w:left="320" w:top="580" w:right="339" w:bottom="747" w:gutter="0" w:footer="0" w:header="0"/>
          <w:type w:val="continuous"/>
        </w:sectPr>
      </w:pPr>
    </w:p>
    <w:p>
      <w:pPr>
        <w:ind w:right="740"/>
        <w:spacing w:after="0" w:line="149" w:lineRule="exact"/>
        <w:rPr>
          <w:sz w:val="20"/>
          <w:szCs w:val="20"/>
          <w:color w:val="auto"/>
        </w:rPr>
      </w:pPr>
      <w:r>
        <w:rPr>
          <w:rFonts w:ascii="Arial" w:cs="Arial" w:eastAsia="Arial" w:hAnsi="Arial"/>
          <w:sz w:val="12"/>
          <w:szCs w:val="12"/>
          <w:color w:val="auto"/>
        </w:rPr>
        <w:t xml:space="preserve">If an emerging growth company that prepare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7" w:lineRule="exact"/>
        <w:rPr>
          <w:sz w:val="24"/>
          <w:szCs w:val="24"/>
          <w:color w:val="auto"/>
        </w:rPr>
      </w:pPr>
    </w:p>
    <w:p>
      <w:pPr>
        <w:ind w:right="740"/>
        <w:spacing w:after="0" w:line="149"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580" w:right="339" w:bottom="747" w:gutter="0" w:footer="0" w:header="0"/>
          <w:type w:val="continuous"/>
        </w:sectPr>
      </w:pPr>
    </w:p>
    <w:p>
      <w:pPr>
        <w:spacing w:after="0" w:line="44" w:lineRule="exact"/>
        <w:rPr>
          <w:sz w:val="24"/>
          <w:szCs w:val="24"/>
          <w:color w:val="auto"/>
        </w:rPr>
      </w:pPr>
    </w:p>
    <w:p>
      <w:pPr>
        <w:ind w:left="1160"/>
        <w:spacing w:after="0" w:line="127" w:lineRule="exact"/>
        <w:rPr>
          <w:sz w:val="20"/>
          <w:szCs w:val="20"/>
          <w:color w:val="auto"/>
        </w:rPr>
      </w:pPr>
      <w:r>
        <w:rPr>
          <w:rFonts w:ascii="Arial" w:cs="Arial" w:eastAsia="Arial" w:hAnsi="Arial"/>
          <w:sz w:val="11"/>
          <w:szCs w:val="11"/>
          <w:color w:val="auto"/>
        </w:rPr>
        <w:t xml:space="preserve">U.S. GAAP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9"/>
          <w:szCs w:val="9"/>
          <w:color w:val="auto"/>
        </w:rPr>
        <w:t>International Financial Reporting Standards as issued</w:t>
      </w:r>
    </w:p>
    <w:p>
      <w:pPr>
        <w:spacing w:after="0" w:line="42" w:lineRule="exact"/>
        <w:rPr>
          <w:sz w:val="24"/>
          <w:szCs w:val="24"/>
          <w:color w:val="auto"/>
        </w:rPr>
      </w:pPr>
    </w:p>
    <w:p>
      <w:pPr>
        <w:ind w:left="40"/>
        <w:spacing w:after="0" w:line="104" w:lineRule="exact"/>
        <w:rPr>
          <w:sz w:val="20"/>
          <w:szCs w:val="20"/>
          <w:color w:val="auto"/>
        </w:rPr>
      </w:pPr>
      <w:r>
        <w:rPr>
          <w:rFonts w:ascii="Arial" w:cs="Arial" w:eastAsia="Arial" w:hAnsi="Arial"/>
          <w:sz w:val="9"/>
          <w:szCs w:val="9"/>
          <w:color w:val="auto"/>
        </w:rPr>
        <w:t xml:space="preserve">by the International Accounting Standards Board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Other </w:t>
      </w:r>
      <w:r>
        <w:rPr>
          <w:rFonts w:ascii="MS PGothic" w:cs="MS PGothic" w:eastAsia="MS PGothic" w:hAnsi="MS PGothic"/>
          <w:sz w:val="9"/>
          <w:szCs w:val="9"/>
          <w:color w:val="auto"/>
        </w:rPr>
        <w:t>☐</w:t>
      </w:r>
    </w:p>
    <w:p>
      <w:pPr>
        <w:spacing w:after="0" w:line="254" w:lineRule="exact"/>
        <w:rPr>
          <w:sz w:val="24"/>
          <w:szCs w:val="24"/>
          <w:color w:val="auto"/>
        </w:rPr>
      </w:pPr>
    </w:p>
    <w:p>
      <w:pPr>
        <w:sectPr>
          <w:pgSz w:w="11900" w:h="16838" w:orient="portrait"/>
          <w:cols w:equalWidth="0" w:num="3">
            <w:col w:w="3660" w:space="720"/>
            <w:col w:w="4420" w:space="720"/>
            <w:col w:w="1720"/>
          </w:cols>
          <w:pgMar w:left="320" w:top="580" w:right="339" w:bottom="747" w:gutter="0" w:footer="0" w:header="0"/>
          <w:type w:val="continuous"/>
        </w:sectPr>
      </w:pPr>
    </w:p>
    <w:p>
      <w:pPr>
        <w:spacing w:after="0"/>
        <w:rPr>
          <w:sz w:val="20"/>
          <w:szCs w:val="20"/>
          <w:color w:val="auto"/>
        </w:rPr>
      </w:pPr>
      <w:r>
        <w:rPr>
          <w:rFonts w:ascii="Arial" w:cs="Arial" w:eastAsia="Arial" w:hAnsi="Arial"/>
          <w:sz w:val="12"/>
          <w:szCs w:val="12"/>
          <w:color w:val="auto"/>
        </w:rPr>
        <w:t>If “Other” has been checked in response to the previous question, indicate by check mark which financial statement item the registrant has elected to follow.</w:t>
      </w:r>
    </w:p>
    <w:p>
      <w:pPr>
        <w:spacing w:after="0" w:line="31" w:lineRule="exact"/>
        <w:rPr>
          <w:sz w:val="24"/>
          <w:szCs w:val="24"/>
          <w:color w:val="auto"/>
        </w:rPr>
      </w:pPr>
    </w:p>
    <w:p>
      <w:pPr>
        <w:ind w:left="5240" w:hanging="146"/>
        <w:spacing w:after="0" w:line="138" w:lineRule="exact"/>
        <w:tabs>
          <w:tab w:leader="none" w:pos="5240" w:val="left"/>
        </w:tabs>
        <w:numPr>
          <w:ilvl w:val="0"/>
          <w:numId w:val="8"/>
        </w:numPr>
        <w:rPr>
          <w:rFonts w:ascii="MS PGothic" w:cs="MS PGothic" w:eastAsia="MS PGothic" w:hAnsi="MS PGothic"/>
          <w:sz w:val="12"/>
          <w:szCs w:val="12"/>
          <w:color w:val="auto"/>
        </w:rPr>
      </w:pPr>
      <w:r>
        <w:rPr>
          <w:rFonts w:ascii="Arial" w:cs="Arial" w:eastAsia="Arial" w:hAnsi="Arial"/>
          <w:sz w:val="12"/>
          <w:szCs w:val="12"/>
          <w:color w:val="auto"/>
        </w:rPr>
        <w:t xml:space="preserve">Item 17 </w:t>
      </w:r>
      <w:r>
        <w:rPr>
          <w:rFonts w:ascii="MS PGothic" w:cs="MS PGothic" w:eastAsia="MS PGothic" w:hAnsi="MS PGothic"/>
          <w:sz w:val="12"/>
          <w:szCs w:val="12"/>
          <w:color w:val="auto"/>
        </w:rPr>
        <w:t>☐</w:t>
      </w:r>
      <w:r>
        <w:rPr>
          <w:rFonts w:ascii="Arial" w:cs="Arial" w:eastAsia="Arial" w:hAnsi="Arial"/>
          <w:sz w:val="12"/>
          <w:szCs w:val="12"/>
          <w:color w:val="auto"/>
        </w:rPr>
        <w:t xml:space="preserve"> Item 18</w:t>
      </w:r>
    </w:p>
    <w:p>
      <w:pPr>
        <w:spacing w:after="0" w:line="71" w:lineRule="exact"/>
        <w:rPr>
          <w:sz w:val="24"/>
          <w:szCs w:val="24"/>
          <w:color w:val="auto"/>
        </w:rPr>
      </w:pPr>
    </w:p>
    <w:p>
      <w:pPr>
        <w:spacing w:after="0"/>
        <w:rPr>
          <w:sz w:val="20"/>
          <w:szCs w:val="20"/>
          <w:color w:val="auto"/>
        </w:rPr>
      </w:pPr>
      <w:r>
        <w:rPr>
          <w:rFonts w:ascii="Arial" w:cs="Arial" w:eastAsia="Arial" w:hAnsi="Arial"/>
          <w:sz w:val="12"/>
          <w:szCs w:val="12"/>
          <w:color w:val="auto"/>
        </w:rPr>
        <w:t>If this is an annual report, indicate by check mark whether the registrant is a shell company (as defined in Rule 12b-2 of the Exchange Act).</w:t>
      </w:r>
    </w:p>
    <w:p>
      <w:pPr>
        <w:spacing w:after="0" w:line="31" w:lineRule="exact"/>
        <w:rPr>
          <w:sz w:val="24"/>
          <w:szCs w:val="24"/>
          <w:color w:val="auto"/>
        </w:rPr>
      </w:pPr>
    </w:p>
    <w:p>
      <w:pPr>
        <w:ind w:left="5440" w:hanging="142"/>
        <w:spacing w:after="0" w:line="138" w:lineRule="exact"/>
        <w:tabs>
          <w:tab w:leader="none" w:pos="5440" w:val="left"/>
        </w:tabs>
        <w:numPr>
          <w:ilvl w:val="0"/>
          <w:numId w:val="9"/>
        </w:numPr>
        <w:rPr>
          <w:rFonts w:ascii="MS PGothic" w:cs="MS PGothic" w:eastAsia="MS PGothic" w:hAnsi="MS PGothic"/>
          <w:sz w:val="12"/>
          <w:szCs w:val="12"/>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71" w:lineRule="exact"/>
        <w:rPr>
          <w:rFonts w:ascii="MS PGothic" w:cs="MS PGothic" w:eastAsia="MS PGothic" w:hAnsi="MS PGothic"/>
          <w:sz w:val="12"/>
          <w:szCs w:val="12"/>
          <w:color w:val="auto"/>
        </w:rPr>
      </w:pPr>
    </w:p>
    <w:p>
      <w:pPr>
        <w:spacing w:after="0"/>
        <w:rPr>
          <w:rFonts w:ascii="MS PGothic" w:cs="MS PGothic" w:eastAsia="MS PGothic" w:hAnsi="MS PGothic"/>
          <w:sz w:val="12"/>
          <w:szCs w:val="12"/>
          <w:color w:val="auto"/>
        </w:rPr>
      </w:pPr>
      <w:r>
        <w:rPr>
          <w:rFonts w:ascii="Arial" w:cs="Arial" w:eastAsia="Arial" w:hAnsi="Arial"/>
          <w:sz w:val="12"/>
          <w:szCs w:val="12"/>
          <w:color w:val="auto"/>
        </w:rPr>
        <w:t>(APPLICABLE ONLY TO ISSUERS INVOLVED IN BANKRUPTCY PROCEEDINGS DURING THE PAST FIVE YEARS)</w:t>
      </w:r>
    </w:p>
    <w:p>
      <w:pPr>
        <w:spacing w:after="0" w:line="65" w:lineRule="exact"/>
        <w:rPr>
          <w:sz w:val="24"/>
          <w:szCs w:val="24"/>
          <w:color w:val="auto"/>
        </w:rPr>
      </w:pPr>
    </w:p>
    <w:p>
      <w:pPr>
        <w:ind w:right="80"/>
        <w:spacing w:after="0" w:line="252" w:lineRule="auto"/>
        <w:rPr>
          <w:sz w:val="20"/>
          <w:szCs w:val="20"/>
          <w:color w:val="auto"/>
        </w:rPr>
      </w:pPr>
      <w:r>
        <w:rPr>
          <w:rFonts w:ascii="Arial" w:cs="Arial" w:eastAsia="Arial" w:hAnsi="Arial"/>
          <w:sz w:val="12"/>
          <w:szCs w:val="12"/>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4" w:lineRule="exact"/>
        <w:rPr>
          <w:sz w:val="24"/>
          <w:szCs w:val="24"/>
          <w:color w:val="auto"/>
        </w:rPr>
      </w:pPr>
    </w:p>
    <w:p>
      <w:pPr>
        <w:ind w:left="5440" w:hanging="142"/>
        <w:spacing w:after="0" w:line="138" w:lineRule="exact"/>
        <w:tabs>
          <w:tab w:leader="none" w:pos="5440" w:val="left"/>
        </w:tabs>
        <w:numPr>
          <w:ilvl w:val="1"/>
          <w:numId w:val="10"/>
        </w:numPr>
        <w:rPr>
          <w:rFonts w:ascii="MS PGothic" w:cs="MS PGothic" w:eastAsia="MS PGothic" w:hAnsi="MS PGothic"/>
          <w:sz w:val="12"/>
          <w:szCs w:val="12"/>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246" w:lineRule="exact"/>
        <w:rPr>
          <w:rFonts w:ascii="MS PGothic" w:cs="MS PGothic" w:eastAsia="MS PGothic" w:hAnsi="MS PGothic"/>
          <w:sz w:val="12"/>
          <w:szCs w:val="12"/>
          <w:color w:val="auto"/>
        </w:rPr>
      </w:pPr>
    </w:p>
    <w:p>
      <w:pPr>
        <w:ind w:right="140" w:firstLine="8"/>
        <w:spacing w:after="0" w:line="297" w:lineRule="auto"/>
        <w:tabs>
          <w:tab w:leader="none" w:pos="88" w:val="left"/>
        </w:tabs>
        <w:numPr>
          <w:ilvl w:val="0"/>
          <w:numId w:val="10"/>
        </w:numPr>
        <w:rPr>
          <w:rFonts w:ascii="Arial" w:cs="Arial" w:eastAsia="Arial" w:hAnsi="Arial"/>
          <w:sz w:val="11"/>
          <w:szCs w:val="11"/>
          <w:color w:val="auto"/>
        </w:rPr>
      </w:pPr>
      <w:r>
        <w:rPr>
          <w:rFonts w:ascii="Arial" w:cs="Arial" w:eastAsia="Arial" w:hAnsi="Arial"/>
          <w:sz w:val="11"/>
          <w:szCs w:val="11"/>
          <w:color w:val="auto"/>
        </w:rPr>
        <w:t>Of the 42,954,293 Class A ordinary shares as of December 31, 2020, (i) 1,236,714.5 were held by Arda Holdings Limited underlying the options granted but not yet exercised (whether or not they are vested) and the options reserved for issuance under our 2018 Share Incentive Plan, and (ii) 721,363.5 were held by JPMorgan Chase Bank N.A., our depositary, underlying the unvested restricted share units under our Post-IPO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-297180</wp:posOffset>
            </wp:positionV>
            <wp:extent cx="1594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 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152400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74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0" w:type="dxa"/>
            <w:vAlign w:val="bottom"/>
            <w:gridSpan w:val="14"/>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20"/>
                <w:szCs w:val="20"/>
                <w:color w:val="auto"/>
              </w:rPr>
            </w:pPr>
          </w:p>
        </w:tc>
      </w:tr>
      <w:tr>
        <w:trPr>
          <w:trHeight w:val="242"/>
        </w:trPr>
        <w:tc>
          <w:tcPr>
            <w:tcW w:w="1200" w:type="dxa"/>
            <w:vAlign w:val="bottom"/>
          </w:tcPr>
          <w:p>
            <w:pPr>
              <w:ind w:left="60"/>
              <w:spacing w:after="0"/>
              <w:rPr>
                <w:sz w:val="20"/>
                <w:szCs w:val="20"/>
                <w:color w:val="auto"/>
              </w:rPr>
            </w:pPr>
            <w:r>
              <w:rPr>
                <w:rFonts w:ascii="Arial" w:cs="Arial" w:eastAsia="Arial" w:hAnsi="Arial"/>
                <w:sz w:val="18"/>
                <w:szCs w:val="18"/>
                <w:b w:val="1"/>
                <w:bCs w:val="1"/>
                <w:color w:val="auto"/>
              </w:rPr>
              <w:t>PART I</w:t>
            </w: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90"/>
        </w:trPr>
        <w:tc>
          <w:tcPr>
            <w:tcW w:w="1200" w:type="dxa"/>
            <w:vAlign w:val="bottom"/>
          </w:tcPr>
          <w:p>
            <w:pPr>
              <w:ind w:left="60"/>
              <w:spacing w:after="0" w:line="190" w:lineRule="exact"/>
              <w:rPr>
                <w:sz w:val="20"/>
                <w:szCs w:val="20"/>
                <w:color w:val="auto"/>
              </w:rPr>
            </w:pPr>
            <w:r>
              <w:rPr>
                <w:rFonts w:ascii="Arial" w:cs="Arial" w:eastAsia="Arial" w:hAnsi="Arial"/>
                <w:sz w:val="18"/>
                <w:szCs w:val="18"/>
                <w:color w:val="auto"/>
              </w:rPr>
              <w:t>ITEM 1.</w:t>
            </w:r>
          </w:p>
        </w:tc>
        <w:tc>
          <w:tcPr>
            <w:tcW w:w="8820" w:type="dxa"/>
            <w:vAlign w:val="bottom"/>
            <w:gridSpan w:val="27"/>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IDENTITY OF DIRECTORS, SENIOR MANAGEMENT AND ADVISERS</w:t>
              </w:r>
            </w:hyperlink>
          </w:p>
        </w:tc>
        <w:tc>
          <w:tcPr>
            <w:tcW w:w="12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2.</w:t>
            </w:r>
          </w:p>
        </w:tc>
        <w:tc>
          <w:tcPr>
            <w:tcW w:w="56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OFFER STATISTICS AND EXPECTED TIMETABLE</w:t>
              </w:r>
            </w:hyperlink>
          </w:p>
        </w:tc>
        <w:tc>
          <w:tcPr>
            <w:tcW w:w="3220" w:type="dxa"/>
            <w:vAlign w:val="bottom"/>
            <w:gridSpan w:val="5"/>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3.</w:t>
            </w:r>
          </w:p>
        </w:tc>
        <w:tc>
          <w:tcPr>
            <w:tcW w:w="40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KEY INFORMATION</w:t>
              </w:r>
            </w:hyperlink>
          </w:p>
        </w:tc>
        <w:tc>
          <w:tcPr>
            <w:tcW w:w="4800" w:type="dxa"/>
            <w:vAlign w:val="bottom"/>
            <w:gridSpan w:val="1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4.</w:t>
            </w:r>
          </w:p>
        </w:tc>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INFORMATION ON THE COMPANY</w:t>
              </w:r>
            </w:hyperlink>
          </w:p>
        </w:tc>
        <w:tc>
          <w:tcPr>
            <w:tcW w:w="5940" w:type="dxa"/>
            <w:vAlign w:val="bottom"/>
            <w:gridSpan w:val="15"/>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4A</w:t>
            </w:r>
          </w:p>
        </w:tc>
        <w:tc>
          <w:tcPr>
            <w:tcW w:w="8820" w:type="dxa"/>
            <w:vAlign w:val="bottom"/>
            <w:gridSpan w:val="2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UNRESOLVED STAFF COMMENTS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1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5.</w:t>
            </w:r>
          </w:p>
        </w:tc>
        <w:tc>
          <w:tcPr>
            <w:tcW w:w="468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OPERATING AND FINANCIAL REVIEW AND PROSPECTS</w:t>
              </w:r>
            </w:hyperlink>
          </w:p>
        </w:tc>
        <w:tc>
          <w:tcPr>
            <w:tcW w:w="4140" w:type="dxa"/>
            <w:vAlign w:val="bottom"/>
            <w:gridSpan w:val="10"/>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6.</w:t>
            </w:r>
          </w:p>
        </w:tc>
        <w:tc>
          <w:tcPr>
            <w:tcW w:w="8820" w:type="dxa"/>
            <w:vAlign w:val="bottom"/>
            <w:gridSpan w:val="27"/>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DIRECTORS, SENIOR MANAGEMENT AND EMPLOYEES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1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7.</w:t>
            </w:r>
          </w:p>
        </w:tc>
        <w:tc>
          <w:tcPr>
            <w:tcW w:w="8820" w:type="dxa"/>
            <w:vAlign w:val="bottom"/>
            <w:gridSpan w:val="27"/>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MAJOR SHAREHOLDERS AND RELATED PARTY TRANSACTIONS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8.</w:t>
            </w:r>
          </w:p>
        </w:tc>
        <w:tc>
          <w:tcPr>
            <w:tcW w:w="53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FINANCIAL INFORMATION</w:t>
              </w:r>
            </w:hyperlink>
          </w:p>
        </w:tc>
        <w:tc>
          <w:tcPr>
            <w:tcW w:w="3440" w:type="dxa"/>
            <w:vAlign w:val="bottom"/>
            <w:gridSpan w:val="7"/>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9.</w:t>
            </w:r>
          </w:p>
        </w:tc>
        <w:tc>
          <w:tcPr>
            <w:tcW w:w="22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THE OFFER AND LISTING</w:t>
              </w:r>
            </w:hyperlink>
          </w:p>
        </w:tc>
        <w:tc>
          <w:tcPr>
            <w:tcW w:w="6560" w:type="dxa"/>
            <w:vAlign w:val="bottom"/>
            <w:gridSpan w:val="20"/>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1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10.</w:t>
            </w:r>
          </w:p>
        </w:tc>
        <w:tc>
          <w:tcPr>
            <w:tcW w:w="2420" w:type="dxa"/>
            <w:vAlign w:val="bottom"/>
            <w:tcBorders>
              <w:bottom w:val="single" w:sz="8" w:color="0000EE"/>
            </w:tcBorders>
            <w:gridSpan w:val="9"/>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ADDITIONAL INFORMATION</w:t>
              </w:r>
            </w:hyperlink>
          </w:p>
        </w:tc>
        <w:tc>
          <w:tcPr>
            <w:tcW w:w="6400" w:type="dxa"/>
            <w:vAlign w:val="bottom"/>
            <w:gridSpan w:val="18"/>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11.</w:t>
            </w:r>
          </w:p>
        </w:tc>
        <w:tc>
          <w:tcPr>
            <w:tcW w:w="8820" w:type="dxa"/>
            <w:vAlign w:val="bottom"/>
            <w:gridSpan w:val="27"/>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QUANTITATIVE AND QUALITATIVE DISCLOSURES ABOUT MARKET RISK</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12.</w:t>
            </w:r>
          </w:p>
        </w:tc>
        <w:tc>
          <w:tcPr>
            <w:tcW w:w="61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DESCRIPTION OF SECURITIES OTHER THAN EQUITY SECURITIES</w:t>
              </w:r>
            </w:hyperlink>
          </w:p>
        </w:tc>
        <w:tc>
          <w:tcPr>
            <w:tcW w:w="2680" w:type="dxa"/>
            <w:vAlign w:val="bottom"/>
            <w:gridSpan w:val="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36"/>
        </w:trPr>
        <w:tc>
          <w:tcPr>
            <w:tcW w:w="1200" w:type="dxa"/>
            <w:vAlign w:val="bottom"/>
          </w:tcPr>
          <w:p>
            <w:pPr>
              <w:ind w:left="60"/>
              <w:spacing w:after="0"/>
              <w:rPr>
                <w:sz w:val="20"/>
                <w:szCs w:val="20"/>
                <w:color w:val="auto"/>
              </w:rPr>
            </w:pPr>
            <w:r>
              <w:rPr>
                <w:rFonts w:ascii="Arial" w:cs="Arial" w:eastAsia="Arial" w:hAnsi="Arial"/>
                <w:sz w:val="18"/>
                <w:szCs w:val="18"/>
                <w:b w:val="1"/>
                <w:bCs w:val="1"/>
                <w:color w:val="auto"/>
              </w:rPr>
              <w:t>PART II</w:t>
            </w:r>
          </w:p>
        </w:tc>
        <w:tc>
          <w:tcPr>
            <w:tcW w:w="82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0"/>
        </w:trPr>
        <w:tc>
          <w:tcPr>
            <w:tcW w:w="1200" w:type="dxa"/>
            <w:vAlign w:val="bottom"/>
          </w:tcPr>
          <w:p>
            <w:pPr>
              <w:ind w:left="60"/>
              <w:spacing w:after="0" w:line="190" w:lineRule="exact"/>
              <w:rPr>
                <w:sz w:val="20"/>
                <w:szCs w:val="20"/>
                <w:color w:val="auto"/>
              </w:rPr>
            </w:pPr>
            <w:r>
              <w:rPr>
                <w:rFonts w:ascii="Arial" w:cs="Arial" w:eastAsia="Arial" w:hAnsi="Arial"/>
                <w:sz w:val="18"/>
                <w:szCs w:val="18"/>
                <w:color w:val="auto"/>
              </w:rPr>
              <w:t>ITEM 13.</w:t>
            </w:r>
          </w:p>
        </w:tc>
        <w:tc>
          <w:tcPr>
            <w:tcW w:w="8820" w:type="dxa"/>
            <w:vAlign w:val="bottom"/>
            <w:gridSpan w:val="27"/>
          </w:tcPr>
          <w:p>
            <w:pPr>
              <w:spacing w:after="0" w:line="190" w:lineRule="exact"/>
              <w:rPr>
                <w:rFonts w:ascii="Arial" w:cs="Arial" w:eastAsia="Arial" w:hAnsi="Arial"/>
                <w:sz w:val="18"/>
                <w:szCs w:val="18"/>
                <w:color w:val="0000EE"/>
              </w:rPr>
            </w:pPr>
            <w:hyperlink w:anchor="page119">
              <w:r>
                <w:rPr>
                  <w:rFonts w:ascii="Arial" w:cs="Arial" w:eastAsia="Arial" w:hAnsi="Arial"/>
                  <w:sz w:val="18"/>
                  <w:szCs w:val="18"/>
                  <w:color w:val="0000EE"/>
                </w:rPr>
                <w:t>DEFAULTS, DIVIDEND ARREARAGES AND DELINQUENCIES</w:t>
              </w:r>
            </w:hyperlink>
          </w:p>
        </w:tc>
        <w:tc>
          <w:tcPr>
            <w:tcW w:w="1220" w:type="dxa"/>
            <w:vAlign w:val="bottom"/>
          </w:tcPr>
          <w:p>
            <w:pPr>
              <w:jc w:val="right"/>
              <w:spacing w:after="0" w:line="190" w:lineRule="exact"/>
              <w:rPr>
                <w:sz w:val="20"/>
                <w:szCs w:val="20"/>
                <w:color w:val="auto"/>
              </w:rPr>
            </w:pPr>
            <w:r>
              <w:rPr>
                <w:rFonts w:ascii="Arial" w:cs="Arial" w:eastAsia="Arial" w:hAnsi="Arial"/>
                <w:sz w:val="18"/>
                <w:szCs w:val="18"/>
                <w:color w:val="auto"/>
              </w:rPr>
              <w:t>117</w:t>
            </w:r>
          </w:p>
        </w:tc>
      </w:tr>
      <w:tr>
        <w:trPr>
          <w:trHeight w:val="20"/>
        </w:trPr>
        <w:tc>
          <w:tcPr>
            <w:tcW w:w="1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14.</w:t>
            </w:r>
          </w:p>
        </w:tc>
        <w:tc>
          <w:tcPr>
            <w:tcW w:w="8820" w:type="dxa"/>
            <w:vAlign w:val="bottom"/>
            <w:gridSpan w:val="27"/>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MATERIAL MODIFICATIONS TO THE RIGHTS OF SECURITY HOLDERS AND USE OF PROCEEDS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15.</w:t>
            </w:r>
          </w:p>
        </w:tc>
        <w:tc>
          <w:tcPr>
            <w:tcW w:w="78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CONTROLS AND PROCEDURES</w:t>
              </w:r>
            </w:hyperlink>
          </w:p>
        </w:tc>
        <w:tc>
          <w:tcPr>
            <w:tcW w:w="9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20"/>
        </w:trPr>
        <w:tc>
          <w:tcPr>
            <w:tcW w:w="1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16A.</w:t>
            </w:r>
          </w:p>
        </w:tc>
        <w:tc>
          <w:tcPr>
            <w:tcW w:w="3420" w:type="dxa"/>
            <w:vAlign w:val="bottom"/>
            <w:tcBorders>
              <w:bottom w:val="single" w:sz="8" w:color="0000EE"/>
            </w:tcBorders>
            <w:gridSpan w:val="13"/>
          </w:tcPr>
          <w:p>
            <w:pPr>
              <w:spacing w:after="0" w:line="196" w:lineRule="exact"/>
              <w:rPr>
                <w:rFonts w:ascii="Arial" w:cs="Arial" w:eastAsia="Arial" w:hAnsi="Arial"/>
                <w:sz w:val="18"/>
                <w:szCs w:val="18"/>
                <w:color w:val="0000EE"/>
                <w:w w:val="99"/>
              </w:rPr>
            </w:pPr>
            <w:hyperlink w:anchor="page121">
              <w:r>
                <w:rPr>
                  <w:rFonts w:ascii="Arial" w:cs="Arial" w:eastAsia="Arial" w:hAnsi="Arial"/>
                  <w:sz w:val="18"/>
                  <w:szCs w:val="18"/>
                  <w:color w:val="0000EE"/>
                  <w:w w:val="99"/>
                </w:rPr>
                <w:t>AUDIT COMMITTEE FINANCIAL EXPERT</w:t>
              </w:r>
            </w:hyperlink>
          </w:p>
        </w:tc>
        <w:tc>
          <w:tcPr>
            <w:tcW w:w="5400" w:type="dxa"/>
            <w:vAlign w:val="bottom"/>
            <w:gridSpan w:val="1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16B.</w:t>
            </w:r>
          </w:p>
        </w:tc>
        <w:tc>
          <w:tcPr>
            <w:tcW w:w="8820" w:type="dxa"/>
            <w:vAlign w:val="bottom"/>
            <w:gridSpan w:val="27"/>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CODE OF ETHICS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20"/>
        </w:trPr>
        <w:tc>
          <w:tcPr>
            <w:tcW w:w="1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16C.</w:t>
            </w:r>
          </w:p>
        </w:tc>
        <w:tc>
          <w:tcPr>
            <w:tcW w:w="39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121">
              <w:r>
                <w:rPr>
                  <w:rFonts w:ascii="Arial" w:cs="Arial" w:eastAsia="Arial" w:hAnsi="Arial"/>
                  <w:sz w:val="18"/>
                  <w:szCs w:val="18"/>
                  <w:color w:val="0000EE"/>
                  <w:w w:val="95"/>
                </w:rPr>
                <w:t>PRINCIPAL ACCOUNTANT FEES AND SERVICES</w:t>
              </w:r>
            </w:hyperlink>
          </w:p>
        </w:tc>
        <w:tc>
          <w:tcPr>
            <w:tcW w:w="4840" w:type="dxa"/>
            <w:vAlign w:val="bottom"/>
            <w:gridSpan w:val="1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16D.</w:t>
            </w:r>
          </w:p>
        </w:tc>
        <w:tc>
          <w:tcPr>
            <w:tcW w:w="8820" w:type="dxa"/>
            <w:vAlign w:val="bottom"/>
            <w:gridSpan w:val="27"/>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EXEMPTIONS FROM THE LISTING STANDARDS FOR AUDIT COMMITTEES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20"/>
        </w:trPr>
        <w:tc>
          <w:tcPr>
            <w:tcW w:w="1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360" w:type="dxa"/>
            <w:vAlign w:val="bottom"/>
            <w:gridSpan w:val="10"/>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16E.</w:t>
            </w:r>
          </w:p>
        </w:tc>
        <w:tc>
          <w:tcPr>
            <w:tcW w:w="8820" w:type="dxa"/>
            <w:vAlign w:val="bottom"/>
            <w:gridSpan w:val="27"/>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PURCHASES OF EQUITY SECURITIES BY THE ISSUER AND AFFILIATED PURCHASERS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16F.</w:t>
            </w:r>
          </w:p>
        </w:tc>
        <w:tc>
          <w:tcPr>
            <w:tcW w:w="47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7"/>
              </w:rPr>
            </w:pPr>
            <w:hyperlink w:anchor="page123">
              <w:r>
                <w:rPr>
                  <w:rFonts w:ascii="Arial" w:cs="Arial" w:eastAsia="Arial" w:hAnsi="Arial"/>
                  <w:sz w:val="18"/>
                  <w:szCs w:val="18"/>
                  <w:color w:val="0000EE"/>
                  <w:w w:val="97"/>
                </w:rPr>
                <w:t>CHANGE IN REGISTRANT’S CERTIFYING ACCOUNTANT</w:t>
              </w:r>
            </w:hyperlink>
          </w:p>
        </w:tc>
        <w:tc>
          <w:tcPr>
            <w:tcW w:w="2460" w:type="dxa"/>
            <w:vAlign w:val="bottom"/>
            <w:tcBorders>
              <w:top w:val="single" w:sz="8" w:color="0000EE"/>
            </w:tcBorders>
            <w:gridSpan w:val="7"/>
          </w:tcPr>
          <w:p>
            <w:pPr>
              <w:spacing w:after="0"/>
              <w:rPr>
                <w:sz w:val="17"/>
                <w:szCs w:val="17"/>
                <w:color w:val="auto"/>
              </w:rPr>
            </w:pPr>
          </w:p>
        </w:tc>
        <w:tc>
          <w:tcPr>
            <w:tcW w:w="1660" w:type="dxa"/>
            <w:vAlign w:val="bottom"/>
            <w:gridSpan w:val="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16G.</w:t>
            </w:r>
          </w:p>
        </w:tc>
        <w:tc>
          <w:tcPr>
            <w:tcW w:w="8820" w:type="dxa"/>
            <w:vAlign w:val="bottom"/>
            <w:gridSpan w:val="27"/>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CORPORATE GOVERNANCE</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20"/>
        </w:trPr>
        <w:tc>
          <w:tcPr>
            <w:tcW w:w="1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480" w:type="dxa"/>
            <w:vAlign w:val="bottom"/>
            <w:gridSpan w:val="19"/>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16H.</w:t>
            </w:r>
          </w:p>
        </w:tc>
        <w:tc>
          <w:tcPr>
            <w:tcW w:w="8820" w:type="dxa"/>
            <w:vAlign w:val="bottom"/>
            <w:gridSpan w:val="27"/>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MINE SAFETY DISCLOSURE</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236"/>
        </w:trPr>
        <w:tc>
          <w:tcPr>
            <w:tcW w:w="1200" w:type="dxa"/>
            <w:vAlign w:val="bottom"/>
          </w:tcPr>
          <w:p>
            <w:pPr>
              <w:ind w:left="60"/>
              <w:spacing w:after="0"/>
              <w:rPr>
                <w:sz w:val="20"/>
                <w:szCs w:val="20"/>
                <w:color w:val="auto"/>
              </w:rPr>
            </w:pPr>
            <w:r>
              <w:rPr>
                <w:rFonts w:ascii="Arial" w:cs="Arial" w:eastAsia="Arial" w:hAnsi="Arial"/>
                <w:sz w:val="18"/>
                <w:szCs w:val="18"/>
                <w:b w:val="1"/>
                <w:bCs w:val="1"/>
                <w:color w:val="auto"/>
              </w:rPr>
              <w:t>PART III</w:t>
            </w:r>
          </w:p>
        </w:tc>
        <w:tc>
          <w:tcPr>
            <w:tcW w:w="82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0"/>
        </w:trPr>
        <w:tc>
          <w:tcPr>
            <w:tcW w:w="1200" w:type="dxa"/>
            <w:vAlign w:val="bottom"/>
          </w:tcPr>
          <w:p>
            <w:pPr>
              <w:ind w:left="60"/>
              <w:spacing w:after="0" w:line="190" w:lineRule="exact"/>
              <w:rPr>
                <w:sz w:val="20"/>
                <w:szCs w:val="20"/>
                <w:color w:val="auto"/>
              </w:rPr>
            </w:pPr>
            <w:r>
              <w:rPr>
                <w:rFonts w:ascii="Arial" w:cs="Arial" w:eastAsia="Arial" w:hAnsi="Arial"/>
                <w:sz w:val="18"/>
                <w:szCs w:val="18"/>
                <w:color w:val="auto"/>
              </w:rPr>
              <w:t>ITEM 17.</w:t>
            </w:r>
          </w:p>
        </w:tc>
        <w:tc>
          <w:tcPr>
            <w:tcW w:w="2180" w:type="dxa"/>
            <w:vAlign w:val="bottom"/>
            <w:tcBorders>
              <w:bottom w:val="single" w:sz="8" w:color="0000EE"/>
            </w:tcBorders>
            <w:gridSpan w:val="6"/>
          </w:tcPr>
          <w:p>
            <w:pPr>
              <w:spacing w:after="0" w:line="190" w:lineRule="exact"/>
              <w:rPr>
                <w:rFonts w:ascii="Arial" w:cs="Arial" w:eastAsia="Arial" w:hAnsi="Arial"/>
                <w:sz w:val="18"/>
                <w:szCs w:val="18"/>
                <w:color w:val="0000EE"/>
                <w:w w:val="98"/>
              </w:rPr>
            </w:pPr>
            <w:hyperlink w:anchor="page124">
              <w:r>
                <w:rPr>
                  <w:rFonts w:ascii="Arial" w:cs="Arial" w:eastAsia="Arial" w:hAnsi="Arial"/>
                  <w:sz w:val="18"/>
                  <w:szCs w:val="18"/>
                  <w:color w:val="0000EE"/>
                  <w:w w:val="98"/>
                </w:rPr>
                <w:t>FINANCIAL STATEMENTS</w:t>
              </w:r>
            </w:hyperlink>
          </w:p>
        </w:tc>
        <w:tc>
          <w:tcPr>
            <w:tcW w:w="6640" w:type="dxa"/>
            <w:vAlign w:val="bottom"/>
            <w:gridSpan w:val="21"/>
          </w:tcPr>
          <w:p>
            <w:pPr>
              <w:spacing w:after="0"/>
              <w:rPr>
                <w:sz w:val="16"/>
                <w:szCs w:val="16"/>
                <w:color w:val="auto"/>
              </w:rPr>
            </w:pPr>
          </w:p>
        </w:tc>
        <w:tc>
          <w:tcPr>
            <w:tcW w:w="1220" w:type="dxa"/>
            <w:vAlign w:val="bottom"/>
          </w:tcPr>
          <w:p>
            <w:pPr>
              <w:jc w:val="right"/>
              <w:spacing w:after="0" w:line="190" w:lineRule="exact"/>
              <w:rPr>
                <w:sz w:val="20"/>
                <w:szCs w:val="20"/>
                <w:color w:val="auto"/>
              </w:rPr>
            </w:pPr>
            <w:r>
              <w:rPr>
                <w:rFonts w:ascii="Arial" w:cs="Arial" w:eastAsia="Arial" w:hAnsi="Arial"/>
                <w:sz w:val="18"/>
                <w:szCs w:val="18"/>
                <w:color w:val="auto"/>
              </w:rPr>
              <w:t>122</w:t>
            </w: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18.</w:t>
            </w:r>
          </w:p>
        </w:tc>
        <w:tc>
          <w:tcPr>
            <w:tcW w:w="216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124">
              <w:r>
                <w:rPr>
                  <w:rFonts w:ascii="Arial" w:cs="Arial" w:eastAsia="Arial" w:hAnsi="Arial"/>
                  <w:sz w:val="18"/>
                  <w:szCs w:val="18"/>
                  <w:color w:val="0000EE"/>
                  <w:w w:val="97"/>
                </w:rPr>
                <w:t>FINANCIAL STATEMENTS</w:t>
              </w:r>
            </w:hyperlink>
          </w:p>
        </w:tc>
        <w:tc>
          <w:tcPr>
            <w:tcW w:w="6660" w:type="dxa"/>
            <w:vAlign w:val="bottom"/>
            <w:gridSpan w:val="2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196"/>
        </w:trPr>
        <w:tc>
          <w:tcPr>
            <w:tcW w:w="1200" w:type="dxa"/>
            <w:vAlign w:val="bottom"/>
          </w:tcPr>
          <w:p>
            <w:pPr>
              <w:ind w:left="60"/>
              <w:spacing w:after="0" w:line="196" w:lineRule="exact"/>
              <w:rPr>
                <w:sz w:val="20"/>
                <w:szCs w:val="20"/>
                <w:color w:val="auto"/>
              </w:rPr>
            </w:pPr>
            <w:r>
              <w:rPr>
                <w:rFonts w:ascii="Arial" w:cs="Arial" w:eastAsia="Arial" w:hAnsi="Arial"/>
                <w:sz w:val="18"/>
                <w:szCs w:val="18"/>
                <w:color w:val="auto"/>
              </w:rPr>
              <w:t>ITEM 19.</w:t>
            </w:r>
          </w:p>
        </w:tc>
        <w:tc>
          <w:tcPr>
            <w:tcW w:w="8820" w:type="dxa"/>
            <w:vAlign w:val="bottom"/>
            <w:gridSpan w:val="27"/>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EXHIBITS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945"/>
        </w:trPr>
        <w:tc>
          <w:tcPr>
            <w:tcW w:w="1200" w:type="dxa"/>
            <w:vAlign w:val="bottom"/>
            <w:tcBorders>
              <w:bottom w:val="single" w:sz="8" w:color="9A9A9A"/>
            </w:tcBorders>
          </w:tcPr>
          <w:p>
            <w:pPr>
              <w:spacing w:after="0"/>
              <w:rPr>
                <w:sz w:val="24"/>
                <w:szCs w:val="24"/>
                <w:color w:val="auto"/>
              </w:rPr>
            </w:pPr>
          </w:p>
        </w:tc>
        <w:tc>
          <w:tcPr>
            <w:tcW w:w="820" w:type="dxa"/>
            <w:vAlign w:val="bottom"/>
            <w:tcBorders>
              <w:top w:val="single" w:sz="8" w:color="0000EE"/>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CONVENTIONS THAT APPLY TO THIS ANNUAL REPORT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Unless otherwise indicated and except where the context otherwise requires, references in this annual report to:</w:t>
      </w:r>
    </w:p>
    <w:p>
      <w:pPr>
        <w:spacing w:after="0" w:line="117" w:lineRule="exact"/>
        <w:rPr>
          <w:sz w:val="20"/>
          <w:szCs w:val="20"/>
          <w:color w:val="auto"/>
        </w:rPr>
      </w:pPr>
    </w:p>
    <w:p>
      <w:pPr>
        <w:ind w:left="980" w:right="420" w:hanging="486"/>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7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“ADSs” refers to our American depositary shares. Two ADSs represent one Class A ordinary share;</w:t>
      </w:r>
    </w:p>
    <w:p>
      <w:pPr>
        <w:spacing w:after="0" w:line="117" w:lineRule="exact"/>
        <w:rPr>
          <w:rFonts w:ascii="Arial" w:cs="Arial" w:eastAsia="Arial" w:hAnsi="Arial"/>
          <w:sz w:val="18"/>
          <w:szCs w:val="18"/>
          <w:color w:val="auto"/>
        </w:rPr>
      </w:pPr>
    </w:p>
    <w:p>
      <w:pPr>
        <w:ind w:left="980" w:right="28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purposes of this annual report only, Hong Kong, Macau and Taiwan;</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marketer clients” refers to marketers that have direct contractual relationship with us;</w:t>
      </w:r>
    </w:p>
    <w:p>
      <w:pPr>
        <w:spacing w:after="0" w:line="117" w:lineRule="exact"/>
        <w:rPr>
          <w:rFonts w:ascii="Arial" w:cs="Arial" w:eastAsia="Arial" w:hAnsi="Arial"/>
          <w:sz w:val="18"/>
          <w:szCs w:val="18"/>
          <w:color w:val="auto"/>
        </w:rPr>
      </w:pPr>
    </w:p>
    <w:p>
      <w:pPr>
        <w:ind w:left="980" w:right="4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“end marketers,” or “marketers” refers to marketers that we serve, either directly or through marketing agencies, regardless if they have direct contractual relationship with us;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“HK$” or “Hong Kong dollars” refers to the legal currency of Hong Kong;</w:t>
      </w:r>
    </w:p>
    <w:p>
      <w:pPr>
        <w:spacing w:after="0" w:line="117" w:lineRule="exact"/>
        <w:rPr>
          <w:rFonts w:ascii="Arial" w:cs="Arial" w:eastAsia="Arial" w:hAnsi="Arial"/>
          <w:sz w:val="18"/>
          <w:szCs w:val="18"/>
          <w:color w:val="auto"/>
        </w:rPr>
      </w:pPr>
    </w:p>
    <w:p>
      <w:pPr>
        <w:ind w:left="980" w:right="14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online marketing technology platforms” refers to online marketing technology platforms (i) which are not owned by any group which owns online publishing resources, or (ii) which do not own any online publishing resources;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solutions” refers to mobile marketing solutions and other marketing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mobile apps or websites “covered” refers to the mobile apps or websites from which we are able to receive data to build user profiles;</w:t>
      </w:r>
    </w:p>
    <w:p>
      <w:pPr>
        <w:spacing w:after="0" w:line="128" w:lineRule="exact"/>
        <w:rPr>
          <w:rFonts w:ascii="Arial" w:cs="Arial" w:eastAsia="Arial" w:hAnsi="Arial"/>
          <w:sz w:val="17"/>
          <w:szCs w:val="17"/>
          <w:color w:val="auto"/>
        </w:rPr>
      </w:pPr>
    </w:p>
    <w:p>
      <w:pPr>
        <w:ind w:left="980" w:right="8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“multinational companies” refer to companies that own or control production of goods or provision of services in one or more countries other than their home countries;</w:t>
      </w:r>
    </w:p>
    <w:p>
      <w:pPr>
        <w:spacing w:after="0" w:line="62" w:lineRule="exact"/>
        <w:rPr>
          <w:rFonts w:ascii="Arial" w:cs="Arial" w:eastAsia="Arial" w:hAnsi="Arial"/>
          <w:sz w:val="18"/>
          <w:szCs w:val="18"/>
          <w:color w:val="auto"/>
        </w:rPr>
      </w:pPr>
    </w:p>
    <w:p>
      <w:pPr>
        <w:ind w:left="980" w:right="46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shares” refer to our Class A and Class B ordinary shares, par value US$0.001 per share;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clients” refers to entities which enter into sales contracts with us and incur spending during the relevant period;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“us,” “our company” and “our” refer to iClick Interactive Asia Group Limited;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“US$,” “dollars” or “U.S. dollars” refers to the legal currency of the United States.</w:t>
      </w:r>
    </w:p>
    <w:p>
      <w:pPr>
        <w:spacing w:after="0" w:line="225" w:lineRule="exact"/>
        <w:rPr>
          <w:sz w:val="20"/>
          <w:szCs w:val="20"/>
          <w:color w:val="auto"/>
        </w:rPr>
      </w:pPr>
    </w:p>
    <w:p>
      <w:pPr>
        <w:ind w:firstLine="495"/>
        <w:spacing w:after="0" w:line="291" w:lineRule="auto"/>
        <w:rPr>
          <w:sz w:val="20"/>
          <w:szCs w:val="20"/>
          <w:color w:val="auto"/>
        </w:rPr>
      </w:pPr>
      <w:r>
        <w:rPr>
          <w:rFonts w:ascii="Arial" w:cs="Arial" w:eastAsia="Arial" w:hAnsi="Arial"/>
          <w:sz w:val="16"/>
          <w:szCs w:val="16"/>
          <w:color w:val="auto"/>
        </w:rPr>
        <w:t>Our financial statements are expressed in the U.S. dollar, which is our reporting currency. Certain of our financial data in this annual report on Form 20-F are translated into U.S. dollars solely for the reader’s convenience. Unless otherwise noted, all convenience translations from Renminbi to U.S. dollars, and from Hong Kong dollars to U.S. dollars, in this annual report on Form 20-F were made at a rate of RMB6.5250 to US$1.00, and HKD7.7534 to US$1.00, respectively, which were the exchange rates set forth in the H.10 statistical release of the Board of Governors of the Federal Reserve System on December 31, 2020. We make no representation that any Renminbi/ Hong Kong dollar or U.S. dollar amounts could have been, or could be, converted into U.S. dollars or Renminbi/ Hong Kong dollar, as the case may be, at any particular rate, at the respective rate stated above, or at all. Any discrepancies in any table between the amounts identified as total amounts and the sum of the amounts listed therein are due to rounding.</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80" w:firstLine="495"/>
        <w:spacing w:after="0" w:line="259" w:lineRule="auto"/>
        <w:rPr>
          <w:sz w:val="20"/>
          <w:szCs w:val="20"/>
          <w:color w:val="auto"/>
        </w:rPr>
      </w:pPr>
      <w:r>
        <w:rPr>
          <w:rFonts w:ascii="Arial" w:cs="Arial" w:eastAsia="Arial" w:hAnsi="Arial"/>
          <w:sz w:val="18"/>
          <w:szCs w:val="18"/>
          <w:color w:val="auto"/>
        </w:rPr>
        <w:t>This annual report on Form 20-F contains forward-looking statements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87" w:lineRule="exact"/>
        <w:rPr>
          <w:sz w:val="20"/>
          <w:szCs w:val="20"/>
          <w:color w:val="auto"/>
        </w:rPr>
      </w:pPr>
    </w:p>
    <w:p>
      <w:pPr>
        <w:ind w:right="40" w:firstLine="495"/>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79"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fluctuations in growth;</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17" w:lineRule="exact"/>
        <w:rPr>
          <w:rFonts w:ascii="Arial" w:cs="Arial" w:eastAsia="Arial" w:hAnsi="Arial"/>
          <w:sz w:val="18"/>
          <w:szCs w:val="18"/>
          <w:color w:val="auto"/>
        </w:rPr>
      </w:pPr>
    </w:p>
    <w:p>
      <w:pPr>
        <w:ind w:left="980" w:right="56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in implementing our mobile and new retail strategies, including extending our solutions beyond our core online marketing business;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in structuring a customer relationship management and marketing cloud platform;</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relative percentage of our gross billing recognized as revenue under the gross and net models;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expected growth of online marketing industry, including online marketing technology industry in China;</w:t>
      </w:r>
    </w:p>
    <w:p>
      <w:pPr>
        <w:spacing w:after="0" w:line="117" w:lineRule="exact"/>
        <w:rPr>
          <w:rFonts w:ascii="Arial" w:cs="Arial" w:eastAsia="Arial" w:hAnsi="Arial"/>
          <w:sz w:val="18"/>
          <w:szCs w:val="18"/>
          <w:color w:val="auto"/>
        </w:rPr>
      </w:pPr>
    </w:p>
    <w:p>
      <w:pPr>
        <w:ind w:left="980" w:right="38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 including marketing solutions and enterprise solutions;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existing clients or attract new ones;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integrate and realize synergies from acquisitions, investments or strategic partnerships;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plans to invest in our platform, solutions, data analytics capabilities, technology and technology infrastructure;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collect and use data from various sources and the effectiveness of our algorithms and data engines;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content distribution channels and negotiate favorable contractual terms;</w:t>
      </w:r>
    </w:p>
    <w:p>
      <w:pPr>
        <w:spacing w:after="0" w:line="117" w:lineRule="exact"/>
        <w:rPr>
          <w:rFonts w:ascii="Arial" w:cs="Arial" w:eastAsia="Arial" w:hAnsi="Arial"/>
          <w:sz w:val="18"/>
          <w:szCs w:val="18"/>
          <w:color w:val="auto"/>
        </w:rPr>
      </w:pPr>
    </w:p>
    <w:p>
      <w:pPr>
        <w:ind w:left="980" w:right="62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competition, including from independent online marketing technology platforms as well as large and well-established internet companies;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foreign exchange rates;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and the regulatory landscape in China and other jurisdictions where we operate;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duration of the COVID-19 outbreak and its potential impact on our business and financial performance;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in U.S.-China relations, including the imposition of economic sanctions.</w:t>
      </w:r>
    </w:p>
    <w:p>
      <w:pPr>
        <w:spacing w:after="0" w:line="225" w:lineRule="exact"/>
        <w:rPr>
          <w:sz w:val="20"/>
          <w:szCs w:val="20"/>
          <w:color w:val="auto"/>
        </w:rPr>
      </w:pPr>
    </w:p>
    <w:p>
      <w:pPr>
        <w:ind w:firstLine="495"/>
        <w:spacing w:after="0" w:line="273" w:lineRule="auto"/>
        <w:rPr>
          <w:sz w:val="20"/>
          <w:szCs w:val="20"/>
          <w:color w:val="auto"/>
        </w:rPr>
      </w:pPr>
      <w:r>
        <w:rPr>
          <w:rFonts w:ascii="Arial" w:cs="Arial" w:eastAsia="Arial" w:hAnsi="Arial"/>
          <w:sz w:val="17"/>
          <w:szCs w:val="17"/>
          <w:color w:val="auto"/>
        </w:rPr>
        <w:t>You should read this annual report and the documents that we refer to in this annual report and have filed as exhibits to this annual report completely and with the understanding that our actual future results may be materially different from what we expect. Other sections of this annual report discuss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78" w:lineRule="exact"/>
        <w:rPr>
          <w:sz w:val="20"/>
          <w:szCs w:val="20"/>
          <w:color w:val="auto"/>
        </w:rPr>
      </w:pPr>
    </w:p>
    <w:p>
      <w:pPr>
        <w:ind w:right="20" w:firstLine="495"/>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1.IDENTITY OF DIRECTORS, SENIOR MANAGEMENT AND ADVISERS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2.OFFER STATISTICS AND EXPECTED TIMETABLE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3.KEY INFORMATION</w:t>
      </w:r>
    </w:p>
    <w:p>
      <w:pPr>
        <w:spacing w:after="0" w:line="12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Selected Financial Data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Selected Consolidated Financial Data</w:t>
      </w:r>
    </w:p>
    <w:p>
      <w:pPr>
        <w:spacing w:after="0" w:line="121" w:lineRule="exact"/>
        <w:rPr>
          <w:sz w:val="20"/>
          <w:szCs w:val="20"/>
          <w:color w:val="auto"/>
        </w:rPr>
      </w:pPr>
    </w:p>
    <w:p>
      <w:pPr>
        <w:ind w:firstLine="495"/>
        <w:spacing w:after="0" w:line="272" w:lineRule="auto"/>
        <w:rPr>
          <w:sz w:val="20"/>
          <w:szCs w:val="20"/>
          <w:color w:val="auto"/>
        </w:rPr>
      </w:pPr>
      <w:r>
        <w:rPr>
          <w:rFonts w:ascii="Arial" w:cs="Arial" w:eastAsia="Arial" w:hAnsi="Arial"/>
          <w:sz w:val="17"/>
          <w:szCs w:val="17"/>
          <w:color w:val="auto"/>
        </w:rPr>
        <w:t>The following selected consolidated statements of comprehensive loss data for the years ended December 31, 2018 and 2019 and 2020, selected consolidated balance sheet data as of December 31, 2019 and 2020 and selected consolidated cash flow data for the years ended December 31, 2018, 2019 and 2020 have been derived from our audited consolidated financial statements included elsewhere in this annual report. The selected consolidated statements of comprehensive loss data for the years ended December 31, 2016 and 2017, selected consolidated balance sheet data as of December 31, 2016, 2017 and 2018 and the selected consolidated cash flow data for the years ended December 31, 2016 and 2017 have been derived from our consolidated financial statements that are not included in this annual report. Our consolidated financial statements are prepared and presented in accordance with generally accepted accounting principles in the United States, or U.S. GAAP.</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 w:name="page6"/>
    <w:bookmarkEnd w:id="5"/>
    <w:p>
      <w:pPr>
        <w:ind w:firstLine="495"/>
        <w:spacing w:after="0" w:line="263" w:lineRule="auto"/>
        <w:rPr>
          <w:sz w:val="20"/>
          <w:szCs w:val="20"/>
          <w:color w:val="auto"/>
        </w:rPr>
      </w:pPr>
      <w:r>
        <w:rPr>
          <w:rFonts w:ascii="Arial" w:cs="Arial" w:eastAsia="Arial" w:hAnsi="Arial"/>
          <w:sz w:val="18"/>
          <w:szCs w:val="18"/>
          <w:color w:val="auto"/>
        </w:rPr>
        <w:t>You should read the selected consolidated financial information in conjunction with our consolidated financial statements and related notes and “Item 5. Operating and Financial Review and Prospects” included elsewhere in this annual report. Our historical results are not necessarily indicative of our results expected for future periods.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293"/>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29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310"/>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29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(US$ in</w:t>
            </w: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76"/>
              </w:rPr>
              <w:t>thousands, except</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w w:val="74"/>
              </w:rPr>
              <w:t>for</w:t>
            </w:r>
          </w:p>
        </w:tc>
        <w:tc>
          <w:tcPr>
            <w:tcW w:w="126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w w:val="88"/>
              </w:rPr>
              <w:t>per share and share</w:t>
            </w:r>
          </w:p>
        </w:tc>
        <w:tc>
          <w:tcPr>
            <w:tcW w:w="1060" w:type="dxa"/>
            <w:vAlign w:val="bottom"/>
            <w:gridSpan w:val="2"/>
          </w:tcPr>
          <w:p>
            <w:pPr>
              <w:jc w:val="right"/>
              <w:ind w:right="670"/>
              <w:spacing w:after="0" w:line="155" w:lineRule="exact"/>
              <w:rPr>
                <w:sz w:val="20"/>
                <w:szCs w:val="20"/>
                <w:color w:val="auto"/>
              </w:rPr>
            </w:pPr>
            <w:r>
              <w:rPr>
                <w:rFonts w:ascii="Arial" w:cs="Arial" w:eastAsia="Arial" w:hAnsi="Arial"/>
                <w:sz w:val="14"/>
                <w:szCs w:val="14"/>
                <w:b w:val="1"/>
                <w:bCs w:val="1"/>
                <w:color w:val="auto"/>
                <w:w w:val="83"/>
              </w:rPr>
              <w:t>data)</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Selected Consolidated Statements of Comprehensive Loss:</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Net revenues</w:t>
            </w:r>
            <w:r>
              <w:rPr>
                <w:rFonts w:ascii="Arial" w:cs="Arial" w:eastAsia="Arial" w:hAnsi="Arial"/>
                <w:sz w:val="15"/>
                <w:szCs w:val="15"/>
                <w:color w:val="auto"/>
              </w:rPr>
              <w:t>(1)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95,357</w:t>
            </w: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125,258</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160,017</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199,408</w:t>
            </w: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254,745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(61,048)</w:t>
            </w:r>
          </w:p>
        </w:tc>
        <w:tc>
          <w:tcPr>
            <w:tcW w:w="1240" w:type="dxa"/>
            <w:vAlign w:val="bottom"/>
            <w:gridSpan w:val="3"/>
            <w:shd w:val="clear" w:color="auto" w:fill="CFF0FC"/>
          </w:tcPr>
          <w:p>
            <w:pPr>
              <w:jc w:val="right"/>
              <w:ind w:right="78"/>
              <w:spacing w:after="0"/>
              <w:rPr>
                <w:sz w:val="20"/>
                <w:szCs w:val="20"/>
                <w:color w:val="auto"/>
              </w:rPr>
            </w:pPr>
            <w:r>
              <w:rPr>
                <w:rFonts w:ascii="Arial" w:cs="Arial" w:eastAsia="Arial" w:hAnsi="Arial"/>
                <w:sz w:val="18"/>
                <w:szCs w:val="18"/>
                <w:color w:val="auto"/>
              </w:rPr>
              <w:t>(95,733)</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(120,897)</w:t>
            </w: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(142,703)</w:t>
            </w: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(181,482)</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Gross profit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34,309</w:t>
            </w:r>
          </w:p>
        </w:tc>
        <w:tc>
          <w:tcPr>
            <w:tcW w:w="20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29,525</w:t>
            </w:r>
          </w:p>
        </w:tc>
        <w:tc>
          <w:tcPr>
            <w:tcW w:w="20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39,120</w:t>
            </w:r>
          </w:p>
        </w:tc>
        <w:tc>
          <w:tcPr>
            <w:tcW w:w="20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56,705</w:t>
            </w:r>
          </w:p>
        </w:tc>
        <w:tc>
          <w:tcPr>
            <w:tcW w:w="18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73,263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 expenses</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(8,584)</w:t>
            </w:r>
          </w:p>
        </w:tc>
        <w:tc>
          <w:tcPr>
            <w:tcW w:w="1240" w:type="dxa"/>
            <w:vAlign w:val="bottom"/>
            <w:gridSpan w:val="3"/>
          </w:tcPr>
          <w:p>
            <w:pPr>
              <w:jc w:val="right"/>
              <w:ind w:right="78"/>
              <w:spacing w:after="0"/>
              <w:rPr>
                <w:sz w:val="20"/>
                <w:szCs w:val="20"/>
                <w:color w:val="auto"/>
              </w:rPr>
            </w:pPr>
            <w:r>
              <w:rPr>
                <w:rFonts w:ascii="Arial" w:cs="Arial" w:eastAsia="Arial" w:hAnsi="Arial"/>
                <w:sz w:val="18"/>
                <w:szCs w:val="18"/>
                <w:color w:val="auto"/>
              </w:rPr>
              <w:t>(5,778)</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(10,737)</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(5,574)</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(5,349)</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Sales and marketing expenses</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(28,266)</w:t>
            </w:r>
          </w:p>
        </w:tc>
        <w:tc>
          <w:tcPr>
            <w:tcW w:w="1240" w:type="dxa"/>
            <w:vAlign w:val="bottom"/>
            <w:gridSpan w:val="3"/>
            <w:shd w:val="clear" w:color="auto" w:fill="CFF0FC"/>
          </w:tcPr>
          <w:p>
            <w:pPr>
              <w:jc w:val="right"/>
              <w:ind w:right="78"/>
              <w:spacing w:after="0"/>
              <w:rPr>
                <w:sz w:val="20"/>
                <w:szCs w:val="20"/>
                <w:color w:val="auto"/>
              </w:rPr>
            </w:pPr>
            <w:r>
              <w:rPr>
                <w:rFonts w:ascii="Arial" w:cs="Arial" w:eastAsia="Arial" w:hAnsi="Arial"/>
                <w:sz w:val="18"/>
                <w:szCs w:val="18"/>
                <w:color w:val="auto"/>
              </w:rPr>
              <w:t>(25,935)</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(32,080)</w:t>
            </w: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(42,968)</w:t>
            </w: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(38,028)</w:t>
            </w:r>
          </w:p>
        </w:tc>
        <w:tc>
          <w:tcPr>
            <w:tcW w:w="0" w:type="dxa"/>
            <w:vAlign w:val="bottom"/>
          </w:tcPr>
          <w:p>
            <w:pPr>
              <w:spacing w:after="0"/>
              <w:rPr>
                <w:sz w:val="1"/>
                <w:szCs w:val="1"/>
                <w:color w:val="auto"/>
              </w:rPr>
            </w:pPr>
          </w:p>
        </w:tc>
      </w:tr>
      <w:tr>
        <w:trPr>
          <w:trHeight w:val="229"/>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(26,767)</w:t>
            </w:r>
          </w:p>
        </w:tc>
        <w:tc>
          <w:tcPr>
            <w:tcW w:w="1240" w:type="dxa"/>
            <w:vAlign w:val="bottom"/>
            <w:gridSpan w:val="3"/>
          </w:tcPr>
          <w:p>
            <w:pPr>
              <w:jc w:val="right"/>
              <w:ind w:right="78"/>
              <w:spacing w:after="0"/>
              <w:rPr>
                <w:sz w:val="20"/>
                <w:szCs w:val="20"/>
                <w:color w:val="auto"/>
              </w:rPr>
            </w:pPr>
            <w:r>
              <w:rPr>
                <w:rFonts w:ascii="Arial" w:cs="Arial" w:eastAsia="Arial" w:hAnsi="Arial"/>
                <w:sz w:val="18"/>
                <w:szCs w:val="18"/>
                <w:color w:val="auto"/>
              </w:rPr>
              <w:t>(12,983)</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(23,757)</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(20,304)</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(31,648)</w:t>
            </w: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(63,617)</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(44,696)</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(66,574)</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(68,846)</w:t>
            </w: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(75,025)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(29,308)</w:t>
            </w: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(15,171)</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(27,454)</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(12,141)</w:t>
            </w: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3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(713)</w:t>
            </w:r>
          </w:p>
        </w:tc>
        <w:tc>
          <w:tcPr>
            <w:tcW w:w="1240" w:type="dxa"/>
            <w:vAlign w:val="bottom"/>
            <w:gridSpan w:val="3"/>
          </w:tcPr>
          <w:p>
            <w:pPr>
              <w:jc w:val="right"/>
              <w:ind w:right="78"/>
              <w:spacing w:after="0"/>
              <w:rPr>
                <w:sz w:val="20"/>
                <w:szCs w:val="20"/>
                <w:color w:val="auto"/>
              </w:rPr>
            </w:pPr>
            <w:r>
              <w:rPr>
                <w:rFonts w:ascii="Arial" w:cs="Arial" w:eastAsia="Arial" w:hAnsi="Arial"/>
                <w:sz w:val="18"/>
                <w:szCs w:val="18"/>
                <w:color w:val="auto"/>
              </w:rPr>
              <w:t>(551)</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(773)</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(1,915)</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(losses)/ gains, net</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(1,082)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1,841</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2,992</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Fair value gains/(losses) on derivative liabilities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3,995</w:t>
            </w:r>
          </w:p>
        </w:tc>
        <w:tc>
          <w:tcPr>
            <w:tcW w:w="200" w:type="dxa"/>
            <w:vAlign w:val="bottom"/>
          </w:tcPr>
          <w:p>
            <w:pPr>
              <w:spacing w:after="0"/>
              <w:rPr>
                <w:sz w:val="19"/>
                <w:szCs w:val="19"/>
                <w:color w:val="auto"/>
              </w:rPr>
            </w:pPr>
          </w:p>
        </w:tc>
        <w:tc>
          <w:tcPr>
            <w:tcW w:w="1240" w:type="dxa"/>
            <w:vAlign w:val="bottom"/>
            <w:gridSpan w:val="3"/>
          </w:tcPr>
          <w:p>
            <w:pPr>
              <w:jc w:val="right"/>
              <w:ind w:right="78"/>
              <w:spacing w:after="0"/>
              <w:rPr>
                <w:sz w:val="20"/>
                <w:szCs w:val="20"/>
                <w:color w:val="auto"/>
              </w:rPr>
            </w:pPr>
            <w:r>
              <w:rPr>
                <w:rFonts w:ascii="Arial" w:cs="Arial" w:eastAsia="Arial" w:hAnsi="Arial"/>
                <w:sz w:val="18"/>
                <w:szCs w:val="18"/>
                <w:color w:val="auto"/>
              </w:rPr>
              <w:t>(10,190)</w:t>
            </w: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Fair value (losses)/gains on convertible notes</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38"/>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(4,837)</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(27,108)</w:t>
            </w:r>
          </w:p>
        </w:tc>
        <w:tc>
          <w:tcPr>
            <w:tcW w:w="200" w:type="dxa"/>
            <w:vAlign w:val="bottom"/>
          </w:tcPr>
          <w:p>
            <w:pPr>
              <w:spacing w:after="0"/>
              <w:rPr>
                <w:sz w:val="19"/>
                <w:szCs w:val="19"/>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(24,071)</w:t>
            </w:r>
          </w:p>
        </w:tc>
        <w:tc>
          <w:tcPr>
            <w:tcW w:w="200" w:type="dxa"/>
            <w:vAlign w:val="bottom"/>
          </w:tcPr>
          <w:p>
            <w:pPr>
              <w:spacing w:after="0"/>
              <w:rPr>
                <w:sz w:val="19"/>
                <w:szCs w:val="19"/>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(31,956)</w:t>
            </w:r>
          </w:p>
        </w:tc>
        <w:tc>
          <w:tcPr>
            <w:tcW w:w="200" w:type="dxa"/>
            <w:vAlign w:val="bottom"/>
          </w:tcPr>
          <w:p>
            <w:pPr>
              <w:spacing w:after="0"/>
              <w:rPr>
                <w:sz w:val="19"/>
                <w:szCs w:val="19"/>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(10,394)</w:t>
            </w:r>
          </w:p>
        </w:tc>
        <w:tc>
          <w:tcPr>
            <w:tcW w:w="180" w:type="dxa"/>
            <w:vAlign w:val="bottom"/>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(13,162)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 expenses</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(222)</w:t>
            </w:r>
          </w:p>
        </w:tc>
        <w:tc>
          <w:tcPr>
            <w:tcW w:w="1240" w:type="dxa"/>
            <w:vAlign w:val="bottom"/>
            <w:gridSpan w:val="3"/>
            <w:shd w:val="clear" w:color="auto" w:fill="CFF0FC"/>
          </w:tcPr>
          <w:p>
            <w:pPr>
              <w:jc w:val="right"/>
              <w:ind w:right="78"/>
              <w:spacing w:after="0"/>
              <w:rPr>
                <w:sz w:val="20"/>
                <w:szCs w:val="20"/>
                <w:color w:val="auto"/>
              </w:rPr>
            </w:pPr>
            <w:r>
              <w:rPr>
                <w:rFonts w:ascii="Arial" w:cs="Arial" w:eastAsia="Arial" w:hAnsi="Arial"/>
                <w:sz w:val="18"/>
                <w:szCs w:val="18"/>
                <w:color w:val="auto"/>
              </w:rPr>
              <w:t>(548)</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(655)</w:t>
            </w: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(47)</w:t>
            </w: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29"/>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Share of losses from an equity investee</w:t>
            </w: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(408)</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(27,330)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(24,619)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(32,611)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(10,849)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(14,906)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noncontrolling interests</w:t>
            </w: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1,246</w:t>
            </w:r>
          </w:p>
        </w:tc>
        <w:tc>
          <w:tcPr>
            <w:tcW w:w="180" w:type="dxa"/>
            <w:vAlign w:val="bottom"/>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attributable to iClick Interactive Asia</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Group Limited</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(27,330)</w:t>
            </w:r>
          </w:p>
        </w:tc>
        <w:tc>
          <w:tcPr>
            <w:tcW w:w="1240" w:type="dxa"/>
            <w:vAlign w:val="bottom"/>
            <w:gridSpan w:val="3"/>
            <w:shd w:val="clear" w:color="auto" w:fill="CFF0FC"/>
          </w:tcPr>
          <w:p>
            <w:pPr>
              <w:jc w:val="right"/>
              <w:ind w:right="78"/>
              <w:spacing w:after="0"/>
              <w:rPr>
                <w:sz w:val="20"/>
                <w:szCs w:val="20"/>
                <w:color w:val="auto"/>
              </w:rPr>
            </w:pPr>
            <w:r>
              <w:rPr>
                <w:rFonts w:ascii="Arial" w:cs="Arial" w:eastAsia="Arial" w:hAnsi="Arial"/>
                <w:sz w:val="18"/>
                <w:szCs w:val="18"/>
                <w:color w:val="auto"/>
              </w:rPr>
              <w:t>(24,619)</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(32,409)</w:t>
            </w: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(9,603)</w:t>
            </w: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(12,618)</w:t>
            </w:r>
          </w:p>
        </w:tc>
        <w:tc>
          <w:tcPr>
            <w:tcW w:w="0" w:type="dxa"/>
            <w:vAlign w:val="bottom"/>
          </w:tcPr>
          <w:p>
            <w:pPr>
              <w:spacing w:after="0"/>
              <w:rPr>
                <w:sz w:val="1"/>
                <w:szCs w:val="1"/>
                <w:color w:val="auto"/>
              </w:rPr>
            </w:pPr>
          </w:p>
        </w:tc>
      </w:tr>
      <w:tr>
        <w:trPr>
          <w:trHeight w:val="215"/>
        </w:trPr>
        <w:tc>
          <w:tcPr>
            <w:tcW w:w="5140" w:type="dxa"/>
            <w:vAlign w:val="bottom"/>
            <w:gridSpan w:val="2"/>
          </w:tcPr>
          <w:p>
            <w:pPr>
              <w:spacing w:after="0"/>
              <w:rPr>
                <w:sz w:val="20"/>
                <w:szCs w:val="20"/>
                <w:color w:val="auto"/>
              </w:rPr>
            </w:pPr>
            <w:r>
              <w:rPr>
                <w:rFonts w:ascii="Arial" w:cs="Arial" w:eastAsia="Arial" w:hAnsi="Arial"/>
                <w:sz w:val="18"/>
                <w:szCs w:val="18"/>
                <w:color w:val="auto"/>
              </w:rPr>
              <w:t>Accretion to convertible redeemable preferred shares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redemption value</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(773)</w:t>
            </w:r>
          </w:p>
        </w:tc>
        <w:tc>
          <w:tcPr>
            <w:tcW w:w="1240" w:type="dxa"/>
            <w:vAlign w:val="bottom"/>
            <w:gridSpan w:val="3"/>
          </w:tcPr>
          <w:p>
            <w:pPr>
              <w:jc w:val="right"/>
              <w:ind w:right="78"/>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Accretion to redeemable ordinary shares redemption</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Value</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(1,556)</w:t>
            </w:r>
          </w:p>
        </w:tc>
        <w:tc>
          <w:tcPr>
            <w:tcW w:w="1240" w:type="dxa"/>
            <w:vAlign w:val="bottom"/>
            <w:gridSpan w:val="3"/>
            <w:shd w:val="clear" w:color="auto" w:fill="CFF0FC"/>
          </w:tcPr>
          <w:p>
            <w:pPr>
              <w:jc w:val="right"/>
              <w:ind w:right="78"/>
              <w:spacing w:after="0"/>
              <w:rPr>
                <w:sz w:val="20"/>
                <w:szCs w:val="20"/>
                <w:color w:val="auto"/>
              </w:rPr>
            </w:pPr>
            <w:r>
              <w:rPr>
                <w:rFonts w:ascii="Arial" w:cs="Arial" w:eastAsia="Arial" w:hAnsi="Arial"/>
                <w:sz w:val="18"/>
                <w:szCs w:val="18"/>
                <w:color w:val="auto"/>
              </w:rPr>
              <w:t>(3,650)</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Net loss attributable to iClick Interactive Asia Group</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Limited’s ordinary shareholders</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(29,659)</w:t>
            </w:r>
          </w:p>
        </w:tc>
        <w:tc>
          <w:tcPr>
            <w:tcW w:w="1240" w:type="dxa"/>
            <w:vAlign w:val="bottom"/>
            <w:gridSpan w:val="3"/>
          </w:tcPr>
          <w:p>
            <w:pPr>
              <w:jc w:val="right"/>
              <w:ind w:right="78"/>
              <w:spacing w:after="0"/>
              <w:rPr>
                <w:sz w:val="20"/>
                <w:szCs w:val="20"/>
                <w:color w:val="auto"/>
              </w:rPr>
            </w:pPr>
            <w:r>
              <w:rPr>
                <w:rFonts w:ascii="Arial" w:cs="Arial" w:eastAsia="Arial" w:hAnsi="Arial"/>
                <w:sz w:val="18"/>
                <w:szCs w:val="18"/>
                <w:color w:val="auto"/>
              </w:rPr>
              <w:t>(29,931)</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(32,409)</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(9,603)</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(12,618)</w:t>
            </w: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(27,330)</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(24,619)</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(32,611)</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(10,849)</w:t>
            </w: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(14,906)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 net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of US$nil tax</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(139)</w:t>
            </w:r>
          </w:p>
        </w:tc>
        <w:tc>
          <w:tcPr>
            <w:tcW w:w="1240" w:type="dxa"/>
            <w:vAlign w:val="bottom"/>
            <w:gridSpan w:val="3"/>
            <w:shd w:val="clear" w:color="auto" w:fill="CFF0FC"/>
          </w:tcPr>
          <w:p>
            <w:pPr>
              <w:jc w:val="right"/>
              <w:ind w:right="78"/>
              <w:spacing w:after="0"/>
              <w:rPr>
                <w:sz w:val="20"/>
                <w:szCs w:val="20"/>
                <w:color w:val="auto"/>
              </w:rPr>
            </w:pPr>
            <w:r>
              <w:rPr>
                <w:rFonts w:ascii="Arial" w:cs="Arial" w:eastAsia="Arial" w:hAnsi="Arial"/>
                <w:sz w:val="18"/>
                <w:szCs w:val="18"/>
                <w:color w:val="auto"/>
              </w:rPr>
              <w:t>(79)</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(2,547)</w:t>
            </w: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(1,700)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5,274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(27,469)</w:t>
            </w:r>
          </w:p>
        </w:tc>
        <w:tc>
          <w:tcPr>
            <w:tcW w:w="200" w:type="dxa"/>
            <w:vAlign w:val="bottom"/>
          </w:tcPr>
          <w:p>
            <w:pPr>
              <w:spacing w:after="0"/>
              <w:rPr>
                <w:sz w:val="19"/>
                <w:szCs w:val="19"/>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(24,698)</w:t>
            </w:r>
          </w:p>
        </w:tc>
        <w:tc>
          <w:tcPr>
            <w:tcW w:w="200" w:type="dxa"/>
            <w:vAlign w:val="bottom"/>
          </w:tcPr>
          <w:p>
            <w:pPr>
              <w:spacing w:after="0"/>
              <w:rPr>
                <w:sz w:val="19"/>
                <w:szCs w:val="19"/>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(35,158)</w:t>
            </w:r>
          </w:p>
        </w:tc>
        <w:tc>
          <w:tcPr>
            <w:tcW w:w="200" w:type="dxa"/>
            <w:vAlign w:val="bottom"/>
          </w:tcPr>
          <w:p>
            <w:pPr>
              <w:spacing w:after="0"/>
              <w:rPr>
                <w:sz w:val="19"/>
                <w:szCs w:val="19"/>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(12,549)</w:t>
            </w:r>
          </w:p>
        </w:tc>
        <w:tc>
          <w:tcPr>
            <w:tcW w:w="180" w:type="dxa"/>
            <w:vAlign w:val="bottom"/>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(9,632)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Comprehensive loss attributable to noncontrolling</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Interests</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3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40" w:type="dxa"/>
            <w:vAlign w:val="bottom"/>
            <w:gridSpan w:val="2"/>
          </w:tcPr>
          <w:p>
            <w:pPr>
              <w:spacing w:after="0"/>
              <w:rPr>
                <w:sz w:val="20"/>
                <w:szCs w:val="20"/>
                <w:color w:val="auto"/>
              </w:rPr>
            </w:pPr>
            <w:r>
              <w:rPr>
                <w:rFonts w:ascii="Arial" w:cs="Arial" w:eastAsia="Arial" w:hAnsi="Arial"/>
                <w:sz w:val="18"/>
                <w:szCs w:val="18"/>
                <w:color w:val="auto"/>
              </w:rPr>
              <w:t>Comprehensive loss attributable to iClick</w:t>
            </w: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Interactive Asia Group Limited</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(27,469)</w:t>
            </w:r>
          </w:p>
        </w:tc>
        <w:tc>
          <w:tcPr>
            <w:tcW w:w="1240" w:type="dxa"/>
            <w:vAlign w:val="bottom"/>
            <w:gridSpan w:val="3"/>
          </w:tcPr>
          <w:p>
            <w:pPr>
              <w:jc w:val="right"/>
              <w:ind w:right="78"/>
              <w:spacing w:after="0"/>
              <w:rPr>
                <w:sz w:val="20"/>
                <w:szCs w:val="20"/>
                <w:color w:val="auto"/>
              </w:rPr>
            </w:pPr>
            <w:r>
              <w:rPr>
                <w:rFonts w:ascii="Arial" w:cs="Arial" w:eastAsia="Arial" w:hAnsi="Arial"/>
                <w:sz w:val="18"/>
                <w:szCs w:val="18"/>
                <w:color w:val="auto"/>
              </w:rPr>
              <w:t>(24,698)</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(34,956)</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(11,215)</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196"/>
        </w:trPr>
        <w:tc>
          <w:tcPr>
            <w:tcW w:w="5140" w:type="dxa"/>
            <w:vAlign w:val="bottom"/>
            <w:tcBorders>
              <w:top w:val="single" w:sz="8" w:color="CFF0FC"/>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iClick Interactive</w:t>
            </w: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Asia Group Limited</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(2.26)</w:t>
            </w:r>
          </w:p>
        </w:tc>
        <w:tc>
          <w:tcPr>
            <w:tcW w:w="1240" w:type="dxa"/>
            <w:vAlign w:val="bottom"/>
            <w:gridSpan w:val="3"/>
          </w:tcPr>
          <w:p>
            <w:pPr>
              <w:jc w:val="right"/>
              <w:ind w:right="78"/>
              <w:spacing w:after="0"/>
              <w:rPr>
                <w:sz w:val="20"/>
                <w:szCs w:val="20"/>
                <w:color w:val="auto"/>
              </w:rPr>
            </w:pPr>
            <w:r>
              <w:rPr>
                <w:rFonts w:ascii="Arial" w:cs="Arial" w:eastAsia="Arial" w:hAnsi="Arial"/>
                <w:sz w:val="18"/>
                <w:szCs w:val="18"/>
                <w:color w:val="auto"/>
              </w:rPr>
              <w:t>(2.15)</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(1.23)</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(0.34)</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(2.26)</w:t>
            </w:r>
          </w:p>
        </w:tc>
        <w:tc>
          <w:tcPr>
            <w:tcW w:w="1240" w:type="dxa"/>
            <w:vAlign w:val="bottom"/>
            <w:gridSpan w:val="3"/>
            <w:shd w:val="clear" w:color="auto" w:fill="CFF0FC"/>
          </w:tcPr>
          <w:p>
            <w:pPr>
              <w:jc w:val="right"/>
              <w:ind w:right="78"/>
              <w:spacing w:after="0"/>
              <w:rPr>
                <w:sz w:val="20"/>
                <w:szCs w:val="20"/>
                <w:color w:val="auto"/>
              </w:rPr>
            </w:pPr>
            <w:r>
              <w:rPr>
                <w:rFonts w:ascii="Arial" w:cs="Arial" w:eastAsia="Arial" w:hAnsi="Arial"/>
                <w:sz w:val="18"/>
                <w:szCs w:val="18"/>
                <w:color w:val="auto"/>
              </w:rPr>
              <w:t>(2.15)</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(1.23)</w:t>
            </w: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(0.34)</w:t>
            </w: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5"/>
        </w:trPr>
        <w:tc>
          <w:tcPr>
            <w:tcW w:w="5140" w:type="dxa"/>
            <w:vAlign w:val="bottom"/>
            <w:gridSpan w:val="2"/>
          </w:tcPr>
          <w:p>
            <w:pPr>
              <w:spacing w:after="0"/>
              <w:rPr>
                <w:sz w:val="20"/>
                <w:szCs w:val="20"/>
                <w:color w:val="auto"/>
              </w:rPr>
            </w:pPr>
            <w:r>
              <w:rPr>
                <w:rFonts w:ascii="Arial" w:cs="Arial" w:eastAsia="Arial" w:hAnsi="Arial"/>
                <w:sz w:val="18"/>
                <w:szCs w:val="18"/>
                <w:color w:val="auto"/>
              </w:rPr>
              <w:t>Weighted average number of ordinary shares used in</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per share calculation</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13,151,063</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13,931,503</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26,452,409</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28,583,548</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39,368,436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13,151,063</w:t>
            </w: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13,931,503</w:t>
            </w:r>
          </w:p>
        </w:tc>
        <w:tc>
          <w:tcPr>
            <w:tcW w:w="2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26,452,409</w:t>
            </w:r>
          </w:p>
        </w:tc>
        <w:tc>
          <w:tcPr>
            <w:tcW w:w="2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28,583,548</w:t>
            </w: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39,368,436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53"/>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3"/>
              </w:rPr>
              <w:t>As of December 31,</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29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1000" w:type="dxa"/>
            <w:vAlign w:val="bottom"/>
            <w:tcBorders>
              <w:bottom w:val="single" w:sz="8" w:color="auto"/>
            </w:tcBorders>
            <w:gridSpan w:val="2"/>
          </w:tcPr>
          <w:p>
            <w:pPr>
              <w:jc w:val="right"/>
              <w:ind w:right="27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270"/>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29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4"/>
          </w:tcPr>
          <w:p>
            <w:pPr>
              <w:jc w:val="right"/>
              <w:ind w:right="490"/>
              <w:spacing w:after="0" w:line="155" w:lineRule="exact"/>
              <w:rPr>
                <w:sz w:val="20"/>
                <w:szCs w:val="20"/>
                <w:color w:val="auto"/>
              </w:rPr>
            </w:pPr>
            <w:r>
              <w:rPr>
                <w:rFonts w:ascii="Arial" w:cs="Arial" w:eastAsia="Arial" w:hAnsi="Arial"/>
                <w:sz w:val="14"/>
                <w:szCs w:val="14"/>
                <w:b w:val="1"/>
                <w:bCs w:val="1"/>
                <w:color w:val="auto"/>
              </w:rPr>
              <w:t>(US$ in thousands)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27,280</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19,401</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39,828</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36,854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52,232</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r>
      <w:tr>
        <w:trPr>
          <w:trHeight w:val="229"/>
        </w:trPr>
        <w:tc>
          <w:tcPr>
            <w:tcW w:w="5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5,234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23,852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42,145</w:t>
            </w:r>
          </w:p>
        </w:tc>
        <w:tc>
          <w:tcPr>
            <w:tcW w:w="120" w:type="dxa"/>
            <w:vAlign w:val="bottom"/>
            <w:shd w:val="clear" w:color="auto" w:fill="CFF0FC"/>
          </w:tcPr>
          <w:p>
            <w:pPr>
              <w:spacing w:after="0"/>
              <w:rPr>
                <w:sz w:val="19"/>
                <w:szCs w:val="19"/>
                <w:color w:val="auto"/>
              </w:rPr>
            </w:pPr>
          </w:p>
        </w:tc>
      </w:tr>
      <w:tr>
        <w:trPr>
          <w:trHeight w:val="229"/>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Short-term investment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17,427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23,720</w:t>
            </w:r>
          </w:p>
        </w:tc>
        <w:tc>
          <w:tcPr>
            <w:tcW w:w="120" w:type="dxa"/>
            <w:vAlign w:val="bottom"/>
          </w:tcPr>
          <w:p>
            <w:pPr>
              <w:spacing w:after="0"/>
              <w:rPr>
                <w:sz w:val="19"/>
                <w:szCs w:val="19"/>
                <w:color w:val="auto"/>
              </w:rPr>
            </w:pPr>
          </w:p>
        </w:tc>
      </w:tr>
      <w:tr>
        <w:trPr>
          <w:trHeight w:val="215"/>
        </w:trPr>
        <w:tc>
          <w:tcPr>
            <w:tcW w:w="5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w:t>
            </w:r>
            <w:r>
              <w:rPr>
                <w:rFonts w:ascii="Arial" w:cs="Arial" w:eastAsia="Arial" w:hAnsi="Arial"/>
                <w:sz w:val="15"/>
                <w:szCs w:val="15"/>
                <w:color w:val="auto"/>
              </w:rPr>
              <w:t>(5)</w:t>
            </w:r>
            <w:r>
              <w:rPr>
                <w:rFonts w:ascii="Arial" w:cs="Arial" w:eastAsia="Arial" w:hAnsi="Arial"/>
                <w:sz w:val="18"/>
                <w:szCs w:val="18"/>
                <w:color w:val="auto"/>
              </w:rPr>
              <w:t>, net of allowance for doubtful</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receivables of US$1,693, US$1,478,</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US$1,507, US$3,469 and US$11,749 as of December 31,</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24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2016, 2017, 2018, 2019, and 2020, respectively</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30,694</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40,798</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65,627</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143,971</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143,142</w:t>
            </w:r>
          </w:p>
        </w:tc>
        <w:tc>
          <w:tcPr>
            <w:tcW w:w="120" w:type="dxa"/>
            <w:vAlign w:val="bottom"/>
            <w:shd w:val="clear" w:color="auto" w:fill="CFF0FC"/>
          </w:tcPr>
          <w:p>
            <w:pPr>
              <w:spacing w:after="0"/>
              <w:rPr>
                <w:sz w:val="20"/>
                <w:szCs w:val="20"/>
                <w:color w:val="auto"/>
              </w:rPr>
            </w:pP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Rebates receivable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2,250</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1,334</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4,067</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10,964</w:t>
            </w:r>
          </w:p>
        </w:tc>
        <w:tc>
          <w:tcPr>
            <w:tcW w:w="120" w:type="dxa"/>
            <w:vAlign w:val="bottom"/>
          </w:tcPr>
          <w:p>
            <w:pPr>
              <w:spacing w:after="0"/>
              <w:rPr>
                <w:sz w:val="19"/>
                <w:szCs w:val="19"/>
                <w:color w:val="auto"/>
              </w:rPr>
            </w:pPr>
          </w:p>
        </w:tc>
      </w:tr>
      <w:tr>
        <w:trPr>
          <w:trHeight w:val="229"/>
        </w:trPr>
        <w:tc>
          <w:tcPr>
            <w:tcW w:w="5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media cost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34,409</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37,784</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19,107</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25,565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34,528</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14,804</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10,600</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7,247</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56,431</w:t>
            </w:r>
          </w:p>
        </w:tc>
        <w:tc>
          <w:tcPr>
            <w:tcW w:w="120" w:type="dxa"/>
            <w:vAlign w:val="bottom"/>
            <w:shd w:val="clear" w:color="auto" w:fill="CFF0FC"/>
          </w:tcPr>
          <w:p>
            <w:pPr>
              <w:spacing w:after="0"/>
              <w:rPr>
                <w:sz w:val="19"/>
                <w:szCs w:val="19"/>
                <w:color w:val="auto"/>
              </w:rPr>
            </w:pPr>
          </w:p>
        </w:tc>
      </w:tr>
      <w:tr>
        <w:trPr>
          <w:trHeight w:val="229"/>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Goodwill</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48,496</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48,496</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48,496</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65,710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74,419</w:t>
            </w:r>
          </w:p>
        </w:tc>
        <w:tc>
          <w:tcPr>
            <w:tcW w:w="120" w:type="dxa"/>
            <w:vAlign w:val="bottom"/>
          </w:tcPr>
          <w:p>
            <w:pPr>
              <w:spacing w:after="0"/>
              <w:rPr>
                <w:sz w:val="19"/>
                <w:szCs w:val="19"/>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(2)</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169,640</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188,822</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207,258</w:t>
            </w:r>
          </w:p>
        </w:tc>
        <w:tc>
          <w:tcPr>
            <w:tcW w:w="220" w:type="dxa"/>
            <w:vAlign w:val="bottom"/>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321,516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470,115</w:t>
            </w:r>
          </w:p>
        </w:tc>
        <w:tc>
          <w:tcPr>
            <w:tcW w:w="120" w:type="dxa"/>
            <w:vAlign w:val="bottom"/>
            <w:shd w:val="clear" w:color="auto" w:fill="CFF0FC"/>
          </w:tcPr>
          <w:p>
            <w:pPr>
              <w:spacing w:after="0"/>
              <w:rPr>
                <w:sz w:val="19"/>
                <w:szCs w:val="19"/>
                <w:color w:val="auto"/>
              </w:rPr>
            </w:pPr>
          </w:p>
        </w:tc>
      </w:tr>
      <w:tr>
        <w:trPr>
          <w:trHeight w:val="209"/>
        </w:trPr>
        <w:tc>
          <w:tcPr>
            <w:tcW w:w="5240" w:type="dxa"/>
            <w:vAlign w:val="bottom"/>
            <w:gridSpan w:val="2"/>
          </w:tcPr>
          <w:p>
            <w:pPr>
              <w:spacing w:after="0"/>
              <w:rPr>
                <w:sz w:val="20"/>
                <w:szCs w:val="20"/>
                <w:color w:val="auto"/>
              </w:rPr>
            </w:pPr>
            <w:r>
              <w:rPr>
                <w:rFonts w:ascii="Arial" w:cs="Arial" w:eastAsia="Arial" w:hAnsi="Arial"/>
                <w:sz w:val="18"/>
                <w:szCs w:val="18"/>
                <w:color w:val="auto"/>
              </w:rPr>
              <w:t>Liabilities, mezzanine equity and shareholders’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deficit/equity:</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r>
              <w:rPr>
                <w:rFonts w:ascii="Arial" w:cs="Arial" w:eastAsia="Arial" w:hAnsi="Arial"/>
                <w:sz w:val="15"/>
                <w:szCs w:val="15"/>
                <w:color w:val="auto"/>
              </w:rPr>
              <w:t>(2)/(3)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126,572</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65,679</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97,151</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203,940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162,847</w:t>
            </w:r>
          </w:p>
        </w:tc>
        <w:tc>
          <w:tcPr>
            <w:tcW w:w="120" w:type="dxa"/>
            <w:vAlign w:val="bottom"/>
            <w:shd w:val="clear" w:color="auto" w:fill="CFF0FC"/>
          </w:tcPr>
          <w:p>
            <w:pPr>
              <w:spacing w:after="0"/>
              <w:rPr>
                <w:sz w:val="19"/>
                <w:szCs w:val="19"/>
                <w:color w:val="auto"/>
              </w:rPr>
            </w:pPr>
          </w:p>
        </w:tc>
      </w:tr>
      <w:tr>
        <w:trPr>
          <w:trHeight w:val="229"/>
        </w:trPr>
        <w:tc>
          <w:tcPr>
            <w:tcW w:w="5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15"/>
                <w:szCs w:val="15"/>
                <w:color w:val="auto"/>
              </w:rPr>
              <w:t>(2)/(3)</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2,997</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3,159</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3,467</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28,180</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129,569</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68,838</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100,618</w:t>
            </w:r>
          </w:p>
        </w:tc>
        <w:tc>
          <w:tcPr>
            <w:tcW w:w="220" w:type="dxa"/>
            <w:vAlign w:val="bottom"/>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206,960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191,027</w:t>
            </w:r>
          </w:p>
        </w:tc>
        <w:tc>
          <w:tcPr>
            <w:tcW w:w="120" w:type="dxa"/>
            <w:vAlign w:val="bottom"/>
            <w:shd w:val="clear" w:color="auto" w:fill="CFF0FC"/>
          </w:tcPr>
          <w:p>
            <w:pPr>
              <w:spacing w:after="0"/>
              <w:rPr>
                <w:sz w:val="19"/>
                <w:szCs w:val="19"/>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Total mezzanine equity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104,383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5"/>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Ordinary shares (13,609,208, 26,059,433,</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27,986,700, 28,690,635 and 40,996,215 shares issued and</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outstanding as of December 31, 2016, 2017,</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2018, 2019 and 2020, respectively)</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20"/>
                <w:szCs w:val="20"/>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Total (deficit)/equity</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(64,312)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119,984</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106,640</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114,556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279,088</w:t>
            </w:r>
          </w:p>
        </w:tc>
        <w:tc>
          <w:tcPr>
            <w:tcW w:w="120" w:type="dxa"/>
            <w:vAlign w:val="bottom"/>
          </w:tcPr>
          <w:p>
            <w:pPr>
              <w:spacing w:after="0"/>
              <w:rPr>
                <w:sz w:val="19"/>
                <w:szCs w:val="19"/>
                <w:color w:val="auto"/>
              </w:rPr>
            </w:pPr>
          </w:p>
        </w:tc>
      </w:tr>
      <w:tr>
        <w:trPr>
          <w:trHeight w:val="209"/>
        </w:trPr>
        <w:tc>
          <w:tcPr>
            <w:tcW w:w="5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mezzanine equity and shareholders’</w:t>
            </w:r>
          </w:p>
        </w:tc>
        <w:tc>
          <w:tcPr>
            <w:tcW w:w="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r>
      <w:tr>
        <w:trPr>
          <w:trHeight w:val="230"/>
        </w:trPr>
        <w:tc>
          <w:tcPr>
            <w:tcW w:w="5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deficit/equity</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169,640</w:t>
            </w:r>
          </w:p>
        </w:tc>
        <w:tc>
          <w:tcPr>
            <w:tcW w:w="220" w:type="dxa"/>
            <w:vAlign w:val="bottom"/>
            <w:shd w:val="clear" w:color="auto" w:fill="CFF0FC"/>
          </w:tcPr>
          <w:p>
            <w:pPr>
              <w:spacing w:after="0"/>
              <w:rPr>
                <w:sz w:val="20"/>
                <w:szCs w:val="20"/>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188,822</w:t>
            </w:r>
          </w:p>
        </w:tc>
        <w:tc>
          <w:tcPr>
            <w:tcW w:w="220" w:type="dxa"/>
            <w:vAlign w:val="bottom"/>
            <w:shd w:val="clear" w:color="auto" w:fill="CFF0FC"/>
          </w:tcPr>
          <w:p>
            <w:pPr>
              <w:spacing w:after="0"/>
              <w:rPr>
                <w:sz w:val="20"/>
                <w:szCs w:val="20"/>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207,258</w:t>
            </w:r>
          </w:p>
        </w:tc>
        <w:tc>
          <w:tcPr>
            <w:tcW w:w="220" w:type="dxa"/>
            <w:vAlign w:val="bottom"/>
            <w:shd w:val="clear" w:color="auto" w:fill="CFF0FC"/>
          </w:tcPr>
          <w:p>
            <w:pPr>
              <w:spacing w:after="0"/>
              <w:rPr>
                <w:sz w:val="20"/>
                <w:szCs w:val="20"/>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321,516</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470,115</w:t>
            </w:r>
          </w:p>
        </w:tc>
        <w:tc>
          <w:tcPr>
            <w:tcW w:w="120" w:type="dxa"/>
            <w:vAlign w:val="bottom"/>
            <w:shd w:val="clear" w:color="auto" w:fill="CFF0FC"/>
          </w:tcPr>
          <w:p>
            <w:pPr>
              <w:spacing w:after="0"/>
              <w:rPr>
                <w:sz w:val="20"/>
                <w:szCs w:val="20"/>
                <w:color w:val="auto"/>
              </w:rPr>
            </w:pPr>
          </w:p>
        </w:tc>
      </w:tr>
      <w:tr>
        <w:trPr>
          <w:trHeight w:val="453"/>
        </w:trPr>
        <w:tc>
          <w:tcPr>
            <w:tcW w:w="5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5"/>
        </w:trPr>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29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1000" w:type="dxa"/>
            <w:vAlign w:val="bottom"/>
            <w:tcBorders>
              <w:bottom w:val="single" w:sz="8" w:color="auto"/>
            </w:tcBorders>
            <w:gridSpan w:val="2"/>
          </w:tcPr>
          <w:p>
            <w:pPr>
              <w:jc w:val="right"/>
              <w:ind w:right="27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270"/>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29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4"/>
          </w:tcPr>
          <w:p>
            <w:pPr>
              <w:jc w:val="right"/>
              <w:ind w:right="490"/>
              <w:spacing w:after="0" w:line="155" w:lineRule="exact"/>
              <w:rPr>
                <w:sz w:val="20"/>
                <w:szCs w:val="20"/>
                <w:color w:val="auto"/>
              </w:rPr>
            </w:pPr>
            <w:r>
              <w:rPr>
                <w:rFonts w:ascii="Arial" w:cs="Arial" w:eastAsia="Arial" w:hAnsi="Arial"/>
                <w:sz w:val="14"/>
                <w:szCs w:val="14"/>
                <w:b w:val="1"/>
                <w:bCs w:val="1"/>
                <w:color w:val="auto"/>
              </w:rPr>
              <w:t>(US$ in thousands)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(3,907)</w:t>
            </w:r>
          </w:p>
        </w:tc>
        <w:tc>
          <w:tcPr>
            <w:tcW w:w="1220" w:type="dxa"/>
            <w:vAlign w:val="bottom"/>
            <w:gridSpan w:val="3"/>
          </w:tcPr>
          <w:p>
            <w:pPr>
              <w:jc w:val="right"/>
              <w:ind w:right="88"/>
              <w:spacing w:after="0"/>
              <w:rPr>
                <w:sz w:val="20"/>
                <w:szCs w:val="20"/>
                <w:color w:val="auto"/>
              </w:rPr>
            </w:pPr>
            <w:r>
              <w:rPr>
                <w:rFonts w:ascii="Arial" w:cs="Arial" w:eastAsia="Arial" w:hAnsi="Arial"/>
                <w:sz w:val="18"/>
                <w:szCs w:val="18"/>
                <w:color w:val="auto"/>
              </w:rPr>
              <w:t>(13,881)</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(15,416)</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(30,294)</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(19,633)</w:t>
            </w:r>
          </w:p>
        </w:tc>
      </w:tr>
      <w:tr>
        <w:trPr>
          <w:trHeight w:val="243"/>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provided by/(used in) investing activities</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2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(25,165)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8,395</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6,762</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(27,693)</w:t>
            </w: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24,564</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25,546</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27,775</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44,804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79,983</w:t>
            </w:r>
          </w:p>
        </w:tc>
        <w:tc>
          <w:tcPr>
            <w:tcW w:w="120" w:type="dxa"/>
            <w:vAlign w:val="bottom"/>
          </w:tcPr>
          <w:p>
            <w:pPr>
              <w:spacing w:after="0"/>
              <w:rPr>
                <w:sz w:val="19"/>
                <w:szCs w:val="19"/>
                <w:color w:val="auto"/>
              </w:rPr>
            </w:pPr>
          </w:p>
        </w:tc>
      </w:tr>
      <w:tr>
        <w:trPr>
          <w:trHeight w:val="215"/>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 on exchange rate changes on cash and cash</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equivalents and restricted cash</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FF0FC"/>
          </w:tcPr>
          <w:p>
            <w:pPr>
              <w:spacing w:after="0"/>
              <w:rPr>
                <w:sz w:val="20"/>
                <w:szCs w:val="20"/>
                <w:color w:val="auto"/>
              </w:rPr>
            </w:pPr>
          </w:p>
        </w:tc>
      </w:tr>
      <w:tr>
        <w:trPr>
          <w:trHeight w:val="215"/>
        </w:trPr>
        <w:tc>
          <w:tcPr>
            <w:tcW w:w="5240" w:type="dxa"/>
            <w:vAlign w:val="bottom"/>
            <w:gridSpan w:val="2"/>
          </w:tcPr>
          <w:p>
            <w:pPr>
              <w:spacing w:after="0"/>
              <w:rPr>
                <w:sz w:val="20"/>
                <w:szCs w:val="20"/>
                <w:color w:val="auto"/>
              </w:rPr>
            </w:pPr>
            <w:r>
              <w:rPr>
                <w:rFonts w:ascii="Arial" w:cs="Arial" w:eastAsia="Arial" w:hAnsi="Arial"/>
                <w:sz w:val="18"/>
                <w:szCs w:val="18"/>
                <w:color w:val="auto"/>
              </w:rPr>
              <w:t>Net increase/(decrease) in cash and cash equivalents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and restricted cash</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21,181</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(13,500)</w:t>
            </w: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20,754</w:t>
            </w: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21,272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32,657</w:t>
            </w:r>
          </w:p>
        </w:tc>
        <w:tc>
          <w:tcPr>
            <w:tcW w:w="120" w:type="dxa"/>
            <w:vAlign w:val="bottom"/>
          </w:tcPr>
          <w:p>
            <w:pPr>
              <w:spacing w:after="0"/>
              <w:rPr>
                <w:sz w:val="20"/>
                <w:szCs w:val="20"/>
                <w:color w:val="auto"/>
              </w:rPr>
            </w:pPr>
          </w:p>
        </w:tc>
      </w:tr>
      <w:tr>
        <w:trPr>
          <w:trHeight w:val="215"/>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at the</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beginning of year</w:t>
            </w:r>
            <w:r>
              <w:rPr>
                <w:rFonts w:ascii="Arial" w:cs="Arial" w:eastAsia="Arial" w:hAnsi="Arial"/>
                <w:sz w:val="15"/>
                <w:szCs w:val="15"/>
                <w:color w:val="auto"/>
              </w:rPr>
              <w:t>(4)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11,395</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32,514</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19,401</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39,828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60,706</w:t>
            </w:r>
          </w:p>
        </w:tc>
        <w:tc>
          <w:tcPr>
            <w:tcW w:w="120" w:type="dxa"/>
            <w:vAlign w:val="bottom"/>
            <w:shd w:val="clear" w:color="auto" w:fill="CFF0FC"/>
          </w:tcPr>
          <w:p>
            <w:pPr>
              <w:spacing w:after="0"/>
              <w:rPr>
                <w:sz w:val="20"/>
                <w:szCs w:val="20"/>
                <w:color w:val="auto"/>
              </w:rPr>
            </w:pPr>
          </w:p>
        </w:tc>
      </w:tr>
      <w:tr>
        <w:trPr>
          <w:trHeight w:val="215"/>
        </w:trPr>
        <w:tc>
          <w:tcPr>
            <w:tcW w:w="5240" w:type="dxa"/>
            <w:vAlign w:val="bottom"/>
            <w:gridSpan w:val="2"/>
          </w:tcPr>
          <w:p>
            <w:pPr>
              <w:spacing w:after="0"/>
              <w:rPr>
                <w:sz w:val="20"/>
                <w:szCs w:val="20"/>
                <w:color w:val="auto"/>
              </w:rPr>
            </w:pPr>
            <w:r>
              <w:rPr>
                <w:rFonts w:ascii="Arial" w:cs="Arial" w:eastAsia="Arial" w:hAnsi="Arial"/>
                <w:sz w:val="18"/>
                <w:szCs w:val="18"/>
                <w:color w:val="auto"/>
              </w:rPr>
              <w:t>Cash and cash equivalents and restricted cash at the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end of the year</w:t>
            </w:r>
            <w:r>
              <w:rPr>
                <w:rFonts w:ascii="Arial" w:cs="Arial" w:eastAsia="Arial" w:hAnsi="Arial"/>
                <w:sz w:val="15"/>
                <w:szCs w:val="15"/>
                <w:color w:val="auto"/>
              </w:rPr>
              <w:t>(4)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32,514</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19,401</w:t>
            </w: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39,828</w:t>
            </w: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60,706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94,377</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0485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14" w:lineRule="exact"/>
        <w:rPr>
          <w:sz w:val="20"/>
          <w:szCs w:val="20"/>
          <w:color w:val="auto"/>
        </w:rPr>
      </w:pPr>
    </w:p>
    <w:p>
      <w:pPr>
        <w:ind w:left="980" w:right="80" w:hanging="486"/>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January 1, 2018, we adopted ASC 606 “Revenue from Contracts with Customers” using the modified retrospective method. The adoption did not have any impact to the accumulated deficit as of January 1, 2018. As a result of the adoption, certain rebates to marketers are presented net of revenues, as opposed to being included in cost of revenues in prior periods.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ind w:left="980" w:right="20" w:hanging="486"/>
        <w:spacing w:after="0" w:line="279"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We adopted the new leasing guidance (ASU 2016-02) started from January 1, 2019, which requires that a lessee recognize the assets and liabilities that arise from operating leases. We recognized a right-of-use asset and a liability relating to lease payments (the Lease Liability) in the consolidated balance sheets for lease contracts having terms beyond 12 months period. The consolidated financial information related to periods prior to January 1, 2019 was not restated, and continues to be reported under ASC Topic 840—Leases.</w:t>
      </w:r>
    </w:p>
    <w:p>
      <w:pPr>
        <w:spacing w:after="0" w:line="63" w:lineRule="exact"/>
        <w:rPr>
          <w:rFonts w:ascii="Arial" w:cs="Arial" w:eastAsia="Arial" w:hAnsi="Arial"/>
          <w:sz w:val="17"/>
          <w:szCs w:val="17"/>
          <w:color w:val="auto"/>
        </w:rPr>
      </w:pPr>
    </w:p>
    <w:p>
      <w:pPr>
        <w:ind w:left="980" w:right="520" w:hanging="486"/>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balance as of December 31, 2016 reflects the impact of the retrospective adjustment for the reclassification of current deferred tax liabilities to non-current liabilities following the adoption of ASU No. 2015-17 on January 1, 2017.</w:t>
      </w:r>
    </w:p>
    <w:p>
      <w:pPr>
        <w:spacing w:after="0" w:line="62" w:lineRule="exact"/>
        <w:rPr>
          <w:rFonts w:ascii="Arial" w:cs="Arial" w:eastAsia="Arial" w:hAnsi="Arial"/>
          <w:sz w:val="18"/>
          <w:szCs w:val="18"/>
          <w:color w:val="auto"/>
        </w:rPr>
      </w:pPr>
    </w:p>
    <w:p>
      <w:pPr>
        <w:ind w:left="980" w:right="100" w:hanging="486"/>
        <w:spacing w:after="0" w:line="263"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amounts for the years ended December 31, 2016 and 2017 reflect the impact of the retrospective adjustment for the presentation of restricted cash with cash and cash equivalents when reconciling the beginning-of-period and end-of-period total amounts in the consolidated statements of cash flows following the adoption of ASU No. 2016-18 on January 1, 2018.</w:t>
      </w:r>
    </w:p>
    <w:p>
      <w:pPr>
        <w:spacing w:after="0" w:line="75" w:lineRule="exact"/>
        <w:rPr>
          <w:rFonts w:ascii="Arial" w:cs="Arial" w:eastAsia="Arial" w:hAnsi="Arial"/>
          <w:sz w:val="18"/>
          <w:szCs w:val="18"/>
          <w:color w:val="auto"/>
        </w:rPr>
      </w:pPr>
    </w:p>
    <w:p>
      <w:pPr>
        <w:ind w:left="980" w:right="100" w:hanging="486"/>
        <w:spacing w:after="0" w:line="273"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We adopted ASC 326 using the modified retrospective method started from January 1, 2020, which changes the impairment model for financial assets measured at amortized costs by using a new forward-looking “expected loss” model that replaced the “incurred loss” model and resulted in the earlier recognition of allowances for losses. The adoption of ASC 326 resulted in recognition of allowance for doubtful accounts receivable of US$4.0 million and a corresponding increase in accumulated losses of US$4.0 million on January 1, 2020, for the cumulative effect of adopting ASC 326. The consolidated financial information related to periods prior to January 1, 2020 were not restated, and continue to be reported in accordance with previously applicable GAAP.</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3" w:lineRule="exact"/>
        <w:rPr>
          <w:rFonts w:ascii="Arial" w:cs="Arial" w:eastAsia="Arial" w:hAnsi="Arial"/>
          <w:sz w:val="17"/>
          <w:szCs w:val="17"/>
          <w:color w:val="auto"/>
        </w:rPr>
      </w:pPr>
    </w:p>
    <w:p>
      <w:pPr>
        <w:ind w:left="500" w:right="8380" w:hanging="492"/>
        <w:spacing w:after="0" w:line="440" w:lineRule="auto"/>
        <w:tabs>
          <w:tab w:leader="none" w:pos="491"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 xml:space="preserve">Capitalization and Indebtedness </w:t>
      </w:r>
      <w:r>
        <w:rPr>
          <w:rFonts w:ascii="Arial" w:cs="Arial" w:eastAsia="Arial" w:hAnsi="Arial"/>
          <w:sz w:val="17"/>
          <w:szCs w:val="17"/>
          <w:color w:val="auto"/>
        </w:rPr>
        <w:t>Not Applicable.</w:t>
      </w:r>
    </w:p>
    <w:p>
      <w:pPr>
        <w:spacing w:after="0" w:line="147" w:lineRule="exact"/>
        <w:rPr>
          <w:rFonts w:ascii="Arial" w:cs="Arial" w:eastAsia="Arial" w:hAnsi="Arial"/>
          <w:sz w:val="17"/>
          <w:szCs w:val="17"/>
          <w:color w:val="auto"/>
        </w:rPr>
      </w:pPr>
    </w:p>
    <w:p>
      <w:pPr>
        <w:ind w:left="500" w:right="7660" w:hanging="492"/>
        <w:spacing w:after="0" w:line="402" w:lineRule="auto"/>
        <w:tabs>
          <w:tab w:leader="none" w:pos="49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 xml:space="preserve">Reasons for the Offer and Use of Proceeds </w:t>
      </w:r>
      <w:r>
        <w:rPr>
          <w:rFonts w:ascii="Arial" w:cs="Arial" w:eastAsia="Arial" w:hAnsi="Arial"/>
          <w:sz w:val="18"/>
          <w:szCs w:val="18"/>
          <w:color w:val="auto"/>
        </w:rPr>
        <w:t>Not Applicable.</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Risk Factors</w:t>
      </w:r>
    </w:p>
    <w:p>
      <w:pPr>
        <w:spacing w:after="0" w:line="117" w:lineRule="exact"/>
        <w:rPr>
          <w:sz w:val="20"/>
          <w:szCs w:val="20"/>
          <w:color w:val="auto"/>
        </w:rPr>
      </w:pPr>
    </w:p>
    <w:p>
      <w:pPr>
        <w:ind w:left="140" w:firstLine="579"/>
        <w:spacing w:after="0" w:line="259" w:lineRule="auto"/>
        <w:rPr>
          <w:sz w:val="20"/>
          <w:szCs w:val="20"/>
          <w:color w:val="auto"/>
        </w:rPr>
      </w:pPr>
      <w:r>
        <w:rPr>
          <w:rFonts w:ascii="Arial" w:cs="Arial" w:eastAsia="Arial" w:hAnsi="Arial"/>
          <w:sz w:val="18"/>
          <w:szCs w:val="18"/>
          <w:color w:val="auto"/>
        </w:rPr>
        <w:t>Our business, financial condition and results of operations are subject to various changing business, competitive, economic, political and social conditions. In addition to the factors discussed elsewhere in this annual report, the following are some of the important factors that could adversely affect our operating results, financial condition and business prospects, and cause our actual results to differ materially from those projected in any forward-looking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351" w:lineRule="exact"/>
        <w:rPr>
          <w:sz w:val="20"/>
          <w:szCs w:val="20"/>
          <w:color w:val="auto"/>
        </w:rPr>
      </w:pPr>
    </w:p>
    <w:p>
      <w:pPr>
        <w:ind w:left="720" w:hanging="361"/>
        <w:spacing w:after="0"/>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have experienced fluctuations in growth in recent periods, and our historical growth rates may not be indicative of our future growth.</w:t>
      </w:r>
    </w:p>
    <w:p>
      <w:pPr>
        <w:spacing w:after="0" w:line="250" w:lineRule="exact"/>
        <w:rPr>
          <w:rFonts w:ascii="Arial" w:cs="Arial" w:eastAsia="Arial" w:hAnsi="Arial"/>
          <w:sz w:val="17"/>
          <w:szCs w:val="17"/>
          <w:color w:val="auto"/>
        </w:rPr>
      </w:pPr>
    </w:p>
    <w:p>
      <w:pPr>
        <w:ind w:left="720" w:right="80" w:hanging="361"/>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intense competition for our marketing solutions and enterprise solutions, and if we fail to maintain and enhance our mobile capabilities, our results of operations could be materially and adversely affected.</w:t>
      </w:r>
    </w:p>
    <w:p>
      <w:pPr>
        <w:spacing w:after="0" w:line="183" w:lineRule="exact"/>
        <w:rPr>
          <w:rFonts w:ascii="Arial" w:cs="Arial" w:eastAsia="Arial" w:hAnsi="Arial"/>
          <w:sz w:val="18"/>
          <w:szCs w:val="18"/>
          <w:color w:val="auto"/>
        </w:rPr>
      </w:pPr>
    </w:p>
    <w:p>
      <w:pPr>
        <w:ind w:left="720" w:hanging="361"/>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incurred net losses in the past and may not achieve or sustain profitability in the future.</w:t>
      </w:r>
    </w:p>
    <w:p>
      <w:pPr>
        <w:spacing w:after="0" w:line="238" w:lineRule="exact"/>
        <w:rPr>
          <w:rFonts w:ascii="Arial" w:cs="Arial" w:eastAsia="Arial" w:hAnsi="Arial"/>
          <w:sz w:val="18"/>
          <w:szCs w:val="18"/>
          <w:color w:val="auto"/>
        </w:rPr>
      </w:pPr>
    </w:p>
    <w:p>
      <w:pPr>
        <w:ind w:left="720" w:right="560" w:hanging="361"/>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newly launched businesses, including our enterprise solutions, may not be successful, and we may not successfully integrate our new solutions with existing solutions.</w:t>
      </w:r>
    </w:p>
    <w:p>
      <w:pPr>
        <w:spacing w:after="0" w:line="183" w:lineRule="exact"/>
        <w:rPr>
          <w:rFonts w:ascii="Arial" w:cs="Arial" w:eastAsia="Arial" w:hAnsi="Arial"/>
          <w:sz w:val="18"/>
          <w:szCs w:val="18"/>
          <w:color w:val="auto"/>
        </w:rPr>
      </w:pPr>
    </w:p>
    <w:p>
      <w:pPr>
        <w:ind w:left="720" w:right="140" w:hanging="361"/>
        <w:spacing w:after="0" w:line="26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sales cycle may become more time-consuming and expensive under enterprise solutions, we may encounter pricing pressure and implementation and configuration challenges, and we may have to delay revenue recognition for some complex transactions, all of which could harm our business and operating results.</w:t>
      </w:r>
    </w:p>
    <w:p>
      <w:pPr>
        <w:spacing w:after="0" w:line="197" w:lineRule="exact"/>
        <w:rPr>
          <w:rFonts w:ascii="Arial" w:cs="Arial" w:eastAsia="Arial" w:hAnsi="Arial"/>
          <w:sz w:val="18"/>
          <w:szCs w:val="18"/>
          <w:color w:val="auto"/>
        </w:rPr>
      </w:pPr>
    </w:p>
    <w:p>
      <w:pPr>
        <w:ind w:left="720" w:right="20" w:hanging="361"/>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net revenues, net revenues as a percentage of gross billing, gross profit margin and the comparability of our financial results may be affected by our revenue models.</w:t>
      </w:r>
    </w:p>
    <w:p>
      <w:pPr>
        <w:spacing w:after="0" w:line="183" w:lineRule="exact"/>
        <w:rPr>
          <w:rFonts w:ascii="Arial" w:cs="Arial" w:eastAsia="Arial" w:hAnsi="Arial"/>
          <w:sz w:val="18"/>
          <w:szCs w:val="18"/>
          <w:color w:val="auto"/>
        </w:rPr>
      </w:pPr>
    </w:p>
    <w:p>
      <w:pPr>
        <w:ind w:left="720" w:hanging="361"/>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retain existing clients or attract new ones could adversely impact our business and results of operations.</w:t>
      </w:r>
    </w:p>
    <w:p>
      <w:pPr>
        <w:spacing w:after="0" w:line="238" w:lineRule="exact"/>
        <w:rPr>
          <w:rFonts w:ascii="Arial" w:cs="Arial" w:eastAsia="Arial" w:hAnsi="Arial"/>
          <w:sz w:val="18"/>
          <w:szCs w:val="18"/>
          <w:color w:val="auto"/>
        </w:rPr>
      </w:pPr>
    </w:p>
    <w:p>
      <w:pPr>
        <w:ind w:left="720" w:hanging="361"/>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any marketing agency client may materially and adversely affect our business and results of operations.</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63" w:right="399" w:bottom="1440" w:gutter="0" w:footer="0" w:header="0"/>
        </w:sectPr>
      </w:pPr>
    </w:p>
    <w:bookmarkStart w:id="8" w:name="page9"/>
    <w:bookmarkEnd w:id="8"/>
    <w:p>
      <w:pPr>
        <w:ind w:left="720" w:right="280" w:hanging="361"/>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any content distribution channel and changes in the contract terms with any content distribution channel may materially and adversely affect our business and results of operations.</w:t>
      </w:r>
    </w:p>
    <w:p>
      <w:pPr>
        <w:spacing w:after="0" w:line="183" w:lineRule="exact"/>
        <w:rPr>
          <w:rFonts w:ascii="Arial" w:cs="Arial" w:eastAsia="Arial" w:hAnsi="Arial"/>
          <w:sz w:val="18"/>
          <w:szCs w:val="18"/>
          <w:color w:val="auto"/>
        </w:rPr>
      </w:pPr>
    </w:p>
    <w:p>
      <w:pPr>
        <w:ind w:left="720" w:right="40" w:hanging="361"/>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face risks related to natural disasters, health epidemics and other outbreaks, which could significantly disrupt our operations. In particular, we could be materially and adversely affected by the outbreak of COVID-19.</w:t>
      </w:r>
    </w:p>
    <w:p>
      <w:pPr>
        <w:spacing w:after="0" w:line="183" w:lineRule="exact"/>
        <w:rPr>
          <w:rFonts w:ascii="Arial" w:cs="Arial" w:eastAsia="Arial" w:hAnsi="Arial"/>
          <w:sz w:val="18"/>
          <w:szCs w:val="18"/>
          <w:color w:val="auto"/>
        </w:rPr>
      </w:pPr>
    </w:p>
    <w:p>
      <w:pPr>
        <w:jc w:val="both"/>
        <w:ind w:left="720" w:right="120" w:hanging="361"/>
        <w:spacing w:after="0" w:line="286"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independent online marketing technology market is highly fragmented and intensely competitive. Independent online marketing technology platforms also face competitive pressure from well-established internet companies, marketing agencies and traditional media. In addition, as we continue to expand into the enterprise solution market, we also face increasingly intensified competition.</w:t>
      </w:r>
    </w:p>
    <w:p>
      <w:pPr>
        <w:spacing w:after="0" w:line="178" w:lineRule="exact"/>
        <w:rPr>
          <w:rFonts w:ascii="Arial" w:cs="Arial" w:eastAsia="Arial" w:hAnsi="Arial"/>
          <w:sz w:val="17"/>
          <w:szCs w:val="17"/>
          <w:color w:val="auto"/>
        </w:rPr>
      </w:pPr>
    </w:p>
    <w:p>
      <w:pPr>
        <w:ind w:left="720" w:hanging="361"/>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Uncertainties in the interpretation and enforcement of PRC laws and regulations could limit the legal protections available to us.</w:t>
      </w:r>
    </w:p>
    <w:p>
      <w:pPr>
        <w:spacing w:after="0" w:line="238" w:lineRule="exact"/>
        <w:rPr>
          <w:rFonts w:ascii="Arial" w:cs="Arial" w:eastAsia="Arial" w:hAnsi="Arial"/>
          <w:sz w:val="18"/>
          <w:szCs w:val="18"/>
          <w:color w:val="auto"/>
        </w:rPr>
      </w:pPr>
    </w:p>
    <w:p>
      <w:pPr>
        <w:ind w:left="720" w:right="260" w:hanging="361"/>
        <w:spacing w:after="0" w:line="263"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many of the economic and political risks associated with emerging markets due to our operations in China and Hong Kong. Adverse changes in China or Hong Kong’s economic, political and social conditions as well as government policies could adversely affect our business and prospects.</w:t>
      </w:r>
    </w:p>
    <w:p>
      <w:pPr>
        <w:spacing w:after="0" w:line="197" w:lineRule="exact"/>
        <w:rPr>
          <w:rFonts w:ascii="Arial" w:cs="Arial" w:eastAsia="Arial" w:hAnsi="Arial"/>
          <w:sz w:val="18"/>
          <w:szCs w:val="18"/>
          <w:color w:val="auto"/>
        </w:rPr>
      </w:pPr>
    </w:p>
    <w:p>
      <w:pPr>
        <w:ind w:left="720" w:right="80" w:hanging="361"/>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 U.S.-China relations, including any escalation of political or trade tensions, could negatively affect our business and the market for our ADSs.</w:t>
      </w:r>
    </w:p>
    <w:p>
      <w:pPr>
        <w:spacing w:after="0" w:line="183" w:lineRule="exact"/>
        <w:rPr>
          <w:rFonts w:ascii="Arial" w:cs="Arial" w:eastAsia="Arial" w:hAnsi="Arial"/>
          <w:sz w:val="18"/>
          <w:szCs w:val="18"/>
          <w:color w:val="auto"/>
        </w:rPr>
      </w:pPr>
    </w:p>
    <w:p>
      <w:pPr>
        <w:ind w:left="720" w:right="240" w:hanging="361"/>
        <w:spacing w:after="0" w:line="263"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Recent litigation and negative publicity surrounding China-based companies listed in the U.S. may result in increased regulatory scrutiny of us and negatively impact the trading price of the ADSs and could have an adverse effect upon our business, including our results of operations, financial condition, cash flows and prospects.</w:t>
      </w:r>
    </w:p>
    <w:p>
      <w:pPr>
        <w:spacing w:after="0" w:line="197" w:lineRule="exact"/>
        <w:rPr>
          <w:rFonts w:ascii="Arial" w:cs="Arial" w:eastAsia="Arial" w:hAnsi="Arial"/>
          <w:sz w:val="18"/>
          <w:szCs w:val="18"/>
          <w:color w:val="auto"/>
        </w:rPr>
      </w:pPr>
    </w:p>
    <w:p>
      <w:pPr>
        <w:ind w:left="720" w:right="40" w:hanging="361"/>
        <w:spacing w:after="0" w:line="259"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ADSs may be delisted under the Holding Foreign Companies Accountable Act if the PCAOB is unable to inspect the audit work of our independent registered public accounting firm with respect to our operations in mainland China. The delisting of our ADSs, or the threat of their being delisted, may materially and adversely affect the value of your investment. Additionally, the inability of the PCAOB to conduct inspections deprives our investors with the benefits of such inspections.</w:t>
      </w:r>
    </w:p>
    <w:p>
      <w:pPr>
        <w:spacing w:after="0" w:line="200" w:lineRule="exact"/>
        <w:rPr>
          <w:rFonts w:ascii="Arial" w:cs="Arial" w:eastAsia="Arial" w:hAnsi="Arial"/>
          <w:sz w:val="18"/>
          <w:szCs w:val="18"/>
          <w:color w:val="auto"/>
        </w:rPr>
      </w:pPr>
    </w:p>
    <w:p>
      <w:pPr>
        <w:ind w:left="720" w:right="140" w:hanging="361"/>
        <w:spacing w:after="0" w:line="308"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experienced fluctuations in growth in recent periods, and our historical growth rates may not be indicative of our future growth.</w:t>
      </w:r>
    </w:p>
    <w:p>
      <w:pPr>
        <w:spacing w:after="0" w:line="129" w:lineRule="exact"/>
        <w:rPr>
          <w:sz w:val="20"/>
          <w:szCs w:val="20"/>
          <w:color w:val="auto"/>
        </w:rPr>
      </w:pPr>
    </w:p>
    <w:p>
      <w:pPr>
        <w:ind w:firstLine="495"/>
        <w:spacing w:after="0" w:line="255" w:lineRule="auto"/>
        <w:rPr>
          <w:sz w:val="20"/>
          <w:szCs w:val="20"/>
          <w:color w:val="auto"/>
        </w:rPr>
      </w:pPr>
      <w:r>
        <w:rPr>
          <w:rFonts w:ascii="Arial" w:cs="Arial" w:eastAsia="Arial" w:hAnsi="Arial"/>
          <w:sz w:val="18"/>
          <w:szCs w:val="18"/>
          <w:color w:val="auto"/>
        </w:rPr>
        <w:t>We have experienced fluctuations in growth in recent periods. We may not be able to sustain our historical growth rates, or at all. You should not consider our historical growth in gross billing and net revenues as indicative of our future performance. Our growth was mainly driven by our strategic focus shift to capture more market demand in mobile channels, as well as our relatively new enterprise solutions. In future periods, our gross billing and net revenues could decline or grow more slowly than we expect and the client base optimization may not achieve the benefits as we expected. We believe our business, prospects and results of operations depend on a number of factors, some of which are described in more details in this section, including our ability to:</w:t>
      </w:r>
    </w:p>
    <w:p>
      <w:pPr>
        <w:spacing w:after="0" w:line="84"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execute our mobile strategy in the increasingly competitive mobile online marketing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integrate our core marketing solutions with enterprise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 existing clients while continuing to optimize our client base;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new clients and further diversify our client base;</w:t>
      </w:r>
    </w:p>
    <w:p>
      <w:pPr>
        <w:spacing w:after="0" w:line="117" w:lineRule="exact"/>
        <w:rPr>
          <w:rFonts w:ascii="Arial" w:cs="Arial" w:eastAsia="Arial" w:hAnsi="Arial"/>
          <w:sz w:val="18"/>
          <w:szCs w:val="18"/>
          <w:color w:val="auto"/>
        </w:rPr>
      </w:pPr>
    </w:p>
    <w:p>
      <w:pPr>
        <w:ind w:left="980" w:right="220" w:hanging="486"/>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38" w:lineRule="exact"/>
        <w:rPr>
          <w:rFonts w:ascii="Arial" w:cs="Arial" w:eastAsia="Arial" w:hAnsi="Arial"/>
          <w:sz w:val="17"/>
          <w:szCs w:val="17"/>
          <w:color w:val="auto"/>
        </w:rPr>
      </w:pPr>
    </w:p>
    <w:p>
      <w:pPr>
        <w:ind w:left="980" w:right="62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62" w:lineRule="exact"/>
        <w:rPr>
          <w:rFonts w:ascii="Arial" w:cs="Arial" w:eastAsia="Arial" w:hAnsi="Arial"/>
          <w:sz w:val="18"/>
          <w:szCs w:val="18"/>
          <w:color w:val="auto"/>
        </w:rPr>
      </w:pPr>
    </w:p>
    <w:p>
      <w:pPr>
        <w:ind w:left="980" w:right="52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leverage our data assets and experience and expertise in online marketing to extend our solutions beyond online marketing and achieve market acceptance;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4" w:right="359" w:bottom="1440" w:gutter="0" w:footer="0" w:header="0"/>
        </w:sectPr>
      </w:pPr>
    </w:p>
    <w:bookmarkStart w:id="9" w:name="page10"/>
    <w:bookmarkEnd w:id="9"/>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our business continues to grow;</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acquire or invest in businesses, products and technologies and to integrate and realize synergies from acquisitions and strategic investments;</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cannot assure you that we will be able to successfully accomplish any of these objectives.</w:t>
      </w:r>
    </w:p>
    <w:p>
      <w:pPr>
        <w:spacing w:after="0" w:line="3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intense competition for our marketing solutions and enterprise solutions, and if we fail to maintain and enhance our mobile capabilities, our results of operations could be materially and adversely affected.</w:t>
      </w:r>
    </w:p>
    <w:p>
      <w:pPr>
        <w:spacing w:after="0" w:line="62" w:lineRule="exact"/>
        <w:rPr>
          <w:sz w:val="20"/>
          <w:szCs w:val="20"/>
          <w:color w:val="auto"/>
        </w:rPr>
      </w:pPr>
    </w:p>
    <w:p>
      <w:pPr>
        <w:ind w:firstLine="495"/>
        <w:spacing w:after="0" w:line="255" w:lineRule="auto"/>
        <w:rPr>
          <w:sz w:val="20"/>
          <w:szCs w:val="20"/>
          <w:color w:val="auto"/>
        </w:rPr>
      </w:pPr>
      <w:r>
        <w:rPr>
          <w:rFonts w:ascii="Arial" w:cs="Arial" w:eastAsia="Arial" w:hAnsi="Arial"/>
          <w:sz w:val="18"/>
          <w:szCs w:val="18"/>
          <w:color w:val="auto"/>
        </w:rPr>
        <w:t>Our recent growth was primarily driven by our expansion since 2014 into mobile channels to identify, engage and convert mobile marketing, as well as our expansion into enterprise solutions since 2018. We have experienced and expect to continue to face intense competition in respect of our mobile marketing solutions and enterprise solutions. To deliver, maintain and enhance our mobile capabilities, it is important that we further integrate with a wider range of mobile technologies, systems, networks and standards that we do not control. We may not be successful in developing solutions that operate effectively with these technologies, systems, networks or standards. Any of these could have a material adverse effect on our business, prospects and results of operations.</w:t>
      </w:r>
    </w:p>
    <w:p>
      <w:pPr>
        <w:spacing w:after="0" w:line="192" w:lineRule="exact"/>
        <w:rPr>
          <w:sz w:val="20"/>
          <w:szCs w:val="20"/>
          <w:color w:val="auto"/>
        </w:rPr>
      </w:pPr>
    </w:p>
    <w:p>
      <w:pPr>
        <w:ind w:right="120" w:firstLine="495"/>
        <w:spacing w:after="0" w:line="257" w:lineRule="auto"/>
        <w:rPr>
          <w:sz w:val="20"/>
          <w:szCs w:val="20"/>
          <w:color w:val="auto"/>
        </w:rPr>
      </w:pPr>
      <w:r>
        <w:rPr>
          <w:rFonts w:ascii="Arial" w:cs="Arial" w:eastAsia="Arial" w:hAnsi="Arial"/>
          <w:sz w:val="18"/>
          <w:szCs w:val="18"/>
          <w:color w:val="auto"/>
        </w:rPr>
        <w:t>In light of the rising demand for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mobile marketing solutions. In addition, the gross margin for our mobile marketing solutions may fluctuate in future. As we continue to prioritize the execution of our mobile strategy and face increasing competition and pricing pressure for our mobile marketing solutions, our profit margin could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in the past and may not achieve or sustain profitability in the future.</w:t>
      </w:r>
    </w:p>
    <w:p>
      <w:pPr>
        <w:spacing w:after="0" w:line="117" w:lineRule="exact"/>
        <w:rPr>
          <w:sz w:val="20"/>
          <w:szCs w:val="20"/>
          <w:color w:val="auto"/>
        </w:rPr>
      </w:pPr>
    </w:p>
    <w:p>
      <w:pPr>
        <w:ind w:right="60" w:firstLine="495"/>
        <w:spacing w:after="0" w:line="254" w:lineRule="auto"/>
        <w:rPr>
          <w:sz w:val="20"/>
          <w:szCs w:val="20"/>
          <w:color w:val="auto"/>
        </w:rPr>
      </w:pPr>
      <w:r>
        <w:rPr>
          <w:rFonts w:ascii="Arial" w:cs="Arial" w:eastAsia="Arial" w:hAnsi="Arial"/>
          <w:sz w:val="18"/>
          <w:szCs w:val="18"/>
          <w:color w:val="auto"/>
        </w:rPr>
        <w:t>We incurred net losses of US$32.6 million in 2018, US$10.8 million in 2019 and US$14.9 million in 2020. As of December 31, 2020, we had an accumulated deficit of US$207.6 million. We will need to generate increased revenue levels in future periods to become profitable, and, even if we do, we may not be able to improve our profitability as we intend to continue to expend significant funds to grow our marketing and sales operations, develop and enhance our data analytic capabilities, scale our data center infrastructure and services capabilities and expand into new market segments. Our efforts to grow our business may be more costly than we expect, and we may not be able to increase our revenue enough to offset our operating expenses. We may incur significant losses in the future for a number of reasons, including the other risks described in this annual report, and unforeseen expenses, difficulties, complications and delays and other unknown events. If we are unable to achieve or sustain profitability, the market price of our ADSs may significantly decrease.</w:t>
      </w:r>
    </w:p>
    <w:p>
      <w:pPr>
        <w:spacing w:after="0" w:line="3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newly launched businesses, including our enterprise solutions, may not be successful, and we may not successfully integrate our new solutions with existing solutions.</w:t>
      </w:r>
    </w:p>
    <w:p>
      <w:pPr>
        <w:spacing w:after="0" w:line="62" w:lineRule="exact"/>
        <w:rPr>
          <w:sz w:val="20"/>
          <w:szCs w:val="20"/>
          <w:color w:val="auto"/>
        </w:rPr>
      </w:pPr>
    </w:p>
    <w:p>
      <w:pPr>
        <w:ind w:right="60" w:firstLine="495"/>
        <w:spacing w:after="0" w:line="288" w:lineRule="auto"/>
        <w:rPr>
          <w:sz w:val="20"/>
          <w:szCs w:val="20"/>
          <w:color w:val="auto"/>
        </w:rPr>
      </w:pPr>
      <w:r>
        <w:rPr>
          <w:rFonts w:ascii="Arial" w:cs="Arial" w:eastAsia="Arial" w:hAnsi="Arial"/>
          <w:sz w:val="16"/>
          <w:szCs w:val="16"/>
          <w:color w:val="auto"/>
        </w:rPr>
        <w:t>We have been leveraging our data assets and experience and expertise to extend our solutions beyond our core online marketing business. For example, in May 2018, we started to offer enterprise solutions and in January 2019, we made a controlling investment in Changyi (Shanghai) Information Technology Co., Ltd., or Changyi, which further enhances our enterprise solution capabilities. We may not be successful in our newly launched businesses, including enterprise solutions. For example, our data assets and experience and expertise in online marketing may not prove successful for enterprise solutions, and there can be no assurance that we will successfully integrate, utilize and leverage Changyi’s enterprise solution capabilities. In addition, in May 2020, we made a controlling investment in Optimal Power Limited, a subsidiary wholly owned by Creative Big Limited. As part of the transaction, Creative Big Limited injected certain premium media licensing assets into Optimal Power Limited covering a number of jurisdictions in the Asia-Pacific. While we believe this investment will broaden our content distribution channels and enrich offerings of our marketing solutions, we cannot assure you that this strategy will be successful or that our marketing solutions’ financial performance would be improved. If we are unable to successfully, fully integrate any business, product or technology we acquire, our business, financial condition and results of operations may suffer.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0" w:name="page11"/>
    <w:bookmarkEnd w:id="10"/>
    <w:p>
      <w:pPr>
        <w:ind w:firstLine="495"/>
        <w:spacing w:after="0" w:line="291" w:lineRule="auto"/>
        <w:rPr>
          <w:sz w:val="20"/>
          <w:szCs w:val="20"/>
          <w:color w:val="auto"/>
        </w:rPr>
      </w:pPr>
      <w:r>
        <w:rPr>
          <w:rFonts w:ascii="Arial" w:cs="Arial" w:eastAsia="Arial" w:hAnsi="Arial"/>
          <w:sz w:val="16"/>
          <w:szCs w:val="16"/>
          <w:color w:val="auto"/>
        </w:rPr>
        <w:t>Our enterprise solutions are currently primarily established on our cooperation with Tencent Holdings Limited, or Tencent. For example, we help our clients put in place data-management platforms which are currently built primarily on Tencent Cloud and Enterprise WeChat Work. As a result, we rely on the functionality and stability of Tencent’s cloud and WeChat’s infrastructure in providing our enterprise solutions. In addition, we rely on Tencent’s proprietary API connections to gather and analyze customer data and create consumer profiles. Any disruption or termination of this cooperative relationship, including due to regulatory reasons or changes, could deteriorate our ability to operate our newly launched enterprise solutions, which could negatively affect our business, financial condition and results of operations. See “—Developments in U.S.-China relations, including the imposition of economic sanctions, could negatively affect our business and adversely affect our shareholders and the market for our ADSs.” for more information.</w:t>
      </w:r>
    </w:p>
    <w:p>
      <w:pPr>
        <w:spacing w:after="0" w:line="166" w:lineRule="exact"/>
        <w:rPr>
          <w:sz w:val="20"/>
          <w:szCs w:val="20"/>
          <w:color w:val="auto"/>
        </w:rPr>
      </w:pPr>
    </w:p>
    <w:p>
      <w:pPr>
        <w:ind w:right="160" w:firstLine="495"/>
        <w:spacing w:after="0" w:line="275" w:lineRule="auto"/>
        <w:rPr>
          <w:sz w:val="20"/>
          <w:szCs w:val="20"/>
          <w:color w:val="auto"/>
        </w:rPr>
      </w:pPr>
      <w:r>
        <w:rPr>
          <w:rFonts w:ascii="Arial" w:cs="Arial" w:eastAsia="Arial" w:hAnsi="Arial"/>
          <w:sz w:val="17"/>
          <w:szCs w:val="17"/>
          <w:color w:val="auto"/>
        </w:rPr>
        <w:t>In addition, we may face increased competition as we expand into the market of enterprise solutions. We may face competitions from local companies that are working on enterprise solutions, new cloud computing and artificial intelligence. We may also face potential competition from international SaaS companies, which have longer operating histories, greater financial, technical, marketing, distribution, professional services or other resources and greater name recognition. If we fail to upgrade our technologies and differentiate our enterprise solutions to effectively identify and address clients’ needs, our business, results of operations and prospects could be materially and adversely affected.</w:t>
      </w:r>
    </w:p>
    <w:p>
      <w:pPr>
        <w:spacing w:after="0" w:line="176" w:lineRule="exact"/>
        <w:rPr>
          <w:sz w:val="20"/>
          <w:szCs w:val="20"/>
          <w:color w:val="auto"/>
        </w:rPr>
      </w:pPr>
    </w:p>
    <w:p>
      <w:pPr>
        <w:ind w:right="180" w:firstLine="495"/>
        <w:spacing w:after="0" w:line="296" w:lineRule="auto"/>
        <w:rPr>
          <w:sz w:val="20"/>
          <w:szCs w:val="20"/>
          <w:color w:val="auto"/>
        </w:rPr>
      </w:pPr>
      <w:r>
        <w:rPr>
          <w:rFonts w:ascii="Arial" w:cs="Arial" w:eastAsia="Arial" w:hAnsi="Arial"/>
          <w:sz w:val="16"/>
          <w:szCs w:val="16"/>
          <w:color w:val="auto"/>
        </w:rPr>
        <w:t>We have been making efforts to promote our enterprise solutions to clients in various industries, including through cross-selling or upselling to existing clients and referral from existing clients. We cannot assure you that these promotion and marketing efforts will be successful. As a result, the success of our enterprise solutions depends on the continued growth of these sectors. In addition, to the extent businesses do not find our enterprise solutions an effective or efficient way of customer management and to the extent there are any potential new developments in their sectors, our enterprise solutions may be less attractive to clients, and our results of operations and business growth prospects may be adversely affected.</w:t>
      </w:r>
    </w:p>
    <w:p>
      <w:pPr>
        <w:spacing w:after="0" w:line="161" w:lineRule="exact"/>
        <w:rPr>
          <w:sz w:val="20"/>
          <w:szCs w:val="20"/>
          <w:color w:val="auto"/>
        </w:rPr>
      </w:pPr>
    </w:p>
    <w:p>
      <w:pPr>
        <w:ind w:right="40" w:firstLine="495"/>
        <w:spacing w:after="0" w:line="279" w:lineRule="auto"/>
        <w:rPr>
          <w:sz w:val="20"/>
          <w:szCs w:val="20"/>
          <w:color w:val="auto"/>
        </w:rPr>
      </w:pPr>
      <w:r>
        <w:rPr>
          <w:rFonts w:ascii="Arial" w:cs="Arial" w:eastAsia="Arial" w:hAnsi="Arial"/>
          <w:sz w:val="17"/>
          <w:szCs w:val="17"/>
          <w:color w:val="auto"/>
        </w:rPr>
        <w:t>We may also face unexpected new risks as we continue to launch new businesses. As a result, we cannot assure you that we will be successful in our new businesses. If we cannot successfully address new challenges and compete effectively, we may not be able to develop a sufficient client base, recover costs incurred for developing and marketing our new businesses, and eventually achieve profitability from our new businesses, and, consequently, our future results of operations and growth prospects may be materially and adversely affected.</w:t>
      </w:r>
    </w:p>
    <w:p>
      <w:pPr>
        <w:spacing w:after="0" w:line="2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sales cycle may become more time-consuming and expensive under enterprise solutions, we may encounter pricing pressure and implementation and configuration challenges, and we may have to delay revenue recognition for some complex transactions, all of which could harm our business and operating results.</w:t>
      </w:r>
    </w:p>
    <w:p>
      <w:pPr>
        <w:spacing w:after="0" w:line="76" w:lineRule="exact"/>
        <w:rPr>
          <w:sz w:val="20"/>
          <w:szCs w:val="20"/>
          <w:color w:val="auto"/>
        </w:rPr>
      </w:pPr>
    </w:p>
    <w:p>
      <w:pPr>
        <w:ind w:right="20" w:firstLine="495"/>
        <w:spacing w:after="0" w:line="272" w:lineRule="auto"/>
        <w:rPr>
          <w:sz w:val="20"/>
          <w:szCs w:val="20"/>
          <w:color w:val="auto"/>
        </w:rPr>
      </w:pPr>
      <w:r>
        <w:rPr>
          <w:rFonts w:ascii="Arial" w:cs="Arial" w:eastAsia="Arial" w:hAnsi="Arial"/>
          <w:sz w:val="17"/>
          <w:szCs w:val="17"/>
          <w:color w:val="auto"/>
        </w:rPr>
        <w:t>As the development cycle on enterprise solutions is subject to the complexity of the clients’ needs and requirements, industries, scale of operation, etc., we may face greater costs, longer sales cycles and less predictability in completing some of our sales. In this market segment, clients’ decision to use our services may be an enterprise-wide decision and, if so, these types of sales would require us to provide greater levels of education regarding the use and benefits of our services, as well as education regarding privacy and data protection laws and regulations to prospective clients with international operations. As a result of these factors, these sales opportunities may require us to devote greater development, sales support and professional services resources to individual clients, driving up costs and time required to complete the transactions, while potentially requiring us to delay revenue recognition on some of these transactions until the technical or implementation requirements have been met.</w:t>
      </w:r>
    </w:p>
    <w:p>
      <w:pPr>
        <w:spacing w:after="0" w:line="2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net revenues, net revenues as a percentage of gross billing, gross profit margin and the comparability of our financial results may be affected by our revenue models.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derive revenue primarily from four sources and report them on either the net or gross basis. For our marketing solutions, we derive revenue from</w:t>
      </w:r>
    </w:p>
    <w:p>
      <w:pPr>
        <w:spacing w:after="0" w:line="46" w:lineRule="exact"/>
        <w:rPr>
          <w:sz w:val="20"/>
          <w:szCs w:val="20"/>
          <w:color w:val="auto"/>
        </w:rPr>
      </w:pPr>
    </w:p>
    <w:p>
      <w:pPr>
        <w:ind w:right="120" w:firstLine="8"/>
        <w:spacing w:after="0" w:line="271" w:lineRule="auto"/>
        <w:tabs>
          <w:tab w:leader="none" w:pos="2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incentives earned from the website publishers, for which we act as a sales agent for their content distribution opportunities, or the sales agency arrangement, which is reported on a net basis, (ii) performing cost-plus marketing campaigns, which is reported on a net basis, (iii) performing specified actions marketing campaigns (i.e., a CPM, CPC, CPA, CPS, CPL or ROI basis), which is reported on a gross basis. For our enterprise solutions, we derive revenue from the offering of SaaS products, which is reported on a gross basis and a net basis. Please see “Item 5. Operating and Financial Review and Prospects—A. Operating Results—Key Components of Results of Operations—Net Revenues” for more details.</w:t>
      </w:r>
    </w:p>
    <w:p>
      <w:pPr>
        <w:spacing w:after="0" w:line="70" w:lineRule="exact"/>
        <w:rPr>
          <w:sz w:val="20"/>
          <w:szCs w:val="20"/>
          <w:color w:val="auto"/>
        </w:rPr>
      </w:pPr>
    </w:p>
    <w:p>
      <w:pPr>
        <w:ind w:right="20" w:firstLine="495"/>
        <w:spacing w:after="0" w:line="291" w:lineRule="auto"/>
        <w:rPr>
          <w:sz w:val="20"/>
          <w:szCs w:val="20"/>
          <w:color w:val="auto"/>
        </w:rPr>
      </w:pPr>
      <w:r>
        <w:rPr>
          <w:rFonts w:ascii="Arial" w:cs="Arial" w:eastAsia="Arial" w:hAnsi="Arial"/>
          <w:sz w:val="16"/>
          <w:szCs w:val="16"/>
          <w:color w:val="auto"/>
        </w:rPr>
        <w:t>The gross profit margins for our sales agency arrangement and cost-plus marketing campaigns are higher than that for our specified action marketing campaigns as cost of revenues for our sales agency arrangement and cost-plus marketing campaigns does not include media cost. Consequently, an increase in the percentage of gross billing recognized as net revenues from performing specified actions marketing campaigns will have a positive impact on our net revenues and a negative impact on our gross profit margin. On the other hand, an increase in the percentage of gross billing recognized as net revenues from our sales agency arrangement and from performing cost- plus marketing campaigns will have a negative impact on our net revenues and a positive impact on gross profit margin. As the relative percentage of gross billing from incentives earned from the website publisher under our sales agency arrangement and from performing cost-plus marketing campaigns, on the one hand, and from performing specified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 w:name="page12"/>
    <w:bookmarkEnd w:id="11"/>
    <w:p>
      <w:pPr>
        <w:ind w:right="180"/>
        <w:spacing w:after="0" w:line="277" w:lineRule="auto"/>
        <w:rPr>
          <w:sz w:val="20"/>
          <w:szCs w:val="20"/>
          <w:color w:val="auto"/>
        </w:rPr>
      </w:pPr>
      <w:r>
        <w:rPr>
          <w:rFonts w:ascii="Arial" w:cs="Arial" w:eastAsia="Arial" w:hAnsi="Arial"/>
          <w:sz w:val="18"/>
          <w:szCs w:val="18"/>
          <w:color w:val="auto"/>
        </w:rPr>
        <w:t>actions marketing campaigns on the other hand, changes from time to time, the relative proportions of gross billing recognized as net revenues on a gross basis and a net basis also fluctuate, which would consequently impact our net revenues and gross profit margin.</w:t>
      </w:r>
    </w:p>
    <w:p>
      <w:pPr>
        <w:spacing w:after="0" w:line="62" w:lineRule="exact"/>
        <w:rPr>
          <w:sz w:val="20"/>
          <w:szCs w:val="20"/>
          <w:color w:val="auto"/>
        </w:rPr>
      </w:pPr>
    </w:p>
    <w:p>
      <w:pPr>
        <w:ind w:right="80" w:firstLine="495"/>
        <w:spacing w:after="0" w:line="273" w:lineRule="auto"/>
        <w:rPr>
          <w:sz w:val="20"/>
          <w:szCs w:val="20"/>
          <w:color w:val="auto"/>
        </w:rPr>
      </w:pPr>
      <w:r>
        <w:rPr>
          <w:rFonts w:ascii="Arial" w:cs="Arial" w:eastAsia="Arial" w:hAnsi="Arial"/>
          <w:sz w:val="17"/>
          <w:szCs w:val="17"/>
          <w:color w:val="auto"/>
        </w:rPr>
        <w:t>Our marketing solutions and enterprise solutions each represent a mixture of revenue recognized on a gross basis and on a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proportions of gross billing recognized as net revenues on a gross basis and a net basis, are affected by a variety of factors, in particular, the terms of the arrangements with our clients, including whether to conduct their marketing campaigns on a specified-action (i.e., gross) or cost-plus (i.e., net) basis in a particular period, which depends on clients’ needs and goals.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existing clients or attract new ones could adversely impact our business and results of operations.</w:t>
      </w:r>
    </w:p>
    <w:p>
      <w:pPr>
        <w:spacing w:after="0" w:line="117" w:lineRule="exact"/>
        <w:rPr>
          <w:sz w:val="20"/>
          <w:szCs w:val="20"/>
          <w:color w:val="auto"/>
        </w:rPr>
      </w:pPr>
    </w:p>
    <w:p>
      <w:pPr>
        <w:ind w:firstLine="495"/>
        <w:spacing w:after="0" w:line="311" w:lineRule="auto"/>
        <w:rPr>
          <w:sz w:val="20"/>
          <w:szCs w:val="20"/>
          <w:color w:val="auto"/>
        </w:rPr>
      </w:pPr>
      <w:r>
        <w:rPr>
          <w:rFonts w:ascii="Arial" w:cs="Arial" w:eastAsia="Arial" w:hAnsi="Arial"/>
          <w:sz w:val="16"/>
          <w:szCs w:val="16"/>
          <w:color w:val="auto"/>
        </w:rPr>
        <w:t>We do not have long-term contracts with clients, and a majority of our contracts are for a term of one year or shorter. Our clients, are not obligated to use our platform on an exclusive basis and they generally use multiple providers to manage their marketing spend. Accordingly, we must convince our clients to use our platform, increase their usage and spend a larger share of their online marketing budgets with us, and do so on an on-going basis.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ability to achieve renewals or contracts and new sales depends on many factors, some of which are out of our control, including:</w:t>
      </w:r>
    </w:p>
    <w:p>
      <w:pPr>
        <w:spacing w:after="0" w:line="117"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satisfaction with our solutions, including any new solutions that we may develop,</w:t>
      </w:r>
    </w:p>
    <w:p>
      <w:pPr>
        <w:spacing w:after="0" w:line="117" w:lineRule="exact"/>
        <w:rPr>
          <w:rFonts w:ascii="Arial" w:cs="Arial" w:eastAsia="Arial" w:hAnsi="Arial"/>
          <w:sz w:val="18"/>
          <w:szCs w:val="18"/>
          <w:color w:val="auto"/>
        </w:rPr>
      </w:pPr>
    </w:p>
    <w:p>
      <w:pPr>
        <w:ind w:left="980" w:right="720" w:hanging="486"/>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competitiveness of our pricing and payment terms for our clients, which may, in turn, be constrained by our capital and financial resources,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satisfaction with our account managing services,</w:t>
      </w:r>
    </w:p>
    <w:p>
      <w:pPr>
        <w:spacing w:after="0" w:line="117" w:lineRule="exact"/>
        <w:rPr>
          <w:rFonts w:ascii="Arial" w:cs="Arial" w:eastAsia="Arial" w:hAnsi="Arial"/>
          <w:sz w:val="18"/>
          <w:szCs w:val="18"/>
          <w:color w:val="auto"/>
        </w:rPr>
      </w:pPr>
    </w:p>
    <w:p>
      <w:pPr>
        <w:ind w:left="980" w:right="520" w:hanging="486"/>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tailor our solution offerings and delivery and pricing models in accordance with the evolving needs of our clients and end marketers,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expand our data base and solutions to serve marketers in a wider range of industries and geographic regions,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integrate with a wider range of new mobile technologies, systems, networks and standards,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mergers, acquisitions or other consolidation among clients,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effects of global economic conditions on spending levels of marketers generally.</w:t>
      </w:r>
    </w:p>
    <w:p>
      <w:pPr>
        <w:spacing w:after="0" w:line="225" w:lineRule="exact"/>
        <w:rPr>
          <w:sz w:val="20"/>
          <w:szCs w:val="20"/>
          <w:color w:val="auto"/>
        </w:rPr>
      </w:pPr>
    </w:p>
    <w:p>
      <w:pPr>
        <w:ind w:right="80" w:firstLine="495"/>
        <w:spacing w:after="0" w:line="257" w:lineRule="auto"/>
        <w:rPr>
          <w:sz w:val="20"/>
          <w:szCs w:val="20"/>
          <w:color w:val="auto"/>
        </w:rPr>
      </w:pPr>
      <w:r>
        <w:rPr>
          <w:rFonts w:ascii="Arial" w:cs="Arial" w:eastAsia="Arial" w:hAnsi="Arial"/>
          <w:sz w:val="18"/>
          <w:szCs w:val="18"/>
          <w:color w:val="auto"/>
        </w:rPr>
        <w:t>Therefore, we cannot assure you that clients that have generated marketing spend on our platform in the past will continue to spend at similar levels or that they will continue to use our platform at all. We may not be able to replace clients which reduce or cease their usage of our platform with new clients that spend similarly on our platform. We have relied on a limited number of clients to generate a significant portion of our revenues. For example, while we did not have any client that contributed to more than 10% of our net revenues in 2019 and 2020, we had one client from the entertainment industry that contributed to 14% of our net revenues in 2018.</w:t>
      </w:r>
    </w:p>
    <w:p>
      <w:pPr>
        <w:spacing w:after="0" w:line="188" w:lineRule="exact"/>
        <w:rPr>
          <w:sz w:val="20"/>
          <w:szCs w:val="20"/>
          <w:color w:val="auto"/>
        </w:rPr>
      </w:pPr>
    </w:p>
    <w:p>
      <w:pPr>
        <w:ind w:right="340" w:firstLine="495"/>
        <w:spacing w:after="0" w:line="308" w:lineRule="auto"/>
        <w:rPr>
          <w:sz w:val="20"/>
          <w:szCs w:val="20"/>
          <w:color w:val="auto"/>
        </w:rPr>
      </w:pPr>
      <w:r>
        <w:rPr>
          <w:rFonts w:ascii="Arial" w:cs="Arial" w:eastAsia="Arial" w:hAnsi="Arial"/>
          <w:sz w:val="17"/>
          <w:szCs w:val="17"/>
          <w:color w:val="auto"/>
        </w:rPr>
        <w:t>In addition, we have started a comprehensive review of the client base since 2016 to focus on profitability and liquidity. The total number of our marketers decreased by 3% from 2,561 in 2017 to 2,479 in 2018, and decreased by 8% from 3,481 in 2019 to 3,215 in 2020.</w:t>
      </w:r>
    </w:p>
    <w:p>
      <w:pPr>
        <w:spacing w:after="0" w:line="146" w:lineRule="exact"/>
        <w:rPr>
          <w:sz w:val="20"/>
          <w:szCs w:val="20"/>
          <w:color w:val="auto"/>
        </w:rPr>
      </w:pPr>
    </w:p>
    <w:p>
      <w:pPr>
        <w:ind w:right="320" w:firstLine="495"/>
        <w:spacing w:after="0" w:line="277" w:lineRule="auto"/>
        <w:rPr>
          <w:sz w:val="20"/>
          <w:szCs w:val="20"/>
          <w:color w:val="auto"/>
        </w:rPr>
      </w:pPr>
      <w:r>
        <w:rPr>
          <w:rFonts w:ascii="Arial" w:cs="Arial" w:eastAsia="Arial" w:hAnsi="Arial"/>
          <w:sz w:val="18"/>
          <w:szCs w:val="18"/>
          <w:color w:val="auto"/>
        </w:rPr>
        <w:t>If our existing clients do not continue to use or increase their use of our platform, or if we are unable to attract sufficient marketing spend on our platform from new clients, our business and results of operations could be materially and adversely affected.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any marketing agency client may materially and adversely affect our business and results of operations.</w:t>
      </w:r>
    </w:p>
    <w:p>
      <w:pPr>
        <w:spacing w:after="0" w:line="117" w:lineRule="exact"/>
        <w:rPr>
          <w:sz w:val="20"/>
          <w:szCs w:val="20"/>
          <w:color w:val="auto"/>
        </w:rPr>
      </w:pPr>
    </w:p>
    <w:p>
      <w:pPr>
        <w:ind w:firstLine="495"/>
        <w:spacing w:after="0" w:line="272" w:lineRule="auto"/>
        <w:rPr>
          <w:sz w:val="20"/>
          <w:szCs w:val="20"/>
          <w:color w:val="auto"/>
        </w:rPr>
      </w:pPr>
      <w:r>
        <w:rPr>
          <w:rFonts w:ascii="Arial" w:cs="Arial" w:eastAsia="Arial" w:hAnsi="Arial"/>
          <w:sz w:val="17"/>
          <w:szCs w:val="17"/>
          <w:color w:val="auto"/>
        </w:rPr>
        <w:t>We engage third-party marketing agencies to help source and serve some of our marketers. In 2020, we had 3,215 marketers. Among these marketers, 1,457 were represented by our marketing agency clients, which contributed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 business arrangements with content distribution channels and can directly connect marketers with such channels. Our business may suffer to the extent that marketing agencies and content distribution channels purchase and sell content distribution opportunities directly from one another or through intermediaries other than us. Loss of marketing agencies as our clients could materially and adversely affect our business and results of operations.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2" w:name="page13"/>
    <w:bookmarkEnd w:id="12"/>
    <w:p>
      <w:pPr>
        <w:jc w:val="both"/>
        <w:ind w:right="40" w:firstLine="495"/>
        <w:spacing w:after="0" w:line="263" w:lineRule="auto"/>
        <w:rPr>
          <w:sz w:val="20"/>
          <w:szCs w:val="20"/>
          <w:color w:val="auto"/>
        </w:rPr>
      </w:pPr>
      <w:r>
        <w:rPr>
          <w:rFonts w:ascii="Arial" w:cs="Arial" w:eastAsia="Arial" w:hAnsi="Arial"/>
          <w:sz w:val="18"/>
          <w:szCs w:val="18"/>
          <w:color w:val="auto"/>
        </w:rPr>
        <w:t>Furthermore, our contractual arrangements with marketing agency clients do not provide us with control or oversight over their day-to-day business activities. If any of our marketing agency clients engage in activities that violate laws and regulations, our reputation could be harmed and our business and results of operations could be materially and adversely affected.</w:t>
      </w:r>
    </w:p>
    <w:p>
      <w:pPr>
        <w:spacing w:after="0" w:line="2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Loss of any content distribution channel and changes in the contract terms with any content distribution channel may materially and adversely affect our business and results of operations.</w:t>
      </w:r>
    </w:p>
    <w:p>
      <w:pPr>
        <w:spacing w:after="0" w:line="62" w:lineRule="exact"/>
        <w:rPr>
          <w:sz w:val="20"/>
          <w:szCs w:val="20"/>
          <w:color w:val="auto"/>
        </w:rPr>
      </w:pPr>
    </w:p>
    <w:p>
      <w:pPr>
        <w:ind w:right="160" w:firstLine="495"/>
        <w:spacing w:after="0" w:line="285" w:lineRule="auto"/>
        <w:rPr>
          <w:sz w:val="20"/>
          <w:szCs w:val="20"/>
          <w:color w:val="auto"/>
        </w:rPr>
      </w:pPr>
      <w:r>
        <w:rPr>
          <w:rFonts w:ascii="Arial" w:cs="Arial" w:eastAsia="Arial" w:hAnsi="Arial"/>
          <w:sz w:val="16"/>
          <w:szCs w:val="16"/>
          <w:color w:val="auto"/>
        </w:rPr>
        <w:t>Our consistent access to attractive content distribution opportunities is crucial to our business. We primarily rely on third-party content distribution channels to access content distribution opportunities. Our content distribution channels are concentrated and primarily include online and mobile publishers, major search engines and ad exchanges, including those owned or operated by Tencent, Baidu, Google and Alibaba. Media costs for content distribution opportunities on Tencent, Baidu, Google and Alibaba channels in aggregate accounted for 91.1%, 87.4% and 75.9% of our media costs in 2018, 2019 and 2020, respectively. Media costs for content distribution opportunities on our largest and second largest channel partners accounted for</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70.7% and 7.7% of our media costs in 2020, respectively. In addition, our contracts with content distribution channels are generally for a period of one year and do not impose long-term obligations requiring them to make their content distribution opportunities available to us on reasonable terms or at all. The loss of access to content distribution opportunities from one of those companies would negatively impact our ability to help marketers reach their audience.</w:t>
      </w:r>
    </w:p>
    <w:p>
      <w:pPr>
        <w:spacing w:after="0" w:line="155" w:lineRule="exact"/>
        <w:rPr>
          <w:sz w:val="20"/>
          <w:szCs w:val="20"/>
          <w:color w:val="auto"/>
        </w:rPr>
      </w:pPr>
    </w:p>
    <w:p>
      <w:pPr>
        <w:ind w:right="100" w:firstLine="495"/>
        <w:spacing w:after="0" w:line="311" w:lineRule="auto"/>
        <w:rPr>
          <w:sz w:val="20"/>
          <w:szCs w:val="20"/>
          <w:color w:val="auto"/>
        </w:rPr>
      </w:pPr>
      <w:r>
        <w:rPr>
          <w:rFonts w:ascii="Arial" w:cs="Arial" w:eastAsia="Arial" w:hAnsi="Arial"/>
          <w:sz w:val="16"/>
          <w:szCs w:val="16"/>
          <w:color w:val="auto"/>
        </w:rPr>
        <w:t>Our ability to source content distribution opportunities from content distribution channels depends in part on our ability to continuously generate sufficient marketing spend from our clients on these channels. If our content distribution channels terminate or choose not to renew their contracts with us, due to a variety of factors, including regulatory reasons or changes, our business and results of operations will be materially and adversely affected.</w:t>
      </w:r>
    </w:p>
    <w:p>
      <w:pPr>
        <w:spacing w:after="0" w:line="149" w:lineRule="exact"/>
        <w:rPr>
          <w:sz w:val="20"/>
          <w:szCs w:val="20"/>
          <w:color w:val="auto"/>
        </w:rPr>
      </w:pPr>
    </w:p>
    <w:p>
      <w:pPr>
        <w:ind w:right="80" w:firstLine="495"/>
        <w:spacing w:after="0" w:line="263" w:lineRule="auto"/>
        <w:rPr>
          <w:sz w:val="20"/>
          <w:szCs w:val="20"/>
          <w:color w:val="auto"/>
        </w:rPr>
      </w:pPr>
      <w:r>
        <w:rPr>
          <w:rFonts w:ascii="Arial" w:cs="Arial" w:eastAsia="Arial" w:hAnsi="Arial"/>
          <w:sz w:val="18"/>
          <w:szCs w:val="18"/>
          <w:color w:val="auto"/>
        </w:rPr>
        <w:t>In addition, we may not be able to negotiate favorable or acceptable terms once the contracts expire. There is no assurance that we will be able to execute these contracts with terms favorable or acceptable to us or at all, which could have a material adverse impact on our financial condition and results of operations.</w:t>
      </w:r>
    </w:p>
    <w:p>
      <w:pPr>
        <w:spacing w:after="0" w:line="184" w:lineRule="exact"/>
        <w:rPr>
          <w:sz w:val="20"/>
          <w:szCs w:val="20"/>
          <w:color w:val="auto"/>
        </w:rPr>
      </w:pPr>
    </w:p>
    <w:p>
      <w:pPr>
        <w:ind w:right="20" w:firstLine="495"/>
        <w:spacing w:after="0" w:line="259" w:lineRule="auto"/>
        <w:rPr>
          <w:sz w:val="20"/>
          <w:szCs w:val="20"/>
          <w:color w:val="auto"/>
        </w:rPr>
      </w:pPr>
      <w:r>
        <w:rPr>
          <w:rFonts w:ascii="Arial" w:cs="Arial" w:eastAsia="Arial" w:hAnsi="Arial"/>
          <w:sz w:val="18"/>
          <w:szCs w:val="18"/>
          <w:color w:val="auto"/>
        </w:rPr>
        <w:t>Furthermore, our contracts with content distribution channels generally provide for certain rebates or incentives, generally calculated as a percentage of marketing spend, that we are entitled to should the market spending during the terms exceed the specified thresholds. Under some of our contracts, content distribution channels offer staggered levels of rebates or incentives to us depending on the amount of marketing spend we achieve during the period.</w:t>
      </w: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face risks related to natural disasters, health epidemics and other outbreaks, which could significantly disrupt our operations. In particular, we could be materially and adversely affected by the outbreak of COVID-19.</w:t>
      </w:r>
    </w:p>
    <w:p>
      <w:pPr>
        <w:spacing w:after="0" w:line="62" w:lineRule="exact"/>
        <w:rPr>
          <w:sz w:val="20"/>
          <w:szCs w:val="20"/>
          <w:color w:val="auto"/>
        </w:rPr>
      </w:pPr>
    </w:p>
    <w:p>
      <w:pPr>
        <w:ind w:right="20" w:firstLine="495"/>
        <w:spacing w:after="0" w:line="275" w:lineRule="auto"/>
        <w:rPr>
          <w:sz w:val="20"/>
          <w:szCs w:val="20"/>
          <w:color w:val="auto"/>
        </w:rPr>
      </w:pPr>
      <w:r>
        <w:rPr>
          <w:rFonts w:ascii="Arial" w:cs="Arial" w:eastAsia="Arial" w:hAnsi="Arial"/>
          <w:sz w:val="17"/>
          <w:szCs w:val="17"/>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solutions and services on our platform. Our business could also be adversely affected by the effects of a novel strain of coronavirus, or COVID-19, Ebola virus disease, Zika virus disease, H1N1 flu, H7N9 flu, avian flu, Severe Acute Respiratory Syndrome, or SARS, or other epidemics.</w:t>
      </w:r>
    </w:p>
    <w:p>
      <w:pPr>
        <w:spacing w:after="0" w:line="176" w:lineRule="exact"/>
        <w:rPr>
          <w:sz w:val="20"/>
          <w:szCs w:val="20"/>
          <w:color w:val="auto"/>
        </w:rPr>
      </w:pPr>
    </w:p>
    <w:p>
      <w:pPr>
        <w:ind w:firstLine="495"/>
        <w:spacing w:after="0" w:line="286" w:lineRule="auto"/>
        <w:rPr>
          <w:sz w:val="20"/>
          <w:szCs w:val="20"/>
          <w:color w:val="auto"/>
        </w:rPr>
      </w:pPr>
      <w:r>
        <w:rPr>
          <w:rFonts w:ascii="Arial" w:cs="Arial" w:eastAsia="Arial" w:hAnsi="Arial"/>
          <w:sz w:val="16"/>
          <w:szCs w:val="16"/>
          <w:color w:val="auto"/>
        </w:rPr>
        <w:t>Most of our system hardware and back-up systems are hosted in leased facilities in Hong Kong, Shanghai, Beijing and Guangzhou province, and most of our directors, senior management and employees are based in Hong Kong, Shanghai and Beijing. Therefore, if any of the above-mentioned natural disasters, health epidemics or other outbreaks were to occur in these regions, our operations may experience material disruptions, such as temporary closure of our offices and suspension of services, which may materially and adversely affect our business and results of operations. Our business, results of operations, financial condition and prospects could be materially and adversely affected directly, as well as to the extent that the coronavirus or any other epidemic harms the Chinese economy in general. For example, since December 2019, there has been an outbreak of COVID-19 in China and around the world. COVID-19 is considered to be highly contagious and poses a serious public health threat. In March 2020, the World Health Organization declared the COVID-19 a pandemic, given its threat beyond a public health emergency of international concern that the organization had declared on January 30, 2020. The pandemic has resulted in quarantines, travel restrictions, home office policies, and the temporary closure of stores and facilities in China, Hong Kong and many other jurisdictions. These measures have slowed down the development of the Chinese economy and adversely affected the global economic conditions and financial markets. Substantially all of our revenues and our workforce are based in China and Hong Kong. Our operations have been, and may continue to be, materially and adversely affected by potential delays in or reductions of business activities and commercial transactions and by general uncertainties surrounding the duration of the government’s extended business and travel restrictions. In addition, our business operations could be disrupted if any of our employees is suspected of contracting the coronavirus or any other infectious disease, since it could require our employees to be quarantined and/or our offices to be disinfected.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 w:name="page14"/>
    <w:bookmarkEnd w:id="13"/>
    <w:p>
      <w:pPr>
        <w:ind w:firstLine="495"/>
        <w:spacing w:after="0" w:line="271" w:lineRule="auto"/>
        <w:rPr>
          <w:sz w:val="20"/>
          <w:szCs w:val="20"/>
          <w:color w:val="auto"/>
        </w:rPr>
      </w:pPr>
      <w:r>
        <w:rPr>
          <w:rFonts w:ascii="Arial" w:cs="Arial" w:eastAsia="Arial" w:hAnsi="Arial"/>
          <w:sz w:val="17"/>
          <w:szCs w:val="17"/>
          <w:color w:val="auto"/>
        </w:rPr>
        <w:t>While we had seen advertising budgets normalized since the second quarter of 2020, especially in the online-gaming area, as a result of the relaxation of restrictions on economic and social life due to a slowdown of COVID-19 cases in China, the outlook for the pandemic remains fluid, and the full and long-term implications from COVID-19 on our business and results of operations remain uncertain. Any significant resurgence of COVID-19 may have an adverse effect on our results of operations, financial condition, business and prospects. Any potential impact on our results will depend on, to a large extent, future developments and new information that may emerge regarding the duration of COVID-19 and the actions taken by governmental authorities and other entities to contain COVID-19 or treat its impact, which are mostly beyond our control. We are closely monitoring the pandemic and its impact on us. Additionally, to the extent the COVID-19 adversely affects our business, results of operations, cash flows, financial condition and/or prospects, it may also have the effect of heightening many of the other risks described herein.</w:t>
      </w:r>
    </w:p>
    <w:p>
      <w:pPr>
        <w:spacing w:after="0" w:line="286"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b w:val="1"/>
          <w:bCs w:val="1"/>
          <w:i w:val="1"/>
          <w:iCs w:val="1"/>
          <w:color w:val="auto"/>
        </w:rPr>
        <w:t>The independent online marketing technology market is highly fragmented and intensely competitive. Independent online marketing technology platforms also face competitive pressure from well-established internet companies, marketing agencies and traditional media. In addition, as we continue to expand into the enterprise solution market, we also face increasingly intensified competition.</w:t>
      </w:r>
    </w:p>
    <w:p>
      <w:pPr>
        <w:spacing w:after="0" w:line="57" w:lineRule="exact"/>
        <w:rPr>
          <w:sz w:val="20"/>
          <w:szCs w:val="20"/>
          <w:color w:val="auto"/>
        </w:rPr>
      </w:pPr>
    </w:p>
    <w:p>
      <w:pPr>
        <w:ind w:right="40" w:firstLine="495"/>
        <w:spacing w:after="0" w:line="263" w:lineRule="auto"/>
        <w:rPr>
          <w:sz w:val="20"/>
          <w:szCs w:val="20"/>
          <w:color w:val="auto"/>
        </w:rPr>
      </w:pPr>
      <w:r>
        <w:rPr>
          <w:rFonts w:ascii="Arial" w:cs="Arial" w:eastAsia="Arial" w:hAnsi="Arial"/>
          <w:sz w:val="18"/>
          <w:szCs w:val="18"/>
          <w:color w:val="auto"/>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p>
      <w:pPr>
        <w:spacing w:after="0" w:line="76"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deliver return on marketing expenditure at scale;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customer trust and loyalty;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geographic reach;</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breadth and depth of cooperation with publishers, ad exchanges, ad networks and other participants in the online marketing ecosystem;</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comprehensiveness of solutions and service offerings;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structure and competitiveness;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cross-channel capabilities;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accessibility and user-friendliness of solutions;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brand awareness.</w:t>
      </w:r>
    </w:p>
    <w:p>
      <w:pPr>
        <w:spacing w:after="0" w:line="225" w:lineRule="exact"/>
        <w:rPr>
          <w:sz w:val="20"/>
          <w:szCs w:val="20"/>
          <w:color w:val="auto"/>
        </w:rPr>
      </w:pPr>
    </w:p>
    <w:p>
      <w:pPr>
        <w:ind w:right="40" w:firstLine="495"/>
        <w:spacing w:after="0" w:line="285"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technical, marketing and other resources, more extensive client base, and longer operating histories and greater brand recognition than we do. These companies have access to user information by virtue of their popular consumer-oriented websites and mobile apps, and have the technology designed for use in conjunction with the types of user information collected from their websites and mobile apps. These companies may also leverage their positions to make changes to their systems, platforms, exchanges, networks or other products or services that could be harmful to our business and results of operations. While we believe that we do not directly compete with these large and well-established internet companies as we promote their content distribution opportunities or purchase their content distribution opportunities in the ordinary course of our business in connection with our execution of marketing campaigns, and these companies generally do not provide integrated marketing solutions the way we do, we face indirect competition from these major players in the online marketing technology industry as they provide online marketing technology and offer services and offer solutions that help marketers achieve one or more aspects of their marketing goals in one or more phases of their online marketing cycle. These large and well-established companies control content distribution channels and may also directly compete with us to the extent we expand our solutions and footprints vertically along the online marketing technology value chain. Further, some of these companies are, or may also become, our content distribution channels and may enter into other types of strategic arrangements with us. For example, we generally enter into annual framework agreements with content distribution channel partners, including Baidu and Tencent, to purchase or promote their content distribution opportunities. See “Item 4. Information on the Company—B. Business Overview—Our Content Distribution Channels”. Competitive pressure may incentivize them to cease their partnership with us.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spacing w:after="0" w:line="169" w:lineRule="exact"/>
        <w:rPr>
          <w:sz w:val="20"/>
          <w:szCs w:val="20"/>
          <w:color w:val="auto"/>
        </w:rPr>
      </w:pPr>
    </w:p>
    <w:p>
      <w:pPr>
        <w:ind w:right="20" w:firstLine="495"/>
        <w:spacing w:after="0" w:line="263" w:lineRule="auto"/>
        <w:rPr>
          <w:sz w:val="20"/>
          <w:szCs w:val="20"/>
          <w:color w:val="auto"/>
        </w:rPr>
      </w:pPr>
      <w:r>
        <w:rPr>
          <w:rFonts w:ascii="Arial" w:cs="Arial" w:eastAsia="Arial" w:hAnsi="Arial"/>
          <w:sz w:val="18"/>
          <w:szCs w:val="18"/>
          <w:color w:val="auto"/>
        </w:rPr>
        <w:t>New technologies and methods of online marketing present an evolving competitive challenge, as market participants upgrade or expand their service offerings to capture more marketing spend from marketers. In addition to existing competitors and their existing service offerings, we expect to face competition from new entrants to the online marketing technology industry and new</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 w:name="page15"/>
    <w:bookmarkEnd w:id="14"/>
    <w:p>
      <w:pPr>
        <w:ind w:right="40"/>
        <w:spacing w:after="0" w:line="259" w:lineRule="auto"/>
        <w:rPr>
          <w:sz w:val="20"/>
          <w:szCs w:val="20"/>
          <w:color w:val="auto"/>
        </w:rPr>
      </w:pPr>
      <w:r>
        <w:rPr>
          <w:rFonts w:ascii="Arial" w:cs="Arial" w:eastAsia="Arial" w:hAnsi="Arial"/>
          <w:sz w:val="18"/>
          <w:szCs w:val="18"/>
          <w:color w:val="auto"/>
        </w:rPr>
        <w:t>service offerings from existing competitors. If existing or new companies develop, market or resell competitive high-value marketing technology solutions, acquire one of our competitors or strategic partners, form a strategic alliance or enter into exclusivity arrangement with one of our competitors or strategic partners, our ability to compete effectively could be significantly compromised and our business, results of operations and prospects could be materially and adversely affected.</w:t>
      </w:r>
    </w:p>
    <w:p>
      <w:pPr>
        <w:spacing w:after="0" w:line="187" w:lineRule="exact"/>
        <w:rPr>
          <w:sz w:val="20"/>
          <w:szCs w:val="20"/>
          <w:color w:val="auto"/>
        </w:rPr>
      </w:pPr>
    </w:p>
    <w:p>
      <w:pPr>
        <w:ind w:firstLine="495"/>
        <w:spacing w:after="0" w:line="290" w:lineRule="auto"/>
        <w:rPr>
          <w:sz w:val="20"/>
          <w:szCs w:val="20"/>
          <w:color w:val="auto"/>
        </w:rPr>
      </w:pPr>
      <w:r>
        <w:rPr>
          <w:rFonts w:ascii="Arial" w:cs="Arial" w:eastAsia="Arial" w:hAnsi="Arial"/>
          <w:sz w:val="16"/>
          <w:szCs w:val="16"/>
          <w:color w:val="auto"/>
        </w:rPr>
        <w:t>In May 2018, we launched our SaaS-based enterprise solutions. We anticipate competition in this relatively new and evolving area in China and such competition to increase based on businesses’ demands for this type of products or solutions. We may face competitions from local companies that are working on enterprise solutions, new cloud computing and artificial intelligence. We may also face potential competition from international SaaS companies, which have longer operating histories, greater financial, technical, marketing, distribution, professional services or other resources and greater name recognition. In addition, many of our prospective competitors may have close relationship with our existing and new clients and bear an extensive knowledge of this industry. As a result, they may be able to respond more quickly to new or emerging technologies and changes in clients’ requirements, or devote greater resources to the development, promotion and sale of their products. If we fail to upgrade our technologies and differentiate our enterprise solutions to effectively identify and address clients’ needs, our business, results of operations and prospects could be materially and adversely affected.</w:t>
      </w:r>
    </w:p>
    <w:p>
      <w:pPr>
        <w:spacing w:after="0" w:line="2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online marketing technology solutions and enterprise solutions do not achieve widespread market acceptance, our business, growth prospects and results of operations would be materially and adversely affected.</w:t>
      </w:r>
    </w:p>
    <w:p>
      <w:pPr>
        <w:spacing w:after="0" w:line="62" w:lineRule="exact"/>
        <w:rPr>
          <w:sz w:val="20"/>
          <w:szCs w:val="20"/>
          <w:color w:val="auto"/>
        </w:rPr>
      </w:pPr>
    </w:p>
    <w:p>
      <w:pPr>
        <w:ind w:right="40" w:firstLine="495"/>
        <w:spacing w:after="0" w:line="287" w:lineRule="auto"/>
        <w:rPr>
          <w:sz w:val="20"/>
          <w:szCs w:val="20"/>
          <w:color w:val="auto"/>
        </w:rPr>
      </w:pPr>
      <w:r>
        <w:rPr>
          <w:rFonts w:ascii="Arial" w:cs="Arial" w:eastAsia="Arial" w:hAnsi="Arial"/>
          <w:sz w:val="16"/>
          <w:szCs w:val="16"/>
          <w:color w:val="auto"/>
        </w:rPr>
        <w:t>The market for online marketing technology solutions and enterprise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less established. The future growth of our business could be constrained by both the level of acceptance and expansion of emerging online marketing channels, as well as the 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software-as-a-service, or SaaS, offerings, which are less mature or common in China, and the pace of transition to SaaS business may be slower among marketers with heightened data security concerns or general demand for highly customizable application software. The acceptance of our solutions delivered as SaaS offerings will depend, to a substantial extent, on the education of our clients on the SaaS offerings and the widespread adoption of SaaS solutions in general, and we cannot be certain that the trend of adoption of such solutions will continue in the future. Therefore, it is difficult to predict the demand for our platform or the future growth rate and size of the market for online marketing technology solutions.</w:t>
      </w:r>
    </w:p>
    <w:p>
      <w:pPr>
        <w:spacing w:after="0" w:line="172" w:lineRule="exact"/>
        <w:rPr>
          <w:sz w:val="20"/>
          <w:szCs w:val="20"/>
          <w:color w:val="auto"/>
        </w:rPr>
      </w:pPr>
    </w:p>
    <w:p>
      <w:pPr>
        <w:ind w:right="100" w:firstLine="495"/>
        <w:spacing w:after="0" w:line="296" w:lineRule="auto"/>
        <w:rPr>
          <w:sz w:val="20"/>
          <w:szCs w:val="20"/>
          <w:color w:val="auto"/>
        </w:rPr>
      </w:pPr>
      <w:r>
        <w:rPr>
          <w:rFonts w:ascii="Arial" w:cs="Arial" w:eastAsia="Arial" w:hAnsi="Arial"/>
          <w:sz w:val="16"/>
          <w:szCs w:val="16"/>
          <w:color w:val="auto"/>
        </w:rPr>
        <w:t>Expansion of the market for online marketing technology solutions depends on a number of factors, including the growth of new digital channels such as mobile and social media and the cost, as well as the performance and perceived value associated with online marketing technology solutions. If online marketing technology solutions do not achieve widespread acceptance, or there is a reduction in demand for online 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spacing w:after="0" w:line="161" w:lineRule="exact"/>
        <w:rPr>
          <w:sz w:val="20"/>
          <w:szCs w:val="20"/>
          <w:color w:val="auto"/>
        </w:rPr>
      </w:pPr>
    </w:p>
    <w:p>
      <w:pPr>
        <w:ind w:right="60" w:firstLine="495"/>
        <w:spacing w:after="0" w:line="279" w:lineRule="auto"/>
        <w:rPr>
          <w:sz w:val="20"/>
          <w:szCs w:val="20"/>
          <w:color w:val="auto"/>
        </w:rPr>
      </w:pPr>
      <w:r>
        <w:rPr>
          <w:rFonts w:ascii="Arial" w:cs="Arial" w:eastAsia="Arial" w:hAnsi="Arial"/>
          <w:sz w:val="17"/>
          <w:szCs w:val="17"/>
          <w:color w:val="auto"/>
        </w:rPr>
        <w:t>The enterprise solution is a relatively new data technology market in PRC. The expansion of our enterprise solutions depends on the clients’ interest and market acceptance. If we fail to obtain a widespread acceptance, the number of our clients may decrease. We may also incur additional spending to further enhance our brand recognition and promotion, which could adversely impact our profitability. If our enterprise solutions fail to gain a widespread acceptance, our business, growth prospects and results of operations will also be materially and adversely affected.</w:t>
      </w:r>
    </w:p>
    <w:p>
      <w:pPr>
        <w:spacing w:after="0" w:line="27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If our algorithms and data engines for assessing and predicting potential audience behaviors are flawed or ineffective, or if our platform fails to otherwise function properly, our reputation and market share would be materially and adversely affected.</w:t>
      </w:r>
    </w:p>
    <w:p>
      <w:pPr>
        <w:spacing w:after="0" w:line="38" w:lineRule="exact"/>
        <w:rPr>
          <w:sz w:val="20"/>
          <w:szCs w:val="20"/>
          <w:color w:val="auto"/>
        </w:rPr>
      </w:pPr>
    </w:p>
    <w:p>
      <w:pPr>
        <w:ind w:right="40" w:firstLine="495"/>
        <w:spacing w:after="0" w:line="269" w:lineRule="auto"/>
        <w:rPr>
          <w:sz w:val="20"/>
          <w:szCs w:val="20"/>
          <w:color w:val="auto"/>
        </w:rPr>
      </w:pPr>
      <w:r>
        <w:rPr>
          <w:rFonts w:ascii="Arial" w:cs="Arial" w:eastAsia="Arial" w:hAnsi="Arial"/>
          <w:sz w:val="17"/>
          <w:szCs w:val="17"/>
          <w:color w:val="auto"/>
        </w:rPr>
        <w:t>Our ability to attract marketers to, and build trust in, our platform is significantly dependent on our ability to effectively assess and predict audience interest in, and therefore interaction with, relevant marketing content. In addition, our ability to attract businesses to use our enterprise solutions is significantly dependent on our ability to effectively identify and address their needs on customer relationship management, or CRM, and data analytics (e.g. sales data, customer data, product data, etc.). We utilize our proprietary algorithms and data engines to track, process and analyze internet user data, forecast probability and nature of internet users’ potential engagement with a given marketing message, create and tailor the marketing message to specific user interest, and execute marketing campaigns based on parameters specified by our clients. Our proprietary algorithms and data engines take into account multiple kinds and sources of data, including data on users’ interest, intent, E-commerce and offline purchase behavior,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 w:name="page16"/>
    <w:bookmarkEnd w:id="15"/>
    <w:p>
      <w:pPr>
        <w:ind w:right="60"/>
        <w:spacing w:after="0" w:line="259" w:lineRule="auto"/>
        <w:rPr>
          <w:sz w:val="20"/>
          <w:szCs w:val="20"/>
          <w:color w:val="auto"/>
        </w:rPr>
      </w:pPr>
      <w:r>
        <w:rPr>
          <w:rFonts w:ascii="Arial" w:cs="Arial" w:eastAsia="Arial" w:hAnsi="Arial"/>
          <w:sz w:val="18"/>
          <w:szCs w:val="18"/>
          <w:color w:val="auto"/>
        </w:rPr>
        <w:t>subject to fraud or are otherwise inaccurate. Even if such data are accurate, they may become irrelevant or outdated and thus may not reflect a 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spacing w:after="0" w:line="187" w:lineRule="exact"/>
        <w:rPr>
          <w:sz w:val="20"/>
          <w:szCs w:val="20"/>
          <w:color w:val="auto"/>
        </w:rPr>
      </w:pPr>
    </w:p>
    <w:p>
      <w:pPr>
        <w:ind w:right="80" w:firstLine="495"/>
        <w:spacing w:after="0" w:line="293" w:lineRule="auto"/>
        <w:rPr>
          <w:sz w:val="20"/>
          <w:szCs w:val="20"/>
          <w:color w:val="auto"/>
        </w:rPr>
      </w:pPr>
      <w:r>
        <w:rPr>
          <w:rFonts w:ascii="Arial" w:cs="Arial" w:eastAsia="Arial" w:hAnsi="Arial"/>
          <w:sz w:val="16"/>
          <w:szCs w:val="16"/>
          <w:color w:val="auto"/>
        </w:rPr>
        <w:t>In addition, we expect to experience significant growth in the amount of data we process as we continue to develop new solutions and features to meet evolving and growing marketer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collect and use data from various sources could be restricted.</w:t>
      </w:r>
    </w:p>
    <w:p>
      <w:pPr>
        <w:spacing w:after="0" w:line="117" w:lineRule="exact"/>
        <w:rPr>
          <w:sz w:val="20"/>
          <w:szCs w:val="20"/>
          <w:color w:val="auto"/>
        </w:rPr>
      </w:pPr>
    </w:p>
    <w:p>
      <w:pPr>
        <w:ind w:right="100" w:firstLine="495"/>
        <w:spacing w:after="0" w:line="263" w:lineRule="auto"/>
        <w:rPr>
          <w:sz w:val="20"/>
          <w:szCs w:val="20"/>
          <w:color w:val="auto"/>
        </w:rPr>
      </w:pPr>
      <w:r>
        <w:rPr>
          <w:rFonts w:ascii="Arial" w:cs="Arial" w:eastAsia="Arial" w:hAnsi="Arial"/>
          <w:sz w:val="18"/>
          <w:szCs w:val="18"/>
          <w:color w:val="auto"/>
        </w:rPr>
        <w:t>The optimal performance of our algorithms and data engines depends on the data that we collect from multiple sources, which we use to build user profiles, develop and refine our algorithms and data engines. Our ability to collect and use these types of data is limited by a number of factors, some of which are described in further details elsewhere in this section, including:</w:t>
      </w:r>
    </w:p>
    <w:p>
      <w:pPr>
        <w:spacing w:after="0" w:line="76"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consumer choices, including the blocking or deletion of cookies or modifications to privacy settings;</w:t>
      </w:r>
    </w:p>
    <w:p>
      <w:pPr>
        <w:spacing w:after="0" w:line="117" w:lineRule="exact"/>
        <w:rPr>
          <w:rFonts w:ascii="Arial" w:cs="Arial" w:eastAsia="Arial" w:hAnsi="Arial"/>
          <w:sz w:val="18"/>
          <w:szCs w:val="18"/>
          <w:color w:val="auto"/>
        </w:rPr>
      </w:pPr>
    </w:p>
    <w:p>
      <w:pPr>
        <w:ind w:left="980" w:right="60" w:hanging="486"/>
        <w:spacing w:after="0" w:line="34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p>
      <w:pPr>
        <w:spacing w:after="0" w:line="15" w:lineRule="exact"/>
        <w:rPr>
          <w:rFonts w:ascii="Arial" w:cs="Arial" w:eastAsia="Arial" w:hAnsi="Arial"/>
          <w:sz w:val="16"/>
          <w:szCs w:val="16"/>
          <w:color w:val="auto"/>
        </w:rPr>
      </w:pPr>
    </w:p>
    <w:p>
      <w:pPr>
        <w:ind w:left="980" w:right="460" w:hanging="486"/>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browser or device functionality and settings, and other new technologies, which could make it easier for users to prevent the placement of cookies or other tracking technologies;</w:t>
      </w:r>
    </w:p>
    <w:p>
      <w:pPr>
        <w:spacing w:after="0" w:line="6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developments in law, regulations and industry standards on privacy and data protection regimes, including increased visibility of consent mechanisms as a result of these legal, regulatory or industry developments;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of our network or software systems, or the network or software systems of marketers;</w:t>
      </w:r>
    </w:p>
    <w:p>
      <w:pPr>
        <w:spacing w:after="0" w:line="117" w:lineRule="exact"/>
        <w:rPr>
          <w:rFonts w:ascii="Arial" w:cs="Arial" w:eastAsia="Arial" w:hAnsi="Arial"/>
          <w:sz w:val="18"/>
          <w:szCs w:val="18"/>
          <w:color w:val="auto"/>
        </w:rPr>
      </w:pPr>
    </w:p>
    <w:p>
      <w:pPr>
        <w:ind w:left="980" w:right="540" w:hanging="486"/>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grow client base in new industries and geographic markets in order to obtain the critical mass of data necessary for our algorithms and data engines to perform optimally in these new industries and geographies;</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relationship with our data partners or certain key data sources, including major internet companies in China, which may stop providing or be unable to provide us data on terms acceptable to us;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interruptions, failures or defects in our data collection, mining, analysis and storage systems.</w:t>
      </w:r>
    </w:p>
    <w:p>
      <w:pPr>
        <w:spacing w:after="0" w:line="198" w:lineRule="exact"/>
        <w:rPr>
          <w:sz w:val="20"/>
          <w:szCs w:val="20"/>
          <w:color w:val="auto"/>
        </w:rPr>
      </w:pPr>
    </w:p>
    <w:p>
      <w:pPr>
        <w:ind w:right="100" w:firstLine="495"/>
        <w:spacing w:after="0" w:line="286" w:lineRule="auto"/>
        <w:rPr>
          <w:sz w:val="20"/>
          <w:szCs w:val="20"/>
          <w:color w:val="auto"/>
        </w:rPr>
      </w:pPr>
      <w:r>
        <w:rPr>
          <w:rFonts w:ascii="Arial" w:cs="Arial" w:eastAsia="Arial" w:hAnsi="Arial"/>
          <w:sz w:val="17"/>
          <w:szCs w:val="17"/>
          <w:color w:val="auto"/>
        </w:rPr>
        <w:t>Any of the above described limitations on our ability to successfully collect and use data could materially impair the optimal performance of our algorithms and data engines as well as the efficiency of our solutions, which could make our platform less attractive to marketers and result in damages to our reputation, a decline of our market share and adversely affect our business and results of operations.</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Blocking or deletion of cookies or other modifications to privacy settings on PCs and mobile devices could impair our data collection and effectiveness of our solutions.</w:t>
      </w:r>
    </w:p>
    <w:p>
      <w:pPr>
        <w:spacing w:after="0" w:line="62" w:lineRule="exact"/>
        <w:rPr>
          <w:sz w:val="20"/>
          <w:szCs w:val="20"/>
          <w:color w:val="auto"/>
        </w:rPr>
      </w:pPr>
    </w:p>
    <w:p>
      <w:pPr>
        <w:ind w:right="60" w:firstLine="493"/>
        <w:spacing w:after="0" w:line="268" w:lineRule="auto"/>
        <w:rPr>
          <w:sz w:val="20"/>
          <w:szCs w:val="20"/>
          <w:color w:val="auto"/>
        </w:rPr>
      </w:pPr>
      <w:r>
        <w:rPr>
          <w:rFonts w:ascii="Arial" w:cs="Arial" w:eastAsia="Arial" w:hAnsi="Arial"/>
          <w:sz w:val="17"/>
          <w:szCs w:val="17"/>
          <w:color w:val="auto"/>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 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 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63" w:right="399" w:bottom="1440" w:gutter="0" w:footer="0" w:header="0"/>
        </w:sectPr>
      </w:pPr>
    </w:p>
    <w:bookmarkStart w:id="16" w:name="page17"/>
    <w:bookmarkEnd w:id="16"/>
    <w:p>
      <w:pPr>
        <w:ind w:right="140" w:firstLine="495"/>
        <w:spacing w:after="0" w:line="296" w:lineRule="auto"/>
        <w:rPr>
          <w:sz w:val="20"/>
          <w:szCs w:val="20"/>
          <w:color w:val="auto"/>
        </w:rPr>
      </w:pPr>
      <w:r>
        <w:rPr>
          <w:rFonts w:ascii="Arial" w:cs="Arial" w:eastAsia="Arial" w:hAnsi="Arial"/>
          <w:sz w:val="16"/>
          <w:szCs w:val="16"/>
          <w:color w:val="auto"/>
        </w:rPr>
        <w:t>Aside from blocking or deleting of cookies, other modifications to privacy settings on the PCs and mobile devices could limit or restrict our ability to collect and analyze data. For example, certain search engines, such as 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client departure and reputation damages, and materially and adversely affect our business and results of operations.</w:t>
      </w:r>
    </w:p>
    <w:p>
      <w:pPr>
        <w:spacing w:after="0" w:line="2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maintain or renew the value-added telecommunication license, or fail to obtain other requisite license, or approvals or filings in China, the business carried out by certain consolidated entity may be materially and adversely affected.</w:t>
      </w:r>
    </w:p>
    <w:p>
      <w:pPr>
        <w:spacing w:after="0" w:line="62" w:lineRule="exact"/>
        <w:rPr>
          <w:sz w:val="20"/>
          <w:szCs w:val="20"/>
          <w:color w:val="auto"/>
        </w:rPr>
      </w:pPr>
    </w:p>
    <w:p>
      <w:pPr>
        <w:ind w:right="140" w:firstLine="495"/>
        <w:spacing w:after="0" w:line="290" w:lineRule="auto"/>
        <w:rPr>
          <w:sz w:val="20"/>
          <w:szCs w:val="20"/>
          <w:color w:val="auto"/>
        </w:rPr>
      </w:pPr>
      <w:r>
        <w:rPr>
          <w:rFonts w:ascii="Arial" w:cs="Arial" w:eastAsia="Arial" w:hAnsi="Arial"/>
          <w:sz w:val="16"/>
          <w:szCs w:val="16"/>
          <w:color w:val="auto"/>
        </w:rPr>
        <w:t>In November 2018, we, through OptAim Network, our variable interest entity, or the VIE, made a controlling investment in Shanghai Myhayo Technology Co., Ltd., or Myhayo, a content distribution channel and a mobile content aggregator of articles and short videos in China. Myhayo presents customized feeds to users via its mobile application and allows users to earn points from their daily access to the app, which could be used to redeem cash rewards. Under the relevant PRC laws, commercial operators of value-added telecommunication services, which refer to providers of telecommunications and information services through public network infrastructures that provide information or services to internet users with a charge, shall obtain a value-added telecommunications business operation license. See “Item 4. Information on the Company—B. Business Overview—Regulations—Regulations on Value-added Telecommunication Services” and “—Regulations on Internet Content Providers.” It is unclear whether Myhayo’s business model would render it a commercial operator of value-added telecommunication service provider under the relevant PRC laws.</w:t>
      </w:r>
    </w:p>
    <w:p>
      <w:pPr>
        <w:spacing w:after="0" w:line="165" w:lineRule="exact"/>
        <w:rPr>
          <w:sz w:val="20"/>
          <w:szCs w:val="20"/>
          <w:color w:val="auto"/>
        </w:rPr>
      </w:pPr>
    </w:p>
    <w:p>
      <w:pPr>
        <w:ind w:firstLine="495"/>
        <w:spacing w:after="0" w:line="253" w:lineRule="auto"/>
        <w:rPr>
          <w:sz w:val="20"/>
          <w:szCs w:val="20"/>
          <w:color w:val="auto"/>
        </w:rPr>
      </w:pPr>
      <w:r>
        <w:rPr>
          <w:rFonts w:ascii="Arial" w:cs="Arial" w:eastAsia="Arial" w:hAnsi="Arial"/>
          <w:sz w:val="18"/>
          <w:szCs w:val="18"/>
          <w:color w:val="auto"/>
        </w:rPr>
        <w:t>In August 2019, Myhayo obtained the value-added telecommunication license that has a validity term of five years from the relevant local counterpart of the Ministry of Industry and Information Technology, or MIIT. We are subject to ongoing obligations and continued regulatory review. If we fail to maintain or renew the value-added telecommunication license, or fail to obtain any additional licenses and permits or make any records or filings required by new laws, regulations or executive orders in a timely manner or at all, we could be subject to liabilities or penalties, and we may have to change our business models, and our operations could be adversely affected. In addition, new laws and regulations may be adopted from time to time to address new issues that come to the authorities’ attention, which may require us to obtain new license and permits, or take certain actions that may adversely affect our business operations. We may not timely obtain or maintain all the required licenses or approvals or make all the necessary filings. Nor can we assure you that we will be able to timely address all the change in policy, failure of which may subject us to liabilities or penalties, and our operations could be adversely affected.</w:t>
      </w:r>
    </w:p>
    <w:p>
      <w:pPr>
        <w:spacing w:after="0" w:line="30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Content displayed on our platform and the mobile application may be found objectionable by PRC regulatory authorities and may subject us to penalties and other administrative actions.</w:t>
      </w:r>
    </w:p>
    <w:p>
      <w:pPr>
        <w:spacing w:after="0" w:line="62" w:lineRule="exact"/>
        <w:rPr>
          <w:sz w:val="20"/>
          <w:szCs w:val="20"/>
          <w:color w:val="auto"/>
        </w:rPr>
      </w:pPr>
    </w:p>
    <w:p>
      <w:pPr>
        <w:ind w:right="140" w:firstLine="495"/>
        <w:spacing w:after="0" w:line="290" w:lineRule="auto"/>
        <w:rPr>
          <w:sz w:val="20"/>
          <w:szCs w:val="20"/>
          <w:color w:val="auto"/>
        </w:rPr>
      </w:pPr>
      <w:r>
        <w:rPr>
          <w:rFonts w:ascii="Arial" w:cs="Arial" w:eastAsia="Arial" w:hAnsi="Arial"/>
          <w:sz w:val="16"/>
          <w:szCs w:val="16"/>
          <w:color w:val="auto"/>
        </w:rPr>
        <w:t>We are subject to PRC regulations governing internet access and other forms of information over the internet. Under these regulations, internet content providers are prohibited from posting over the internet any content that, among other things, violates PRC laws and regulations, impairs the national dignity of China or the public interest, or is obscene, superstitious, frightening, gruesome, offensive, fraudulent or defamatory. Failure to comply with these requirements may result in monetary penalties, revocation of licenses to provide internet content or other licenses, suspension of the concerned platforms and reputational harm. In addition, these laws and regulations are subject to interpretation by the relevant authorities, and it may not be possible to determine in all cases the types of content that could cause us to be held liable as a content distribution channel and a mobile content aggregator of articles and short videos in China, which presents customized feeds to users via its mobile application. For a detailed discussion, see “Item 4. Information on the Company—B. Business Overview—Regulation—Regulations on Internet Content Providers.”</w:t>
      </w:r>
    </w:p>
    <w:p>
      <w:pPr>
        <w:spacing w:after="0" w:line="165" w:lineRule="exact"/>
        <w:rPr>
          <w:sz w:val="20"/>
          <w:szCs w:val="20"/>
          <w:color w:val="auto"/>
        </w:rPr>
      </w:pPr>
    </w:p>
    <w:p>
      <w:pPr>
        <w:ind w:firstLine="495"/>
        <w:spacing w:after="0" w:line="273" w:lineRule="auto"/>
        <w:rPr>
          <w:sz w:val="20"/>
          <w:szCs w:val="20"/>
          <w:color w:val="auto"/>
        </w:rPr>
      </w:pPr>
      <w:r>
        <w:rPr>
          <w:rFonts w:ascii="Arial" w:cs="Arial" w:eastAsia="Arial" w:hAnsi="Arial"/>
          <w:sz w:val="17"/>
          <w:szCs w:val="17"/>
          <w:color w:val="auto"/>
        </w:rPr>
        <w:t>Internet platform operators may also be held liable for the content displayed on or linked to their platforms that is subject to certain restrictions. Our users may browse professional or user-generated content, such as articles and other content formats. Although we have adopted internal procedures to monitor the content displayed on our mobile application, due to the significant amount of content, we may not be able to identify all the content that may be illegal or otherwise objectionable. In addition, we may not be able to timely update our internal procedures to reflect the latest changes in the PRC government’s requirements for content display. Failure to identify and prevent illegal or inappropriate content from being displayed on our platform and the mobile application may subject us to liability, government sanctions or loss of licenses and/or permits.</w:t>
      </w:r>
    </w:p>
    <w:p>
      <w:pPr>
        <w:spacing w:after="0" w:line="28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Regulatory, legislative or self-regulatory developments for online businesses, including privacy and data protection regimes, are expansive, not clearly defined and rapidly evolving. These laws and regulations could create unexpected costs, subject us to threats of lawsuits, enforcement actions for compliance failures, result in declines in user growth or engagement, restrict portions of our business or cause us to change our technology platform or business model.</w:t>
      </w:r>
    </w:p>
    <w:p>
      <w:pPr>
        <w:spacing w:after="0" w:line="79" w:lineRule="exact"/>
        <w:rPr>
          <w:sz w:val="20"/>
          <w:szCs w:val="20"/>
          <w:color w:val="auto"/>
        </w:rPr>
      </w:pPr>
    </w:p>
    <w:p>
      <w:pPr>
        <w:ind w:right="60" w:firstLine="495"/>
        <w:spacing w:after="0" w:line="263" w:lineRule="auto"/>
        <w:rPr>
          <w:sz w:val="20"/>
          <w:szCs w:val="20"/>
          <w:color w:val="auto"/>
        </w:rPr>
      </w:pPr>
      <w:r>
        <w:rPr>
          <w:rFonts w:ascii="Arial" w:cs="Arial" w:eastAsia="Arial" w:hAnsi="Arial"/>
          <w:sz w:val="18"/>
          <w:szCs w:val="18"/>
          <w:color w:val="auto"/>
        </w:rPr>
        <w:t>Governments around the world, including the PRC, Hong Kong, U.S. and European Union governments, have enacted or are considering legislation related to online businesses. There may be an increase in legislation and regulation related to online marketing, the use of geo-location data to inform marketing, the collection and use of internet user data and unique device identifiers, such as IP</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 w:name="page18"/>
    <w:bookmarkEnd w:id="17"/>
    <w:p>
      <w:pPr>
        <w:spacing w:after="0" w:line="257" w:lineRule="auto"/>
        <w:rPr>
          <w:sz w:val="20"/>
          <w:szCs w:val="20"/>
          <w:color w:val="auto"/>
        </w:rPr>
      </w:pPr>
      <w:r>
        <w:rPr>
          <w:rFonts w:ascii="Arial" w:cs="Arial" w:eastAsia="Arial" w:hAnsi="Arial"/>
          <w:sz w:val="18"/>
          <w:szCs w:val="18"/>
          <w:color w:val="auto"/>
        </w:rPr>
        <w:t>address or mobile unique device identifiers, and other data protection and privacy regulation. Some of our competitors may have more access to lobbyists or governmental officials and may use that access to effect statutory or regulatory changes in a manner to commercially harm us while favoring their solutions.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spacing w:after="0" w:line="188" w:lineRule="exact"/>
        <w:rPr>
          <w:sz w:val="20"/>
          <w:szCs w:val="20"/>
          <w:color w:val="auto"/>
        </w:rPr>
      </w:pPr>
    </w:p>
    <w:p>
      <w:pPr>
        <w:ind w:right="160" w:firstLine="495"/>
        <w:spacing w:after="0" w:line="263" w:lineRule="auto"/>
        <w:rPr>
          <w:sz w:val="20"/>
          <w:szCs w:val="20"/>
          <w:color w:val="auto"/>
        </w:rPr>
      </w:pPr>
      <w:r>
        <w:rPr>
          <w:rFonts w:ascii="Arial" w:cs="Arial" w:eastAsia="Arial" w:hAnsi="Arial"/>
          <w:sz w:val="18"/>
          <w:szCs w:val="18"/>
          <w:color w:val="auto"/>
        </w:rPr>
        <w:t>We primarily target Chinese language internet users in China for our marketers from all over the world. Through our enterprise solutions, we also access and gather data of users outside China as clients adopt our enterprise solutions. As a result, we may be directly or indirectly subject to the laws and regulations on online marketing, including data and privacy laws, of multiple jurisdictions.</w:t>
      </w:r>
    </w:p>
    <w:p>
      <w:pPr>
        <w:spacing w:after="0" w:line="184" w:lineRule="exact"/>
        <w:rPr>
          <w:sz w:val="20"/>
          <w:szCs w:val="20"/>
          <w:color w:val="auto"/>
        </w:rPr>
      </w:pPr>
    </w:p>
    <w:p>
      <w:pPr>
        <w:ind w:right="20" w:firstLine="495"/>
        <w:spacing w:after="0" w:line="284" w:lineRule="auto"/>
        <w:rPr>
          <w:sz w:val="20"/>
          <w:szCs w:val="20"/>
          <w:color w:val="auto"/>
        </w:rPr>
      </w:pPr>
      <w:r>
        <w:rPr>
          <w:rFonts w:ascii="Arial" w:cs="Arial" w:eastAsia="Arial" w:hAnsi="Arial"/>
          <w:sz w:val="16"/>
          <w:szCs w:val="16"/>
          <w:color w:val="auto"/>
        </w:rPr>
        <w:t>In recent years, the PRC government has enacted legislation on internet use to protect personal information from any unauthorized disclosure. For example, on February 1, 2013, China’s first set of personal data protection guidelines, the Guidelines for Personal Information Protection in Information Security Technology Public and Commercial Service Systems, came into effect, which set forth detailed personal information protection requirements on data collection, data processing, data transfer and data creation. Although these guidelines are voluntary and non-binding, we believe that growing regulatory oversight of data privacy in China is inevitable. In addition, Amendment 9 to the PRC Criminal Law prohibits institutions, companies and their employees in the telecommunications and other industries from selling or otherwise illegally disclosing a citizen’s personal information or obtaining such information through theft or other illegal ways, and further stipulates that persons who sell or otherwise illegally disclose a citizen’s personal information obtained during the course of performing duties or providing services shall be subject to a heavier sentence. On November 7, 2016, the Standing Committee of the PRC National People’s Congress issued the Cyber Security Law of the PRC, which became effective on June 1, 2017. Pursuant to the Cyber Security Law of the PRC, providers of network products and services shall provide security maintenance for their products and services and shall comply with provisions regarding the protection of personal information as stipulated under the relevant laws and regulations. Moreover, the Provisions on Protection of Personal Information of Telecommunication and Internet Users is the specific regulation governing the collection, use, disclosure and security of personal information. Complying with these PRC laws and regulations may cause us to incur substantial costs or require us to change our business practices. Furthermore, the Personal Information Security Specification, last revised on March 6, 2020, or the China Specification, came into force on October 1, 2020. Although the China Specification is not a mandatory regulation, it nonetheless has a key implementing role in relation to China’s Cyber Security Law in respect of protecting personal information in China. It is likely that the China Specification will be relied on by Chinese government agencies as a standard to determine whether businesses have abided by China’s data protection rules. The China Specification has broadened the scope of personal sensitive information, or PSI, including but not limited to phone number, transaction record and purchase history, bank account, browse history, and e-ID info such as system account, email address and corresponding password, and thus, the application of explicit consent under the China Specification is more far reaching. Furthermore, under the China Specification, the data controller must provide the purpose of collecting and using subject personal information, as well as business functions of such purpose, and the China Specification requires the data controller to distinguish its core function from additional functions to ensure the data controller will only collect personal information as needed. Our failure to comply with the China Specification could result in governmental enforcement actions, litigation, fines and penalties, which could have a material adverse effect on our business, results of operations, financial condition and prospects. On November 28, 2019, the Cyberspace Administration of China, or the MIIT, the Ministry of Public Security, and the State Administration for Market Regulation of the PRC jointly formulated the Method for Identifying the Illegal Collection and Use of Personal Information by Applications, which explicitly sets out the specific methods of identifying six types of illegal behaviors of collecting and using personal information through applications. If we are unable to respond to changing laws, regulations, policies and guidelines related to privacy or cyber security, our business, financial condition, results of operations and prospects may be materially and adversely affected.</w:t>
      </w:r>
    </w:p>
    <w:p>
      <w:pPr>
        <w:spacing w:after="0" w:line="168" w:lineRule="exact"/>
        <w:rPr>
          <w:sz w:val="20"/>
          <w:szCs w:val="20"/>
          <w:color w:val="auto"/>
        </w:rPr>
      </w:pPr>
    </w:p>
    <w:p>
      <w:pPr>
        <w:ind w:right="100" w:firstLine="495"/>
        <w:spacing w:after="0" w:line="263" w:lineRule="auto"/>
        <w:rPr>
          <w:sz w:val="20"/>
          <w:szCs w:val="20"/>
          <w:color w:val="auto"/>
        </w:rPr>
      </w:pPr>
      <w:r>
        <w:rPr>
          <w:rFonts w:ascii="Arial" w:cs="Arial" w:eastAsia="Arial" w:hAnsi="Arial"/>
          <w:sz w:val="18"/>
          <w:szCs w:val="18"/>
          <w:color w:val="auto"/>
        </w:rPr>
        <w:t>In Hong Kong, the Hong Kong Personal Data Ordinance prohibits an internet company collecting information about its users, analyzing the information for a profile of the user’s interests or selling or transmitting the profiles to third parties for direct marketing purposes unless it has obtained the user’s consent.</w:t>
      </w:r>
    </w:p>
    <w:p>
      <w:pPr>
        <w:spacing w:after="0" w:line="184" w:lineRule="exact"/>
        <w:rPr>
          <w:sz w:val="20"/>
          <w:szCs w:val="20"/>
          <w:color w:val="auto"/>
        </w:rPr>
      </w:pPr>
    </w:p>
    <w:p>
      <w:pPr>
        <w:ind w:right="40" w:firstLine="495"/>
        <w:spacing w:after="0" w:line="275" w:lineRule="auto"/>
        <w:rPr>
          <w:sz w:val="20"/>
          <w:szCs w:val="20"/>
          <w:color w:val="auto"/>
        </w:rPr>
      </w:pPr>
      <w:r>
        <w:rPr>
          <w:rFonts w:ascii="Arial" w:cs="Arial" w:eastAsia="Arial" w:hAnsi="Arial"/>
          <w:sz w:val="17"/>
          <w:szCs w:val="17"/>
          <w:color w:val="auto"/>
        </w:rPr>
        <w:t>In the U.S., all 50 states have now passed laws to regulate the actions that a business must take in the event of a data breach, such as prompt disclosure and notification to affected users and regulatory authorities. In addition to the data breach notification laws, some states have also enacted statutes and rules requiring businesses to reasonably protect certain types of personal information they hold or to otherwise comply with certain specified data security requirements for personal information. Additionally, the U.S. government has announced that it is reviewing the need for greater regulation of the collection of consumer information, including regulation aimed at restricting some targeted advertising practices.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8" w:name="page19"/>
    <w:bookmarkEnd w:id="18"/>
    <w:p>
      <w:pPr>
        <w:ind w:firstLine="495"/>
        <w:spacing w:after="0" w:line="267" w:lineRule="auto"/>
        <w:rPr>
          <w:sz w:val="20"/>
          <w:szCs w:val="20"/>
          <w:color w:val="auto"/>
        </w:rPr>
      </w:pPr>
      <w:r>
        <w:rPr>
          <w:rFonts w:ascii="Arial" w:cs="Arial" w:eastAsia="Arial" w:hAnsi="Arial"/>
          <w:sz w:val="17"/>
          <w:szCs w:val="17"/>
          <w:color w:val="auto"/>
        </w:rPr>
        <w:t>In the European Union, or EU, to the extent it is applicable to the processing operations carried out in the course of our activities, the General Data Protection Regulation, or the GDPR, which became applicable on May 25, 2018, has a broad territorial scope affecting the processing of personal data by companies outside of the EU offering goods and services to, or monitoring the behavior of, individuals in the EU. The GDPR introduces new obligations for subject companies in the area of privacy and data protection. The GDPR implements more stringent legal and operational requirements for both processors and controllers of personal data, including, for example, requiring expanded disclosures about how personal information is to be used, limitations on retention of information, new rights for data subjects with respect to their data (including by enabling them to exercise rights to erasure and data portability), mandatory data breach notification requirements, and higher standards for data controllers to demonstrate that they have obtained either valid consent or have another legal basis in place to justify their data processing activities. The GDPR further provides that EU member states may make their own additional laws and regulations in relation to certain data processing activities, which could further limit our ability to use and share personal data and could require localized changes to our operating model. Under the GDPR, fines of up to a 20 million or up to 4% of the total worldwide annual turnover of the preceding financial year, whichever is higher, may be imposed in certain cases of non-compliance. To the extent the GDPR is applicable, the implementation of the GDPR may require amendments to our procedures and policies or the agreements we have with our service providers and clients, and these changes could impact our business by increasing its operational and compliance costs. The EU has also released a proposed Regulation on Privacy and Electronic Communications, or the e-Privacy Regulation, to replace the EU’s current Privacy and Electronic Communications Directive, or the e-Privacy Directive, to, among other things, achieve a greater harmonization among EU member states and better align the rules governing electronic communications (e.g., in relation to the use of cookies and other tracking technologies and protection against spam) with the requirements of the GDPR. While the ePrivacy Regulation was originally intended to be adopted on May 25, 2018 (alongside the GDPR), it is still going through the European legislative process and commentators now expect it to be adopted by the end of 2020. The current draft of the ePrivacy Regulation imposes strict opt-in e-marketing rules with limited exceptions to business to business communications and significantly increases fining powers to the same levels as GDPR. Regulations of cookies and web beacons may lead to broader restrictions on our online activities, including efforts to understand followers’ internet usage and promote ourselves to them.</w:t>
      </w:r>
    </w:p>
    <w:p>
      <w:pPr>
        <w:spacing w:after="0" w:line="185" w:lineRule="exact"/>
        <w:rPr>
          <w:sz w:val="20"/>
          <w:szCs w:val="20"/>
          <w:color w:val="auto"/>
        </w:rPr>
      </w:pPr>
    </w:p>
    <w:p>
      <w:pPr>
        <w:ind w:right="80" w:firstLine="495"/>
        <w:spacing w:after="0" w:line="255" w:lineRule="auto"/>
        <w:rPr>
          <w:sz w:val="20"/>
          <w:szCs w:val="20"/>
          <w:color w:val="auto"/>
        </w:rPr>
      </w:pPr>
      <w:r>
        <w:rPr>
          <w:rFonts w:ascii="Arial" w:cs="Arial" w:eastAsia="Arial" w:hAnsi="Arial"/>
          <w:sz w:val="18"/>
          <w:szCs w:val="18"/>
          <w:color w:val="auto"/>
        </w:rPr>
        <w:t>Outside of the U.S. and the EU, many jurisdictions have adopted or are adopting new data privacy and data protection laws that may impose further onerous compliance requirements, such as data localization, which prohibits companies from storing outside the jurisdiction data relating to resident individuals in data centers outside the jurisdiction. The proliferation of such laws within the jurisdictions and countries in which we operate may result in conflicting and contradictory requirements, particularly in relation to evolving technologies such as cloud computing. Any failure to successfully navigate the changing regulatory landscape could result in legal liability or impairment to our reputation in the marketplace, which could have a material adverse effect on our business and operations.</w:t>
      </w:r>
    </w:p>
    <w:p>
      <w:pPr>
        <w:spacing w:after="0" w:line="192" w:lineRule="exact"/>
        <w:rPr>
          <w:sz w:val="20"/>
          <w:szCs w:val="20"/>
          <w:color w:val="auto"/>
        </w:rPr>
      </w:pPr>
    </w:p>
    <w:p>
      <w:pPr>
        <w:ind w:right="40" w:firstLine="495"/>
        <w:spacing w:after="0" w:line="269" w:lineRule="auto"/>
        <w:rPr>
          <w:sz w:val="20"/>
          <w:szCs w:val="20"/>
          <w:color w:val="auto"/>
        </w:rPr>
      </w:pPr>
      <w:r>
        <w:rPr>
          <w:rFonts w:ascii="Arial" w:cs="Arial" w:eastAsia="Arial" w:hAnsi="Arial"/>
          <w:sz w:val="17"/>
          <w:szCs w:val="17"/>
          <w:color w:val="auto"/>
        </w:rPr>
        <w:t>While we strive to comply with all applicable laws and regulations relating to privacy and data collection, processing, use, and disclosure applicable to us, it is possible that our practices are and will continue to be, inconsistent with certain regulatory requirements.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data protection and privacy laws or to provide adequate notice and/or obtain consent from end users. In addition, some of our content distribution channels require us to indemnify and hold them harmless from the costs or consequences of litigation resulting from using their networks. Any proceeding, claims or lawsuits initiated by governmental bodies, customers or other third parties, whether meritorious or not, or perception of concerns relating to our collection, use, disclosure, and retention of data, including our security measures applicable to the data we collect, whether or not valid, could harm our reputation, force us to spend significant amounts and time on defense of these proceedings, give rise to significant fines, liabilities and damage awards, distract our management, change our business practices, increase our costs of doing business, inhibit the use of our solutions, harm our ability to keep existing customers or attract new customers, or otherwise materially and adversely affect our business, results of operations and prospects.</w:t>
      </w:r>
    </w:p>
    <w:p>
      <w:pPr>
        <w:spacing w:after="0" w:line="28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spacing w:after="0" w:line="38" w:lineRule="exact"/>
        <w:rPr>
          <w:sz w:val="20"/>
          <w:szCs w:val="20"/>
          <w:color w:val="auto"/>
        </w:rPr>
      </w:pPr>
    </w:p>
    <w:p>
      <w:pPr>
        <w:ind w:right="120" w:firstLine="495"/>
        <w:spacing w:after="0" w:line="257" w:lineRule="auto"/>
        <w:rPr>
          <w:sz w:val="20"/>
          <w:szCs w:val="20"/>
          <w:color w:val="auto"/>
        </w:rPr>
      </w:pPr>
      <w:r>
        <w:rPr>
          <w:rFonts w:ascii="Arial" w:cs="Arial" w:eastAsia="Arial" w:hAnsi="Arial"/>
          <w:sz w:val="18"/>
          <w:szCs w:val="18"/>
          <w:color w:val="auto"/>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9" w:name="page20"/>
    <w:bookmarkEnd w:id="19"/>
    <w:p>
      <w:pPr>
        <w:ind w:right="20" w:firstLine="495"/>
        <w:spacing w:after="0" w:line="287" w:lineRule="auto"/>
        <w:rPr>
          <w:sz w:val="20"/>
          <w:szCs w:val="20"/>
          <w:color w:val="auto"/>
        </w:rPr>
      </w:pPr>
      <w:r>
        <w:rPr>
          <w:rFonts w:ascii="Arial" w:cs="Arial" w:eastAsia="Arial" w:hAnsi="Arial"/>
          <w:sz w:val="16"/>
          <w:szCs w:val="16"/>
          <w:color w:val="auto"/>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clients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clients is authentic or complete, or that we are able to identify and rectify all non-compliances in a timely manner.</w:t>
      </w:r>
    </w:p>
    <w:p>
      <w:pPr>
        <w:spacing w:after="0" w:line="168" w:lineRule="exact"/>
        <w:rPr>
          <w:sz w:val="20"/>
          <w:szCs w:val="20"/>
          <w:color w:val="auto"/>
        </w:rPr>
      </w:pPr>
    </w:p>
    <w:p>
      <w:pPr>
        <w:ind w:firstLine="495"/>
        <w:spacing w:after="0" w:line="270" w:lineRule="auto"/>
        <w:rPr>
          <w:sz w:val="20"/>
          <w:szCs w:val="20"/>
          <w:color w:val="auto"/>
        </w:rPr>
      </w:pPr>
      <w:r>
        <w:rPr>
          <w:rFonts w:ascii="Arial" w:cs="Arial" w:eastAsia="Arial" w:hAnsi="Arial"/>
          <w:sz w:val="17"/>
          <w:szCs w:val="17"/>
          <w:color w:val="auto"/>
        </w:rPr>
        <w:t>Moreover, civil claims may be filed against us for fraud, defamation, subversion, negligence, copyright or trademark infringement or other violations due to the nature and content of the information for which we provide 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marketing campaign contracts contain a back-to-back representation and warranty as to the truthfulness of the advertising content or an indemnity provision where the clients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grow efficiently to meet our clients’ increasing needs, our operating results could be harmed.</w:t>
      </w:r>
    </w:p>
    <w:p>
      <w:pPr>
        <w:spacing w:after="0" w:line="117" w:lineRule="exact"/>
        <w:rPr>
          <w:sz w:val="20"/>
          <w:szCs w:val="20"/>
          <w:color w:val="auto"/>
        </w:rPr>
      </w:pPr>
    </w:p>
    <w:p>
      <w:pPr>
        <w:ind w:firstLine="495"/>
        <w:spacing w:after="0" w:line="254" w:lineRule="auto"/>
        <w:rPr>
          <w:sz w:val="20"/>
          <w:szCs w:val="20"/>
          <w:color w:val="auto"/>
        </w:rPr>
      </w:pPr>
      <w:r>
        <w:rPr>
          <w:rFonts w:ascii="Arial" w:cs="Arial" w:eastAsia="Arial" w:hAnsi="Arial"/>
          <w:sz w:val="18"/>
          <w:szCs w:val="18"/>
          <w:color w:val="auto"/>
        </w:rPr>
        <w:t>As usage of our solutions grows, we will need to devote additional resources to improving our system infrastructure. In addition, we will need to appropriately scale our internal business systems and our services organization, including account servicing staff, to serve marketers’ growing demands. We cannot assure you 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client departure, which could harm our reputation and adversely affect our business and results of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account services, our business and reputation may suffer.</w:t>
      </w:r>
    </w:p>
    <w:p>
      <w:pPr>
        <w:spacing w:after="0" w:line="117" w:lineRule="exact"/>
        <w:rPr>
          <w:sz w:val="20"/>
          <w:szCs w:val="20"/>
          <w:color w:val="auto"/>
        </w:rPr>
      </w:pPr>
    </w:p>
    <w:p>
      <w:pPr>
        <w:ind w:right="80" w:firstLine="495"/>
        <w:spacing w:after="0" w:line="275" w:lineRule="auto"/>
        <w:rPr>
          <w:sz w:val="20"/>
          <w:szCs w:val="20"/>
          <w:color w:val="auto"/>
        </w:rPr>
      </w:pPr>
      <w:r>
        <w:rPr>
          <w:rFonts w:ascii="Arial" w:cs="Arial" w:eastAsia="Arial" w:hAnsi="Arial"/>
          <w:sz w:val="17"/>
          <w:szCs w:val="17"/>
          <w:color w:val="auto"/>
        </w:rPr>
        <w:t>Our success in marketing and sale of our solutions and retention and expansion of client base depends on our ability to maintain a consistently high level of customer services, client education and technical support, which requires that our account servicing personnel have specific marketing domain knowledge and expertise. If we are unable to hire and train a sufficient number of support staff to provide effective and timely support to our clients, our clients’ appreciation of, or satisfaction with, our solutions may be adversely affected, resulting in reduced client spending or departure and adversely affect our reputation and materially and adversely affect our business and results of operations.</w:t>
      </w:r>
    </w:p>
    <w:p>
      <w:pPr>
        <w:spacing w:after="0" w:line="2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offer high-quality technical support services under enterprise solutions, our relationships with our clients and our financial results may be adversely affected.</w:t>
      </w:r>
    </w:p>
    <w:p>
      <w:pPr>
        <w:spacing w:after="0" w:line="62" w:lineRule="exact"/>
        <w:rPr>
          <w:sz w:val="20"/>
          <w:szCs w:val="20"/>
          <w:color w:val="auto"/>
        </w:rPr>
      </w:pPr>
    </w:p>
    <w:p>
      <w:pPr>
        <w:ind w:right="200" w:firstLine="495"/>
        <w:spacing w:after="0" w:line="273" w:lineRule="auto"/>
        <w:rPr>
          <w:sz w:val="20"/>
          <w:szCs w:val="20"/>
          <w:color w:val="auto"/>
        </w:rPr>
      </w:pPr>
      <w:r>
        <w:rPr>
          <w:rFonts w:ascii="Arial" w:cs="Arial" w:eastAsia="Arial" w:hAnsi="Arial"/>
          <w:sz w:val="17"/>
          <w:szCs w:val="17"/>
          <w:color w:val="auto"/>
        </w:rPr>
        <w:t>Clients of our enterprise solutions will depend on our support to resolve technical issues relating to our applications. We may be unable to respond quickly enough to accommodate short-term increases in their demand for support services. Increased demand for these services, without corresponding revenues, could increase costs and adversely affect our operating results. In addition, our sales growth can be highly dependent on our applications and business reputation and on positive recommendations from clients. Any failure to maintain high-quality technical support, or a market perception that we do not maintain high-quality support, could adversely affect our reputation, our ability to sell our service offerings to existing and prospective customers, and our business, operating results and financial position.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 w:name="page21"/>
    <w:bookmarkEnd w:id="20"/>
    <w:p>
      <w:pPr>
        <w:ind w:right="640"/>
        <w:spacing w:after="0" w:line="277" w:lineRule="auto"/>
        <w:rPr>
          <w:sz w:val="20"/>
          <w:szCs w:val="20"/>
          <w:color w:val="auto"/>
        </w:rPr>
      </w:pPr>
      <w:r>
        <w:rPr>
          <w:rFonts w:ascii="Arial" w:cs="Arial" w:eastAsia="Arial" w:hAnsi="Arial"/>
          <w:sz w:val="18"/>
          <w:szCs w:val="18"/>
          <w:b w:val="1"/>
          <w:bCs w:val="1"/>
          <w:i w:val="1"/>
          <w:iCs w:val="1"/>
          <w:color w:val="auto"/>
        </w:rPr>
        <w:t>If we fail to innovate, adapt and respond timely and effectively to rapidly changing technologies and new trends, our solutions may become less competitive or obsolete.</w:t>
      </w:r>
    </w:p>
    <w:p>
      <w:pPr>
        <w:spacing w:after="0" w:line="62" w:lineRule="exact"/>
        <w:rPr>
          <w:sz w:val="20"/>
          <w:szCs w:val="20"/>
          <w:color w:val="auto"/>
        </w:rPr>
      </w:pPr>
    </w:p>
    <w:p>
      <w:pPr>
        <w:ind w:right="20" w:firstLine="495"/>
        <w:spacing w:after="0" w:line="270" w:lineRule="auto"/>
        <w:rPr>
          <w:sz w:val="20"/>
          <w:szCs w:val="20"/>
          <w:color w:val="auto"/>
        </w:rPr>
      </w:pPr>
      <w:r>
        <w:rPr>
          <w:rFonts w:ascii="Arial" w:cs="Arial" w:eastAsia="Arial" w:hAnsi="Arial"/>
          <w:sz w:val="17"/>
          <w:szCs w:val="17"/>
          <w:color w:val="auto"/>
        </w:rPr>
        <w:t>Our future success will depend on our ability to continuously innovate, enhance and broaden our solutions to meet evolving needs for online marketing, data and intelligent enterprise solutions, and address technological advancements and new trends in these areas,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information or other intellectual property, our business could be adversely affected.</w:t>
      </w:r>
    </w:p>
    <w:p>
      <w:pPr>
        <w:spacing w:after="0" w:line="117" w:lineRule="exact"/>
        <w:rPr>
          <w:sz w:val="20"/>
          <w:szCs w:val="20"/>
          <w:color w:val="auto"/>
        </w:rPr>
      </w:pPr>
    </w:p>
    <w:p>
      <w:pPr>
        <w:ind w:firstLine="495"/>
        <w:spacing w:after="0" w:line="289" w:lineRule="auto"/>
        <w:rPr>
          <w:sz w:val="20"/>
          <w:szCs w:val="20"/>
          <w:color w:val="auto"/>
        </w:rPr>
      </w:pPr>
      <w:r>
        <w:rPr>
          <w:rFonts w:ascii="Arial" w:cs="Arial" w:eastAsia="Arial" w:hAnsi="Arial"/>
          <w:sz w:val="16"/>
          <w:szCs w:val="16"/>
          <w:color w:val="auto"/>
        </w:rPr>
        <w:t>As of December 31, 2020, we held two patents and 92 computer software copyrights in China, and 24 registered trademarks in China, Hong Kong and Singapore. 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w:t>
      </w:r>
    </w:p>
    <w:p>
      <w:pPr>
        <w:spacing w:after="0" w:line="166" w:lineRule="exact"/>
        <w:rPr>
          <w:sz w:val="20"/>
          <w:szCs w:val="20"/>
          <w:color w:val="auto"/>
        </w:rPr>
      </w:pPr>
    </w:p>
    <w:p>
      <w:pPr>
        <w:jc w:val="both"/>
        <w:ind w:right="20" w:firstLine="495"/>
        <w:spacing w:after="0" w:line="286" w:lineRule="auto"/>
        <w:rPr>
          <w:sz w:val="20"/>
          <w:szCs w:val="20"/>
          <w:color w:val="auto"/>
        </w:rPr>
      </w:pPr>
      <w:r>
        <w:rPr>
          <w:rFonts w:ascii="Arial" w:cs="Arial" w:eastAsia="Arial" w:hAnsi="Arial"/>
          <w:sz w:val="17"/>
          <w:szCs w:val="17"/>
          <w:color w:val="auto"/>
        </w:rPr>
        <w:t>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2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technologies or any other aspects of our business infringe on the intellectual property rights of others.</w:t>
      </w:r>
    </w:p>
    <w:p>
      <w:pPr>
        <w:spacing w:after="0" w:line="62" w:lineRule="exact"/>
        <w:rPr>
          <w:sz w:val="20"/>
          <w:szCs w:val="20"/>
          <w:color w:val="auto"/>
        </w:rPr>
      </w:pPr>
    </w:p>
    <w:p>
      <w:pPr>
        <w:ind w:right="20" w:firstLine="495"/>
        <w:spacing w:after="0" w:line="269" w:lineRule="auto"/>
        <w:rPr>
          <w:sz w:val="20"/>
          <w:szCs w:val="20"/>
          <w:color w:val="auto"/>
        </w:rPr>
      </w:pPr>
      <w:r>
        <w:rPr>
          <w:rFonts w:ascii="Arial" w:cs="Arial" w:eastAsia="Arial" w:hAnsi="Arial"/>
          <w:sz w:val="17"/>
          <w:szCs w:val="17"/>
          <w:color w:val="auto"/>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 may be subject to an injunction and/or required to pay significant damages or spend significant time and resources to rebrand any relevant products or services.</w:t>
      </w:r>
    </w:p>
    <w:p>
      <w:pPr>
        <w:spacing w:after="0" w:line="179" w:lineRule="exact"/>
        <w:rPr>
          <w:sz w:val="20"/>
          <w:szCs w:val="20"/>
          <w:color w:val="auto"/>
        </w:rPr>
      </w:pPr>
    </w:p>
    <w:p>
      <w:pPr>
        <w:ind w:right="80" w:firstLine="495"/>
        <w:spacing w:after="0" w:line="269" w:lineRule="auto"/>
        <w:rPr>
          <w:sz w:val="20"/>
          <w:szCs w:val="20"/>
          <w:color w:val="auto"/>
        </w:rPr>
      </w:pPr>
      <w:r>
        <w:rPr>
          <w:rFonts w:ascii="Arial" w:cs="Arial" w:eastAsia="Arial" w:hAnsi="Arial"/>
          <w:sz w:val="17"/>
          <w:szCs w:val="17"/>
          <w:color w:val="auto"/>
        </w:rPr>
        <w:t>We have received in the past, and expect to receive in the future, notices that claim we have infringed, misappropriated or misused other parties’ trademark and other intellectual property rights. For example, in January 2015, iClick, Inc., a company incorporated in the state of Washington in the United States and the owner of a U.S. registered trademark for the term “iClick” filed an action in the United States District Court for the District of Colorado against one of our subsidiaries in Hong Kong, iClick Interactive Asia Limited, alleging trademark and trade name infringement and unfair competition, among others. The basis of iClick Inc.’s claims arose from iClick Interactive Asia Limited’s use of the name iClick in the United States. We believe these claims lacked merit, primarily because the parties offer different goods and services, and therefore any chance of consumer confusion is remote. However, to avoid the costs and uncertainty of litigation, we settled the lawsuit in January 2016. Furthermore, we have not conducted any trademark clearance searches in the United States nor have we obtained any registrations or filed any applications for the registration of our trade names or trademarks in the United States. Although common law and federal law in the United States provide unregistered mark in use in the United States with protection against infringement, such protection is only limited to the geographic areas where such mark is in use. Therefore, we may not be able to effectively enforce and protect our trade names or trademark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21" w:name="page22"/>
    <w:bookmarkEnd w:id="21"/>
    <w:p>
      <w:pPr>
        <w:ind w:right="20"/>
        <w:spacing w:after="0" w:line="263" w:lineRule="auto"/>
        <w:rPr>
          <w:sz w:val="20"/>
          <w:szCs w:val="20"/>
          <w:color w:val="auto"/>
        </w:rPr>
      </w:pPr>
      <w:r>
        <w:rPr>
          <w:rFonts w:ascii="Arial" w:cs="Arial" w:eastAsia="Arial" w:hAnsi="Arial"/>
          <w:sz w:val="18"/>
          <w:szCs w:val="18"/>
          <w:color w:val="auto"/>
        </w:rPr>
        <w:t>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spacing w:after="0" w:line="292"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spacing w:after="0" w:line="1" w:lineRule="exact"/>
        <w:rPr>
          <w:sz w:val="20"/>
          <w:szCs w:val="20"/>
          <w:color w:val="auto"/>
        </w:rPr>
      </w:pPr>
    </w:p>
    <w:p>
      <w:pPr>
        <w:jc w:val="both"/>
        <w:ind w:right="140" w:firstLine="495"/>
        <w:spacing w:after="0" w:line="259" w:lineRule="auto"/>
        <w:rPr>
          <w:sz w:val="20"/>
          <w:szCs w:val="20"/>
          <w:color w:val="auto"/>
        </w:rPr>
      </w:pPr>
      <w:r>
        <w:rPr>
          <w:rFonts w:ascii="Arial" w:cs="Arial" w:eastAsia="Arial" w:hAnsi="Arial"/>
          <w:sz w:val="18"/>
          <w:szCs w:val="18"/>
          <w:color w:val="auto"/>
        </w:rPr>
        <w:t>We have expanded our business and offerings through organic growth as well as acquisitions and strategic investments. For example, in July 2015, we acquired OptAim, a mobile marketing business. Since the acquisition, we have substantially expanded our mobile marketing business, with OptAim’s complementary mobile analytics, attribution technologies, and content distribution channel partners that allow marketers to track and optimize marketing campaigns on mobile channels.</w:t>
      </w:r>
    </w:p>
    <w:p>
      <w:pPr>
        <w:spacing w:after="0" w:line="187" w:lineRule="exact"/>
        <w:rPr>
          <w:sz w:val="20"/>
          <w:szCs w:val="20"/>
          <w:color w:val="auto"/>
        </w:rPr>
      </w:pPr>
    </w:p>
    <w:p>
      <w:pPr>
        <w:ind w:right="20" w:firstLine="495"/>
        <w:spacing w:after="0" w:line="259" w:lineRule="auto"/>
        <w:rPr>
          <w:sz w:val="20"/>
          <w:szCs w:val="20"/>
          <w:color w:val="auto"/>
        </w:rPr>
      </w:pPr>
      <w:r>
        <w:rPr>
          <w:rFonts w:ascii="Arial" w:cs="Arial" w:eastAsia="Arial" w:hAnsi="Arial"/>
          <w:sz w:val="18"/>
          <w:szCs w:val="18"/>
          <w:color w:val="auto"/>
        </w:rPr>
        <w:t>In January 2019, we made a controlling investment in Changyi, as we seek to extend our client solutions beyond the core online marketing business, addressing enterprise needs in China, particularly in the emerging area of Smart Retail—an expanding and innovative market involving the combination of online and offline solutions. In October 2020 and December 2020, we further increased our equity stake in Changyi. We have since made additional investments and acquisition to expand our enterprise solution offerings.</w:t>
      </w:r>
    </w:p>
    <w:p>
      <w:pPr>
        <w:spacing w:after="0" w:line="187" w:lineRule="exact"/>
        <w:rPr>
          <w:sz w:val="20"/>
          <w:szCs w:val="20"/>
          <w:color w:val="auto"/>
        </w:rPr>
      </w:pPr>
    </w:p>
    <w:p>
      <w:pPr>
        <w:ind w:right="80" w:firstLine="495"/>
        <w:spacing w:after="0" w:line="277" w:lineRule="auto"/>
        <w:rPr>
          <w:sz w:val="20"/>
          <w:szCs w:val="20"/>
          <w:color w:val="auto"/>
        </w:rPr>
      </w:pPr>
      <w:r>
        <w:rPr>
          <w:rFonts w:ascii="Arial" w:cs="Arial" w:eastAsia="Arial" w:hAnsi="Arial"/>
          <w:sz w:val="18"/>
          <w:szCs w:val="18"/>
          <w:color w:val="auto"/>
        </w:rPr>
        <w:t>In May 2020, we made a controlling investment in Optimal Power Limited to acquire certain premium media licensing assets covering a number of jurisdictions in the Asia-Pacific.</w:t>
      </w:r>
    </w:p>
    <w:p>
      <w:pPr>
        <w:spacing w:after="0" w:line="170" w:lineRule="exact"/>
        <w:rPr>
          <w:sz w:val="20"/>
          <w:szCs w:val="20"/>
          <w:color w:val="auto"/>
        </w:rPr>
      </w:pPr>
    </w:p>
    <w:p>
      <w:pPr>
        <w:ind w:firstLine="495"/>
        <w:spacing w:after="0" w:line="263" w:lineRule="auto"/>
        <w:rPr>
          <w:sz w:val="20"/>
          <w:szCs w:val="20"/>
          <w:color w:val="auto"/>
        </w:rPr>
      </w:pPr>
      <w:r>
        <w:rPr>
          <w:rFonts w:ascii="Arial" w:cs="Arial" w:eastAsia="Arial" w:hAnsi="Arial"/>
          <w:sz w:val="18"/>
          <w:szCs w:val="18"/>
          <w:color w:val="auto"/>
        </w:rPr>
        <w:t>In October 2020, we acquired CMRS Group Holding Limited, or CMRS, a leading marketing automation solution provider in China. The acquisition will allow us to further enhance our full product offerings, leveraging CMRS’s marketing automation capabilities, in particular, for cross-border customers’ marketing into China.</w:t>
      </w:r>
    </w:p>
    <w:p>
      <w:pPr>
        <w:spacing w:after="0" w:line="184" w:lineRule="exact"/>
        <w:rPr>
          <w:sz w:val="20"/>
          <w:szCs w:val="20"/>
          <w:color w:val="auto"/>
        </w:rPr>
      </w:pPr>
    </w:p>
    <w:p>
      <w:pPr>
        <w:ind w:firstLine="495"/>
        <w:spacing w:after="0" w:line="301" w:lineRule="auto"/>
        <w:rPr>
          <w:sz w:val="20"/>
          <w:szCs w:val="20"/>
          <w:color w:val="auto"/>
        </w:rPr>
      </w:pPr>
      <w:r>
        <w:rPr>
          <w:rFonts w:ascii="Arial" w:cs="Arial" w:eastAsia="Arial" w:hAnsi="Arial"/>
          <w:sz w:val="16"/>
          <w:szCs w:val="16"/>
          <w:color w:val="auto"/>
        </w:rPr>
        <w:t>In January 2021, we issued certain Class B ordinary shares to Baozun, a leading brand e-commerce service partner that helps brands execute their e-commerce strategies in China and entered into a strategic cooperation framework agreement with it. Pursuant to the strategic cooperation framework agreement, we and Baozun will collaborate in developing a full-cycle, closed-loop e-commerce service model, covering areas such as system development, IT services, digital marketing, store operation, customer services and warehousing and fulfillment services to better serve potential brand partners.</w:t>
      </w:r>
    </w:p>
    <w:p>
      <w:pPr>
        <w:spacing w:after="0" w:line="157" w:lineRule="exact"/>
        <w:rPr>
          <w:sz w:val="20"/>
          <w:szCs w:val="20"/>
          <w:color w:val="auto"/>
        </w:rPr>
      </w:pPr>
    </w:p>
    <w:p>
      <w:pPr>
        <w:ind w:right="100" w:firstLine="495"/>
        <w:spacing w:after="0" w:line="290" w:lineRule="auto"/>
        <w:rPr>
          <w:sz w:val="20"/>
          <w:szCs w:val="20"/>
          <w:color w:val="auto"/>
        </w:rPr>
      </w:pPr>
      <w:r>
        <w:rPr>
          <w:rFonts w:ascii="Arial" w:cs="Arial" w:eastAsia="Arial" w:hAnsi="Arial"/>
          <w:sz w:val="16"/>
          <w:szCs w:val="16"/>
          <w:color w:val="auto"/>
        </w:rPr>
        <w:t>Past and future acquisitions, strategic investments, partnerships or alliances could be difficult to integrate, divert the attention of key management personnel, disrupt our business, dilute shareholder value and adversely affect our business and results of operations. We have limited experience in acquiring and integrating businesses, products and technologies.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including our acquisitions of OptAim and CMRS, our strategic investment in Changyi and Optimal Power Limited, involve numerous risks, any of which could harm our business, including:</w:t>
      </w:r>
    </w:p>
    <w:p>
      <w:pPr>
        <w:spacing w:after="0" w:line="57" w:lineRule="exact"/>
        <w:rPr>
          <w:sz w:val="20"/>
          <w:szCs w:val="20"/>
          <w:color w:val="auto"/>
        </w:rPr>
      </w:pPr>
    </w:p>
    <w:p>
      <w:pPr>
        <w:ind w:left="980" w:right="220" w:hanging="486"/>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services and personnel of acquired businesses, especially if those businesses operate outside of our core competency;</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reputation and perception risks associated with the acquired product or technology by the general public;</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maintain the key business relationships and the reputations of acquired businesses;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17"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for activities of the acquired company, including claims from terminated employees, clients, former shareholders or other third parties;</w:t>
      </w:r>
    </w:p>
    <w:p>
      <w:pPr>
        <w:spacing w:after="0" w:line="62" w:lineRule="exact"/>
        <w:rPr>
          <w:rFonts w:ascii="Arial" w:cs="Arial" w:eastAsia="Arial" w:hAnsi="Arial"/>
          <w:sz w:val="18"/>
          <w:szCs w:val="18"/>
          <w:color w:val="auto"/>
        </w:rPr>
      </w:pPr>
    </w:p>
    <w:p>
      <w:pPr>
        <w:ind w:left="980" w:right="60" w:hanging="486"/>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75" w:lineRule="exact"/>
        <w:rPr>
          <w:rFonts w:ascii="Arial" w:cs="Arial" w:eastAsia="Arial" w:hAnsi="Arial"/>
          <w:sz w:val="18"/>
          <w:szCs w:val="18"/>
          <w:color w:val="auto"/>
        </w:rPr>
      </w:pPr>
    </w:p>
    <w:p>
      <w:pPr>
        <w:ind w:left="980" w:right="540" w:hanging="486"/>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22" w:name="page23"/>
    <w:bookmarkEnd w:id="22"/>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necessary to establish and maintain effective internal controls for acquired businesses;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technology in order to recoup our investment;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fixed costs.</w:t>
      </w:r>
    </w:p>
    <w:p>
      <w:pPr>
        <w:spacing w:after="0" w:line="225"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color w:val="auto"/>
        </w:rPr>
        <w:t>If we are unable to successfully fully integrate any future business, product or technology we acquire, our business, financial condition and results of operations may suffer.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record significant impairment charges as a result of our acquisitions.</w:t>
      </w:r>
    </w:p>
    <w:p>
      <w:pPr>
        <w:spacing w:after="0" w:line="117" w:lineRule="exact"/>
        <w:rPr>
          <w:sz w:val="20"/>
          <w:szCs w:val="20"/>
          <w:color w:val="auto"/>
        </w:rPr>
      </w:pPr>
    </w:p>
    <w:p>
      <w:pPr>
        <w:ind w:right="60" w:firstLine="495"/>
        <w:spacing w:after="0" w:line="273" w:lineRule="auto"/>
        <w:rPr>
          <w:sz w:val="20"/>
          <w:szCs w:val="20"/>
          <w:color w:val="auto"/>
        </w:rPr>
      </w:pPr>
      <w:r>
        <w:rPr>
          <w:rFonts w:ascii="Arial" w:cs="Arial" w:eastAsia="Arial" w:hAnsi="Arial"/>
          <w:sz w:val="17"/>
          <w:szCs w:val="17"/>
          <w:color w:val="auto"/>
        </w:rPr>
        <w:t>As of December 31, 2020, we had goodwill of US$74.4 million, which represented approximately 15.8% of our total assets, the majority of which was related to (i) OptAim and its subsidiaries, its VIE and the VIE’s subsidiary, which we acquired in 2015, (ii) Changyi, of which we acquired the controlling interest in 2019, and (iii) CMRS Group Holding Limited, or CMRS, of which we acquired in 2020. Goodwill is measured on the date of acquisition and is not amortized, but is reviewed for impairment at least annually or more frequently if impairment indicators arise. In evaluating the potential for impairment of goodwill, we make assumptions regarding future operating performance, business trends, and market and economic conditions. Such analyzes further require us to make judgmental assumptions about sales, operating margins, growth rates, and discount rates.</w:t>
      </w:r>
    </w:p>
    <w:p>
      <w:pPr>
        <w:spacing w:after="0" w:line="178" w:lineRule="exact"/>
        <w:rPr>
          <w:sz w:val="20"/>
          <w:szCs w:val="20"/>
          <w:color w:val="auto"/>
        </w:rPr>
      </w:pPr>
    </w:p>
    <w:p>
      <w:pPr>
        <w:ind w:right="20" w:firstLine="495"/>
        <w:spacing w:after="0" w:line="290" w:lineRule="auto"/>
        <w:rPr>
          <w:sz w:val="20"/>
          <w:szCs w:val="20"/>
          <w:color w:val="auto"/>
        </w:rPr>
      </w:pPr>
      <w:r>
        <w:rPr>
          <w:rFonts w:ascii="Arial" w:cs="Arial" w:eastAsia="Arial" w:hAnsi="Arial"/>
          <w:sz w:val="16"/>
          <w:szCs w:val="16"/>
          <w:color w:val="auto"/>
        </w:rPr>
        <w:t>There are inherent uncertainties related to these factors and to management’s judgment in applying these factors to the assessment of goodwill recoverability. Any possible changes in our judgmental assumptions on which the recoverability of goodwill is based would cause a change in the recoverable amounts of goodwill. In addition, we could be required to evaluate the recoverability of goodwill prior to the annual assessment if there are any impairment indicators, including experiencing disruptions to the business, unexpected significant declines in operating results, divestiture of a significant component of our business or market capitalization declines, any of which could be caused by our failure to manage OptAim or other entities in which we have controlling investment, or to successfully integrate their operations with our other operations. Impairment charges could negatively affect our reported earnings and financial ratios in the periods of such charges and limit our ability to obtain financing in the future. See “Item 5. Operating and Financial Review and Prospects—A. Operating Results—Critical Accounting Policies—Impairment of Goodwill” for more information.</w:t>
      </w:r>
    </w:p>
    <w:p>
      <w:pPr>
        <w:spacing w:after="0" w:line="273"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If we do not appropriately maintain effective internal control over financial reporting in accordance with Section 404 of the Sarbanes-Oxley Act of 2002, we may be unable to accurately report our financial results and the market price of our ADSs may be adversely affected.</w:t>
      </w:r>
    </w:p>
    <w:p>
      <w:pPr>
        <w:spacing w:after="0" w:line="16" w:lineRule="exact"/>
        <w:rPr>
          <w:sz w:val="20"/>
          <w:szCs w:val="20"/>
          <w:color w:val="auto"/>
        </w:rPr>
      </w:pPr>
    </w:p>
    <w:p>
      <w:pPr>
        <w:ind w:right="140" w:firstLine="495"/>
        <w:spacing w:after="0" w:line="301" w:lineRule="auto"/>
        <w:rPr>
          <w:sz w:val="20"/>
          <w:szCs w:val="20"/>
          <w:color w:val="auto"/>
        </w:rPr>
      </w:pPr>
      <w:r>
        <w:rPr>
          <w:rFonts w:ascii="Arial" w:cs="Arial" w:eastAsia="Arial" w:hAnsi="Arial"/>
          <w:sz w:val="16"/>
          <w:szCs w:val="16"/>
          <w:color w:val="auto"/>
        </w:rPr>
        <w:t>As a public company in the United States, we are subject to Section 404 of the Sarbanes-Oxley Act of 2002, or the Sarbanes-Oxley Act, which requires that we include a report of management on our internal control over financial reporting in our annual report on Form 20-F beginning with our annual report for the fiscal year ended December 31, 2018. In addition, once we cease to be an “emerging growth company” as such term is defined in JOBS Act, our independent registered public accounting firm must attest to and report on the effectiveness of our internal control over financial reporting.</w:t>
      </w:r>
    </w:p>
    <w:p>
      <w:pPr>
        <w:spacing w:after="0" w:line="157" w:lineRule="exact"/>
        <w:rPr>
          <w:sz w:val="20"/>
          <w:szCs w:val="20"/>
          <w:color w:val="auto"/>
        </w:rPr>
      </w:pPr>
    </w:p>
    <w:p>
      <w:pPr>
        <w:ind w:firstLine="495"/>
        <w:spacing w:after="0" w:line="267" w:lineRule="auto"/>
        <w:rPr>
          <w:sz w:val="20"/>
          <w:szCs w:val="20"/>
          <w:color w:val="auto"/>
        </w:rPr>
      </w:pPr>
      <w:r>
        <w:rPr>
          <w:rFonts w:ascii="Arial" w:cs="Arial" w:eastAsia="Arial" w:hAnsi="Arial"/>
          <w:sz w:val="17"/>
          <w:szCs w:val="17"/>
          <w:color w:val="auto"/>
        </w:rPr>
        <w:t>Our management has concluded that our internal control over financial reporting was not effective as of December 31, 2020. We and our independent registered public accounting firm identified two material weaknesses in our internal control over financial reporting. These two material weaknesses identified relate to (1) the lack of sufficient accounting personnel with appropriate understanding of U.S. GAAP and SEC reporting requirements, and (2) the lack of an up-to-date manual of accounting policies and procedures to facilitate preparation of US GAAP financial statements, which could result in adjustments to US GAAP not identified in a timely and complete manner, causing material misstatements in the Company's financial reporting. We have taken measures to remediate these weaknesses. In particular, we continue to put more effort in hiring additional qualified accounting staff with an appropriate understanding of U.S. GAAP and SEC reporting requirements. Furthermore, we request our existing accounting personnel to complete external courses relating to U.S. GAAP and SEC reporting such that the accounting personnel can earn the necessary credentials to be qualified as certified public accountants in the U.S. We will also continue to require our existing accounting personnel to regularly attend U.S. GAAP and SEC reporting requirement training and workshops hosted by external organizations at least on an annual basis. In addition, we have amended our accounting manual to include U.S. GAAP and SEC financial reporting requirements and also implemented a regular review process to ensure timely update with the new accounting pronouncements and SEC reporting requirements. See “Item 15. Controls and Procedures.” We cannot assure you, however, that these measures may fully address these deficiencies in our internal control over financial reporting or that we may conclude that they have been fully remedied. Our failure to correct these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 This could in turn result in the loss of investor confidence in the reliability of our financial statements. As a result of these, our business, financial condition, results of operations and prospects, as well as the trading price of our ADSs, may be materially and adversely affected. Moreover, ineffective internal control over financial reporting significantly hinders our ability to prevent fraud. Furthermore, we have incurred and may need to incur additional costs and use additional management and other resources in an effort to comply with Section 404 of the Sarbanes-Oxley Act and other requirements going forward.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3" w:name="page24"/>
    <w:bookmarkEnd w:id="23"/>
    <w:p>
      <w:pPr>
        <w:ind w:firstLine="495"/>
        <w:spacing w:after="0" w:line="259" w:lineRule="auto"/>
        <w:rPr>
          <w:sz w:val="20"/>
          <w:szCs w:val="20"/>
          <w:color w:val="auto"/>
        </w:rPr>
      </w:pPr>
      <w:r>
        <w:rPr>
          <w:rFonts w:ascii="Arial" w:cs="Arial" w:eastAsia="Arial" w:hAnsi="Arial"/>
          <w:sz w:val="18"/>
          <w:szCs w:val="18"/>
          <w:color w:val="auto"/>
        </w:rPr>
        <w:t>In addition, our internal controls over financial reporting will not prevent or detect all errors or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Failures or disruption in any systems, software or hardware infrastructure supporting our platform and solutions could significantly disrupt our operation and cause us to lose clients or partners.</w:t>
      </w:r>
    </w:p>
    <w:p>
      <w:pPr>
        <w:spacing w:after="0" w:line="62" w:lineRule="exact"/>
        <w:rPr>
          <w:sz w:val="20"/>
          <w:szCs w:val="20"/>
          <w:color w:val="auto"/>
        </w:rPr>
      </w:pPr>
    </w:p>
    <w:p>
      <w:pPr>
        <w:ind w:right="20" w:firstLine="495"/>
        <w:spacing w:after="0" w:line="289" w:lineRule="auto"/>
        <w:rPr>
          <w:sz w:val="20"/>
          <w:szCs w:val="20"/>
          <w:color w:val="auto"/>
        </w:rPr>
      </w:pPr>
      <w:r>
        <w:rPr>
          <w:rFonts w:ascii="Arial" w:cs="Arial" w:eastAsia="Arial" w:hAnsi="Arial"/>
          <w:sz w:val="16"/>
          <w:szCs w:val="16"/>
          <w:color w:val="auto"/>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 failures, power outages, cyber-attacks, or other malicious human acts and natural disasters. Any steps we take to increase the reliability and redundancy of our systems, software and hardware infrastructure supporting our platform and 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spacing w:after="0" w:line="166" w:lineRule="exact"/>
        <w:rPr>
          <w:sz w:val="20"/>
          <w:szCs w:val="20"/>
          <w:color w:val="auto"/>
        </w:rPr>
      </w:pPr>
    </w:p>
    <w:p>
      <w:pPr>
        <w:ind w:right="80" w:firstLine="495"/>
        <w:spacing w:after="0" w:line="290" w:lineRule="auto"/>
        <w:rPr>
          <w:sz w:val="20"/>
          <w:szCs w:val="20"/>
          <w:color w:val="auto"/>
        </w:rPr>
      </w:pPr>
      <w:r>
        <w:rPr>
          <w:rFonts w:ascii="Arial" w:cs="Arial" w:eastAsia="Arial" w:hAnsi="Arial"/>
          <w:sz w:val="16"/>
          <w:szCs w:val="16"/>
          <w:color w:val="auto"/>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spacing w:after="0" w:line="2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inability to use software licensed from third parties, including open source software could negatively affect our ability to sell our solutions and subject us to possible litigation.</w:t>
      </w:r>
    </w:p>
    <w:p>
      <w:pPr>
        <w:spacing w:after="0" w:line="62" w:lineRule="exact"/>
        <w:rPr>
          <w:sz w:val="20"/>
          <w:szCs w:val="20"/>
          <w:color w:val="auto"/>
        </w:rPr>
      </w:pPr>
    </w:p>
    <w:p>
      <w:pPr>
        <w:ind w:right="80" w:firstLine="495"/>
        <w:spacing w:after="0" w:line="291" w:lineRule="auto"/>
        <w:rPr>
          <w:sz w:val="20"/>
          <w:szCs w:val="20"/>
          <w:color w:val="auto"/>
        </w:rPr>
      </w:pPr>
      <w:r>
        <w:rPr>
          <w:rFonts w:ascii="Arial" w:cs="Arial" w:eastAsia="Arial" w:hAnsi="Arial"/>
          <w:sz w:val="16"/>
          <w:szCs w:val="16"/>
          <w:color w:val="auto"/>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clients.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spacing w:after="0" w:line="166" w:lineRule="exact"/>
        <w:rPr>
          <w:sz w:val="20"/>
          <w:szCs w:val="20"/>
          <w:color w:val="auto"/>
        </w:rPr>
      </w:pPr>
    </w:p>
    <w:p>
      <w:pPr>
        <w:ind w:right="60" w:firstLine="495"/>
        <w:spacing w:after="0" w:line="301" w:lineRule="auto"/>
        <w:rPr>
          <w:sz w:val="20"/>
          <w:szCs w:val="20"/>
          <w:color w:val="auto"/>
        </w:rPr>
      </w:pPr>
      <w:r>
        <w:rPr>
          <w:rFonts w:ascii="Arial" w:cs="Arial" w:eastAsia="Arial" w:hAnsi="Arial"/>
          <w:sz w:val="16"/>
          <w:szCs w:val="16"/>
          <w:color w:val="auto"/>
        </w:rPr>
        <w:t>In the future, we could be required to seek licenses from third parties in order to continue offering our solution, in which case licenses may not be available on terms that are acceptable to us, or at all. Alternatively, 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spacing w:after="0" w:line="2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detect fraud or serve marketers’ marketing content on undesirable websites, our reputation will suffer, which would harm our brand and negatively impact our business and results of operations.</w:t>
      </w:r>
    </w:p>
    <w:p>
      <w:pPr>
        <w:spacing w:after="0" w:line="62" w:lineRule="exact"/>
        <w:rPr>
          <w:sz w:val="20"/>
          <w:szCs w:val="20"/>
          <w:color w:val="auto"/>
        </w:rPr>
      </w:pPr>
    </w:p>
    <w:p>
      <w:pPr>
        <w:jc w:val="both"/>
        <w:ind w:right="340" w:firstLine="495"/>
        <w:spacing w:after="0" w:line="287" w:lineRule="auto"/>
        <w:rPr>
          <w:sz w:val="20"/>
          <w:szCs w:val="20"/>
          <w:color w:val="auto"/>
        </w:rPr>
      </w:pPr>
      <w:r>
        <w:rPr>
          <w:rFonts w:ascii="Arial" w:cs="Arial" w:eastAsia="Arial" w:hAnsi="Arial"/>
          <w:sz w:val="16"/>
          <w:szCs w:val="16"/>
          <w:color w:val="auto"/>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click fraud and block inventory on websites with inappropriate content. However, technologies utilized by bad actors are constantly evolving.</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 impressions, we may lose business and incur damages to our brand and reputation. In addition, we may be exposed to liabilities or the need to provide credits or refunds to our clients, and our business and results of operations may be harmed.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 w:name="page25"/>
    <w:bookmarkEnd w:id="24"/>
    <w:p>
      <w:pPr>
        <w:ind w:right="140"/>
        <w:spacing w:after="0" w:line="277" w:lineRule="auto"/>
        <w:rPr>
          <w:sz w:val="20"/>
          <w:szCs w:val="20"/>
          <w:color w:val="auto"/>
        </w:rPr>
      </w:pPr>
      <w:r>
        <w:rPr>
          <w:rFonts w:ascii="Arial" w:cs="Arial" w:eastAsia="Arial" w:hAnsi="Arial"/>
          <w:sz w:val="18"/>
          <w:szCs w:val="18"/>
          <w:b w:val="1"/>
          <w:bCs w:val="1"/>
          <w:i w:val="1"/>
          <w:iCs w:val="1"/>
          <w:color w:val="auto"/>
        </w:rPr>
        <w:t>Any negative publicity with respect to us, the online marketing industry in general or our partners may materially and adversely affect our reputation, business and results of operations.</w:t>
      </w:r>
    </w:p>
    <w:p>
      <w:pPr>
        <w:spacing w:after="0" w:line="62" w:lineRule="exact"/>
        <w:rPr>
          <w:sz w:val="20"/>
          <w:szCs w:val="20"/>
          <w:color w:val="auto"/>
        </w:rPr>
      </w:pPr>
    </w:p>
    <w:p>
      <w:pPr>
        <w:ind w:firstLine="495"/>
        <w:spacing w:after="0" w:line="254" w:lineRule="auto"/>
        <w:rPr>
          <w:sz w:val="20"/>
          <w:szCs w:val="20"/>
          <w:color w:val="auto"/>
        </w:rPr>
      </w:pPr>
      <w:r>
        <w:rPr>
          <w:rFonts w:ascii="Arial" w:cs="Arial" w:eastAsia="Arial" w:hAnsi="Arial"/>
          <w:sz w:val="18"/>
          <w:szCs w:val="18"/>
          <w:color w:val="auto"/>
        </w:rPr>
        <w:t>Complaints, litigation, regulatory actions or other negative publicity that arise about the online marketing industry in general or our company in particular, including on the quality, effectiveness and reliability of marketing solutions, privacy and security practices, and online marketing content, even if inaccurate, could adversely affect our reputation and client confidence in, and the use of, our solutions. Harm to our reputation and client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promote or maintain our brand in a cost-efficient manner, our business and results of operations may be harmed.</w:t>
      </w:r>
    </w:p>
    <w:p>
      <w:pPr>
        <w:spacing w:after="0" w:line="117" w:lineRule="exact"/>
        <w:rPr>
          <w:sz w:val="20"/>
          <w:szCs w:val="20"/>
          <w:color w:val="auto"/>
        </w:rPr>
      </w:pPr>
    </w:p>
    <w:p>
      <w:pPr>
        <w:ind w:right="40" w:firstLine="495"/>
        <w:spacing w:after="0" w:line="288" w:lineRule="auto"/>
        <w:rPr>
          <w:sz w:val="20"/>
          <w:szCs w:val="20"/>
          <w:color w:val="auto"/>
        </w:rPr>
      </w:pPr>
      <w:r>
        <w:rPr>
          <w:rFonts w:ascii="Arial" w:cs="Arial" w:eastAsia="Arial" w:hAnsi="Arial"/>
          <w:sz w:val="16"/>
          <w:szCs w:val="16"/>
          <w:color w:val="auto"/>
        </w:rPr>
        <w:t>We believe that developing and maintaining awareness of our brand in a cost-effective manner is critical to achieving widespread acceptance of our solutions, and is an important element in attracting new clients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clients or retain our existing clients and our business and results of operations can be materially and adversely affected.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Misconduct, errors and failure to function by our employees could harm our business and reputation.</w:t>
      </w:r>
    </w:p>
    <w:p>
      <w:pPr>
        <w:spacing w:after="0" w:line="117" w:lineRule="exact"/>
        <w:rPr>
          <w:sz w:val="20"/>
          <w:szCs w:val="20"/>
          <w:color w:val="auto"/>
        </w:rPr>
      </w:pPr>
    </w:p>
    <w:p>
      <w:pPr>
        <w:ind w:right="120" w:firstLine="495"/>
        <w:spacing w:after="0" w:line="289" w:lineRule="auto"/>
        <w:rPr>
          <w:sz w:val="20"/>
          <w:szCs w:val="20"/>
          <w:color w:val="auto"/>
        </w:rPr>
      </w:pPr>
      <w:r>
        <w:rPr>
          <w:rFonts w:ascii="Arial" w:cs="Arial" w:eastAsia="Arial" w:hAnsi="Arial"/>
          <w:sz w:val="16"/>
          <w:szCs w:val="16"/>
          <w:color w:val="auto"/>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clients, inability to attract future clients, reputational damage, regulatory intervention and financial harm, which could negatively impact our business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117" w:lineRule="exact"/>
        <w:rPr>
          <w:sz w:val="20"/>
          <w:szCs w:val="20"/>
          <w:color w:val="auto"/>
        </w:rPr>
      </w:pPr>
    </w:p>
    <w:p>
      <w:pPr>
        <w:ind w:firstLine="495"/>
        <w:spacing w:after="0" w:line="269"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to better support and serve our clients and provide better terms for our clients to capture more market share, develop new features or enhance our platform and solutions,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ordinary shares. Some of our credit agreements include a financial covenant that requires us to meet certain minimum monthly adjusted quick ratio and minimum quarterly EBITDA. In addition, any debt financing that we secure in the future could involve additional restrictive covenants relating to our capital raising activities and other financial and operational matters, including the ability to pay dividends. These restrictions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25" w:name="page26"/>
    <w:bookmarkEnd w:id="25"/>
    <w:p>
      <w:pPr>
        <w:ind w:right="260"/>
        <w:spacing w:after="0" w:line="277" w:lineRule="auto"/>
        <w:rPr>
          <w:sz w:val="20"/>
          <w:szCs w:val="20"/>
          <w:color w:val="auto"/>
        </w:rPr>
      </w:pPr>
      <w:r>
        <w:rPr>
          <w:rFonts w:ascii="Arial" w:cs="Arial" w:eastAsia="Arial" w:hAnsi="Arial"/>
          <w:sz w:val="18"/>
          <w:szCs w:val="18"/>
          <w:b w:val="1"/>
          <w:bCs w:val="1"/>
          <w:i w:val="1"/>
          <w:iCs w:val="1"/>
          <w:color w:val="auto"/>
        </w:rPr>
        <w:t>If we do not retain our senior management team and key employees, or attract additional technology and sales talents, we may not be able to sustain our growth or achieve our business objectives.</w:t>
      </w:r>
    </w:p>
    <w:p>
      <w:pPr>
        <w:spacing w:after="0" w:line="62" w:lineRule="exact"/>
        <w:rPr>
          <w:sz w:val="20"/>
          <w:szCs w:val="20"/>
          <w:color w:val="auto"/>
        </w:rPr>
      </w:pPr>
    </w:p>
    <w:p>
      <w:pPr>
        <w:ind w:firstLine="495"/>
        <w:spacing w:after="0" w:line="253" w:lineRule="auto"/>
        <w:rPr>
          <w:sz w:val="20"/>
          <w:szCs w:val="20"/>
          <w:color w:val="auto"/>
        </w:rPr>
      </w:pPr>
      <w:r>
        <w:rPr>
          <w:rFonts w:ascii="Arial" w:cs="Arial" w:eastAsia="Arial" w:hAnsi="Arial"/>
          <w:sz w:val="18"/>
          <w:szCs w:val="18"/>
          <w:color w:val="auto"/>
        </w:rPr>
        <w:t>Our future success is substantially dependent on the continued service of our senior management team and key employees.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spacing w:after="0" w:line="196" w:lineRule="exact"/>
        <w:rPr>
          <w:sz w:val="20"/>
          <w:szCs w:val="20"/>
          <w:color w:val="auto"/>
        </w:rPr>
      </w:pPr>
    </w:p>
    <w:p>
      <w:pPr>
        <w:jc w:val="both"/>
        <w:ind w:right="60" w:firstLine="495"/>
        <w:spacing w:after="0" w:line="293" w:lineRule="auto"/>
        <w:rPr>
          <w:sz w:val="20"/>
          <w:szCs w:val="20"/>
          <w:color w:val="auto"/>
        </w:rPr>
      </w:pPr>
      <w:r>
        <w:rPr>
          <w:rFonts w:ascii="Arial" w:cs="Arial" w:eastAsia="Arial" w:hAnsi="Arial"/>
          <w:sz w:val="16"/>
          <w:szCs w:val="16"/>
          <w:color w:val="auto"/>
        </w:rPr>
        <w:t>Increases in labor costs in the PRC may adversely affect our business and results of operations. Most of our employees are based in China. Chinese economy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any business insurance coverage in China.</w:t>
      </w:r>
    </w:p>
    <w:p>
      <w:pPr>
        <w:spacing w:after="0" w:line="117" w:lineRule="exact"/>
        <w:rPr>
          <w:sz w:val="20"/>
          <w:szCs w:val="20"/>
          <w:color w:val="auto"/>
        </w:rPr>
      </w:pPr>
    </w:p>
    <w:p>
      <w:pPr>
        <w:ind w:right="120" w:firstLine="495"/>
        <w:spacing w:after="0" w:line="257" w:lineRule="auto"/>
        <w:rPr>
          <w:sz w:val="20"/>
          <w:szCs w:val="20"/>
          <w:color w:val="auto"/>
        </w:rPr>
      </w:pPr>
      <w:r>
        <w:rPr>
          <w:rFonts w:ascii="Arial" w:cs="Arial" w:eastAsia="Arial" w:hAnsi="Arial"/>
          <w:sz w:val="18"/>
          <w:szCs w:val="18"/>
          <w:color w:val="auto"/>
        </w:rPr>
        <w:t>Insurance companies in China currently do not offer as extensive an array of insurance products as insurance companies in more developed economies in China.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spacing w:after="0" w:line="29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 downturn in global economy could reduce the demand for our solutions, which could materially and adversely affect our business and results of operations.</w:t>
      </w:r>
    </w:p>
    <w:p>
      <w:pPr>
        <w:spacing w:after="0" w:line="278" w:lineRule="exact"/>
        <w:rPr>
          <w:sz w:val="20"/>
          <w:szCs w:val="20"/>
          <w:color w:val="auto"/>
        </w:rPr>
      </w:pPr>
    </w:p>
    <w:p>
      <w:pPr>
        <w:ind w:right="120" w:firstLine="495"/>
        <w:spacing w:after="0" w:line="263" w:lineRule="auto"/>
        <w:rPr>
          <w:sz w:val="20"/>
          <w:szCs w:val="20"/>
          <w:color w:val="auto"/>
        </w:rPr>
      </w:pPr>
      <w:r>
        <w:rPr>
          <w:rFonts w:ascii="Arial" w:cs="Arial" w:eastAsia="Arial" w:hAnsi="Arial"/>
          <w:sz w:val="18"/>
          <w:szCs w:val="18"/>
          <w:color w:val="auto"/>
        </w:rPr>
        <w:t>The global financial markets have experienced significant disruptions since 2008 and the United States, Europe and other economies have experienced periods of recession. The recovery from the lows of 2008 and 2009 has been uneven and is facing new challenges, including the escalation of the European sovereign debt crisis from 2011.</w:t>
      </w:r>
    </w:p>
    <w:p>
      <w:pPr>
        <w:spacing w:after="0" w:line="76" w:lineRule="exact"/>
        <w:rPr>
          <w:sz w:val="20"/>
          <w:szCs w:val="20"/>
          <w:color w:val="auto"/>
        </w:rPr>
      </w:pPr>
    </w:p>
    <w:p>
      <w:pPr>
        <w:ind w:firstLine="495"/>
        <w:spacing w:after="0" w:line="273" w:lineRule="auto"/>
        <w:rPr>
          <w:sz w:val="20"/>
          <w:szCs w:val="20"/>
          <w:color w:val="auto"/>
        </w:rPr>
      </w:pPr>
      <w:r>
        <w:rPr>
          <w:rFonts w:ascii="Arial" w:cs="Arial" w:eastAsia="Arial" w:hAnsi="Arial"/>
          <w:sz w:val="17"/>
          <w:szCs w:val="17"/>
          <w:color w:val="auto"/>
        </w:rPr>
        <w:t>Furthermore, the government of the United Kingdom held an in-or-out referendum on its membership in the European Union on June 23, 2016. The referendum resulted in a vote in favor of the exit of the United Kingdom from the European Union, or “Brexit.” On January 31, 2020, the United Kingdom ceased to be a member of the European Union. The effects of Brexit remain uncertain. Brexit could negatively impact the economies and market conditions of the European Union and/or worldwide, and could continue to contribute to instability in the global financial markets. To the extent we may seek to expand our business in the European market, the uncertainty surrounding the terms of the Brexit and its consequences could adversely impact our clients’ spending budget on our solutions, which could harm our results of operations.</w:t>
      </w:r>
    </w:p>
    <w:p>
      <w:pPr>
        <w:spacing w:after="0" w:line="70" w:lineRule="exact"/>
        <w:rPr>
          <w:sz w:val="20"/>
          <w:szCs w:val="20"/>
          <w:color w:val="auto"/>
        </w:rPr>
      </w:pPr>
    </w:p>
    <w:p>
      <w:pPr>
        <w:ind w:right="20" w:firstLine="495"/>
        <w:spacing w:after="0" w:line="291" w:lineRule="auto"/>
        <w:rPr>
          <w:sz w:val="20"/>
          <w:szCs w:val="20"/>
          <w:color w:val="auto"/>
        </w:rPr>
      </w:pPr>
      <w:r>
        <w:rPr>
          <w:rFonts w:ascii="Arial" w:cs="Arial" w:eastAsia="Arial" w:hAnsi="Arial"/>
          <w:sz w:val="16"/>
          <w:szCs w:val="16"/>
          <w:color w:val="auto"/>
        </w:rPr>
        <w:t>There is considerable uncertainty over the long-term effects of the expansionary monetary and fiscal policies adopted by the central banks and financial authorities of some of the world’s leading economies, including the United States, China and Europe. The stock markets around the world have experienced extreme volatility, in reaction to the COVID-19 outbreak and governments’ responses thereto, including the recent rate reductions by the Federal Reserve. It is unclear whether these challenges and uncertainties will be contained or resolved, and what effects they may have on the global political and economic conditions in the long term. Economic conditions in China are sensitive to global economic conditions. Any prolonged slowdown in the global economy may reduce the demand for our solutions and have a negative impact on our business, results of operations and financial condition. Additionally, continued turbulence in the international markets may adversely affect our ability to access the capital markets to meet liquidity needs.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contractual arrangements that establish the structure for certain of our operations in China.</w:t>
      </w:r>
    </w:p>
    <w:p>
      <w:pPr>
        <w:spacing w:after="0" w:line="117" w:lineRule="exact"/>
        <w:rPr>
          <w:sz w:val="20"/>
          <w:szCs w:val="20"/>
          <w:color w:val="auto"/>
        </w:rPr>
      </w:pPr>
    </w:p>
    <w:p>
      <w:pPr>
        <w:ind w:right="180" w:firstLine="495"/>
        <w:spacing w:after="0" w:line="277" w:lineRule="auto"/>
        <w:rPr>
          <w:sz w:val="20"/>
          <w:szCs w:val="20"/>
          <w:color w:val="auto"/>
        </w:rPr>
      </w:pPr>
      <w:r>
        <w:rPr>
          <w:rFonts w:ascii="Arial" w:cs="Arial" w:eastAsia="Arial" w:hAnsi="Arial"/>
          <w:sz w:val="18"/>
          <w:szCs w:val="18"/>
          <w:color w:val="auto"/>
        </w:rPr>
        <w:t>Foreign ownership in advertising business used to be subject to certain restrictions under the PRC laws and regulations. For example, according to the Administrative Provisions on Foreign-Invested Advertising Enterprises, which were abolished in June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26" w:name="page27"/>
    <w:bookmarkEnd w:id="26"/>
    <w:p>
      <w:pPr>
        <w:ind w:right="120"/>
        <w:spacing w:after="0" w:line="291" w:lineRule="auto"/>
        <w:rPr>
          <w:sz w:val="20"/>
          <w:szCs w:val="20"/>
          <w:color w:val="auto"/>
        </w:rPr>
      </w:pPr>
      <w:r>
        <w:rPr>
          <w:rFonts w:ascii="Arial" w:cs="Arial" w:eastAsia="Arial" w:hAnsi="Arial"/>
          <w:sz w:val="16"/>
          <w:szCs w:val="16"/>
          <w:color w:val="auto"/>
        </w:rPr>
        <w:t>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OptAim Beijing, its PRC subsidiary, is considered a foreign invested enterprise, or FIE. To comply with the then-effective PRC laws and regulations, including the Administrative Provisions on Foreign-Invested Advertising Enterprises, OptAim Beijing entered into a set of contractual arrangements with OptAim Network and its shareholders. For a detailed description of these contractual arrangements, see “Item 4. Information on the Company—C. Organizational Structure—Contractual Arrangements with OptAim Network.” As a result of these contractual arrangements, we exert control over OptAim Network and its subsidiaries, and consolidate their operating results in our financial statements under U.S. GAAP.</w:t>
      </w:r>
    </w:p>
    <w:p>
      <w:pPr>
        <w:spacing w:after="0" w:line="166" w:lineRule="exact"/>
        <w:rPr>
          <w:sz w:val="20"/>
          <w:szCs w:val="20"/>
          <w:color w:val="auto"/>
        </w:rPr>
      </w:pPr>
    </w:p>
    <w:p>
      <w:pPr>
        <w:ind w:firstLine="495"/>
        <w:spacing w:after="0" w:line="286" w:lineRule="auto"/>
        <w:rPr>
          <w:sz w:val="20"/>
          <w:szCs w:val="20"/>
          <w:color w:val="auto"/>
        </w:rPr>
      </w:pPr>
      <w:r>
        <w:rPr>
          <w:rFonts w:ascii="Arial" w:cs="Arial" w:eastAsia="Arial" w:hAnsi="Arial"/>
          <w:sz w:val="16"/>
          <w:szCs w:val="16"/>
          <w:color w:val="auto"/>
        </w:rPr>
        <w:t>After the abolishment of the foreign ownership restriction in advertising business, we had been transferring the advertising business previously operated by our VIE, OptAim Network, primarily consisting of our mobile marketing solution business, to our wholly-owned subsidiaries. As of December 31, 2018, our wholly-owned subsidiaries had replaced OptAim Network as contracting party for all our mobile marketing solution business. In November 2018, OptAim Network made a controlling investment in Myhayo, a content distribution channel and a mobile content aggregator of articles and short videos in the PRC, which presents customized feeds to users via its mobile application. The mobile application operated by Myhayo allows users to earn points from their daily access, which could be used to redeem cash rewards. It is unclear whether Myhayo’s business model would render it a commercial operator of value-added telecommunication services under the relevant PRC laws, in which case Myhayo would be required to hold a value-added telecommunication license. In August 2019, Myhayo obtained the value-added telecommunication license that has a validity term of five years. See “— Risk Related to Our Business and Industry—If we fail to maintain or renew the value-added telecommunication license, or fail to obtain other requisite license, or approvals or filings in China, the business carried out by certain consolidated entity may be materially and adversely affected.” Current PRC laws and regulations impose certain restriction on foreign investment in value-added telecommunication services. See “—Regulations—Regulations on Foreign Direct Investment in Value-Added Telecommunications Companies.” As a result, we made our controlling investment in Myhayo through OptAim Network, our VIE. In 2017, OptAim Network contributed 11.1% to our gross billing and 20.2% of our net revenues. In 2018, OptAim Network contributed 0.7% to our gross billing and 1.8% of our net revenues. In 2019, OptAim Network contributed 3.6% to our gross billing and 11.5% of our net revenues. In 2020, OptAim Network contributed 3.3% to our gross billing and 8.7% of our net revenues.</w:t>
      </w:r>
    </w:p>
    <w:p>
      <w:pPr>
        <w:spacing w:after="0" w:line="167" w:lineRule="exact"/>
        <w:rPr>
          <w:sz w:val="20"/>
          <w:szCs w:val="20"/>
          <w:color w:val="auto"/>
        </w:rPr>
      </w:pPr>
    </w:p>
    <w:p>
      <w:pPr>
        <w:ind w:right="380" w:firstLine="495"/>
        <w:spacing w:after="0" w:line="263" w:lineRule="auto"/>
        <w:rPr>
          <w:sz w:val="20"/>
          <w:szCs w:val="20"/>
          <w:color w:val="auto"/>
        </w:rPr>
      </w:pPr>
      <w:r>
        <w:rPr>
          <w:rFonts w:ascii="Arial" w:cs="Arial" w:eastAsia="Arial" w:hAnsi="Arial"/>
          <w:sz w:val="18"/>
          <w:szCs w:val="18"/>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w:t>
      </w:r>
    </w:p>
    <w:p>
      <w:pPr>
        <w:spacing w:after="0" w:line="184" w:lineRule="exact"/>
        <w:rPr>
          <w:sz w:val="20"/>
          <w:szCs w:val="20"/>
          <w:color w:val="auto"/>
        </w:rPr>
      </w:pPr>
    </w:p>
    <w:p>
      <w:pPr>
        <w:ind w:right="40" w:firstLine="495"/>
        <w:spacing w:after="0" w:line="286" w:lineRule="auto"/>
        <w:rPr>
          <w:sz w:val="20"/>
          <w:szCs w:val="20"/>
          <w:color w:val="auto"/>
        </w:rPr>
      </w:pPr>
      <w:r>
        <w:rPr>
          <w:rFonts w:ascii="Arial" w:cs="Arial" w:eastAsia="Arial" w:hAnsi="Arial"/>
          <w:sz w:val="16"/>
          <w:szCs w:val="16"/>
          <w:color w:val="auto"/>
        </w:rPr>
        <w:t>Under the Catalogue for the Guidance of Foreign Investment Industries, or Foreign Investment Catalog, promulgated by the Ministry of Commerce and National Development and Reform Commission on June 28, 2017, only a domestic enterprise or a sino-foreign enterprise which meets the several requirements stipulated in the Foreign-related Surveys Measures can apply for a license for the foreign-related survey. On June 23, 2020, MOFCOM and the NDRC jointly promulgated the Special Administrative Measures (Negative List 2020) for Foreign Investment Access, or the Special Administrative Measures, which replaced the negative list attached to the Foreign Investment Catalog in 2019. Industries that are not listed in the Special Administrative Measures are permitted areas for foreign investments, and are generally open to foreign investment unless specifically restricted by other PRC regulations. We do not believe our collection and use of multiple kinds of data from multiple sources in China to improve the cost-effectiveness of marketing campaigns for marketers in and outside China fall within the scope of “foreign-related survey” under the Foreign-related Survey Measures listed under the Special Administrative Measures. However, there are uncertainties under the PRC Laws whether such activities may be deemed as “foreign-related survey,” which would require a foreign-related survey license from the National Bureau of Statistics in China or its local counterparts.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w:t>
      </w:r>
    </w:p>
    <w:p>
      <w:pPr>
        <w:spacing w:after="0" w:line="171" w:lineRule="exact"/>
        <w:rPr>
          <w:sz w:val="20"/>
          <w:szCs w:val="20"/>
          <w:color w:val="auto"/>
        </w:rPr>
      </w:pPr>
    </w:p>
    <w:p>
      <w:pPr>
        <w:ind w:right="20" w:firstLine="495"/>
        <w:spacing w:after="0" w:line="273" w:lineRule="auto"/>
        <w:rPr>
          <w:sz w:val="20"/>
          <w:szCs w:val="20"/>
          <w:color w:val="auto"/>
        </w:rPr>
      </w:pPr>
      <w:r>
        <w:rPr>
          <w:rFonts w:ascii="Arial" w:cs="Arial" w:eastAsia="Arial" w:hAnsi="Arial"/>
          <w:sz w:val="17"/>
          <w:szCs w:val="17"/>
          <w:color w:val="auto"/>
        </w:rPr>
        <w:t>In the opinion of our PRC counsel, Jingtian &amp; Gongcheng, our current ownership structure, the ownership structure of our PRC subsidiaries, our consolidated variable interest entity and its subsidiary, and the contractual arrangements among OptAim Beijing, OptAim Network and the shareholders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w:t>
      </w:r>
    </w:p>
    <w:p>
      <w:pPr>
        <w:spacing w:after="0" w:line="178" w:lineRule="exact"/>
        <w:rPr>
          <w:sz w:val="20"/>
          <w:szCs w:val="20"/>
          <w:color w:val="auto"/>
        </w:rPr>
      </w:pPr>
    </w:p>
    <w:p>
      <w:pPr>
        <w:ind w:right="120" w:firstLine="495"/>
        <w:spacing w:after="0" w:line="293" w:lineRule="auto"/>
        <w:rPr>
          <w:sz w:val="20"/>
          <w:szCs w:val="20"/>
          <w:color w:val="auto"/>
        </w:rPr>
      </w:pPr>
      <w:r>
        <w:rPr>
          <w:rFonts w:ascii="Arial" w:cs="Arial" w:eastAsia="Arial" w:hAnsi="Arial"/>
          <w:sz w:val="16"/>
          <w:szCs w:val="16"/>
          <w:color w:val="auto"/>
        </w:rPr>
        <w:t>It is uncertain whether any new PRC laws, rules or regulations relating to variable interest entity structures will be adopted or if adopted, what they would provide. Please see “—Substantial uncertainties exist with respect to the newly enacted PRC Foreign Investment Law and how it may impact the viability of our current corporate structure, corporate governance and business operations.” for more information.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27" w:name="page28"/>
    <w:bookmarkEnd w:id="27"/>
    <w:p>
      <w:pPr>
        <w:ind w:right="100"/>
        <w:spacing w:after="0" w:line="290" w:lineRule="auto"/>
        <w:rPr>
          <w:sz w:val="20"/>
          <w:szCs w:val="20"/>
          <w:color w:val="auto"/>
        </w:rPr>
      </w:pPr>
      <w:r>
        <w:rPr>
          <w:rFonts w:ascii="Arial" w:cs="Arial" w:eastAsia="Arial" w:hAnsi="Arial"/>
          <w:sz w:val="16"/>
          <w:szCs w:val="16"/>
          <w:color w:val="auto"/>
        </w:rPr>
        <w:t>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our offerings and equity issuances to 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spacing w:after="0" w:line="2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variable interest entity and its shareholders for certain of our business operations, which may not be as effective as direct ownership in providing operational control.</w:t>
      </w:r>
    </w:p>
    <w:p>
      <w:pPr>
        <w:spacing w:after="0" w:line="62" w:lineRule="exact"/>
        <w:rPr>
          <w:sz w:val="20"/>
          <w:szCs w:val="20"/>
          <w:color w:val="auto"/>
        </w:rPr>
      </w:pPr>
    </w:p>
    <w:p>
      <w:pPr>
        <w:ind w:right="60" w:firstLine="495"/>
        <w:spacing w:after="0" w:line="275" w:lineRule="auto"/>
        <w:rPr>
          <w:sz w:val="20"/>
          <w:szCs w:val="20"/>
          <w:color w:val="auto"/>
        </w:rPr>
      </w:pPr>
      <w:r>
        <w:rPr>
          <w:rFonts w:ascii="Arial" w:cs="Arial" w:eastAsia="Arial" w:hAnsi="Arial"/>
          <w:sz w:val="17"/>
          <w:szCs w:val="17"/>
          <w:color w:val="auto"/>
        </w:rPr>
        <w:t>We have relied and expect to continue to rely on contractual arrangements with our variable interest entity, OptAim Network, and its shareholders for part of our online marketing business on mobile channels in China, as well as certain other complementary businesses, and to the extent our operations are deemed as foreign-related survey. For a description of these contractual arrangements, see “Item 4. Information on the Company—C. Organizational Structure—Contractual Arrangements with OptAim Network.” These contractual arrangements may not be as effective as direct ownership in providing us with control over our consolidated variable interest entity and its subsidiary.</w:t>
      </w:r>
    </w:p>
    <w:p>
      <w:pPr>
        <w:spacing w:after="0" w:line="176" w:lineRule="exact"/>
        <w:rPr>
          <w:sz w:val="20"/>
          <w:szCs w:val="20"/>
          <w:color w:val="auto"/>
        </w:rPr>
      </w:pPr>
    </w:p>
    <w:p>
      <w:pPr>
        <w:ind w:right="20" w:firstLine="495"/>
        <w:spacing w:after="0" w:line="269" w:lineRule="auto"/>
        <w:rPr>
          <w:sz w:val="20"/>
          <w:szCs w:val="20"/>
          <w:color w:val="auto"/>
        </w:rPr>
      </w:pPr>
      <w:r>
        <w:rPr>
          <w:rFonts w:ascii="Arial" w:cs="Arial" w:eastAsia="Arial" w:hAnsi="Arial"/>
          <w:sz w:val="17"/>
          <w:szCs w:val="17"/>
          <w:color w:val="auto"/>
        </w:rPr>
        <w:t>If we had direct ownership of OptAim Network and its subsidiaries, we would be able to exercise our rights as a shareholder to effect changes in the board of directors of OptAim Network and its subsidiaries, which in turn could implement changes, subject to any applicable fiduciary obligations, at the management and operational level. However, under the current contractual arrangements, we rely on the performance by OptAim Network and the shareholders of OptAim Network of their obligations under the contracts to exercise control over our consolidated variable interest entity and its subsidiaries. The shareholders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shareholders.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spacing w:after="0" w:line="2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Any failure by our variable interest entity or its shareholders to perform their obligations under our contractual arrangements with them would have a material adverse effect on our business.</w:t>
      </w:r>
    </w:p>
    <w:p>
      <w:pPr>
        <w:spacing w:after="0" w:line="62" w:lineRule="exact"/>
        <w:rPr>
          <w:sz w:val="20"/>
          <w:szCs w:val="20"/>
          <w:color w:val="auto"/>
        </w:rPr>
      </w:pPr>
    </w:p>
    <w:p>
      <w:pPr>
        <w:ind w:right="40" w:firstLine="495"/>
        <w:spacing w:after="0" w:line="291" w:lineRule="auto"/>
        <w:rPr>
          <w:sz w:val="20"/>
          <w:szCs w:val="20"/>
          <w:color w:val="auto"/>
        </w:rPr>
      </w:pPr>
      <w:r>
        <w:rPr>
          <w:rFonts w:ascii="Arial" w:cs="Arial" w:eastAsia="Arial" w:hAnsi="Arial"/>
          <w:sz w:val="16"/>
          <w:szCs w:val="16"/>
          <w:color w:val="auto"/>
        </w:rPr>
        <w:t>If our consolidated variable interest entity or its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shareholders of OptAim Network were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OptAim Network, our ability to exercise shareholders’ rights or foreclose the share pledge according to the contractual arrangements may be impaired.</w:t>
      </w:r>
    </w:p>
    <w:p>
      <w:pPr>
        <w:spacing w:after="0" w:line="166" w:lineRule="exact"/>
        <w:rPr>
          <w:sz w:val="20"/>
          <w:szCs w:val="20"/>
          <w:color w:val="auto"/>
        </w:rPr>
      </w:pPr>
    </w:p>
    <w:p>
      <w:pPr>
        <w:ind w:firstLine="495"/>
        <w:spacing w:after="0" w:line="286" w:lineRule="auto"/>
        <w:rPr>
          <w:sz w:val="20"/>
          <w:szCs w:val="20"/>
          <w:color w:val="auto"/>
        </w:rPr>
      </w:pPr>
      <w:r>
        <w:rPr>
          <w:rFonts w:ascii="Arial" w:cs="Arial" w:eastAsia="Arial" w:hAnsi="Arial"/>
          <w:sz w:val="16"/>
          <w:szCs w:val="16"/>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Such disputes do not include claims arising under the United States federal securities laws and therefore these arbitration provision do not prevent you from pursuing claims under the United States federal securities law. The legal system in the PRC is different from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b w:val="1"/>
          <w:bCs w:val="1"/>
          <w:i w:val="1"/>
          <w:iCs w:val="1"/>
          <w:color w:val="auto"/>
        </w:rPr>
        <w:t>The shareholders of our variable interest entity, may have potential conflicts of interest with us, which may materially and adversely affect our business and financial condition.</w:t>
      </w:r>
    </w:p>
    <w:p>
      <w:pPr>
        <w:spacing w:after="0" w:line="62" w:lineRule="exact"/>
        <w:rPr>
          <w:sz w:val="20"/>
          <w:szCs w:val="20"/>
          <w:color w:val="auto"/>
        </w:rPr>
      </w:pPr>
    </w:p>
    <w:p>
      <w:pPr>
        <w:ind w:right="80" w:firstLine="495"/>
        <w:spacing w:after="0" w:line="290" w:lineRule="auto"/>
        <w:rPr>
          <w:sz w:val="20"/>
          <w:szCs w:val="20"/>
          <w:color w:val="auto"/>
        </w:rPr>
      </w:pPr>
      <w:r>
        <w:rPr>
          <w:rFonts w:ascii="Arial" w:cs="Arial" w:eastAsia="Arial" w:hAnsi="Arial"/>
          <w:sz w:val="16"/>
          <w:szCs w:val="16"/>
          <w:color w:val="auto"/>
        </w:rPr>
        <w:t>The equity interests of OptAim Network are held by Mr. Jian Tang, who is our co-founder, director and chief executive officer, and Ms. Jie Jiao, who is our former chief financial officer. As of the date of this annual report, we are arranging the transfer of Ms. Jie Jiao’s equity interest in OptAim Network to an affiliate of our company. Their interests may differ from the interests of our company as a whole. These shareholders may breach, or cause our consolidated variable interest entity to breach, or refuse to renew the existing contractual arrangements we have with them and our consolidated variable interest entity, which would have a material adverse effect on our ability to effectively control our consolidated variable interest entity and receive economic benefits from them. For example, the shareholders may be able to cause our agreements with OptAim Network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65" w:lineRule="exact"/>
        <w:rPr>
          <w:sz w:val="20"/>
          <w:szCs w:val="20"/>
          <w:color w:val="auto"/>
        </w:rPr>
      </w:pPr>
    </w:p>
    <w:p>
      <w:pPr>
        <w:jc w:val="both"/>
        <w:ind w:right="120" w:firstLine="495"/>
        <w:spacing w:after="0" w:line="296" w:lineRule="auto"/>
        <w:rPr>
          <w:sz w:val="20"/>
          <w:szCs w:val="20"/>
          <w:color w:val="auto"/>
        </w:rPr>
      </w:pPr>
      <w:r>
        <w:rPr>
          <w:rFonts w:ascii="Arial" w:cs="Arial" w:eastAsia="Arial" w:hAnsi="Arial"/>
          <w:sz w:val="16"/>
          <w:szCs w:val="16"/>
          <w:color w:val="auto"/>
        </w:rPr>
        <w:t>Currently, we do not have any arrangements to address potential conflicts of interest between these shareholders and our company, except that we could exercise our purchase option under the second amended and restated exclusive option agreement with these shareholders to request them to transfer all of their equity interests in OptAim Network to a PRC entity or individual designated by us, to the extent permitted by PRC laws. If we cannot resolve any conflict of interest or dispute between us and the shareholders of OptAim Network, we would have to rely on legal proceedings, which could result in the disruption of our business and subject us to substantial uncertainty as to the outcome of any such legal proceedings.</w:t>
      </w:r>
    </w:p>
    <w:p>
      <w:pPr>
        <w:spacing w:after="0" w:line="269" w:lineRule="exact"/>
        <w:rPr>
          <w:sz w:val="20"/>
          <w:szCs w:val="20"/>
          <w:color w:val="auto"/>
        </w:rPr>
      </w:pPr>
    </w:p>
    <w:p>
      <w:pPr>
        <w:jc w:val="both"/>
        <w:ind w:right="120"/>
        <w:spacing w:after="0" w:line="375" w:lineRule="auto"/>
        <w:rPr>
          <w:sz w:val="20"/>
          <w:szCs w:val="20"/>
          <w:color w:val="auto"/>
        </w:rPr>
      </w:pPr>
      <w:r>
        <w:rPr>
          <w:rFonts w:ascii="Arial" w:cs="Arial" w:eastAsia="Arial" w:hAnsi="Arial"/>
          <w:sz w:val="15"/>
          <w:szCs w:val="15"/>
          <w:b w:val="1"/>
          <w:bCs w:val="1"/>
          <w:i w:val="1"/>
          <w:iCs w:val="1"/>
          <w:color w:val="auto"/>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spacing w:after="0" w:line="1" w:lineRule="exact"/>
        <w:rPr>
          <w:sz w:val="20"/>
          <w:szCs w:val="20"/>
          <w:color w:val="auto"/>
        </w:rPr>
      </w:pPr>
    </w:p>
    <w:p>
      <w:pPr>
        <w:ind w:firstLine="495"/>
        <w:spacing w:after="0" w:line="268" w:lineRule="auto"/>
        <w:rPr>
          <w:sz w:val="20"/>
          <w:szCs w:val="20"/>
          <w:color w:val="auto"/>
        </w:rPr>
      </w:pPr>
      <w:r>
        <w:rPr>
          <w:rFonts w:ascii="Arial" w:cs="Arial" w:eastAsia="Arial" w:hAnsi="Arial"/>
          <w:sz w:val="17"/>
          <w:szCs w:val="17"/>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wholly-owned subsidiary OptAim Beijing, our variable interest entity OptAim Network and the shareholders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OptAim Beijing’s tax expenses. In addition, if OptAim Beijing requests the shareholders of OptAim Network to transfer their equity interests in OptAim Network at nominal or no value pursuant to these contractual arrangements, such transfer could be viewed as a gift and subject OptAim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spacing w:after="0" w:line="2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Substantial uncertainties exist with respect to the newly enacted PRC Foreign Investment Law and how it may impact the viability of our current corporate structure, corporate governance and business operations.</w:t>
      </w:r>
    </w:p>
    <w:p>
      <w:pPr>
        <w:spacing w:after="0" w:line="62" w:lineRule="exact"/>
        <w:rPr>
          <w:sz w:val="20"/>
          <w:szCs w:val="20"/>
          <w:color w:val="auto"/>
        </w:rPr>
      </w:pPr>
    </w:p>
    <w:p>
      <w:pPr>
        <w:ind w:right="80" w:firstLine="495"/>
        <w:spacing w:after="0" w:line="270" w:lineRule="auto"/>
        <w:rPr>
          <w:sz w:val="20"/>
          <w:szCs w:val="20"/>
          <w:color w:val="auto"/>
        </w:rPr>
      </w:pPr>
      <w:r>
        <w:rPr>
          <w:rFonts w:ascii="Arial" w:cs="Arial" w:eastAsia="Arial" w:hAnsi="Arial"/>
          <w:sz w:val="17"/>
          <w:szCs w:val="17"/>
          <w:color w:val="auto"/>
        </w:rPr>
        <w:t>On March 15, 2019, the National People’s Congress approved the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On December 26, 2019, the State Council adopted the Implementing Rules for the Foreign Investment Law of the People’s Republic of China, which took effect on January 1, 2020, to interpret and implement the Foreign Investment Law. However, uncertainties still exist in relation to the nature of “variable interest entity” structure. As a result, the Foreign Investment Law may materially impact the viability of our current corporate structure, corporate governance and business operations in many aspects.</w:t>
      </w:r>
    </w:p>
    <w:p>
      <w:pPr>
        <w:spacing w:after="0" w:line="181" w:lineRule="exact"/>
        <w:rPr>
          <w:sz w:val="20"/>
          <w:szCs w:val="20"/>
          <w:color w:val="auto"/>
        </w:rPr>
      </w:pPr>
    </w:p>
    <w:p>
      <w:pPr>
        <w:ind w:right="180" w:firstLine="495"/>
        <w:spacing w:after="0" w:line="257" w:lineRule="auto"/>
        <w:rPr>
          <w:sz w:val="20"/>
          <w:szCs w:val="20"/>
          <w:color w:val="auto"/>
        </w:rPr>
      </w:pPr>
      <w:r>
        <w:rPr>
          <w:rFonts w:ascii="Arial" w:cs="Arial" w:eastAsia="Arial" w:hAnsi="Arial"/>
          <w:sz w:val="18"/>
          <w:szCs w:val="18"/>
          <w:color w:val="auto"/>
        </w:rPr>
        <w:t>Under the Foreign Investment Law, “foreign investment” refers to the investment activities directly or indirectly conducted by foreign individuals, enterprises or other entities in China. Though the Foreign Investment Law does not explicitly classify contractual arrangements as a form of foreign investment, there is no assurance that foreign investment via contractual arrangement would not be interpreted as a type of indirect foreign investment activities under the definition. In addition, the definition contains a catch-all provision which includes investments made by foreign investors through means stipulated in laws or administrative regulations or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t>other methods prescribed by the State Council. Therefore, it still leaves leeway for future laws, administrative regulations or provisions promulgated by the Stale Council to provide for contractual arrangements as a form of foreign investment.</w:t>
      </w:r>
    </w:p>
    <w:p>
      <w:pPr>
        <w:spacing w:after="0" w:line="170" w:lineRule="exact"/>
        <w:rPr>
          <w:sz w:val="20"/>
          <w:szCs w:val="20"/>
          <w:color w:val="auto"/>
        </w:rPr>
      </w:pPr>
    </w:p>
    <w:p>
      <w:pPr>
        <w:ind w:right="60" w:firstLine="495"/>
        <w:spacing w:after="0" w:line="269" w:lineRule="auto"/>
        <w:rPr>
          <w:sz w:val="20"/>
          <w:szCs w:val="20"/>
          <w:color w:val="auto"/>
        </w:rPr>
      </w:pPr>
      <w:r>
        <w:rPr>
          <w:rFonts w:ascii="Arial" w:cs="Arial" w:eastAsia="Arial" w:hAnsi="Arial"/>
          <w:sz w:val="17"/>
          <w:szCs w:val="17"/>
          <w:color w:val="auto"/>
        </w:rPr>
        <w:t>If our contractual arrangements is considered a form of foreign investment, then we may be required to complete the MOC market entry clearance, and we face uncertainties as to whether such clearance can be timely obtained, or at all. If we are not able to obtain such clearance when required, our VIE structure may be regarded as invalid and illegal. As a result, we would not be able to (i) continue our business in China through our contractual arrangements with the VIE and shareholders of the VIE, (ii) exert control over the VIE, (iii) receive the economic benefits of the VIE under such contractual arrangements, or (iv) consolidate the financial results of the VIE. Were this to occur, our results of operations and financial condition would be materially and adversely affected and the market price of our ADSs may decline.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2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exercise the option to acquire equity ownership of OptAim Network, the ownership transfer may subject us to certain limitation and substantial costs.</w:t>
      </w:r>
    </w:p>
    <w:p>
      <w:pPr>
        <w:spacing w:after="0" w:line="62" w:lineRule="exact"/>
        <w:rPr>
          <w:sz w:val="20"/>
          <w:szCs w:val="20"/>
          <w:color w:val="auto"/>
        </w:rPr>
      </w:pPr>
    </w:p>
    <w:p>
      <w:pPr>
        <w:ind w:right="40" w:firstLine="495"/>
        <w:spacing w:after="0" w:line="293" w:lineRule="auto"/>
        <w:rPr>
          <w:sz w:val="20"/>
          <w:szCs w:val="20"/>
          <w:color w:val="auto"/>
        </w:rPr>
      </w:pPr>
      <w:r>
        <w:rPr>
          <w:rFonts w:ascii="Arial" w:cs="Arial" w:eastAsia="Arial" w:hAnsi="Arial"/>
          <w:sz w:val="16"/>
          <w:szCs w:val="16"/>
          <w:color w:val="auto"/>
        </w:rPr>
        <w:t>Pursuant to the contractual arrangements, OptAim Beijing has the exclusive right to purchase all or any part of the equity interests in OptAim Network from OptAim Network’s shareholders for a nominal price, unless the relevant government authorities or then applicable PRC laws request that a minimum price amount be used as the purchase price, in such case the purchase price shall be the lowest amount under such request. The shareholders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OptAim Beijing to pay enterprise income tax for ownership transfer income with reference to the market value, in which case the amount of tax could be substantial.</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in the interpretation and enforcement of PRC laws and regulations could limit the legal protections available to us.</w:t>
      </w:r>
    </w:p>
    <w:p>
      <w:pPr>
        <w:spacing w:after="0" w:line="117" w:lineRule="exact"/>
        <w:rPr>
          <w:sz w:val="20"/>
          <w:szCs w:val="20"/>
          <w:color w:val="auto"/>
        </w:rPr>
      </w:pPr>
    </w:p>
    <w:p>
      <w:pPr>
        <w:ind w:right="120" w:firstLine="495"/>
        <w:spacing w:after="0" w:line="263" w:lineRule="auto"/>
        <w:rPr>
          <w:sz w:val="20"/>
          <w:szCs w:val="20"/>
          <w:color w:val="auto"/>
        </w:rPr>
      </w:pPr>
      <w:r>
        <w:rPr>
          <w:rFonts w:ascii="Arial" w:cs="Arial" w:eastAsia="Arial" w:hAnsi="Arial"/>
          <w:sz w:val="18"/>
          <w:szCs w:val="18"/>
          <w:color w:val="auto"/>
        </w:rPr>
        <w:t>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spacing w:after="0" w:line="184" w:lineRule="exact"/>
        <w:rPr>
          <w:sz w:val="20"/>
          <w:szCs w:val="20"/>
          <w:color w:val="auto"/>
        </w:rPr>
      </w:pPr>
    </w:p>
    <w:p>
      <w:pPr>
        <w:ind w:right="200" w:firstLine="495"/>
        <w:spacing w:after="0" w:line="271" w:lineRule="auto"/>
        <w:rPr>
          <w:sz w:val="20"/>
          <w:szCs w:val="20"/>
          <w:color w:val="auto"/>
        </w:rPr>
      </w:pPr>
      <w:r>
        <w:rPr>
          <w:rFonts w:ascii="Arial" w:cs="Arial" w:eastAsia="Arial" w:hAnsi="Arial"/>
          <w:sz w:val="17"/>
          <w:szCs w:val="17"/>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w:t>
      </w:r>
    </w:p>
    <w:p>
      <w:pPr>
        <w:spacing w:after="0" w:line="28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are subject to many of the economic and political risks associated with emerging markets due to our operations in China and Hong Kong. Adverse changes in China or Hong Kong’s economic, political and social conditions as well as government policies could adversely affect our business and prospects.</w:t>
      </w:r>
    </w:p>
    <w:p>
      <w:pPr>
        <w:spacing w:after="0" w:line="76" w:lineRule="exact"/>
        <w:rPr>
          <w:sz w:val="20"/>
          <w:szCs w:val="20"/>
          <w:color w:val="auto"/>
        </w:rPr>
      </w:pPr>
    </w:p>
    <w:p>
      <w:pPr>
        <w:ind w:right="100" w:firstLine="495"/>
        <w:spacing w:after="0" w:line="273" w:lineRule="auto"/>
        <w:rPr>
          <w:sz w:val="20"/>
          <w:szCs w:val="20"/>
          <w:color w:val="auto"/>
        </w:rPr>
      </w:pPr>
      <w:r>
        <w:rPr>
          <w:rFonts w:ascii="Arial" w:cs="Arial" w:eastAsia="Arial" w:hAnsi="Arial"/>
          <w:sz w:val="17"/>
          <w:szCs w:val="17"/>
          <w:color w:val="auto"/>
        </w:rPr>
        <w:t>Our primary operations are based in, and a substantial percentage of our revenue is generated from China, one of the world’s largest emerging markets. In light of our operations in an emerging market, we may be subject to risks and uncertainties including fluctuations in GDP, unfavorable or unpredictable treatment in relation to tax matters, expropriation of private assets, exchange controls, restrictions affecting our ability to make cross-border transfer of funds, regulatory proceedings, inflation, currency fluctuations or the absence of, or unexpected changes in, regulations and unforeseeable operational risks. In addition, our business, prospects, financial condition and results of operations may be significantly influenced by political, economic and social conditions in China generally and by continued economic growth in China as a whole.</w:t>
      </w:r>
    </w:p>
    <w:p>
      <w:pPr>
        <w:spacing w:after="0" w:line="178" w:lineRule="exact"/>
        <w:rPr>
          <w:sz w:val="20"/>
          <w:szCs w:val="20"/>
          <w:color w:val="auto"/>
        </w:rPr>
      </w:pPr>
    </w:p>
    <w:p>
      <w:pPr>
        <w:ind w:right="60" w:firstLine="495"/>
        <w:spacing w:after="0" w:line="255"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amount of government involvement, level of development, growth rate, control of foreign exchange and allocation of resources. Although the PRC government has implemented measures that focus on taking into account market forces to effect economic reform aimed at reducing the state ownership of productive assets and the establishing improved corporate governance in business enterprises, a substantial portion of China’s productive assets are still owned by the government. In addition, the PRC government continues to play a significant role in regulating development through industrial, economic and business policies. The PRC government also exercises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30" w:name="page31"/>
    <w:bookmarkEnd w:id="30"/>
    <w:p>
      <w:pPr>
        <w:ind w:right="400"/>
        <w:spacing w:after="0" w:line="277" w:lineRule="auto"/>
        <w:rPr>
          <w:sz w:val="20"/>
          <w:szCs w:val="20"/>
          <w:color w:val="auto"/>
        </w:rPr>
      </w:pPr>
      <w:r>
        <w:rPr>
          <w:rFonts w:ascii="Arial" w:cs="Arial" w:eastAsia="Arial" w:hAnsi="Arial"/>
          <w:sz w:val="18"/>
          <w:szCs w:val="18"/>
          <w:color w:val="auto"/>
        </w:rPr>
        <w:t>significant control over China’s economic growth through its allocation of resources, control of payment of foreign currency-denominated obligations, setting monetary policy, and providing preferential treatment for particular industries or companies.</w:t>
      </w:r>
    </w:p>
    <w:p>
      <w:pPr>
        <w:spacing w:after="0" w:line="170" w:lineRule="exact"/>
        <w:rPr>
          <w:sz w:val="20"/>
          <w:szCs w:val="20"/>
          <w:color w:val="auto"/>
        </w:rPr>
      </w:pPr>
    </w:p>
    <w:p>
      <w:pPr>
        <w:ind w:firstLine="495"/>
        <w:spacing w:after="0" w:line="286" w:lineRule="auto"/>
        <w:rPr>
          <w:sz w:val="20"/>
          <w:szCs w:val="20"/>
          <w:color w:val="auto"/>
        </w:rPr>
      </w:pPr>
      <w:r>
        <w:rPr>
          <w:rFonts w:ascii="Arial" w:cs="Arial" w:eastAsia="Arial" w:hAnsi="Arial"/>
          <w:sz w:val="16"/>
          <w:szCs w:val="16"/>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which may benefit the overall Chinese economy, may have a negative effect on us. For example, our financial condition and results of operations may be adversely affected by government control over capital investments or changes in tax regulations. In addition, the PRC government has from time to time implemented certain measures, including interest rate changes, to control the pace of economic growth. These measures may cause decreased economic activity in China, and since 2012, the Chinese economy has slowed down. According to the World Bank, China’s real GDP growth rate was 6.1% in 2019, and slowed to 2.3% in 2020. Any prolonged slowdown in the Chinese economy may reduce the demand for our services and materially and adversely affect our business and results of operations. There have also been concerns about the relationships among China and other Asian countries, the relationship between China and the United States, as well as the relationship between the United States and certain Asian countries such as North Korea, which may result in or intensify potential conflicts in relation to territorial, regional security and trade disputes.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leading to reduction in demand for our services and solutions and adversely affect our competitive position. An economic downturn, whether actual or perceived, a further decrease in economic growth rates or an otherwise uncertain economic outlook in China could have a material adverse effect on business and consumer spending and, as a result, adversely affect our business, financial condition and results of operations.</w:t>
      </w:r>
    </w:p>
    <w:p>
      <w:pPr>
        <w:spacing w:after="0" w:line="2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Developments in U.S.-China relations, including any escalation of political or trade tensions, could negatively affect our business and the market for our ADSs.</w:t>
      </w:r>
    </w:p>
    <w:p>
      <w:pPr>
        <w:spacing w:after="0" w:line="170" w:lineRule="exact"/>
        <w:rPr>
          <w:sz w:val="20"/>
          <w:szCs w:val="20"/>
          <w:color w:val="auto"/>
        </w:rPr>
      </w:pPr>
    </w:p>
    <w:p>
      <w:pPr>
        <w:jc w:val="both"/>
        <w:ind w:right="160" w:firstLine="495"/>
        <w:spacing w:after="0" w:line="263" w:lineRule="auto"/>
        <w:rPr>
          <w:sz w:val="20"/>
          <w:szCs w:val="20"/>
          <w:color w:val="auto"/>
        </w:rPr>
      </w:pPr>
      <w:r>
        <w:rPr>
          <w:rFonts w:ascii="Arial" w:cs="Arial" w:eastAsia="Arial" w:hAnsi="Arial"/>
          <w:sz w:val="18"/>
          <w:szCs w:val="18"/>
          <w:color w:val="auto"/>
        </w:rPr>
        <w:t>Our principal executive offices are in Hong Kong, and we derive a substantial percentage of our revenue from China. We also continuously seek to expand our international footprint. Accordingly, international trade or political tensions, especially those affecting China and Hong Kong’s relations with the United States, could affect us.</w:t>
      </w:r>
    </w:p>
    <w:p>
      <w:pPr>
        <w:spacing w:after="0" w:line="184" w:lineRule="exact"/>
        <w:rPr>
          <w:sz w:val="20"/>
          <w:szCs w:val="20"/>
          <w:color w:val="auto"/>
        </w:rPr>
      </w:pPr>
    </w:p>
    <w:p>
      <w:pPr>
        <w:ind w:right="60" w:firstLine="495"/>
        <w:spacing w:after="0" w:line="269" w:lineRule="auto"/>
        <w:rPr>
          <w:sz w:val="20"/>
          <w:szCs w:val="20"/>
          <w:color w:val="auto"/>
        </w:rPr>
      </w:pPr>
      <w:r>
        <w:rPr>
          <w:rFonts w:ascii="Arial" w:cs="Arial" w:eastAsia="Arial" w:hAnsi="Arial"/>
          <w:sz w:val="17"/>
          <w:szCs w:val="17"/>
          <w:color w:val="auto"/>
        </w:rPr>
        <w:t>In recent years, political tensions between the United States and China have escalated due to factors including the COVID-19 outbreak and related issues, China’s enactment of national security legislation for Hong Kong, the United States’ enactment of the Hong Kong Autonomy Act, U.S. sanctions imposed on certain Chinese and Hong Kong officials, the U.S. executive order of November 2020 prohibiting U.S. persons from buying securities of certain “Communist Chinese military companies”, the United States’ imposition of import bans on certain companies and products based on “forced labor” allegations, and a January 2021 U.S. executive order authorizing restrictions on dealings with persons who develop or control certain China-connected software applications companies. We could also be affected by U.S. actions targeting specific Chinese companies we do business with, such as the August 2020 U.S. executive orders prohibiting certain transactions with ByteDance Ltd., Tencent Holdings Ltd. and their respective subsidiaries. China has responded to some of the U.S. actions listed above in actions generally perceived as retaliations, including imposing sanctions on certain U.S. officials and lawmakers, the adoption of China’s Unreliable Entity List, and China’ s tightening of export rules for sensitive technology under its Export Control Law, which came into effect in December 2020.</w:t>
      </w:r>
    </w:p>
    <w:p>
      <w:pPr>
        <w:spacing w:after="0" w:line="185" w:lineRule="exact"/>
        <w:rPr>
          <w:sz w:val="20"/>
          <w:szCs w:val="20"/>
          <w:color w:val="auto"/>
        </w:rPr>
      </w:pPr>
    </w:p>
    <w:p>
      <w:pPr>
        <w:ind w:right="80" w:firstLine="495"/>
        <w:spacing w:after="0" w:line="269" w:lineRule="auto"/>
        <w:rPr>
          <w:sz w:val="20"/>
          <w:szCs w:val="20"/>
          <w:color w:val="auto"/>
        </w:rPr>
      </w:pPr>
      <w:r>
        <w:rPr>
          <w:rFonts w:ascii="Arial" w:cs="Arial" w:eastAsia="Arial" w:hAnsi="Arial"/>
          <w:sz w:val="17"/>
          <w:szCs w:val="17"/>
          <w:color w:val="auto"/>
        </w:rPr>
        <w:t>The types of government actions described in the paragraph above are in practice discretionary and highly political. In a relationship as broad and complex as that between the United States and China, it is difficult to predict the full impact of these laws, executive orders and regulations on either us or the overall bilateral relationship. For example, the U.S. administration has not yet implemented the restrictions on transactions with Tencent under the August 2020 executive order or the restrictions on dealings with persons that develop or control certain Chinese connected software application companies under the January 2021 executive orders; accordingly, the precise timing and scope of restrictions that may be imposed is not yet known. We partner and have business with some of the companies referred to in these executive orders, including Tencent, with which we do substantial business. If a broad prohibition against transactions with Tencent or other companies that we partner or have business with were to be implemented, our business and results of operations could be materially and adversely affected. We cannot assure you that there will not be additional laws, regulations or executive orders or that existing laws regulations or executive orders will be interpreted in ways that impact us. Furthermore, developments in U.S.-China relations could cause investor uncertainty, and the market price of our ADSs could be adversely affected.</w:t>
      </w:r>
    </w:p>
    <w:p>
      <w:pPr>
        <w:spacing w:after="0" w:line="185" w:lineRule="exact"/>
        <w:rPr>
          <w:sz w:val="20"/>
          <w:szCs w:val="20"/>
          <w:color w:val="auto"/>
        </w:rPr>
      </w:pPr>
    </w:p>
    <w:p>
      <w:pPr>
        <w:ind w:right="40" w:firstLine="495"/>
        <w:spacing w:after="0" w:line="255" w:lineRule="auto"/>
        <w:rPr>
          <w:sz w:val="20"/>
          <w:szCs w:val="20"/>
          <w:color w:val="auto"/>
        </w:rPr>
      </w:pPr>
      <w:r>
        <w:rPr>
          <w:rFonts w:ascii="Arial" w:cs="Arial" w:eastAsia="Arial" w:hAnsi="Arial"/>
          <w:sz w:val="18"/>
          <w:szCs w:val="18"/>
          <w:color w:val="auto"/>
        </w:rPr>
        <w:t>In addition to political tensions, international trade disputes could result in tariffs and other protectionist measures that could adversely affect our business and investor sentiment. The U.S. initiated certain trade actions, primarily higher tariffs, against China beginning in early 2018 and China took certain actions in retaliation. Although the two countries reached the so-called “Phase One” trade deal in January 2020, the long-term stability of their trade relationship remains uncertain. Higher tariffs could increase the cost of goods and services, which could affect our customers’ marketing budget or lead to generally lower levels of economic activity. As we are expanding our business internationally, any unfavorable government policies on international trade, such as capital controls or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1" w:name="page32"/>
    <w:bookmarkEnd w:id="31"/>
    <w:p>
      <w:pPr>
        <w:ind w:right="280"/>
        <w:spacing w:after="0" w:line="275" w:lineRule="auto"/>
        <w:rPr>
          <w:sz w:val="20"/>
          <w:szCs w:val="20"/>
          <w:color w:val="auto"/>
        </w:rPr>
      </w:pPr>
      <w:r>
        <w:rPr>
          <w:rFonts w:ascii="Arial" w:cs="Arial" w:eastAsia="Arial" w:hAnsi="Arial"/>
          <w:sz w:val="17"/>
          <w:szCs w:val="17"/>
          <w:color w:val="auto"/>
        </w:rPr>
        <w:t>tariffs, could also affect the demand for our products and services, impact our competitive position, or prevent us from being able to conduct business in certain countries. If any new tariffs, legislation or regulations are implemented or if existing trade agreements are renegotiated, including in relation to political developments in the relationship, such changes could have an adverse effect on our business, financial condition and results of operations. In addition, any escalation in existing trade tensions or the advent of a trade war or related news or rumors, could affect consumer confidence and have a material adverse effect on our business, results of operations and, ultimately, the trading price of the ADSs.</w:t>
      </w:r>
    </w:p>
    <w:p>
      <w:pPr>
        <w:spacing w:after="0" w:line="28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76" w:lineRule="exact"/>
        <w:rPr>
          <w:sz w:val="20"/>
          <w:szCs w:val="20"/>
          <w:color w:val="auto"/>
        </w:rPr>
      </w:pPr>
    </w:p>
    <w:p>
      <w:pPr>
        <w:ind w:firstLine="495"/>
        <w:spacing w:after="0" w:line="270" w:lineRule="auto"/>
        <w:rPr>
          <w:sz w:val="20"/>
          <w:szCs w:val="20"/>
          <w:color w:val="auto"/>
        </w:rPr>
      </w:pPr>
      <w:r>
        <w:rPr>
          <w:rFonts w:ascii="Arial" w:cs="Arial" w:eastAsia="Arial" w:hAnsi="Arial"/>
          <w:sz w:val="17"/>
          <w:szCs w:val="17"/>
          <w:color w:val="auto"/>
        </w:rPr>
        <w:t>We are a Cayman Islands exempted limited liability company, used as a holding company, and we rely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 governing the debt may restrict their ability to pay dividends or make other distributions to us. Under PRC laws and regulations, our PRC subsidiaries, as wholly foreign-owned enterprises in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81" w:lineRule="exact"/>
        <w:rPr>
          <w:sz w:val="20"/>
          <w:szCs w:val="20"/>
          <w:color w:val="auto"/>
        </w:rPr>
      </w:pPr>
    </w:p>
    <w:p>
      <w:pPr>
        <w:ind w:right="120" w:firstLine="495"/>
        <w:spacing w:after="0" w:line="291" w:lineRule="auto"/>
        <w:rPr>
          <w:sz w:val="20"/>
          <w:szCs w:val="20"/>
          <w:color w:val="auto"/>
        </w:rPr>
      </w:pPr>
      <w:r>
        <w:rPr>
          <w:rFonts w:ascii="Arial" w:cs="Arial" w:eastAsia="Arial" w:hAnsi="Arial"/>
          <w:sz w:val="16"/>
          <w:szCs w:val="16"/>
          <w:color w:val="auto"/>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 Furthermore, the failure of our beneficial owners who are PRC residents to register or comply with the registration procedures set forth in SAFE Circular 37 and subsequent implementation rules, may also limit our PRC subsidiaries’ ability to distribute dividends to us. See “Item 3. Key Information—D. Risk Factors—Risks Related to Doing Business in China—PRC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166" w:lineRule="exact"/>
        <w:rPr>
          <w:sz w:val="20"/>
          <w:szCs w:val="20"/>
          <w:color w:val="auto"/>
        </w:rPr>
      </w:pPr>
    </w:p>
    <w:p>
      <w:pPr>
        <w:ind w:right="380" w:firstLine="495"/>
        <w:spacing w:after="0" w:line="342" w:lineRule="auto"/>
        <w:rPr>
          <w:sz w:val="20"/>
          <w:szCs w:val="20"/>
          <w:color w:val="auto"/>
        </w:rPr>
      </w:pPr>
      <w:r>
        <w:rPr>
          <w:rFonts w:ascii="Arial" w:cs="Arial" w:eastAsia="Arial" w:hAnsi="Arial"/>
          <w:sz w:val="16"/>
          <w:szCs w:val="16"/>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3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PRC regulation of loans to and direct investment in PRC entities by offshore holding companies and governmental control of currency conversion may delay or prevent us from using the proceeds of our offshore fundraisings to make loans to or make additional capital contributions to our PRC subsidiaries, which could materially and adversely affect our liquidity and our ability to fund and expand our business.</w:t>
      </w:r>
    </w:p>
    <w:p>
      <w:pPr>
        <w:spacing w:after="0" w:line="41" w:lineRule="exact"/>
        <w:rPr>
          <w:sz w:val="20"/>
          <w:szCs w:val="20"/>
          <w:color w:val="auto"/>
        </w:rPr>
      </w:pPr>
    </w:p>
    <w:p>
      <w:pPr>
        <w:ind w:right="60" w:firstLine="495"/>
        <w:spacing w:after="0" w:line="268" w:lineRule="auto"/>
        <w:rPr>
          <w:sz w:val="20"/>
          <w:szCs w:val="20"/>
          <w:color w:val="auto"/>
        </w:rPr>
      </w:pPr>
      <w:r>
        <w:rPr>
          <w:rFonts w:ascii="Arial" w:cs="Arial" w:eastAsia="Arial" w:hAnsi="Arial"/>
          <w:sz w:val="17"/>
          <w:szCs w:val="17"/>
          <w:color w:val="auto"/>
        </w:rPr>
        <w:t>Any funds we transfer to our PRC subsidiaries, either as a shareholder loan or as an increase in registered capital, are subject to approval by, registration or record filing with relevant governmental authorities in China. According to the relevant PRC regulations on foreign-invested enterprises in China, capital contributions to our PRC subsidiaries are subject to the requirement of making necessary filings in the Foreign Investment Comprehensive Management Information System, or FICMIS, and registration with other governmental authorities in China. In addition, (i) any foreign loan procured by our PRC subsidiaries is required to be registered with the State Administration of Foreign Exchange, or SAFE, or its local branches, and (ii) except as otherwise regulated by laws or regulations each of our PRC subsidiaries may procure loans which do not exceed the difference between its registered capital and its total investment amount as recorded in FICMIS, or as an alternative, do not exceed the upper limit as specified in the Notice of the People’s Bank of China on Matters concerning the Macro-Prudential Management of Full-Covered Cross-Border Financing as promulgated by People’s Bank of China, or the PBOC, on January 11, 2017. Any medium or long term loan to be provided by us to our variable interest entity must be recorded and registered by the NDRC and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our offering and to capitalize our PRC operations may be negatively affected, which could adversely affect our liquidity and our ability to fund and expand our business.</w:t>
      </w:r>
    </w:p>
    <w:p>
      <w:pPr>
        <w:spacing w:after="0" w:line="186" w:lineRule="exact"/>
        <w:rPr>
          <w:sz w:val="20"/>
          <w:szCs w:val="20"/>
          <w:color w:val="auto"/>
        </w:rPr>
      </w:pPr>
    </w:p>
    <w:p>
      <w:pPr>
        <w:ind w:right="120" w:firstLine="495"/>
        <w:spacing w:after="0" w:line="255" w:lineRule="auto"/>
        <w:rPr>
          <w:sz w:val="20"/>
          <w:szCs w:val="20"/>
          <w:color w:val="auto"/>
        </w:rPr>
      </w:pPr>
      <w:r>
        <w:rPr>
          <w:rFonts w:ascii="Arial" w:cs="Arial" w:eastAsia="Arial" w:hAnsi="Arial"/>
          <w:sz w:val="18"/>
          <w:szCs w:val="18"/>
          <w:color w:val="auto"/>
        </w:rPr>
        <w:t>In 2008,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SAFE promulgated the Circular on Reforming the Management Approach Regarding the Foreign Exchange Capital Settlement of Foreign-Invested Enterprises, or SAFE Circular 19. SAFE Circular 19 took effect as of June 1, 2015 and superseded SAFE Circular 142 on the same date. SAFE Circular 19 launched a nationwide reform of the administration of the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2" w:name="page33"/>
    <w:bookmarkEnd w:id="32"/>
    <w:p>
      <w:pPr>
        <w:spacing w:after="0" w:line="269" w:lineRule="auto"/>
        <w:rPr>
          <w:sz w:val="20"/>
          <w:szCs w:val="20"/>
          <w:color w:val="auto"/>
        </w:rPr>
      </w:pPr>
      <w:r>
        <w:rPr>
          <w:rFonts w:ascii="Arial" w:cs="Arial" w:eastAsia="Arial" w:hAnsi="Arial"/>
          <w:sz w:val="17"/>
          <w:szCs w:val="17"/>
          <w:color w:val="auto"/>
        </w:rPr>
        <w:t>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 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 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 and operating results.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have a material adverse effect on our results of operations and the price of our ADSs.</w:t>
      </w:r>
    </w:p>
    <w:p>
      <w:pPr>
        <w:spacing w:after="0" w:line="117" w:lineRule="exact"/>
        <w:rPr>
          <w:sz w:val="20"/>
          <w:szCs w:val="20"/>
          <w:color w:val="auto"/>
        </w:rPr>
      </w:pPr>
    </w:p>
    <w:p>
      <w:pPr>
        <w:ind w:right="80" w:firstLine="495"/>
        <w:spacing w:after="0" w:line="275" w:lineRule="auto"/>
        <w:rPr>
          <w:sz w:val="20"/>
          <w:szCs w:val="20"/>
          <w:color w:val="auto"/>
        </w:rPr>
      </w:pPr>
      <w:r>
        <w:rPr>
          <w:rFonts w:ascii="Arial" w:cs="Arial" w:eastAsia="Arial" w:hAnsi="Arial"/>
          <w:sz w:val="17"/>
          <w:szCs w:val="17"/>
          <w:color w:val="auto"/>
        </w:rPr>
        <w:t>The conversion of Renminbi into foreign currencies, including U.S. dollars, is based on rates set by the PBOC. The Renminbi has fluctuated against the U.S. dollar, at times significantly and unpredictably. The value of the Renminbi against the U.S. dollar and other currencies is affected by changes in China’s political and economic conditions and by China’s foreign exchange policies, among other things.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76" w:lineRule="exact"/>
        <w:rPr>
          <w:sz w:val="20"/>
          <w:szCs w:val="20"/>
          <w:color w:val="auto"/>
        </w:rPr>
      </w:pPr>
    </w:p>
    <w:p>
      <w:pPr>
        <w:ind w:right="40" w:firstLine="495"/>
        <w:spacing w:after="0" w:line="293" w:lineRule="auto"/>
        <w:rPr>
          <w:sz w:val="20"/>
          <w:szCs w:val="20"/>
          <w:color w:val="auto"/>
        </w:rPr>
      </w:pPr>
      <w:r>
        <w:rPr>
          <w:rFonts w:ascii="Arial" w:cs="Arial" w:eastAsia="Arial" w:hAnsi="Arial"/>
          <w:sz w:val="16"/>
          <w:szCs w:val="16"/>
          <w:color w:val="auto"/>
        </w:rPr>
        <w:t>A substantial portion of our revenues and costs are denominated in Renminbi, whereas our reporting currency is the U.S. dollar. Any significant appreciation or depreciation of the Renminbi may materially and adversely affect our revenues, earnings and financial position as reported in U.S. dollars. To the extent that we need to convert U.S. dollars we receive from our offshore fundraisings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spacing w:after="0" w:line="164" w:lineRule="exact"/>
        <w:rPr>
          <w:sz w:val="20"/>
          <w:szCs w:val="20"/>
          <w:color w:val="auto"/>
        </w:rPr>
      </w:pPr>
    </w:p>
    <w:p>
      <w:pPr>
        <w:ind w:right="40" w:firstLine="495"/>
        <w:spacing w:after="0" w:line="296" w:lineRule="auto"/>
        <w:rPr>
          <w:sz w:val="20"/>
          <w:szCs w:val="20"/>
          <w:color w:val="auto"/>
        </w:rPr>
      </w:pPr>
      <w:r>
        <w:rPr>
          <w:rFonts w:ascii="Arial" w:cs="Arial" w:eastAsia="Arial" w:hAnsi="Arial"/>
          <w:sz w:val="16"/>
          <w:szCs w:val="16"/>
          <w:color w:val="auto"/>
        </w:rPr>
        <w:t>We estimate that a 10% depreciation of the Renminbi against the U.S. dollar based on the foreign exchange rate on December 31, 2018 would result in a decrease of US$14.1 million and US$11.6 million in our net revenues and cost of revenues in 2018, respectively; a 10% depreciation of the Renminbi against the U.S. dollar based on the foreign exchange rate on December 31, 2019 would result in a decrease of US$19.6 million and US$15.9 million in our net revenues and cost of revenues in 2019, respectively; and a 10% depreciation of the Renminbi against the U.S. dollar based on the foreign exchange rate on December 31, 2020 would result in a decrease of US$22.7 million and US$18.7 million in our net revenues and cost of revenues in 2020, respectively.</w:t>
      </w:r>
    </w:p>
    <w:p>
      <w:pPr>
        <w:spacing w:after="0" w:line="161" w:lineRule="exact"/>
        <w:rPr>
          <w:sz w:val="20"/>
          <w:szCs w:val="20"/>
          <w:color w:val="auto"/>
        </w:rPr>
      </w:pPr>
    </w:p>
    <w:p>
      <w:pPr>
        <w:ind w:right="60" w:firstLine="495"/>
        <w:spacing w:after="0" w:line="301" w:lineRule="auto"/>
        <w:rPr>
          <w:sz w:val="20"/>
          <w:szCs w:val="20"/>
          <w:color w:val="auto"/>
        </w:rPr>
      </w:pPr>
      <w:r>
        <w:rPr>
          <w:rFonts w:ascii="Arial" w:cs="Arial" w:eastAsia="Arial" w:hAnsi="Arial"/>
          <w:sz w:val="16"/>
          <w:szCs w:val="16"/>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Governmental control of currency conversion may limit our ability to utilize our revenues effectively and affect the value of your investment.</w:t>
      </w:r>
    </w:p>
    <w:p>
      <w:pPr>
        <w:spacing w:after="0" w:line="140" w:lineRule="exact"/>
        <w:rPr>
          <w:sz w:val="20"/>
          <w:szCs w:val="20"/>
          <w:color w:val="auto"/>
        </w:rPr>
      </w:pPr>
    </w:p>
    <w:p>
      <w:pPr>
        <w:ind w:right="40" w:firstLine="495"/>
        <w:spacing w:after="0" w:line="287" w:lineRule="auto"/>
        <w:rPr>
          <w:sz w:val="20"/>
          <w:szCs w:val="20"/>
          <w:color w:val="auto"/>
        </w:rPr>
      </w:pPr>
      <w:r>
        <w:rPr>
          <w:rFonts w:ascii="Arial" w:cs="Arial" w:eastAsia="Arial" w:hAnsi="Arial"/>
          <w:sz w:val="16"/>
          <w:szCs w:val="16"/>
          <w:color w:val="auto"/>
        </w:rPr>
        <w:t>The PRC government imposes controls on the convertibility of the Renminbi into foreign currencies and, in certain cases, the remittance of currency out of China. We receive a substantial portion of our revenues in 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China to pay capital expenses such as the repayment of loans denominated in foreign currencies, as enterprises shall duly file the cross- border financing contracts according to the Circular of the PBOC on Matters relating to the Macro-prudential Management of Full-covered Cross-border Financing for the Issuance of Foreign Debts by Enterprise, or Circular on Management of Cross-border Financing, effective on January 11, 2017, and any medium or long term loan to be provided by foreign entities to domestic enterprises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3" w:name="page34"/>
    <w:bookmarkEnd w:id="33"/>
    <w:p>
      <w:pPr>
        <w:ind w:right="560"/>
        <w:spacing w:after="0" w:line="263" w:lineRule="auto"/>
        <w:rPr>
          <w:sz w:val="20"/>
          <w:szCs w:val="20"/>
          <w:color w:val="auto"/>
        </w:rPr>
      </w:pPr>
      <w:r>
        <w:rPr>
          <w:rFonts w:ascii="Arial" w:cs="Arial" w:eastAsia="Arial" w:hAnsi="Arial"/>
          <w:sz w:val="18"/>
          <w:szCs w:val="18"/>
          <w:color w:val="auto"/>
        </w:rPr>
        <w:t>must be recorded and registered by the National Development and Reform Committee, or the NDRC, according to the Circular on Promoting the Administrative Reform of the Record-filing and Registration System for the Issuance of Foreign Debts by Enterprises, or Circular on Promoting the Administrative Reform, by the NDRC on September 14, 2015.</w:t>
      </w:r>
    </w:p>
    <w:p>
      <w:pPr>
        <w:spacing w:after="0" w:line="184" w:lineRule="exact"/>
        <w:rPr>
          <w:sz w:val="20"/>
          <w:szCs w:val="20"/>
          <w:color w:val="auto"/>
        </w:rPr>
      </w:pPr>
    </w:p>
    <w:p>
      <w:pPr>
        <w:ind w:right="20" w:firstLine="495"/>
        <w:spacing w:after="0" w:line="296" w:lineRule="auto"/>
        <w:rPr>
          <w:sz w:val="20"/>
          <w:szCs w:val="20"/>
          <w:color w:val="auto"/>
        </w:rPr>
      </w:pPr>
      <w:r>
        <w:rPr>
          <w:rFonts w:ascii="Arial" w:cs="Arial" w:eastAsia="Arial" w:hAnsi="Arial"/>
          <w:sz w:val="16"/>
          <w:szCs w:val="16"/>
          <w:color w:val="auto"/>
        </w:rPr>
        <w:t>In light of the flood of capital outflows of China in 2016 due to the weakening Renminbi, the PRC government has imposed more restrictive foreign exchange policies and stepped up scrutiny of major outbound capital movement. More restrictions and substantial vetting process are put in place by SAFE to regulate cross-border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6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76" w:lineRule="exact"/>
        <w:rPr>
          <w:sz w:val="20"/>
          <w:szCs w:val="20"/>
          <w:color w:val="auto"/>
        </w:rPr>
      </w:pPr>
    </w:p>
    <w:p>
      <w:pPr>
        <w:ind w:firstLine="495"/>
        <w:spacing w:after="0" w:line="286" w:lineRule="auto"/>
        <w:rPr>
          <w:sz w:val="20"/>
          <w:szCs w:val="20"/>
          <w:color w:val="auto"/>
        </w:rPr>
      </w:pPr>
      <w:r>
        <w:rPr>
          <w:rFonts w:ascii="Arial" w:cs="Arial" w:eastAsia="Arial" w:hAnsi="Arial"/>
          <w:sz w:val="16"/>
          <w:szCs w:val="16"/>
          <w:color w:val="auto"/>
        </w:rPr>
        <w:t>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spacing w:after="0" w:line="171" w:lineRule="exact"/>
        <w:rPr>
          <w:sz w:val="20"/>
          <w:szCs w:val="20"/>
          <w:color w:val="auto"/>
        </w:rPr>
      </w:pPr>
    </w:p>
    <w:p>
      <w:pPr>
        <w:ind w:firstLine="495"/>
        <w:spacing w:after="0" w:line="254" w:lineRule="auto"/>
        <w:rPr>
          <w:sz w:val="20"/>
          <w:szCs w:val="20"/>
          <w:color w:val="auto"/>
        </w:rPr>
      </w:pPr>
      <w:r>
        <w:rPr>
          <w:rFonts w:ascii="Arial" w:cs="Arial" w:eastAsia="Arial" w:hAnsi="Arial"/>
          <w:sz w:val="18"/>
          <w:szCs w:val="18"/>
          <w:color w:val="auto"/>
        </w:rPr>
        <w:t>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spacing w:after="0" w:line="30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62" w:lineRule="exact"/>
        <w:rPr>
          <w:sz w:val="20"/>
          <w:szCs w:val="20"/>
          <w:color w:val="auto"/>
        </w:rPr>
      </w:pPr>
    </w:p>
    <w:p>
      <w:pPr>
        <w:ind w:right="220" w:firstLine="495"/>
        <w:spacing w:after="0" w:line="275" w:lineRule="auto"/>
        <w:rPr>
          <w:sz w:val="20"/>
          <w:szCs w:val="20"/>
          <w:color w:val="auto"/>
        </w:rPr>
      </w:pPr>
      <w:r>
        <w:rPr>
          <w:rFonts w:ascii="Arial" w:cs="Arial" w:eastAsia="Arial" w:hAnsi="Arial"/>
          <w:sz w:val="17"/>
          <w:szCs w:val="17"/>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were triggered.</w:t>
      </w:r>
    </w:p>
    <w:p>
      <w:pPr>
        <w:spacing w:after="0" w:line="176" w:lineRule="exact"/>
        <w:rPr>
          <w:sz w:val="20"/>
          <w:szCs w:val="20"/>
          <w:color w:val="auto"/>
        </w:rPr>
      </w:pPr>
    </w:p>
    <w:p>
      <w:pPr>
        <w:ind w:right="40" w:firstLine="495"/>
        <w:spacing w:after="0" w:line="291" w:lineRule="auto"/>
        <w:rPr>
          <w:sz w:val="20"/>
          <w:szCs w:val="20"/>
          <w:color w:val="auto"/>
        </w:rPr>
      </w:pPr>
      <w:r>
        <w:rPr>
          <w:rFonts w:ascii="Arial" w:cs="Arial" w:eastAsia="Arial" w:hAnsi="Arial"/>
          <w:sz w:val="16"/>
          <w:szCs w:val="16"/>
          <w:color w:val="auto"/>
        </w:rPr>
        <w:t>Moreover, the Anti-Monopoly Law promulgated by the Standing Committee of the National People’s Congress of the PRC, which became effective in 2008 requires that transactions which are deemed concentrations and involve parties with specified turnover thresholds must be cleared by MOFCOM before they can be completed. In addition, the Notice of the General Office of the State Council on Establishing the Security Review System for Mergers and Acquisitions of Domestic Enterprises by Foreign Investors which became effective in March 2011 requires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34" w:name="page35"/>
    <w:bookmarkEnd w:id="34"/>
    <w:p>
      <w:pPr>
        <w:ind w:right="60"/>
        <w:spacing w:after="0" w:line="277" w:lineRule="auto"/>
        <w:rPr>
          <w:sz w:val="20"/>
          <w:szCs w:val="20"/>
          <w:color w:val="auto"/>
        </w:rPr>
      </w:pPr>
      <w:r>
        <w:rPr>
          <w:rFonts w:ascii="Arial" w:cs="Arial" w:eastAsia="Arial" w:hAnsi="Arial"/>
          <w:sz w:val="18"/>
          <w:szCs w:val="18"/>
          <w:color w:val="auto"/>
        </w:rPr>
        <w:t>including obtaining approval or clearance from MOFCOM, may delay or inhibit our ability to complete such transactions, which could affect our ability to expand our business or maintain our market share.</w:t>
      </w:r>
    </w:p>
    <w:p>
      <w:pPr>
        <w:spacing w:after="0" w:line="2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right="20" w:firstLine="495"/>
        <w:spacing w:after="0" w:line="268" w:lineRule="auto"/>
        <w:rPr>
          <w:sz w:val="20"/>
          <w:szCs w:val="20"/>
          <w:color w:val="auto"/>
        </w:rPr>
      </w:pPr>
      <w:r>
        <w:rPr>
          <w:rFonts w:ascii="Arial" w:cs="Arial" w:eastAsia="Arial" w:hAnsi="Arial"/>
          <w:sz w:val="17"/>
          <w:szCs w:val="17"/>
          <w:color w:val="auto"/>
        </w:rPr>
        <w:t>Pursuant to SAFE Circular 37, PRC residents who participate in share incentive plans in overseas non-publicly-listed companies may submit applications to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SAFE in 2012, or the 2012 SAFE Notices. Pursuant to the 2012 SAFE Notices,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are subject to these regulations. Failure to complete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Company—B. Business Overview— Regulation—Regulations on Foreign Exchange—Equity Incentive Plans.”</w:t>
      </w:r>
    </w:p>
    <w:p>
      <w:pPr>
        <w:spacing w:after="0" w:line="182" w:lineRule="exact"/>
        <w:rPr>
          <w:sz w:val="20"/>
          <w:szCs w:val="20"/>
          <w:color w:val="auto"/>
        </w:rPr>
      </w:pPr>
    </w:p>
    <w:p>
      <w:pPr>
        <w:ind w:right="80" w:firstLine="495"/>
        <w:spacing w:after="0" w:line="293" w:lineRule="auto"/>
        <w:rPr>
          <w:sz w:val="20"/>
          <w:szCs w:val="20"/>
          <w:color w:val="auto"/>
        </w:rPr>
      </w:pPr>
      <w:r>
        <w:rPr>
          <w:rFonts w:ascii="Arial" w:cs="Arial" w:eastAsia="Arial" w:hAnsi="Arial"/>
          <w:sz w:val="16"/>
          <w:szCs w:val="16"/>
          <w:color w:val="auto"/>
        </w:rPr>
        <w:t>The State Administration of Taxation, or the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“Item 4. Information On the Company—B. Business Overview—Regulation—Regulations on Foreign Exchange—Equity Incentive Plans.”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make adequate contributions to various employee benefit plans as required by PRC regulations may subject us to penalties.</w:t>
      </w:r>
    </w:p>
    <w:p>
      <w:pPr>
        <w:spacing w:after="0" w:line="129" w:lineRule="exact"/>
        <w:rPr>
          <w:sz w:val="20"/>
          <w:szCs w:val="20"/>
          <w:color w:val="auto"/>
        </w:rPr>
      </w:pPr>
    </w:p>
    <w:p>
      <w:pPr>
        <w:ind w:right="100" w:firstLine="495"/>
        <w:spacing w:after="0" w:line="272" w:lineRule="auto"/>
        <w:rPr>
          <w:sz w:val="20"/>
          <w:szCs w:val="20"/>
          <w:color w:val="auto"/>
        </w:rPr>
      </w:pPr>
      <w:r>
        <w:rPr>
          <w:rFonts w:ascii="Arial" w:cs="Arial" w:eastAsia="Arial" w:hAnsi="Arial"/>
          <w:sz w:val="17"/>
          <w:szCs w:val="17"/>
          <w:color w:val="auto"/>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2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62" w:lineRule="exact"/>
        <w:rPr>
          <w:sz w:val="20"/>
          <w:szCs w:val="20"/>
          <w:color w:val="auto"/>
        </w:rPr>
      </w:pPr>
    </w:p>
    <w:p>
      <w:pPr>
        <w:ind w:firstLine="495"/>
        <w:spacing w:after="0" w:line="287" w:lineRule="auto"/>
        <w:rPr>
          <w:sz w:val="20"/>
          <w:szCs w:val="20"/>
          <w:color w:val="auto"/>
        </w:rPr>
      </w:pPr>
      <w:r>
        <w:rPr>
          <w:rFonts w:ascii="Arial" w:cs="Arial" w:eastAsia="Arial" w:hAnsi="Arial"/>
          <w:sz w:val="16"/>
          <w:szCs w:val="16"/>
          <w:color w:val="auto"/>
        </w:rPr>
        <w:t>Under the PRC Enterprise Income Tax Law, or the EIT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as amended on December 29, 2017,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like us,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35" w:name="page36"/>
    <w:bookmarkEnd w:id="35"/>
    <w:p>
      <w:pPr>
        <w:ind w:right="40"/>
        <w:spacing w:after="0" w:line="263" w:lineRule="auto"/>
        <w:rPr>
          <w:sz w:val="20"/>
          <w:szCs w:val="20"/>
          <w:color w:val="auto"/>
        </w:rPr>
      </w:pPr>
      <w:r>
        <w:rPr>
          <w:rFonts w:ascii="Arial" w:cs="Arial" w:eastAsia="Arial" w:hAnsi="Arial"/>
          <w:sz w:val="18"/>
          <w:szCs w:val="18"/>
          <w:color w:val="auto"/>
        </w:rPr>
        <w:t>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4" w:lineRule="exact"/>
        <w:rPr>
          <w:sz w:val="20"/>
          <w:szCs w:val="20"/>
          <w:color w:val="auto"/>
        </w:rPr>
      </w:pPr>
    </w:p>
    <w:p>
      <w:pPr>
        <w:ind w:right="20" w:firstLine="495"/>
        <w:spacing w:after="0" w:line="270" w:lineRule="auto"/>
        <w:rPr>
          <w:sz w:val="20"/>
          <w:szCs w:val="20"/>
          <w:color w:val="auto"/>
        </w:rPr>
      </w:pPr>
      <w:r>
        <w:rPr>
          <w:rFonts w:ascii="Arial" w:cs="Arial" w:eastAsia="Arial" w:hAnsi="Arial"/>
          <w:sz w:val="17"/>
          <w:szCs w:val="17"/>
          <w:color w:val="auto"/>
        </w:rPr>
        <w:t>We believe none of our entities outside of China is a PRC resident enterprise for PRC tax purposes. See “Item 10. Additional Information—E. Taxation—People’s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iClick Interactive Asia Group Limited or any of our subsidiaries outside of China is a PRC resident enterprise for PRC enterprise income tax purposes, then iClick Interactive Asia Group Limited or such subsidiary could be subject to PRC tax at a rate of 25% on its world-wide income, which could materially reduce our net income. In addition, we will 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PRC income tax on dividends from us or on any gain realized on the transfer of our ordinary shares.</w:t>
      </w:r>
    </w:p>
    <w:p>
      <w:pPr>
        <w:spacing w:after="0" w:line="117" w:lineRule="exact"/>
        <w:rPr>
          <w:sz w:val="20"/>
          <w:szCs w:val="20"/>
          <w:color w:val="auto"/>
        </w:rPr>
      </w:pPr>
    </w:p>
    <w:p>
      <w:pPr>
        <w:ind w:right="60" w:firstLine="495"/>
        <w:spacing w:after="0" w:line="270" w:lineRule="auto"/>
        <w:rPr>
          <w:sz w:val="20"/>
          <w:szCs w:val="20"/>
          <w:color w:val="auto"/>
        </w:rPr>
      </w:pPr>
      <w:r>
        <w:rPr>
          <w:rFonts w:ascii="Arial" w:cs="Arial" w:eastAsia="Arial" w:hAnsi="Arial"/>
          <w:sz w:val="17"/>
          <w:szCs w:val="17"/>
          <w:color w:val="auto"/>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 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81" w:lineRule="exact"/>
        <w:rPr>
          <w:sz w:val="20"/>
          <w:szCs w:val="20"/>
          <w:color w:val="auto"/>
        </w:rPr>
      </w:pPr>
    </w:p>
    <w:p>
      <w:pPr>
        <w:ind w:right="20" w:firstLine="495"/>
        <w:spacing w:after="0" w:line="342" w:lineRule="auto"/>
        <w:rPr>
          <w:sz w:val="20"/>
          <w:szCs w:val="20"/>
          <w:color w:val="auto"/>
        </w:rPr>
      </w:pPr>
      <w:r>
        <w:rPr>
          <w:rFonts w:ascii="Arial" w:cs="Arial" w:eastAsia="Arial" w:hAnsi="Arial"/>
          <w:sz w:val="16"/>
          <w:szCs w:val="16"/>
          <w:color w:val="auto"/>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spacing w:after="0" w:line="124" w:lineRule="exact"/>
        <w:rPr>
          <w:sz w:val="20"/>
          <w:szCs w:val="20"/>
          <w:color w:val="auto"/>
        </w:rPr>
      </w:pPr>
    </w:p>
    <w:p>
      <w:pPr>
        <w:ind w:right="40" w:firstLine="495"/>
        <w:spacing w:after="0" w:line="259" w:lineRule="auto"/>
        <w:rPr>
          <w:sz w:val="20"/>
          <w:szCs w:val="20"/>
          <w:color w:val="auto"/>
        </w:rPr>
      </w:pPr>
      <w:r>
        <w:rPr>
          <w:rFonts w:ascii="Arial" w:cs="Arial" w:eastAsia="Arial" w:hAnsi="Arial"/>
          <w:sz w:val="18"/>
          <w:szCs w:val="18"/>
          <w:color w:val="auto"/>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China may not qualify for benefits under such tax treaties or arrangements.</w:t>
      </w:r>
    </w:p>
    <w:p>
      <w:pPr>
        <w:spacing w:after="0" w:line="29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not be able to obtain certain benefits under relevant tax treaty on dividends paid by our PRC subsidiaries to us through our Hong Kong subsidiaries.</w:t>
      </w:r>
    </w:p>
    <w:p>
      <w:pPr>
        <w:spacing w:after="0" w:line="62" w:lineRule="exact"/>
        <w:rPr>
          <w:sz w:val="20"/>
          <w:szCs w:val="20"/>
          <w:color w:val="auto"/>
        </w:rPr>
      </w:pPr>
    </w:p>
    <w:p>
      <w:pPr>
        <w:ind w:firstLine="495"/>
        <w:spacing w:after="0" w:line="268" w:lineRule="auto"/>
        <w:rPr>
          <w:sz w:val="20"/>
          <w:szCs w:val="20"/>
          <w:color w:val="auto"/>
        </w:rPr>
      </w:pPr>
      <w:r>
        <w:rPr>
          <w:rFonts w:ascii="Arial" w:cs="Arial" w:eastAsia="Arial" w:hAnsi="Arial"/>
          <w:sz w:val="17"/>
          <w:szCs w:val="17"/>
          <w:color w:val="auto"/>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 EIT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SAT,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Taxpayers to Enjoy Treatments under Tax Treaties, which became effective in January 1, 2020,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“Item 10. Additional Information—E. Taxation—People’s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 Double Taxation Avoidance Arrangement with respect to dividends to be paid by our PRC subsidiaries to our Hong Kong subsidiaries.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We face uncertainties with respect to indirect transfers of equity interests in PRC resident enterprises by their non-PRC holding companies.</w:t>
      </w:r>
    </w:p>
    <w:p>
      <w:pPr>
        <w:spacing w:after="0" w:line="140" w:lineRule="exact"/>
        <w:rPr>
          <w:sz w:val="20"/>
          <w:szCs w:val="20"/>
          <w:color w:val="auto"/>
        </w:rPr>
      </w:pPr>
    </w:p>
    <w:p>
      <w:pPr>
        <w:ind w:firstLine="495"/>
        <w:spacing w:after="0" w:line="296" w:lineRule="auto"/>
        <w:rPr>
          <w:sz w:val="20"/>
          <w:szCs w:val="20"/>
          <w:color w:val="auto"/>
        </w:rPr>
      </w:pPr>
      <w:r>
        <w:rPr>
          <w:rFonts w:ascii="Arial" w:cs="Arial" w:eastAsia="Arial" w:hAnsi="Arial"/>
          <w:sz w:val="16"/>
          <w:szCs w:val="16"/>
          <w:color w:val="auto"/>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(i) has an effective tax rate less than 12.5% or (ii) does not tax foreign income of its residents, the non-resident enterprise, being the transferor, shall report to the competent tax authority of the PRC resident enterprise this Indirect Transfer.</w:t>
      </w:r>
    </w:p>
    <w:p>
      <w:pPr>
        <w:spacing w:after="0" w:line="161" w:lineRule="exact"/>
        <w:rPr>
          <w:sz w:val="20"/>
          <w:szCs w:val="20"/>
          <w:color w:val="auto"/>
        </w:rPr>
      </w:pPr>
    </w:p>
    <w:p>
      <w:pPr>
        <w:ind w:firstLine="495"/>
        <w:spacing w:after="0" w:line="268" w:lineRule="auto"/>
        <w:rPr>
          <w:sz w:val="20"/>
          <w:szCs w:val="20"/>
          <w:color w:val="auto"/>
        </w:rPr>
      </w:pPr>
      <w:r>
        <w:rPr>
          <w:rFonts w:ascii="Arial" w:cs="Arial" w:eastAsia="Arial" w:hAnsi="Arial"/>
          <w:sz w:val="17"/>
          <w:szCs w:val="17"/>
          <w:color w:val="auto"/>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 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applicable taxes will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spacing w:after="0" w:line="180" w:lineRule="exact"/>
        <w:rPr>
          <w:sz w:val="20"/>
          <w:szCs w:val="20"/>
          <w:color w:val="auto"/>
        </w:rPr>
      </w:pPr>
    </w:p>
    <w:p>
      <w:pPr>
        <w:ind w:right="260" w:firstLine="495"/>
        <w:spacing w:after="0" w:line="301" w:lineRule="auto"/>
        <w:rPr>
          <w:sz w:val="20"/>
          <w:szCs w:val="20"/>
          <w:color w:val="auto"/>
        </w:rPr>
      </w:pPr>
      <w:r>
        <w:rPr>
          <w:rFonts w:ascii="Arial" w:cs="Arial" w:eastAsia="Arial" w:hAnsi="Arial"/>
          <w:sz w:val="16"/>
          <w:szCs w:val="16"/>
          <w:color w:val="auto"/>
        </w:rPr>
        <w:t>On October 17, 2017, SAT issued the Announcement on Issues Relating to Withholding at Source of Income Tax of Non-resident Enterprises, or SAT Circular 37, effective in December 2017, which supersedes SAT Circular 698 as a whole and partially amended some provisions in SAT Circular 7. SAT Circular 37 further reduces the burden of withholding obligator, such as revocation of contract filing requirements and tax liquidation procedures, strengthens the cooperation of tax authorities in different places, and clarifies the calculation of tax payable and conversion of foreign exchange.</w:t>
      </w:r>
    </w:p>
    <w:p>
      <w:pPr>
        <w:spacing w:after="0" w:line="157" w:lineRule="exact"/>
        <w:rPr>
          <w:sz w:val="20"/>
          <w:szCs w:val="20"/>
          <w:color w:val="auto"/>
        </w:rPr>
      </w:pPr>
    </w:p>
    <w:p>
      <w:pPr>
        <w:ind w:firstLine="495"/>
        <w:spacing w:after="0" w:line="272" w:lineRule="auto"/>
        <w:rPr>
          <w:sz w:val="20"/>
          <w:szCs w:val="20"/>
          <w:color w:val="auto"/>
        </w:rPr>
      </w:pPr>
      <w:r>
        <w:rPr>
          <w:rFonts w:ascii="Arial" w:cs="Arial" w:eastAsia="Arial" w:hAnsi="Arial"/>
          <w:sz w:val="17"/>
          <w:szCs w:val="17"/>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Public Notice 7 and SAT Circular 37. For transfer of shares in our company by investors that are non-PRC resident enterprises, our PRC subsidiaries may be requested to assist in the filing under SAT Public Notice 7 and SAT Circular 37. As a result, we may be required to expend valuable resources to comply with SAT Public Notice 7 and SAT Circular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Recent litigation and negative publicity surrounding China-based companies listed in the U.S. may result in increased regulatory scrutiny of us and negatively impact the trading price of the ADSs and could have an adverse effect upon our business, including our results of operations, financial condition, cash flows and prospects.</w:t>
      </w:r>
    </w:p>
    <w:p>
      <w:pPr>
        <w:spacing w:after="0" w:line="76" w:lineRule="exact"/>
        <w:rPr>
          <w:sz w:val="20"/>
          <w:szCs w:val="20"/>
          <w:color w:val="auto"/>
        </w:rPr>
      </w:pPr>
    </w:p>
    <w:p>
      <w:pPr>
        <w:ind w:right="20" w:firstLine="495"/>
        <w:spacing w:after="0" w:line="254" w:lineRule="auto"/>
        <w:rPr>
          <w:sz w:val="20"/>
          <w:szCs w:val="20"/>
          <w:color w:val="auto"/>
        </w:rPr>
      </w:pPr>
      <w:r>
        <w:rPr>
          <w:rFonts w:ascii="Arial" w:cs="Arial" w:eastAsia="Arial" w:hAnsi="Arial"/>
          <w:sz w:val="18"/>
          <w:szCs w:val="18"/>
          <w:color w:val="auto"/>
        </w:rPr>
        <w:t>We believe that litigation and negative publicity surrounding companies with operations in China that are listed in the U.S. have negatively impacted stock prices for these companies. Various equity-based research organizations have published reports on China-based companies after examining their corporate governance practices, related party transactions, sales practices and financial statements, and these reports have led to special investigations and listing suspensions on U.S. national exchanges. Any similar scrutiny of us, regardless of its lack of merit, could result in a diversion of management resources and energy, potential costs to defend ourselves against rumors, decreases and volatility in the ADS trading price, and increased directors and officers insurance premiums and could have an adverse effect upon our business, including our results of operations, financial condition, cash flows and prospects.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37" w:name="page38"/>
    <w:bookmarkEnd w:id="37"/>
    <w:p>
      <w:pPr>
        <w:spacing w:after="0" w:line="259" w:lineRule="auto"/>
        <w:rPr>
          <w:sz w:val="20"/>
          <w:szCs w:val="20"/>
          <w:color w:val="auto"/>
        </w:rPr>
      </w:pPr>
      <w:r>
        <w:rPr>
          <w:rFonts w:ascii="Arial" w:cs="Arial" w:eastAsia="Arial" w:hAnsi="Arial"/>
          <w:sz w:val="18"/>
          <w:szCs w:val="18"/>
          <w:b w:val="1"/>
          <w:bCs w:val="1"/>
          <w:i w:val="1"/>
          <w:iCs w:val="1"/>
          <w:color w:val="auto"/>
        </w:rPr>
        <w:t>Our ADSs may be delisted under the Holding Foreign Companies Accountable Act if the PCAOB is unable to inspect the audit work of our independent registered public accounting firm with respect to our operations in mainland China. The delisting of our ADSs, or the threat of their being delisted, may materially and adversely affect the value of your investment. Additionally, the inability of the PCAOB to conduct inspections deprives our investors with the benefits of such inspections.</w:t>
      </w:r>
    </w:p>
    <w:p>
      <w:pPr>
        <w:spacing w:after="0" w:line="79" w:lineRule="exact"/>
        <w:rPr>
          <w:sz w:val="20"/>
          <w:szCs w:val="20"/>
          <w:color w:val="auto"/>
        </w:rPr>
      </w:pPr>
    </w:p>
    <w:p>
      <w:pPr>
        <w:ind w:right="280" w:firstLine="495"/>
        <w:spacing w:after="0" w:line="259" w:lineRule="auto"/>
        <w:rPr>
          <w:sz w:val="20"/>
          <w:szCs w:val="20"/>
          <w:color w:val="auto"/>
        </w:rPr>
      </w:pPr>
      <w:r>
        <w:rPr>
          <w:rFonts w:ascii="Arial" w:cs="Arial" w:eastAsia="Arial" w:hAnsi="Arial"/>
          <w:sz w:val="18"/>
          <w:szCs w:val="18"/>
          <w:color w:val="auto"/>
        </w:rPr>
        <w:t>The Holding Foreign Companies Accountable Act, or the HFCA Act, was enacted on December 18, 2020. The HFCA Act states if the SEC determines that we have filed audit reports issued by a registered public accounting firm that has not been subject to inspection by the PCAOB for three consecutive years beginning in 2021, the SEC shall prohibit our shares or ADSs from being traded on a national securities exchange or in the over the counter trading market in the U.S.</w:t>
      </w:r>
    </w:p>
    <w:p>
      <w:pPr>
        <w:spacing w:after="0" w:line="187" w:lineRule="exact"/>
        <w:rPr>
          <w:sz w:val="20"/>
          <w:szCs w:val="20"/>
          <w:color w:val="auto"/>
        </w:rPr>
      </w:pPr>
    </w:p>
    <w:p>
      <w:pPr>
        <w:ind w:right="400" w:firstLine="495"/>
        <w:spacing w:after="0" w:line="301" w:lineRule="auto"/>
        <w:rPr>
          <w:sz w:val="20"/>
          <w:szCs w:val="20"/>
          <w:color w:val="auto"/>
        </w:rPr>
      </w:pPr>
      <w:r>
        <w:rPr>
          <w:rFonts w:ascii="Arial" w:cs="Arial" w:eastAsia="Arial" w:hAnsi="Arial"/>
          <w:sz w:val="16"/>
          <w:szCs w:val="16"/>
          <w:color w:val="auto"/>
        </w:rPr>
        <w:t>Our auditor is registered with the U.S. Public Company Accounting Oversight Board, or the PCAOB. Pursuant to laws in the United States, the PCAOB has authority to conduct regular inspections of independent registered public accounting firms registered with the PCAOB to assess their compliance with the applicable professional standards. The PCAOB is currently unable to conduct inspections over the audit work of our independent registered public accounting firm with respect to our operations in mainland China without the approval of certain Chinese authorities.</w:t>
      </w:r>
    </w:p>
    <w:p>
      <w:pPr>
        <w:spacing w:after="0" w:line="157" w:lineRule="exact"/>
        <w:rPr>
          <w:sz w:val="20"/>
          <w:szCs w:val="20"/>
          <w:color w:val="auto"/>
        </w:rPr>
      </w:pPr>
    </w:p>
    <w:p>
      <w:pPr>
        <w:ind w:right="80" w:firstLine="495"/>
        <w:spacing w:after="0" w:line="259" w:lineRule="auto"/>
        <w:rPr>
          <w:sz w:val="20"/>
          <w:szCs w:val="20"/>
          <w:color w:val="auto"/>
        </w:rPr>
      </w:pPr>
      <w:r>
        <w:rPr>
          <w:rFonts w:ascii="Arial" w:cs="Arial" w:eastAsia="Arial" w:hAnsi="Arial"/>
          <w:sz w:val="18"/>
          <w:szCs w:val="18"/>
          <w:color w:val="auto"/>
        </w:rPr>
        <w:t>On March 24, 2021, the SEC adopted interim final rules relating to the implementation of certain disclosure and documentation requirements of the HFCA Act. We will be required to comply with these rules if the SEC identifies us as having a “non-inspection” year under a process to be subsequently established by the SEC. The SEC is assessing how to implement other requirements of the HFCA Act, including the listing and trading prohibition requirements described above.</w:t>
      </w:r>
    </w:p>
    <w:p>
      <w:pPr>
        <w:spacing w:after="0" w:line="187" w:lineRule="exact"/>
        <w:rPr>
          <w:sz w:val="20"/>
          <w:szCs w:val="20"/>
          <w:color w:val="auto"/>
        </w:rPr>
      </w:pPr>
    </w:p>
    <w:p>
      <w:pPr>
        <w:ind w:right="100" w:firstLine="495"/>
        <w:spacing w:after="0" w:line="254" w:lineRule="auto"/>
        <w:rPr>
          <w:sz w:val="20"/>
          <w:szCs w:val="20"/>
          <w:color w:val="auto"/>
        </w:rPr>
      </w:pPr>
      <w:r>
        <w:rPr>
          <w:rFonts w:ascii="Arial" w:cs="Arial" w:eastAsia="Arial" w:hAnsi="Arial"/>
          <w:sz w:val="18"/>
          <w:szCs w:val="18"/>
          <w:color w:val="auto"/>
        </w:rPr>
        <w:t>The SEC may propose additional rules or guidance that could impact us if our auditor is not subject to PCAOB inspection. For example, on August 6, 2020, the President’s Working Group on Financial Markets, or the PWG, issued the Report on Protecting United States Investors from Significant Risks from Chinese Companies to the then President of the United States. This report recommended the SEC implement five recommendations to address companies from jurisdictions that do not provide the PCAOB with sufficient access to fulfil its statutory mandate. Some of the concepts of these recommendations were implemented with the enactment of the HFCA Act. However, some of the recommendations were more stringent than the HFCA Act. For example, if a company was not subject to PCAOB inspection, the report recommended that the transition period before a company would be delisted would end on January 1, 2022.</w:t>
      </w:r>
    </w:p>
    <w:p>
      <w:pPr>
        <w:spacing w:after="0" w:line="195" w:lineRule="exact"/>
        <w:rPr>
          <w:sz w:val="20"/>
          <w:szCs w:val="20"/>
          <w:color w:val="auto"/>
        </w:rPr>
      </w:pPr>
    </w:p>
    <w:p>
      <w:pPr>
        <w:ind w:right="80" w:firstLine="495"/>
        <w:spacing w:after="0" w:line="272" w:lineRule="auto"/>
        <w:rPr>
          <w:sz w:val="20"/>
          <w:szCs w:val="20"/>
          <w:color w:val="auto"/>
        </w:rPr>
      </w:pPr>
      <w:r>
        <w:rPr>
          <w:rFonts w:ascii="Arial" w:cs="Arial" w:eastAsia="Arial" w:hAnsi="Arial"/>
          <w:sz w:val="17"/>
          <w:szCs w:val="17"/>
          <w:color w:val="auto"/>
        </w:rPr>
        <w:t>The SEC has announced that the SEC staff is preparing a consolidated proposal for the rules regarding the implementation of the HFCA Act and to address the recommendations in the PWG report. It is unclear when the SEC will complete its rulemaking and when such rules will become effective and what, if any, of the PWG recommendations will be adopted. The implications of this possible regulation in addition the requirements of the HFCA Act are uncertain. Such uncertainty could cause the market price of our ADSs to be materially and adversely affected, and our securities could be delisted or prohibited from being traded “over-the-counter” earlier than would be required by the HFCA Act. If our securities are unable to be listed on another securities exchange by then, such a delisting would substantially impair your ability to sell or purchase our ADSs when you wish to do so, and the risk and uncertainty associated with a potential delisting would have a negative impact on the price of our ADSs.</w:t>
      </w:r>
    </w:p>
    <w:p>
      <w:pPr>
        <w:spacing w:after="0" w:line="177" w:lineRule="exact"/>
        <w:rPr>
          <w:sz w:val="20"/>
          <w:szCs w:val="20"/>
          <w:color w:val="auto"/>
        </w:rPr>
      </w:pPr>
    </w:p>
    <w:p>
      <w:pPr>
        <w:ind w:right="140" w:firstLine="495"/>
        <w:spacing w:after="0" w:line="255" w:lineRule="auto"/>
        <w:rPr>
          <w:sz w:val="20"/>
          <w:szCs w:val="20"/>
          <w:color w:val="auto"/>
        </w:rPr>
      </w:pPr>
      <w:r>
        <w:rPr>
          <w:rFonts w:ascii="Arial" w:cs="Arial" w:eastAsia="Arial" w:hAnsi="Arial"/>
          <w:sz w:val="18"/>
          <w:szCs w:val="18"/>
          <w:color w:val="auto"/>
        </w:rPr>
        <w:t>The PCAOB’s inability to conduct inspections in China prevents it from fully evaluating the audits and quality control procedures of our independent registered public accounting firm. As a result, we and investors in our ADSs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 inspections, which could cause investors and potential investors in our stock to lose confidence in our audit procedures and reported financial information and the quality of our financial statements.</w:t>
      </w:r>
    </w:p>
    <w:p>
      <w:pPr>
        <w:spacing w:after="0" w:line="84" w:lineRule="exact"/>
        <w:rPr>
          <w:sz w:val="20"/>
          <w:szCs w:val="20"/>
          <w:color w:val="auto"/>
        </w:rPr>
      </w:pPr>
    </w:p>
    <w:p>
      <w:pPr>
        <w:ind w:right="40" w:firstLine="495"/>
        <w:spacing w:after="0" w:line="275" w:lineRule="auto"/>
        <w:rPr>
          <w:sz w:val="20"/>
          <w:szCs w:val="20"/>
          <w:color w:val="auto"/>
        </w:rPr>
      </w:pPr>
      <w:r>
        <w:rPr>
          <w:rFonts w:ascii="Arial" w:cs="Arial" w:eastAsia="Arial" w:hAnsi="Arial"/>
          <w:sz w:val="17"/>
          <w:szCs w:val="17"/>
          <w:color w:val="auto"/>
        </w:rPr>
        <w:t>In May 2013, the PCAOB announced that it had entered into a Memorandum of Understanding on Enforcement Cooperation with the China Securities Regulatory Commission (the “CSRC”) and the PRC Ministry of Finance, which establishes a cooperative framework between the parties for the production and exchange of audit documents relevant to investigations undertaken by the PCAOB in the PRC or by the CSRC or the PRC Ministry of Finance in the United States. The PCAOB continues to be in discussions with the CSRC and the PRC Ministry of Finance to permit joint inspections in the PRC of audit firms that are registered with the PCAOB and audit Chinese companies that trade on U.S. exchanges.</w:t>
      </w:r>
    </w:p>
    <w:p>
      <w:pPr>
        <w:spacing w:after="0" w:line="68" w:lineRule="exact"/>
        <w:rPr>
          <w:sz w:val="20"/>
          <w:szCs w:val="20"/>
          <w:color w:val="auto"/>
        </w:rPr>
      </w:pPr>
    </w:p>
    <w:p>
      <w:pPr>
        <w:ind w:firstLine="495"/>
        <w:spacing w:after="0" w:line="259" w:lineRule="auto"/>
        <w:rPr>
          <w:sz w:val="20"/>
          <w:szCs w:val="20"/>
          <w:color w:val="auto"/>
        </w:rPr>
      </w:pPr>
      <w:r>
        <w:rPr>
          <w:rFonts w:ascii="Arial" w:cs="Arial" w:eastAsia="Arial" w:hAnsi="Arial"/>
          <w:sz w:val="18"/>
          <w:szCs w:val="18"/>
          <w:color w:val="auto"/>
        </w:rPr>
        <w:t>If the United States and China are not able to resolve the issues over PCAOB inspections in China or we are not otherwise able to retain a PCAOB-inspected auditor, the market price of our ADSs could be materially adversely affected, and our ADSs could be delisted from the NASDAQ Global Market, if we are unable to meet the PCAOB inspection requirement in time. In addition, the uncertainty around the HFCAA could adversely affect the market price of our ADSs.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38" w:name="page39"/>
    <w:bookmarkEnd w:id="38"/>
    <w:p>
      <w:pPr>
        <w:ind w:right="820"/>
        <w:spacing w:after="0" w:line="375" w:lineRule="auto"/>
        <w:rPr>
          <w:sz w:val="20"/>
          <w:szCs w:val="20"/>
          <w:color w:val="auto"/>
        </w:rPr>
      </w:pPr>
      <w:r>
        <w:rPr>
          <w:rFonts w:ascii="Arial" w:cs="Arial" w:eastAsia="Arial" w:hAnsi="Arial"/>
          <w:sz w:val="15"/>
          <w:szCs w:val="15"/>
          <w:b w:val="1"/>
          <w:bCs w:val="1"/>
          <w:i w:val="1"/>
          <w:iCs w:val="1"/>
          <w:color w:val="auto"/>
        </w:rPr>
        <w:t>Proceedings instituted by the SEC against Chinese affiliates of the “big four” accounting firms, including our independent registered public accounting firm, could result in financial statements being determined to not be in compliance with the requirements of the Exchange Act.</w:t>
      </w:r>
    </w:p>
    <w:p>
      <w:pPr>
        <w:spacing w:after="0" w:line="1" w:lineRule="exact"/>
        <w:rPr>
          <w:sz w:val="20"/>
          <w:szCs w:val="20"/>
          <w:color w:val="auto"/>
        </w:rPr>
      </w:pPr>
    </w:p>
    <w:p>
      <w:pPr>
        <w:ind w:right="40" w:firstLine="495"/>
        <w:spacing w:after="0" w:line="257" w:lineRule="auto"/>
        <w:rPr>
          <w:sz w:val="20"/>
          <w:szCs w:val="20"/>
          <w:color w:val="auto"/>
        </w:rPr>
      </w:pPr>
      <w:r>
        <w:rPr>
          <w:rFonts w:ascii="Arial" w:cs="Arial" w:eastAsia="Arial" w:hAnsi="Arial"/>
          <w:sz w:val="18"/>
          <w:szCs w:val="18"/>
          <w:color w:val="auto"/>
        </w:rPr>
        <w:t>Starting in 2011</w:t>
      </w:r>
      <w:r>
        <w:rPr>
          <w:rFonts w:ascii="Arial" w:cs="Arial" w:eastAsia="Arial" w:hAnsi="Arial"/>
          <w:sz w:val="18"/>
          <w:szCs w:val="18"/>
          <w:i w:val="1"/>
          <w:iCs w:val="1"/>
          <w:color w:val="auto"/>
        </w:rPr>
        <w:t>,</w:t>
      </w:r>
      <w:r>
        <w:rPr>
          <w:rFonts w:ascii="Arial" w:cs="Arial" w:eastAsia="Arial" w:hAnsi="Arial"/>
          <w:sz w:val="18"/>
          <w:szCs w:val="18"/>
          <w:color w:val="auto"/>
        </w:rPr>
        <w:t xml:space="preserve"> the </w:t>
      </w:r>
      <w:r>
        <w:rPr>
          <w:rFonts w:ascii="Arial" w:cs="Arial" w:eastAsia="Arial" w:hAnsi="Arial"/>
          <w:sz w:val="18"/>
          <w:szCs w:val="18"/>
          <w:i w:val="1"/>
          <w:iCs w:val="1"/>
          <w:color w:val="auto"/>
        </w:rPr>
        <w:t>China</w:t>
      </w:r>
      <w:r>
        <w:rPr>
          <w:rFonts w:ascii="Arial" w:cs="Arial" w:eastAsia="Arial" w:hAnsi="Arial"/>
          <w:sz w:val="18"/>
          <w:szCs w:val="18"/>
          <w:color w:val="auto"/>
        </w:rPr>
        <w:t xml:space="preserve">-based “big four” accounting firms, including our independent registered public accounting firm, were affected by a conflict between U.S. and Chinese law. Specifically, for certain U.S.-listed companies operating and audited in mainland China, the SEC and the </w:t>
      </w:r>
      <w:r>
        <w:rPr>
          <w:rFonts w:ascii="Arial" w:cs="Arial" w:eastAsia="Arial" w:hAnsi="Arial"/>
          <w:sz w:val="18"/>
          <w:szCs w:val="18"/>
          <w:i w:val="1"/>
          <w:iCs w:val="1"/>
          <w:color w:val="auto"/>
        </w:rPr>
        <w:t>PCAOB</w:t>
      </w:r>
      <w:r>
        <w:rPr>
          <w:rFonts w:ascii="Arial" w:cs="Arial" w:eastAsia="Arial" w:hAnsi="Arial"/>
          <w:sz w:val="18"/>
          <w:szCs w:val="18"/>
          <w:color w:val="auto"/>
        </w:rPr>
        <w:t xml:space="preserve"> sought to obtain from the Chinese firms access to their audit work papers and related documents. The firms were, however, advised and directed that under Chinese law, they could not respond directly to the U.S. regulators on those requests, and that requests by foreign regulators for access to such papers in China had to be channeled through the CSRC.</w:t>
      </w:r>
    </w:p>
    <w:p>
      <w:pPr>
        <w:spacing w:after="0" w:line="80" w:lineRule="exact"/>
        <w:rPr>
          <w:sz w:val="20"/>
          <w:szCs w:val="20"/>
          <w:color w:val="auto"/>
        </w:rPr>
      </w:pPr>
    </w:p>
    <w:p>
      <w:pPr>
        <w:ind w:right="40" w:firstLine="495"/>
        <w:spacing w:after="0" w:line="286" w:lineRule="auto"/>
        <w:rPr>
          <w:sz w:val="20"/>
          <w:szCs w:val="20"/>
          <w:color w:val="auto"/>
        </w:rPr>
      </w:pPr>
      <w:r>
        <w:rPr>
          <w:rFonts w:ascii="Arial" w:cs="Arial" w:eastAsia="Arial" w:hAnsi="Arial"/>
          <w:sz w:val="16"/>
          <w:szCs w:val="16"/>
          <w:color w:val="auto"/>
        </w:rPr>
        <w:t>In late 2012, this impasse led the SEC to commence administrative proceedings under Rule 102(e) of its Rules of Practice and also under the Sarbanes-Oxley Act of 2002 against the Chinese accounting firms, including our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firms reached a settlement with the SEC. Under the settlement, the SEC accepts that future requests by the SEC for the production of documents will normally be made to the CSRC. The firms will receive matching Section 106 requests, and are required to abide by a detailed set of procedures with respect to such requests, which in substance require them to facilitate production via the CSRC. If they fail to meet specified criteria, the SEC retains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a firm, or, in extreme cases, the resumption of the current proceeding against all four firms. If additional remedial measures are imposed on the China-based “big four”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Securities Exchange Act of 1934, or the Exchange Act.</w:t>
      </w:r>
    </w:p>
    <w:p>
      <w:pPr>
        <w:spacing w:after="0" w:line="171" w:lineRule="exact"/>
        <w:rPr>
          <w:sz w:val="20"/>
          <w:szCs w:val="20"/>
          <w:color w:val="auto"/>
        </w:rPr>
      </w:pPr>
    </w:p>
    <w:p>
      <w:pPr>
        <w:ind w:right="160" w:firstLine="495"/>
        <w:spacing w:after="0" w:line="257" w:lineRule="auto"/>
        <w:rPr>
          <w:sz w:val="20"/>
          <w:szCs w:val="20"/>
          <w:color w:val="auto"/>
        </w:rPr>
      </w:pPr>
      <w:r>
        <w:rPr>
          <w:rFonts w:ascii="Arial" w:cs="Arial" w:eastAsia="Arial" w:hAnsi="Arial"/>
          <w:sz w:val="18"/>
          <w:szCs w:val="18"/>
          <w:color w:val="auto"/>
        </w:rPr>
        <w:t>In the event that the SEC restarts the administrative proceedings, depending upon the final outcome, listed companies in the U.S.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the proceedings against these audit firms may cause investor uncertainty regarding PRC-based, U.S.-listed companies and the market price of our ADSs may be adversely affected.</w:t>
      </w:r>
    </w:p>
    <w:p>
      <w:pPr>
        <w:spacing w:after="0" w:line="188" w:lineRule="exact"/>
        <w:rPr>
          <w:sz w:val="20"/>
          <w:szCs w:val="20"/>
          <w:color w:val="auto"/>
        </w:rPr>
      </w:pPr>
    </w:p>
    <w:p>
      <w:pPr>
        <w:ind w:firstLine="495"/>
        <w:spacing w:after="0" w:line="257" w:lineRule="auto"/>
        <w:rPr>
          <w:sz w:val="20"/>
          <w:szCs w:val="20"/>
          <w:color w:val="auto"/>
        </w:rPr>
      </w:pPr>
      <w:r>
        <w:rPr>
          <w:rFonts w:ascii="Arial" w:cs="Arial" w:eastAsia="Arial" w:hAnsi="Arial"/>
          <w:sz w:val="18"/>
          <w:szCs w:val="18"/>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our ordinary shares from the Nasdaq Global Market or deregistration from the SEC, or both, which would substantially reduce or effectively terminate the trading of our ADSs in the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American Depositary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ADSs may be volatile.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Since our ADSs became listed on NASDAQ Global Market on December 21, 2017, the trading price of our ADSs has ranged from US$2.81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US$18.30 per ADS. The trading prices of our ADSs are volatile and could fluctuate widely due to factors beyond our control. This may happen because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broad market and industry factors, like the performance and fluctuation in the market prices or the underperformance or deteriorating financial results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listed internet or other companies based in China that have listed their securities in the United States in recent years. The securities of some of these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companies have experienced significant volatility since their initial public offerings, including, in some cases, substantial price declines in their trading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prices. The trading performances of other Chinese companies’ securities after their offerings may affect the attitudes of investors toward Chinese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companies listed in the United States, which consequently may impact the trading performance of our ADSs, regardless of our actual operating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Furthermore, as a result of the narrow band of our ADSs publicly available for trading, small trades can cause significant percentage changes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valuation in a short time period. Such volatility may affect the attitude of investors towards our securities, which consequently may impact the trading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performance of our ADSs, regardless of our actual operating performance. In addition, any negative news or perceptions about inadequate corporate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governance practices or fraudulent accounting, corporate structure or other matters of other Chinese companies may also negatively affect the attitudes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investors towards Chinese companies in general, including us, regardless of whether we have conducted any inappropriate activities. Furthermore,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markets may from time to time experience significant price and volume fluctuations that are not related to our operating performance, such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large decline in share prices in the United States, China and other jurisdictions in late 2008, early 2009 and the second half of 2011, which may have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 adverse effect on the market price of our ADSs.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79" w:right="379" w:bottom="1440" w:gutter="0" w:footer="0" w:header="0"/>
        </w:sectPr>
      </w:pPr>
    </w:p>
    <w:bookmarkStart w:id="39" w:name="page40"/>
    <w:bookmarkEnd w:id="39"/>
    <w:p>
      <w:pPr>
        <w:ind w:right="600" w:firstLine="495"/>
        <w:spacing w:after="0" w:line="277" w:lineRule="auto"/>
        <w:rPr>
          <w:sz w:val="20"/>
          <w:szCs w:val="20"/>
          <w:color w:val="auto"/>
        </w:rPr>
      </w:pPr>
      <w:r>
        <w:rPr>
          <w:rFonts w:ascii="Arial" w:cs="Arial" w:eastAsia="Arial" w:hAnsi="Arial"/>
          <w:sz w:val="18"/>
          <w:szCs w:val="18"/>
          <w:color w:val="auto"/>
        </w:rPr>
        <w:t>In addition to the above factors, the price and trading volume of our ADSs may be highly volatile due to multiple other factors, including the following:</w:t>
      </w:r>
    </w:p>
    <w:p>
      <w:pPr>
        <w:spacing w:after="0" w:line="62" w:lineRule="exact"/>
        <w:rPr>
          <w:sz w:val="20"/>
          <w:szCs w:val="20"/>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developments affecting us, our clients and end marketers, or our industry;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conditions in the online marketing industry;</w:t>
      </w:r>
    </w:p>
    <w:p>
      <w:pPr>
        <w:spacing w:after="0" w:line="117" w:lineRule="exact"/>
        <w:rPr>
          <w:rFonts w:ascii="Arial" w:cs="Arial" w:eastAsia="Arial" w:hAnsi="Arial"/>
          <w:sz w:val="18"/>
          <w:szCs w:val="18"/>
          <w:color w:val="auto"/>
        </w:rPr>
      </w:pPr>
    </w:p>
    <w:p>
      <w:pPr>
        <w:ind w:left="980" w:right="180" w:hanging="486"/>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 of our results of operations from quarter to quarter due to seasonality in online marketing business, which may be affected by the online spending cycles of consumers and marketers’ practices in marketing budget allocation;</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solutions and service offerings or those of our competitors;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providers of marketing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in or revisions to our expected results;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17" w:lineRule="exact"/>
        <w:rPr>
          <w:rFonts w:ascii="Arial" w:cs="Arial" w:eastAsia="Arial" w:hAnsi="Arial"/>
          <w:sz w:val="18"/>
          <w:szCs w:val="18"/>
          <w:color w:val="auto"/>
        </w:rPr>
      </w:pPr>
    </w:p>
    <w:p>
      <w:pPr>
        <w:ind w:left="980" w:right="240" w:hanging="486"/>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of exchange rates between Renminbi and the U.S. dollar;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ordinary shares or ADSs;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or perceived potential sales of additional ordinary shares or ADSs;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litigation or regulatory investing actions.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firstLine="495"/>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6" w:lineRule="exact"/>
        <w:rPr>
          <w:sz w:val="20"/>
          <w:szCs w:val="20"/>
          <w:color w:val="auto"/>
        </w:rPr>
      </w:pPr>
    </w:p>
    <w:p>
      <w:pPr>
        <w:ind w:right="120" w:firstLine="495"/>
        <w:spacing w:after="0" w:line="293" w:lineRule="auto"/>
        <w:rPr>
          <w:sz w:val="20"/>
          <w:szCs w:val="20"/>
          <w:color w:val="auto"/>
        </w:rPr>
      </w:pPr>
      <w:r>
        <w:rPr>
          <w:rFonts w:ascii="Arial" w:cs="Arial" w:eastAsia="Arial" w:hAnsi="Arial"/>
          <w:sz w:val="16"/>
          <w:szCs w:val="16"/>
          <w:color w:val="auto"/>
        </w:rPr>
        <w:t>We have a dual-class share structure such that our ordinary shares consist of Class A ordinary shares and Class B ordinary shares. In respect of matters requiring the votes of shareholders, holders of Class A ordinary shares are entitled to one vote per share, while holders of Class B ordinary shares are entitled to 20 votes per share based on our dual-class share structure. Two ADSs represent one Class A ordinary shares.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64" w:lineRule="exact"/>
        <w:rPr>
          <w:sz w:val="20"/>
          <w:szCs w:val="20"/>
          <w:color w:val="auto"/>
        </w:rPr>
      </w:pPr>
    </w:p>
    <w:p>
      <w:pPr>
        <w:ind w:right="60" w:firstLine="495"/>
        <w:spacing w:after="0" w:line="270" w:lineRule="auto"/>
        <w:rPr>
          <w:sz w:val="20"/>
          <w:szCs w:val="20"/>
          <w:color w:val="auto"/>
        </w:rPr>
      </w:pPr>
      <w:r>
        <w:rPr>
          <w:rFonts w:ascii="Arial" w:cs="Arial" w:eastAsia="Arial" w:hAnsi="Arial"/>
          <w:sz w:val="17"/>
          <w:szCs w:val="17"/>
          <w:color w:val="auto"/>
        </w:rPr>
        <w:t>As of the date of this annual report, Mr. Sammy Hsieh, our chairman of the board of directors and co-founder, Mr. Jian Tang, our chief executive officer and co-founder, beneficially own an aggregate of 4,385,078 Class B ordinary shares. Due to the disparate voting powers associated with our dual-class share structure, Mr. Hsieh and Mr. Tang, collectively beneficially owned approximately 62.0% of the aggregate voting power of our company as of March 31, 2021. See “Item 6. Directors, Senior Management and Employees—E. Share Ownership.” In January 2021, we issued 649,349 Class B ordinary shares to Baozun Inc., or Baozun. In addition, Baozun entered into a share purchase agreement with an existing shareholder of us, pursuant to which Baozun purchased from such existing iClick shareholder 2,471,468 ADSs. After the closing of the above transactions, Baozun beneficially owned approximately 4% of our total outstanding shares, representing approximately 10% of our total voting equity. As a result of the dual-class share structure and the concentration of ownership, Mr. Hsieh, Mr. Tang and Baozun will have considerable influence over matters such as decisions regarding change of directors, mergers, change of control transactions and other significant corporate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0" w:name="page41"/>
    <w:bookmarkEnd w:id="40"/>
    <w:p>
      <w:pPr>
        <w:ind w:right="100"/>
        <w:spacing w:after="0" w:line="257" w:lineRule="auto"/>
        <w:rPr>
          <w:sz w:val="20"/>
          <w:szCs w:val="20"/>
          <w:color w:val="auto"/>
        </w:rPr>
      </w:pPr>
      <w:r>
        <w:rPr>
          <w:rFonts w:ascii="Arial" w:cs="Arial" w:eastAsia="Arial" w:hAnsi="Arial"/>
          <w:sz w:val="18"/>
          <w:szCs w:val="18"/>
          <w:color w:val="auto"/>
        </w:rPr>
        <w:t>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62" w:lineRule="exact"/>
        <w:rPr>
          <w:sz w:val="20"/>
          <w:szCs w:val="20"/>
          <w:color w:val="auto"/>
        </w:rPr>
      </w:pPr>
    </w:p>
    <w:p>
      <w:pPr>
        <w:jc w:val="both"/>
        <w:ind w:right="260" w:firstLine="495"/>
        <w:spacing w:after="0" w:line="311" w:lineRule="auto"/>
        <w:rPr>
          <w:sz w:val="20"/>
          <w:szCs w:val="20"/>
          <w:color w:val="auto"/>
        </w:rPr>
      </w:pPr>
      <w:r>
        <w:rPr>
          <w:rFonts w:ascii="Arial" w:cs="Arial" w:eastAsia="Arial" w:hAnsi="Arial"/>
          <w:sz w:val="16"/>
          <w:szCs w:val="16"/>
          <w:color w:val="auto"/>
        </w:rPr>
        <w:t>Our directors and officers collectively owned an aggregate of 62.1% of the total voting power of our outstanding ordinary shares as of March 31, 2021. See “Item 6. Directors, Senior Management and Employees—E. Share Ownership.” As a result, they have substantial influence over our business, including significant corporate actions such as change of directors, mergers, change of control transactions and other significant corporate actions.</w:t>
      </w:r>
    </w:p>
    <w:p>
      <w:pPr>
        <w:spacing w:after="0" w:line="149" w:lineRule="exact"/>
        <w:rPr>
          <w:sz w:val="20"/>
          <w:szCs w:val="20"/>
          <w:color w:val="auto"/>
        </w:rPr>
      </w:pPr>
    </w:p>
    <w:p>
      <w:pPr>
        <w:ind w:right="160" w:firstLine="495"/>
        <w:spacing w:after="0" w:line="257" w:lineRule="auto"/>
        <w:rPr>
          <w:sz w:val="20"/>
          <w:szCs w:val="20"/>
          <w:color w:val="auto"/>
        </w:rPr>
      </w:pPr>
      <w:r>
        <w:rPr>
          <w:rFonts w:ascii="Arial" w:cs="Arial" w:eastAsia="Arial" w:hAnsi="Arial"/>
          <w:sz w:val="18"/>
          <w:szCs w:val="18"/>
          <w:color w:val="auto"/>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ADS holders. In addition, the significant concentration of share ownership may adversely affect the trading price of the ADSs due to investors’ perception that conflicts of interest may exist or arise.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granted, and may continue to grant, share incentives, which may result in increased share based compensation expenses.</w:t>
      </w:r>
    </w:p>
    <w:p>
      <w:pPr>
        <w:spacing w:after="0" w:line="129" w:lineRule="exact"/>
        <w:rPr>
          <w:sz w:val="20"/>
          <w:szCs w:val="20"/>
          <w:color w:val="auto"/>
        </w:rPr>
      </w:pPr>
    </w:p>
    <w:p>
      <w:pPr>
        <w:ind w:right="20" w:firstLine="495"/>
        <w:spacing w:after="0" w:line="288" w:lineRule="auto"/>
        <w:rPr>
          <w:sz w:val="20"/>
          <w:szCs w:val="20"/>
          <w:color w:val="auto"/>
        </w:rPr>
      </w:pPr>
      <w:r>
        <w:rPr>
          <w:rFonts w:ascii="Arial" w:cs="Arial" w:eastAsia="Arial" w:hAnsi="Arial"/>
          <w:sz w:val="16"/>
          <w:szCs w:val="16"/>
          <w:color w:val="auto"/>
        </w:rPr>
        <w:t>We adopted a stock option plan in 2010, or the 2010 Plan. We adopted another share incentive plan in 2017, or the 2017 Plan, which was renamed as the Post-IPO Share Incentive Plan in May 2018, or the Post-IPO Plan. We also adopted the 2018 Share Incentive Plan in May 2018, or the 2018 Plan, which replaces and reproduces the 2010 Plan in its entirety and assumes all awards granted under the 2010 Plan and the 2010 Plan was terminated as a result. The purpose of these plans is to grant share-based compensation awards to employees, directors and advisors to incentivize their performance and align their interests with ours. In addition, in December 2016, our board of directors and shareholders authorized the issuance of 1,068,114 restricted Class A ordinary shares to Mr. Jian Tang and certain other employees in China upon the fulfillment of certain performance conditions in 2017, and the issuance of 801,086 restricted Class A ordinary shares to Mr. Jian Tang and certain other employees in China upon the fulfillment of certain performance conditions in 2018. Since the performance conditions were not fulfilled in 2017 and 2018, the 1,068,114 and 801,086 restricted Class A ordinary shares were not issued to Mr. Jian Tang and certain other employees. We account for compensation costs for all share incentives using a fair-value based method and recognize expenses in our consolidated statements of comprehensive loss in accordance with U.S. GAAP.</w:t>
      </w:r>
    </w:p>
    <w:p>
      <w:pPr>
        <w:spacing w:after="0" w:line="168" w:lineRule="exact"/>
        <w:rPr>
          <w:sz w:val="20"/>
          <w:szCs w:val="20"/>
          <w:color w:val="auto"/>
        </w:rPr>
      </w:pPr>
    </w:p>
    <w:p>
      <w:pPr>
        <w:ind w:right="140" w:firstLine="495"/>
        <w:spacing w:after="0" w:line="286" w:lineRule="auto"/>
        <w:rPr>
          <w:sz w:val="20"/>
          <w:szCs w:val="20"/>
          <w:color w:val="auto"/>
        </w:rPr>
      </w:pPr>
      <w:r>
        <w:rPr>
          <w:rFonts w:ascii="Arial" w:cs="Arial" w:eastAsia="Arial" w:hAnsi="Arial"/>
          <w:sz w:val="17"/>
          <w:szCs w:val="17"/>
          <w:color w:val="auto"/>
        </w:rPr>
        <w:t>Under our 2018 Plan, the maximum aggregate number of Class A ordinary shares which may be issued pursuant to all awards under the plan is 2,398,137. As of March 31, 2021, options to purchase 375,597 Class A ordinary shares were outstanding under our 2018 Plan, including unvested options to purchase 110 Class A ordinary shares, and vested and unexercised options to purchase 375,487 Class A ordinary shares.</w:t>
      </w:r>
    </w:p>
    <w:p>
      <w:pPr>
        <w:spacing w:after="0" w:line="165" w:lineRule="exact"/>
        <w:rPr>
          <w:sz w:val="20"/>
          <w:szCs w:val="20"/>
          <w:color w:val="auto"/>
        </w:rPr>
      </w:pPr>
    </w:p>
    <w:p>
      <w:pPr>
        <w:ind w:firstLine="495"/>
        <w:spacing w:after="0" w:line="253" w:lineRule="auto"/>
        <w:rPr>
          <w:sz w:val="20"/>
          <w:szCs w:val="20"/>
          <w:color w:val="auto"/>
        </w:rPr>
      </w:pPr>
      <w:r>
        <w:rPr>
          <w:rFonts w:ascii="Arial" w:cs="Arial" w:eastAsia="Arial" w:hAnsi="Arial"/>
          <w:sz w:val="18"/>
          <w:szCs w:val="18"/>
          <w:color w:val="auto"/>
        </w:rPr>
        <w:t>On September 22, 2018, August 31, 2020 and February 26, 2021, our board of directors approved an increase of 1,500,000 Class A ordinary shares,1,000,000 Class A ordinary shares and 1,000,000 Class A ordinary shares, respectively, to the award pool under the Post-IPO Plan. As a result, the maximum number of ordinary shares which may be issued pursuant to all awards under the Post-IPO Plan will initially be 4,500,000 Class A ordinary shares, plus an annual increase on the first day of each of our fiscal year during the term of the Post-IPO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As of March 31, 2021, the award pool under the Post-IPO Plan is 4,991,374 Class A ordinary shares. As of March 31, 2021, 1,336,233 Class A ordinary shares are outstanding under our Post-IPO Plan, representing the shares underlying the unvested 1,336,233 restricted Class A ordinary shares units.</w:t>
      </w:r>
    </w:p>
    <w:p>
      <w:pPr>
        <w:spacing w:after="0" w:line="196" w:lineRule="exact"/>
        <w:rPr>
          <w:sz w:val="20"/>
          <w:szCs w:val="20"/>
          <w:color w:val="auto"/>
        </w:rPr>
      </w:pPr>
    </w:p>
    <w:p>
      <w:pPr>
        <w:ind w:right="20" w:firstLine="495"/>
        <w:spacing w:after="0" w:line="293" w:lineRule="auto"/>
        <w:rPr>
          <w:sz w:val="20"/>
          <w:szCs w:val="20"/>
          <w:color w:val="auto"/>
        </w:rPr>
      </w:pPr>
      <w:r>
        <w:rPr>
          <w:rFonts w:ascii="Arial" w:cs="Arial" w:eastAsia="Arial" w:hAnsi="Arial"/>
          <w:sz w:val="16"/>
          <w:szCs w:val="16"/>
          <w:color w:val="auto"/>
        </w:rPr>
        <w:t>We account for shared-based compensation for these share incentive awards using a fair value based method and recognize expenses in our consolidated statements of comprehensive loss in accordance with U.S. GAAP. We will incur additional share based compensation expenses in the future as we continue to grant share incentives using the ordinary shares reserved for this platform. See “Item 6. Directors, Senior Management and Employees—B. Compensation of Directors and Executive Officers—Share Incentive Plans.” We believe the granting of share-based compensation is of significant importance to our ability to attract and retain key personnel and employees, and we will continue to grant share based compensation to them in the future. As a result, our expenses associated with share-based compensation may increase, which may have an adverse effect on our results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1" w:name="page42"/>
    <w:bookmarkEnd w:id="41"/>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62" w:lineRule="exact"/>
        <w:rPr>
          <w:sz w:val="20"/>
          <w:szCs w:val="20"/>
          <w:color w:val="auto"/>
        </w:rPr>
      </w:pPr>
    </w:p>
    <w:p>
      <w:pPr>
        <w:ind w:right="40" w:firstLine="495"/>
        <w:spacing w:after="0" w:line="257" w:lineRule="auto"/>
        <w:rPr>
          <w:sz w:val="20"/>
          <w:szCs w:val="20"/>
          <w:color w:val="auto"/>
        </w:rPr>
      </w:pPr>
      <w:r>
        <w:rPr>
          <w:rFonts w:ascii="Arial" w:cs="Arial" w:eastAsia="Arial" w:hAnsi="Arial"/>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our ADSs could adversely affect their market price.</w:t>
      </w:r>
    </w:p>
    <w:p>
      <w:pPr>
        <w:spacing w:after="0" w:line="117" w:lineRule="exact"/>
        <w:rPr>
          <w:sz w:val="20"/>
          <w:szCs w:val="20"/>
          <w:color w:val="auto"/>
        </w:rPr>
      </w:pPr>
    </w:p>
    <w:p>
      <w:pPr>
        <w:ind w:right="20" w:firstLine="495"/>
        <w:spacing w:after="0" w:line="273" w:lineRule="auto"/>
        <w:rPr>
          <w:sz w:val="20"/>
          <w:szCs w:val="20"/>
          <w:color w:val="auto"/>
        </w:rPr>
      </w:pPr>
      <w:r>
        <w:rPr>
          <w:rFonts w:ascii="Arial" w:cs="Arial" w:eastAsia="Arial" w:hAnsi="Arial"/>
          <w:sz w:val="17"/>
          <w:szCs w:val="17"/>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Certain holders of our ordinary shares have rights, subject to certain conditions, to require us to file registration statements covering their shares or to include their shares in registration statements that we may file for ourselves or other shareholders. We have also registered all ordinary shares that we may issue under our equity compensation plans. These shares can be freely sold in the public market subject to volume limitations applicable to affiliates. If any of these additional shares are sold, or if it is perceived that they will be sold, in the public market, the market price of our ADSs could decline.</w:t>
      </w:r>
    </w:p>
    <w:p>
      <w:pPr>
        <w:spacing w:after="0" w:line="70" w:lineRule="exact"/>
        <w:rPr>
          <w:sz w:val="20"/>
          <w:szCs w:val="20"/>
          <w:color w:val="auto"/>
        </w:rPr>
      </w:pPr>
    </w:p>
    <w:p>
      <w:pPr>
        <w:ind w:right="100" w:firstLine="495"/>
        <w:spacing w:after="0" w:line="263" w:lineRule="auto"/>
        <w:rPr>
          <w:sz w:val="20"/>
          <w:szCs w:val="20"/>
          <w:color w:val="auto"/>
        </w:rPr>
      </w:pPr>
      <w:r>
        <w:rPr>
          <w:rFonts w:ascii="Arial" w:cs="Arial" w:eastAsia="Arial" w:hAnsi="Arial"/>
          <w:sz w:val="18"/>
          <w:szCs w:val="18"/>
          <w:color w:val="auto"/>
        </w:rPr>
        <w:t>We cannot predict what effect, if any, market sales of securities held by our significant shareholders, including potential sales of our securities upon the conversion of our convertible notes, or any other shareholder or the availability of these securities for future sale will have on the market price of our ADSs.</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we do not expect to pay dividends in the foreseeable future, you must rely on price appreciation of our ADSs for return on your investment.</w:t>
      </w:r>
    </w:p>
    <w:p>
      <w:pPr>
        <w:spacing w:after="0" w:line="152" w:lineRule="exact"/>
        <w:rPr>
          <w:sz w:val="20"/>
          <w:szCs w:val="20"/>
          <w:color w:val="auto"/>
        </w:rPr>
      </w:pPr>
    </w:p>
    <w:p>
      <w:pPr>
        <w:jc w:val="both"/>
        <w:ind w:right="80" w:firstLine="495"/>
        <w:spacing w:after="0" w:line="263" w:lineRule="auto"/>
        <w:rPr>
          <w:sz w:val="20"/>
          <w:szCs w:val="20"/>
          <w:color w:val="auto"/>
        </w:rPr>
      </w:pPr>
      <w:r>
        <w:rPr>
          <w:rFonts w:ascii="Arial" w:cs="Arial" w:eastAsia="Arial" w:hAnsi="Arial"/>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84" w:lineRule="exact"/>
        <w:rPr>
          <w:sz w:val="20"/>
          <w:szCs w:val="20"/>
          <w:color w:val="auto"/>
        </w:rPr>
      </w:pPr>
    </w:p>
    <w:p>
      <w:pPr>
        <w:ind w:firstLine="495"/>
        <w:spacing w:after="0" w:line="289" w:lineRule="auto"/>
        <w:rPr>
          <w:sz w:val="20"/>
          <w:szCs w:val="20"/>
          <w:color w:val="auto"/>
        </w:rPr>
      </w:pPr>
      <w:r>
        <w:rPr>
          <w:rFonts w:ascii="Arial" w:cs="Arial" w:eastAsia="Arial" w:hAnsi="Arial"/>
          <w:sz w:val="16"/>
          <w:szCs w:val="16"/>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memorandum and articles of association that contain anti-takeover provisions that could discourage a third party from acquiring us and adversely affect the rights of holders of our Class A ordinary shares and ADSs.</w:t>
      </w:r>
    </w:p>
    <w:p>
      <w:pPr>
        <w:spacing w:after="0" w:line="62" w:lineRule="exact"/>
        <w:rPr>
          <w:sz w:val="20"/>
          <w:szCs w:val="20"/>
          <w:color w:val="auto"/>
        </w:rPr>
      </w:pPr>
    </w:p>
    <w:p>
      <w:pPr>
        <w:ind w:right="320" w:firstLine="495"/>
        <w:spacing w:after="0" w:line="293" w:lineRule="auto"/>
        <w:rPr>
          <w:sz w:val="20"/>
          <w:szCs w:val="20"/>
          <w:color w:val="auto"/>
        </w:rPr>
      </w:pPr>
      <w:r>
        <w:rPr>
          <w:rFonts w:ascii="Arial" w:cs="Arial" w:eastAsia="Arial" w:hAnsi="Arial"/>
          <w:sz w:val="16"/>
          <w:szCs w:val="16"/>
          <w:color w:val="auto"/>
        </w:rPr>
        <w:t>Our memorandum and articles of association contain certain provisions that could limit the ability of others to acquire control of our company, including a dual-class share structure that gives greater voting power to the Class B ordinary shares beneficially owned by Mr. Sammy Hsieh, Mr. Jian Tang and Baozun,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27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w:t>
      </w:r>
    </w:p>
    <w:p>
      <w:pPr>
        <w:spacing w:after="0" w:line="76" w:lineRule="exact"/>
        <w:rPr>
          <w:sz w:val="20"/>
          <w:szCs w:val="20"/>
          <w:color w:val="auto"/>
        </w:rPr>
      </w:pPr>
    </w:p>
    <w:p>
      <w:pPr>
        <w:ind w:right="180" w:firstLine="495"/>
        <w:spacing w:after="0" w:line="263" w:lineRule="auto"/>
        <w:rPr>
          <w:sz w:val="20"/>
          <w:szCs w:val="20"/>
          <w:color w:val="auto"/>
        </w:rPr>
      </w:pPr>
      <w:r>
        <w:rPr>
          <w:rFonts w:ascii="Arial" w:cs="Arial" w:eastAsia="Arial" w:hAnsi="Arial"/>
          <w:sz w:val="18"/>
          <w:szCs w:val="18"/>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significantly from the NASDAQ corporate governance requirements. We follow our home country practices and rely on certain exemptions provided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Nasdaq Stock Market Rules to a foreign private issuer, including exemptions from the requirements to have:</w:t>
      </w:r>
    </w:p>
    <w:p>
      <w:pPr>
        <w:spacing w:after="0" w:line="103" w:lineRule="exact"/>
        <w:rPr>
          <w:sz w:val="20"/>
          <w:szCs w:val="20"/>
          <w:color w:val="auto"/>
        </w:rPr>
      </w:pPr>
    </w:p>
    <w:p>
      <w:pPr>
        <w:ind w:left="980" w:right="860" w:hanging="486"/>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shareholder approval for certain events, including the establishment or amendment of certain equity based compensation plans and arrangements and certain transactions involving issuances of 20% or more interest in our company;</w:t>
      </w:r>
    </w:p>
    <w:p>
      <w:pPr>
        <w:spacing w:after="0" w:line="38" w:lineRule="exact"/>
        <w:rPr>
          <w:rFonts w:ascii="Arial" w:cs="Arial" w:eastAsia="Arial" w:hAnsi="Arial"/>
          <w:sz w:val="17"/>
          <w:szCs w:val="17"/>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majority of independent directors on our board of directors;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only independent directors being involved in the selection of director nominees and determination of executive officer compensation; and</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regularly scheduled executive sessions of independent directors.</w:t>
      </w:r>
    </w:p>
    <w:p>
      <w:pPr>
        <w:spacing w:after="0" w:line="225" w:lineRule="exact"/>
        <w:rPr>
          <w:sz w:val="20"/>
          <w:szCs w:val="20"/>
          <w:color w:val="auto"/>
        </w:rPr>
      </w:pPr>
    </w:p>
    <w:p>
      <w:pPr>
        <w:ind w:right="580" w:firstLine="495"/>
        <w:spacing w:after="0" w:line="277" w:lineRule="auto"/>
        <w:rPr>
          <w:sz w:val="20"/>
          <w:szCs w:val="20"/>
          <w:color w:val="auto"/>
        </w:rPr>
      </w:pPr>
      <w:r>
        <w:rPr>
          <w:rFonts w:ascii="Arial" w:cs="Arial" w:eastAsia="Arial" w:hAnsi="Arial"/>
          <w:sz w:val="18"/>
          <w:szCs w:val="18"/>
          <w:color w:val="auto"/>
        </w:rPr>
        <w:t>As a result of our reliance on the corporate governance exemptions available to foreign private issuers, you will not have the same protection afforded to shareholders of companies that are subject to all of Nasdaq’s corporate governance requirements.</w:t>
      </w:r>
    </w:p>
    <w:p>
      <w:pPr>
        <w:spacing w:after="0" w:line="27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right="280" w:firstLine="495"/>
        <w:spacing w:after="0" w:line="269" w:lineRule="auto"/>
        <w:rPr>
          <w:sz w:val="20"/>
          <w:szCs w:val="20"/>
          <w:color w:val="auto"/>
        </w:rPr>
      </w:pPr>
      <w:r>
        <w:rPr>
          <w:rFonts w:ascii="Arial" w:cs="Arial" w:eastAsia="Arial" w:hAnsi="Arial"/>
          <w:sz w:val="17"/>
          <w:szCs w:val="17"/>
          <w:color w:val="auto"/>
        </w:rPr>
        <w:t>We are an exempted limited liability company incorporated under the laws of the Cayman Islands. Our corporate affairs are governed by our memorandum and articles of association, the Companies Law (2020 Revision)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85" w:lineRule="exact"/>
        <w:rPr>
          <w:sz w:val="20"/>
          <w:szCs w:val="20"/>
          <w:color w:val="auto"/>
        </w:rPr>
      </w:pPr>
    </w:p>
    <w:p>
      <w:pPr>
        <w:ind w:right="180" w:firstLine="495"/>
        <w:spacing w:after="0" w:line="275" w:lineRule="auto"/>
        <w:rPr>
          <w:sz w:val="20"/>
          <w:szCs w:val="20"/>
          <w:color w:val="auto"/>
        </w:rPr>
      </w:pPr>
      <w:r>
        <w:rPr>
          <w:rFonts w:ascii="Arial" w:cs="Arial" w:eastAsia="Arial" w:hAnsi="Arial"/>
          <w:sz w:val="17"/>
          <w:szCs w:val="17"/>
          <w:color w:val="auto"/>
        </w:rPr>
        <w:t>Shareholders of Cayman Islands exempted companies like us have no general rights under Cayman Islands law to inspect corporate records or to obtain copies of lists of shareholders of these companies. Our directors will have discretion under our current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76" w:lineRule="exact"/>
        <w:rPr>
          <w:sz w:val="20"/>
          <w:szCs w:val="20"/>
          <w:color w:val="auto"/>
        </w:rPr>
      </w:pPr>
    </w:p>
    <w:p>
      <w:pPr>
        <w:ind w:right="520" w:firstLine="495"/>
        <w:spacing w:after="0" w:line="263"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29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 xml:space="preserve">You may experience difficulties in effecting service of legal process and enforcing </w:t>
      </w:r>
      <w:r>
        <w:rPr>
          <w:rFonts w:ascii="Arial" w:cs="Arial" w:eastAsia="Arial" w:hAnsi="Arial"/>
          <w:sz w:val="17"/>
          <w:szCs w:val="17"/>
          <w:color w:val="auto"/>
        </w:rPr>
        <w:t>judgments obtained against us, our directors or</w:t>
      </w:r>
      <w:r>
        <w:rPr>
          <w:rFonts w:ascii="Arial" w:cs="Arial" w:eastAsia="Arial" w:hAnsi="Arial"/>
          <w:sz w:val="17"/>
          <w:szCs w:val="17"/>
          <w:b w:val="1"/>
          <w:bCs w:val="1"/>
          <w:i w:val="1"/>
          <w:iCs w:val="1"/>
          <w:color w:val="auto"/>
        </w:rPr>
        <w:t xml:space="preserve"> our </w:t>
      </w:r>
      <w:r>
        <w:rPr>
          <w:rFonts w:ascii="Arial" w:cs="Arial" w:eastAsia="Arial" w:hAnsi="Arial"/>
          <w:sz w:val="17"/>
          <w:szCs w:val="17"/>
          <w:color w:val="auto"/>
        </w:rPr>
        <w:t>officers</w:t>
      </w:r>
      <w:r>
        <w:rPr>
          <w:rFonts w:ascii="Arial" w:cs="Arial" w:eastAsia="Arial" w:hAnsi="Arial"/>
          <w:sz w:val="17"/>
          <w:szCs w:val="17"/>
          <w:b w:val="1"/>
          <w:bCs w:val="1"/>
          <w:i w:val="1"/>
          <w:iCs w:val="1"/>
          <w:color w:val="auto"/>
        </w:rPr>
        <w:t xml:space="preserve">, and the ability of U.S. authorities to bring actions against us, our directors or our officers in China may also </w:t>
      </w:r>
      <w:r>
        <w:rPr>
          <w:rFonts w:ascii="Arial" w:cs="Arial" w:eastAsia="Arial" w:hAnsi="Arial"/>
          <w:sz w:val="17"/>
          <w:szCs w:val="17"/>
          <w:color w:val="auto"/>
        </w:rPr>
        <w:t>be</w:t>
      </w:r>
      <w:r>
        <w:rPr>
          <w:rFonts w:ascii="Arial" w:cs="Arial" w:eastAsia="Arial" w:hAnsi="Arial"/>
          <w:sz w:val="17"/>
          <w:szCs w:val="17"/>
          <w:b w:val="1"/>
          <w:bCs w:val="1"/>
          <w:i w:val="1"/>
          <w:iCs w:val="1"/>
          <w:color w:val="auto"/>
        </w:rPr>
        <w:t xml:space="preserve"> limited.</w:t>
      </w:r>
    </w:p>
    <w:p>
      <w:pPr>
        <w:spacing w:after="0" w:line="38" w:lineRule="exact"/>
        <w:rPr>
          <w:sz w:val="20"/>
          <w:szCs w:val="20"/>
          <w:color w:val="auto"/>
        </w:rPr>
      </w:pPr>
    </w:p>
    <w:p>
      <w:pPr>
        <w:ind w:firstLine="495"/>
        <w:spacing w:after="0" w:line="289" w:lineRule="auto"/>
        <w:rPr>
          <w:sz w:val="20"/>
          <w:szCs w:val="20"/>
          <w:color w:val="auto"/>
        </w:rPr>
      </w:pPr>
      <w:r>
        <w:rPr>
          <w:rFonts w:ascii="Arial" w:cs="Arial" w:eastAsia="Arial" w:hAnsi="Arial"/>
          <w:sz w:val="16"/>
          <w:szCs w:val="16"/>
          <w:color w:val="auto"/>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In addition, due to jurisdictional limitations, matters of comity and various other factors, the SEC, Department of Justice (“DOJ”) and other U.S. authorities may be limited in their ability to take enforcement actions, including in instances of fraud, against us or our directors and officers in China. In addition, shareholder claims that are common in the United States, including class action securities law and fraud claims, are generally uncommon in China.</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3" w:name="page44"/>
    <w:bookmarkEnd w:id="43"/>
    <w:p>
      <w:pPr>
        <w:ind w:right="440"/>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62" w:lineRule="exact"/>
        <w:rPr>
          <w:sz w:val="20"/>
          <w:szCs w:val="20"/>
          <w:color w:val="auto"/>
        </w:rPr>
      </w:pPr>
    </w:p>
    <w:p>
      <w:pPr>
        <w:ind w:right="40" w:firstLine="495"/>
        <w:spacing w:after="0" w:line="290" w:lineRule="auto"/>
        <w:rPr>
          <w:sz w:val="20"/>
          <w:szCs w:val="20"/>
          <w:color w:val="auto"/>
        </w:rPr>
      </w:pPr>
      <w:r>
        <w:rPr>
          <w:rFonts w:ascii="Arial" w:cs="Arial" w:eastAsia="Arial" w:hAnsi="Arial"/>
          <w:sz w:val="16"/>
          <w:szCs w:val="16"/>
          <w:color w:val="auto"/>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w:t>
      </w:r>
    </w:p>
    <w:p>
      <w:pPr>
        <w:spacing w:after="0" w:line="165" w:lineRule="exact"/>
        <w:rPr>
          <w:sz w:val="20"/>
          <w:szCs w:val="20"/>
          <w:color w:val="auto"/>
        </w:rPr>
      </w:pPr>
    </w:p>
    <w:p>
      <w:pPr>
        <w:jc w:val="both"/>
        <w:ind w:right="360" w:firstLine="495"/>
        <w:spacing w:after="0" w:line="259" w:lineRule="auto"/>
        <w:rPr>
          <w:sz w:val="20"/>
          <w:szCs w:val="20"/>
          <w:color w:val="auto"/>
        </w:rPr>
      </w:pPr>
      <w:r>
        <w:rPr>
          <w:rFonts w:ascii="Arial" w:cs="Arial" w:eastAsia="Arial" w:hAnsi="Arial"/>
          <w:sz w:val="18"/>
          <w:szCs w:val="18"/>
          <w:color w:val="auto"/>
        </w:rPr>
        <w:t>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95"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b w:val="1"/>
          <w:bCs w:val="1"/>
          <w:i w:val="1"/>
          <w:iCs w:val="1"/>
          <w:color w:val="auto"/>
        </w:rPr>
        <w:t>Except in limited circumstances, the depositary for our ADSs will give us a discretionary proxy to vote the Class A ordinary shares underlying your ADSs if you do not vote at shareholders’ meetings, which could adversely affect your interests.</w:t>
      </w:r>
    </w:p>
    <w:p>
      <w:pPr>
        <w:spacing w:after="0" w:line="62" w:lineRule="exact"/>
        <w:rPr>
          <w:sz w:val="20"/>
          <w:szCs w:val="20"/>
          <w:color w:val="auto"/>
        </w:rPr>
      </w:pPr>
    </w:p>
    <w:p>
      <w:pPr>
        <w:ind w:right="140" w:firstLine="495"/>
        <w:spacing w:after="0" w:line="263" w:lineRule="auto"/>
        <w:rPr>
          <w:sz w:val="20"/>
          <w:szCs w:val="20"/>
          <w:color w:val="auto"/>
        </w:rPr>
      </w:pPr>
      <w:r>
        <w:rPr>
          <w:rFonts w:ascii="Arial" w:cs="Arial" w:eastAsia="Arial" w:hAnsi="Arial"/>
          <w:sz w:val="18"/>
          <w:szCs w:val="18"/>
          <w:color w:val="auto"/>
        </w:rPr>
        <w:t>Under the deposit agreement for our ADSs, to the extent we have provided the depositary with at least 40 days’ notice of a proposed meeting, if voting instructions are not timely received by the depositary from you, you shall be deemed to have instructed the depositary to give a discretionary proxy to a person designated by us to vote the shares represented by you ADSs as desired.</w:t>
      </w:r>
    </w:p>
    <w:p>
      <w:pPr>
        <w:spacing w:after="0" w:line="184" w:lineRule="exact"/>
        <w:rPr>
          <w:sz w:val="20"/>
          <w:szCs w:val="20"/>
          <w:color w:val="auto"/>
        </w:rPr>
      </w:pPr>
    </w:p>
    <w:p>
      <w:pPr>
        <w:ind w:right="40" w:firstLine="495"/>
        <w:spacing w:after="0" w:line="254" w:lineRule="auto"/>
        <w:rPr>
          <w:sz w:val="20"/>
          <w:szCs w:val="20"/>
          <w:color w:val="auto"/>
        </w:rPr>
      </w:pPr>
      <w:r>
        <w:rPr>
          <w:rFonts w:ascii="Arial" w:cs="Arial" w:eastAsia="Arial" w:hAnsi="Arial"/>
          <w:sz w:val="18"/>
          <w:szCs w:val="18"/>
          <w:color w:val="auto"/>
        </w:rPr>
        <w:t>However, no such instruction shall be deemed given and no discretionary proxy shall be given (a) if we inform the depositary in writing that (i) we do not wish such proxy to be given, (ii) substantial opposition exists with respect to any agenda item for which the proxy would be given or (iii) the agenda item in question, if approved, would materially or adversely affect the rights of holders of shares and (b) unless we have provided the depositary with an opinion of our counsel to the effect that (i) the granting of such discretionary proxy does not subject the depositary to any reporting obligations in the Cayman Islands, (ii) the granting of such proxy will not result in a violation of any applicable law, public rule or regulation in force in the Cayman Islands and (iii) the courts of the Cayman Islands will give effect to the voting arrangement and deemed instruction as contemplated in the proxy under Cayman Islands law.</w:t>
      </w:r>
    </w:p>
    <w:p>
      <w:pPr>
        <w:spacing w:after="0" w:line="195" w:lineRule="exact"/>
        <w:rPr>
          <w:sz w:val="20"/>
          <w:szCs w:val="20"/>
          <w:color w:val="auto"/>
        </w:rPr>
      </w:pPr>
    </w:p>
    <w:p>
      <w:pPr>
        <w:ind w:firstLine="495"/>
        <w:spacing w:after="0" w:line="259" w:lineRule="auto"/>
        <w:rPr>
          <w:sz w:val="20"/>
          <w:szCs w:val="20"/>
          <w:color w:val="auto"/>
        </w:rPr>
      </w:pPr>
      <w:r>
        <w:rPr>
          <w:rFonts w:ascii="Arial" w:cs="Arial" w:eastAsia="Arial" w:hAnsi="Arial"/>
          <w:sz w:val="18"/>
          <w:szCs w:val="18"/>
          <w:color w:val="auto"/>
        </w:rPr>
        <w:t>The effect of this discretionary proxy is that, if you fail to give voting instructions to the depositary as to how to vote the Class A ordinary shares underlying your ADSs at any particular shareholders’ meeting, you cannot prevent our Class A ordinary shares underlying your ADSs from being voted at that meeting, absent the situations described above, and it may make it more difficult for shareholders to influence our management. Holders of our Class A ordinary shares are not subject to this discretionary proxy.</w:t>
      </w:r>
    </w:p>
    <w:p>
      <w:pPr>
        <w:spacing w:after="0" w:line="29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62" w:lineRule="exact"/>
        <w:rPr>
          <w:sz w:val="20"/>
          <w:szCs w:val="20"/>
          <w:color w:val="auto"/>
        </w:rPr>
      </w:pPr>
    </w:p>
    <w:p>
      <w:pPr>
        <w:ind w:right="60" w:firstLine="495"/>
        <w:spacing w:after="0" w:line="291" w:lineRule="auto"/>
        <w:rPr>
          <w:sz w:val="20"/>
          <w:szCs w:val="20"/>
          <w:color w:val="auto"/>
        </w:rPr>
      </w:pPr>
      <w:r>
        <w:rPr>
          <w:rFonts w:ascii="Arial" w:cs="Arial" w:eastAsia="Arial" w:hAnsi="Arial"/>
          <w:sz w:val="16"/>
          <w:szCs w:val="16"/>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 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117" w:lineRule="exact"/>
        <w:rPr>
          <w:sz w:val="20"/>
          <w:szCs w:val="20"/>
          <w:color w:val="auto"/>
        </w:rPr>
      </w:pPr>
    </w:p>
    <w:p>
      <w:pPr>
        <w:ind w:right="80" w:firstLine="495"/>
        <w:spacing w:after="0" w:line="291"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4" w:name="page45"/>
    <w:bookmarkEnd w:id="44"/>
    <w:p>
      <w:pPr>
        <w:ind w:right="52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62" w:lineRule="exact"/>
        <w:rPr>
          <w:sz w:val="20"/>
          <w:szCs w:val="20"/>
          <w:color w:val="auto"/>
        </w:rPr>
      </w:pPr>
    </w:p>
    <w:p>
      <w:pPr>
        <w:ind w:right="20" w:firstLine="495"/>
        <w:spacing w:after="0" w:line="269" w:lineRule="auto"/>
        <w:rPr>
          <w:sz w:val="20"/>
          <w:szCs w:val="20"/>
          <w:color w:val="auto"/>
        </w:rPr>
      </w:pPr>
      <w:r>
        <w:rPr>
          <w:rFonts w:ascii="Arial" w:cs="Arial" w:eastAsia="Arial" w:hAnsi="Arial"/>
          <w:sz w:val="17"/>
          <w:szCs w:val="17"/>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17" w:lineRule="exact"/>
        <w:rPr>
          <w:sz w:val="20"/>
          <w:szCs w:val="20"/>
          <w:color w:val="auto"/>
        </w:rPr>
      </w:pPr>
    </w:p>
    <w:p>
      <w:pPr>
        <w:ind w:right="80" w:firstLine="495"/>
        <w:spacing w:after="0" w:line="301"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2" w:lineRule="exact"/>
        <w:rPr>
          <w:sz w:val="20"/>
          <w:szCs w:val="20"/>
          <w:color w:val="auto"/>
        </w:rPr>
      </w:pPr>
    </w:p>
    <w:p>
      <w:pPr>
        <w:ind w:right="60" w:firstLine="495"/>
        <w:spacing w:after="0" w:line="277"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62" w:lineRule="exact"/>
        <w:rPr>
          <w:sz w:val="20"/>
          <w:szCs w:val="20"/>
          <w:color w:val="auto"/>
        </w:rPr>
      </w:pPr>
    </w:p>
    <w:p>
      <w:pPr>
        <w:ind w:left="980" w:hanging="486"/>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or current reports on Form 8-K;</w:t>
      </w:r>
    </w:p>
    <w:p>
      <w:pPr>
        <w:spacing w:after="0" w:line="128" w:lineRule="exact"/>
        <w:rPr>
          <w:rFonts w:ascii="Arial" w:cs="Arial" w:eastAsia="Arial" w:hAnsi="Arial"/>
          <w:sz w:val="17"/>
          <w:szCs w:val="17"/>
          <w:color w:val="auto"/>
        </w:rPr>
      </w:pPr>
    </w:p>
    <w:p>
      <w:pPr>
        <w:ind w:left="980" w:right="140" w:hanging="486"/>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62" w:lineRule="exact"/>
        <w:rPr>
          <w:rFonts w:ascii="Arial" w:cs="Arial" w:eastAsia="Arial" w:hAnsi="Arial"/>
          <w:sz w:val="18"/>
          <w:szCs w:val="18"/>
          <w:color w:val="auto"/>
        </w:rPr>
      </w:pPr>
    </w:p>
    <w:p>
      <w:pPr>
        <w:ind w:left="980" w:right="580" w:hanging="486"/>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firstLine="495"/>
        <w:spacing w:after="0" w:line="275" w:lineRule="auto"/>
        <w:rPr>
          <w:sz w:val="20"/>
          <w:szCs w:val="20"/>
          <w:color w:val="auto"/>
        </w:rPr>
      </w:pPr>
      <w:r>
        <w:rPr>
          <w:rFonts w:ascii="Arial" w:cs="Arial" w:eastAsia="Arial" w:hAnsi="Arial"/>
          <w:sz w:val="17"/>
          <w:szCs w:val="17"/>
          <w:color w:val="auto"/>
        </w:rPr>
        <w:t>We are required to file an annual report on Form 20-F within four months of the end of each fiscal year. In addition, we intend to publish our results on a quarterly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However, such reduced reporting requirements may make our ADSs less attractive to investors.</w:t>
      </w:r>
    </w:p>
    <w:p>
      <w:pPr>
        <w:spacing w:after="0" w:line="103" w:lineRule="exact"/>
        <w:rPr>
          <w:sz w:val="20"/>
          <w:szCs w:val="20"/>
          <w:color w:val="auto"/>
        </w:rPr>
      </w:pPr>
    </w:p>
    <w:p>
      <w:pPr>
        <w:ind w:right="160" w:firstLine="495"/>
        <w:spacing w:after="0" w:line="25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right="100" w:firstLine="495"/>
        <w:spacing w:after="0" w:line="259" w:lineRule="auto"/>
        <w:rPr>
          <w:sz w:val="20"/>
          <w:szCs w:val="20"/>
          <w:color w:val="auto"/>
        </w:rPr>
      </w:pPr>
      <w:r>
        <w:rPr>
          <w:rFonts w:ascii="Arial" w:cs="Arial" w:eastAsia="Arial" w:hAnsi="Arial"/>
          <w:sz w:val="18"/>
          <w:szCs w:val="18"/>
          <w:color w:val="auto"/>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45" w:name="page46"/>
    <w:bookmarkEnd w:id="45"/>
    <w:p>
      <w:pPr>
        <w:ind w:right="140"/>
        <w:spacing w:after="0" w:line="277" w:lineRule="auto"/>
        <w:rPr>
          <w:sz w:val="20"/>
          <w:szCs w:val="20"/>
          <w:color w:val="auto"/>
        </w:rPr>
      </w:pPr>
      <w:r>
        <w:rPr>
          <w:rFonts w:ascii="Arial" w:cs="Arial" w:eastAsia="Arial" w:hAnsi="Arial"/>
          <w:sz w:val="18"/>
          <w:szCs w:val="18"/>
          <w:b w:val="1"/>
          <w:bCs w:val="1"/>
          <w:i w:val="1"/>
          <w:iCs w:val="1"/>
          <w:color w:val="auto"/>
        </w:rPr>
        <w:t>We have incurred increased costs as a result of being a public company, and our compliance costs may continue to increase in the future, particularly after we cease to qualify as an emerging growth company.</w:t>
      </w:r>
    </w:p>
    <w:p>
      <w:pPr>
        <w:spacing w:after="0" w:line="62" w:lineRule="exact"/>
        <w:rPr>
          <w:sz w:val="20"/>
          <w:szCs w:val="20"/>
          <w:color w:val="auto"/>
        </w:rPr>
      </w:pPr>
    </w:p>
    <w:p>
      <w:pPr>
        <w:ind w:right="20" w:firstLine="495"/>
        <w:spacing w:after="0" w:line="269" w:lineRule="auto"/>
        <w:rPr>
          <w:sz w:val="20"/>
          <w:szCs w:val="20"/>
          <w:color w:val="auto"/>
        </w:rPr>
      </w:pPr>
      <w:r>
        <w:rPr>
          <w:rFonts w:ascii="Arial" w:cs="Arial" w:eastAsia="Arial" w:hAnsi="Arial"/>
          <w:sz w:val="17"/>
          <w:szCs w:val="17"/>
          <w:color w:val="auto"/>
        </w:rPr>
        <w:t>We have incurred additional legal, accounting and other expenses as a public reporting company. In addition, we will incur additional costs when we cease to qualify as an emerging growth company, which occurs on the earliest of (a) the last day of the fiscal year during which we have total annual gross revenues of at least US$1.07 billion; (b) December 31, 2022; (c) the date on which we have, during the preceding three-year period, issued more than US$1.0 billion in non-convertible debt; or (d) the date on which we are deemed to be a “large accelerated filer” under the Exchange Act, which would occur if the market value of our ADSs that are held by non-affiliates exceeds US$700 million as of the last business day of our most recently completed second fiscal quarter. For example, we will be required to comply with additional requirements of the rules and regulations of the SEC and requirements of the NASDAQ Global Market, including applicable corporate governance practices. In addition, after we cease to qualify as an emerging growth company, we will be required to comply with the auditor attestation requirements of Section 404 of the Sarbanes-Oxley Act of 2002.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79" w:lineRule="exact"/>
        <w:rPr>
          <w:sz w:val="20"/>
          <w:szCs w:val="20"/>
          <w:color w:val="auto"/>
        </w:rPr>
      </w:pPr>
    </w:p>
    <w:p>
      <w:pPr>
        <w:ind w:right="140" w:firstLine="495"/>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289"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There can be no assurance that we will not be a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1" w:lineRule="exact"/>
        <w:rPr>
          <w:sz w:val="20"/>
          <w:szCs w:val="20"/>
          <w:color w:val="auto"/>
        </w:rPr>
      </w:pPr>
    </w:p>
    <w:p>
      <w:pPr>
        <w:jc w:val="both"/>
        <w:ind w:right="160" w:firstLine="495"/>
        <w:spacing w:after="0" w:line="286" w:lineRule="auto"/>
        <w:rPr>
          <w:sz w:val="20"/>
          <w:szCs w:val="20"/>
          <w:color w:val="auto"/>
        </w:rPr>
      </w:pPr>
      <w:r>
        <w:rPr>
          <w:rFonts w:ascii="Arial" w:cs="Arial" w:eastAsia="Arial" w:hAnsi="Arial"/>
          <w:sz w:val="16"/>
          <w:szCs w:val="16"/>
          <w:color w:val="auto"/>
        </w:rPr>
        <w:t>A non-U.S. corporation will be a “passive foreign investment company,” or “PFIC,” if, in any particular taxable year, either (a) 75% or more of its gross income for such year consists of certain types of “passive” income or (b) 50% or more of the average quarterly value of its assets (as determined on the basis of fair market value) during such year produce or are held for the production of passive income (the “asset test”). We expect to derive sufficient active revenues and to have sufficient active assets, so that we will not be classified as a PFIC for the current taxable year or in the foreseeable future.</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w:t>
      </w:r>
    </w:p>
    <w:p>
      <w:pPr>
        <w:spacing w:after="0" w:line="190" w:lineRule="exact"/>
        <w:rPr>
          <w:sz w:val="20"/>
          <w:szCs w:val="20"/>
          <w:color w:val="auto"/>
        </w:rPr>
      </w:pPr>
    </w:p>
    <w:p>
      <w:pPr>
        <w:ind w:right="60" w:firstLine="495"/>
        <w:spacing w:after="0" w:line="279" w:lineRule="auto"/>
        <w:rPr>
          <w:sz w:val="20"/>
          <w:szCs w:val="20"/>
          <w:color w:val="auto"/>
        </w:rPr>
      </w:pPr>
      <w:r>
        <w:rPr>
          <w:rFonts w:ascii="Arial" w:cs="Arial" w:eastAsia="Arial" w:hAnsi="Arial"/>
          <w:sz w:val="17"/>
          <w:szCs w:val="17"/>
          <w:color w:val="auto"/>
        </w:rPr>
        <w:t>In particular, because the value of our assets for purposes of the asset test may be determined by reference to the market price of our ADSs, fluctuations in the market price of our ADSs may cause us to become a PFIC for the current or subsequent taxable years. The determination of whether we are a PFIC also depends, in part, on the composition of our income and assets, which may be affected by how, and how quickly, we use our liquid assets. If we do not deploy significant amounts of cash for active purposes, our risk of being a PFIC may substantially increase.</w:t>
      </w:r>
    </w:p>
    <w:p>
      <w:pPr>
        <w:spacing w:after="0" w:line="171" w:lineRule="exact"/>
        <w:rPr>
          <w:sz w:val="20"/>
          <w:szCs w:val="20"/>
          <w:color w:val="auto"/>
        </w:rPr>
      </w:pPr>
    </w:p>
    <w:p>
      <w:pPr>
        <w:ind w:firstLine="495"/>
        <w:spacing w:after="0" w:line="272" w:lineRule="auto"/>
        <w:rPr>
          <w:sz w:val="20"/>
          <w:szCs w:val="20"/>
          <w:color w:val="auto"/>
        </w:rPr>
      </w:pPr>
      <w:r>
        <w:rPr>
          <w:rFonts w:ascii="Arial" w:cs="Arial" w:eastAsia="Arial" w:hAnsi="Arial"/>
          <w:sz w:val="17"/>
          <w:szCs w:val="17"/>
          <w:color w:val="auto"/>
        </w:rPr>
        <w:t>If we are a PFIC in any taxable year, a U.S. Holder (as defined in “Item 10. Additional Information—E. Taxation—United States Federal Income Tax Considerations”) may incur significantly increased United States income tax on gain recognized on the sale or other disposition of the ADSs or ordinary shares and on the receipt of distributions on the ADSs or 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ADSs or ordinary shares, such U.S. Holder generally will be required to continue to treat us as a PFIC for all succeeding years during which such U.S. Holder holds our ADSs or ordinary shares. For more information, see “Item 10. Additional Information—E. Taxation—United States Federal Income Tax Considerations—Passive Foreign Investment Company Rules.”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4.INFORMATION ON THE COMPANY</w:t>
      </w:r>
    </w:p>
    <w:p>
      <w:pPr>
        <w:spacing w:after="0" w:line="121"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History and Development of the Company</w:t>
      </w:r>
    </w:p>
    <w:p>
      <w:pPr>
        <w:spacing w:after="0" w:line="117" w:lineRule="exact"/>
        <w:rPr>
          <w:sz w:val="20"/>
          <w:szCs w:val="20"/>
          <w:color w:val="auto"/>
        </w:rPr>
      </w:pPr>
    </w:p>
    <w:p>
      <w:pPr>
        <w:ind w:right="160" w:firstLine="495"/>
        <w:spacing w:after="0" w:line="263" w:lineRule="auto"/>
        <w:rPr>
          <w:sz w:val="20"/>
          <w:szCs w:val="20"/>
          <w:color w:val="auto"/>
        </w:rPr>
      </w:pPr>
      <w:r>
        <w:rPr>
          <w:rFonts w:ascii="Arial" w:cs="Arial" w:eastAsia="Arial" w:hAnsi="Arial"/>
          <w:sz w:val="18"/>
          <w:szCs w:val="18"/>
          <w:color w:val="auto"/>
        </w:rPr>
        <w:t>We commenced our online marketing business in 2009. In February 2010, we restructured our holding structuring by incorporating Optimix Media Asia Limited in the Cayman Islands as the holding company of Optimix HK to facilitate financing and offshore listing. In March 2017, we changed our name from Optimix Media Asia Limited to iClick Interactive Asia Group Limited.</w:t>
      </w:r>
    </w:p>
    <w:p>
      <w:pPr>
        <w:spacing w:after="0" w:line="184" w:lineRule="exact"/>
        <w:rPr>
          <w:sz w:val="20"/>
          <w:szCs w:val="20"/>
          <w:color w:val="auto"/>
        </w:rPr>
      </w:pPr>
    </w:p>
    <w:p>
      <w:pPr>
        <w:ind w:right="80" w:firstLine="495"/>
        <w:spacing w:after="0" w:line="263" w:lineRule="auto"/>
        <w:rPr>
          <w:sz w:val="20"/>
          <w:szCs w:val="20"/>
          <w:color w:val="auto"/>
        </w:rPr>
      </w:pPr>
      <w:r>
        <w:rPr>
          <w:rFonts w:ascii="Arial" w:cs="Arial" w:eastAsia="Arial" w:hAnsi="Arial"/>
          <w:sz w:val="18"/>
          <w:szCs w:val="18"/>
          <w:color w:val="auto"/>
        </w:rPr>
        <w:t>In November 2014, we enhanced our data analytics capabilities by acquiring Buzzinate Company Limited, or Buzzinate, a company incorporated in Hong Kong. Buzzinate is an online marketing platform with strong data analytics capabilities and deep understanding of behavior of internet users in China.</w:t>
      </w:r>
    </w:p>
    <w:p>
      <w:pPr>
        <w:spacing w:after="0" w:line="184" w:lineRule="exact"/>
        <w:rPr>
          <w:sz w:val="20"/>
          <w:szCs w:val="20"/>
          <w:color w:val="auto"/>
        </w:rPr>
      </w:pPr>
    </w:p>
    <w:p>
      <w:pPr>
        <w:ind w:right="140" w:firstLine="495"/>
        <w:spacing w:after="0" w:line="277" w:lineRule="auto"/>
        <w:rPr>
          <w:sz w:val="20"/>
          <w:szCs w:val="20"/>
          <w:color w:val="auto"/>
        </w:rPr>
      </w:pPr>
      <w:r>
        <w:rPr>
          <w:rFonts w:ascii="Arial" w:cs="Arial" w:eastAsia="Arial" w:hAnsi="Arial"/>
          <w:sz w:val="18"/>
          <w:szCs w:val="18"/>
          <w:color w:val="auto"/>
        </w:rPr>
        <w:t>In July 2015, we acquired all shares in OptAim Ltd., or OptAim, and substantially expanded our online marketing business into mobile channels to identify, engage and convert mobile marketing.</w:t>
      </w:r>
    </w:p>
    <w:p>
      <w:pPr>
        <w:spacing w:after="0" w:line="170" w:lineRule="exact"/>
        <w:rPr>
          <w:sz w:val="20"/>
          <w:szCs w:val="20"/>
          <w:color w:val="auto"/>
        </w:rPr>
      </w:pPr>
    </w:p>
    <w:p>
      <w:pPr>
        <w:ind w:right="520" w:firstLine="495"/>
        <w:spacing w:after="0" w:line="308" w:lineRule="auto"/>
        <w:rPr>
          <w:sz w:val="20"/>
          <w:szCs w:val="20"/>
          <w:color w:val="auto"/>
        </w:rPr>
      </w:pPr>
      <w:r>
        <w:rPr>
          <w:rFonts w:ascii="Arial" w:cs="Arial" w:eastAsia="Arial" w:hAnsi="Arial"/>
          <w:sz w:val="17"/>
          <w:szCs w:val="17"/>
          <w:color w:val="auto"/>
        </w:rPr>
        <w:t>On December 21, 2017, our ADSs commenced trading on Nasdaq Global Market under the symbol “ICLK.” We raised from our initial public offering approximately $23,325,000 in net proceeds after deducting underwriting commissions and the offering expenses payable by us.</w:t>
      </w:r>
    </w:p>
    <w:p>
      <w:pPr>
        <w:spacing w:after="0" w:line="146" w:lineRule="exact"/>
        <w:rPr>
          <w:sz w:val="20"/>
          <w:szCs w:val="20"/>
          <w:color w:val="auto"/>
        </w:rPr>
      </w:pPr>
    </w:p>
    <w:p>
      <w:pPr>
        <w:jc w:val="both"/>
        <w:ind w:right="120" w:firstLine="495"/>
        <w:spacing w:after="0" w:line="279" w:lineRule="auto"/>
        <w:rPr>
          <w:sz w:val="20"/>
          <w:szCs w:val="20"/>
          <w:color w:val="auto"/>
        </w:rPr>
      </w:pPr>
      <w:r>
        <w:rPr>
          <w:rFonts w:ascii="Arial" w:cs="Arial" w:eastAsia="Arial" w:hAnsi="Arial"/>
          <w:sz w:val="17"/>
          <w:szCs w:val="17"/>
          <w:color w:val="auto"/>
        </w:rPr>
        <w:t>In May 2018, we launched a strategic growth initiative beyond our core online marketing operation to provide SaaS-based enterprise solutions. Our enterprise solutions help enterprise optimize their capabilities to leverage various types of data, and help them reduce costs and allow for easy integration with other platforms and applications. Our enterprise solutions help us foster closer relationship with our clients beyond digital marketing. Enterprises can make better and more informed choices during their decision- making process through our enterprise solutions.</w:t>
      </w:r>
    </w:p>
    <w:p>
      <w:pPr>
        <w:spacing w:after="0" w:line="171" w:lineRule="exact"/>
        <w:rPr>
          <w:sz w:val="20"/>
          <w:szCs w:val="20"/>
          <w:color w:val="auto"/>
        </w:rPr>
      </w:pPr>
    </w:p>
    <w:p>
      <w:pPr>
        <w:ind w:right="100" w:firstLine="495"/>
        <w:spacing w:after="0" w:line="263" w:lineRule="auto"/>
        <w:rPr>
          <w:sz w:val="20"/>
          <w:szCs w:val="20"/>
          <w:color w:val="auto"/>
        </w:rPr>
      </w:pPr>
      <w:r>
        <w:rPr>
          <w:rFonts w:ascii="Arial" w:cs="Arial" w:eastAsia="Arial" w:hAnsi="Arial"/>
          <w:sz w:val="18"/>
          <w:szCs w:val="18"/>
          <w:color w:val="auto"/>
        </w:rPr>
        <w:t>In November 2018, we made a controlling investment in Myhayo, a content distribution channel and a mobile content aggregator of articles and short videos in the PRC, which presents customized feeds to users via its mobile application. The acquisition may further increase our market shares in the PRC online marketing segment, particularly in relation to mobile platform.</w:t>
      </w:r>
    </w:p>
    <w:p>
      <w:pPr>
        <w:spacing w:after="0" w:line="184" w:lineRule="exact"/>
        <w:rPr>
          <w:sz w:val="20"/>
          <w:szCs w:val="20"/>
          <w:color w:val="auto"/>
        </w:rPr>
      </w:pPr>
    </w:p>
    <w:p>
      <w:pPr>
        <w:ind w:right="220" w:firstLine="495"/>
        <w:spacing w:after="0" w:line="286" w:lineRule="auto"/>
        <w:rPr>
          <w:sz w:val="20"/>
          <w:szCs w:val="20"/>
          <w:color w:val="auto"/>
        </w:rPr>
      </w:pPr>
      <w:r>
        <w:rPr>
          <w:rFonts w:ascii="Arial" w:cs="Arial" w:eastAsia="Arial" w:hAnsi="Arial"/>
          <w:sz w:val="17"/>
          <w:szCs w:val="17"/>
          <w:color w:val="auto"/>
        </w:rPr>
        <w:t>In January 2019, we made a controlling investment in Changyi, a leading independent software vendor based in Shanghai. In October 2020 and December 2020, we further increased our equity stake in Changyi. Changyi is a leading independent software vendor in China which provides intelligent retail and CRM solutions, through which we expect to further enhance our data-driven enterprise solutions business.</w:t>
      </w:r>
    </w:p>
    <w:p>
      <w:pPr>
        <w:spacing w:after="0" w:line="165" w:lineRule="exact"/>
        <w:rPr>
          <w:sz w:val="20"/>
          <w:szCs w:val="20"/>
          <w:color w:val="auto"/>
        </w:rPr>
      </w:pPr>
    </w:p>
    <w:p>
      <w:pPr>
        <w:ind w:firstLine="495"/>
        <w:spacing w:after="0" w:line="263" w:lineRule="auto"/>
        <w:rPr>
          <w:sz w:val="20"/>
          <w:szCs w:val="20"/>
          <w:color w:val="auto"/>
        </w:rPr>
      </w:pPr>
      <w:r>
        <w:rPr>
          <w:rFonts w:ascii="Arial" w:cs="Arial" w:eastAsia="Arial" w:hAnsi="Arial"/>
          <w:sz w:val="18"/>
          <w:szCs w:val="18"/>
          <w:color w:val="auto"/>
        </w:rPr>
        <w:t>In May 2019, we formed a joint venture with VGI Global Media Plc, or VGI, in Thailand to expand the geographic reach of our marketing solutions. Through VGI, we offer a suite of mobile and new media solutions to help Southeast Asian consumer brands understand the purchasing behaviors of and penetrate Chinese consumers traveling in Thailand.</w:t>
      </w:r>
    </w:p>
    <w:p>
      <w:pPr>
        <w:spacing w:after="0" w:line="184" w:lineRule="exact"/>
        <w:rPr>
          <w:sz w:val="20"/>
          <w:szCs w:val="20"/>
          <w:color w:val="auto"/>
        </w:rPr>
      </w:pPr>
    </w:p>
    <w:p>
      <w:pPr>
        <w:ind w:right="20" w:firstLine="495"/>
        <w:spacing w:after="0" w:line="257" w:lineRule="auto"/>
        <w:rPr>
          <w:sz w:val="20"/>
          <w:szCs w:val="20"/>
          <w:color w:val="auto"/>
        </w:rPr>
      </w:pPr>
      <w:r>
        <w:rPr>
          <w:rFonts w:ascii="Arial" w:cs="Arial" w:eastAsia="Arial" w:hAnsi="Arial"/>
          <w:sz w:val="18"/>
          <w:szCs w:val="18"/>
          <w:color w:val="auto"/>
        </w:rPr>
        <w:t>In May 2020, we acquired an 80% equity interest in Optimal Power Limited, a subsidiary wholly owned by Creative Big Limited, for US$28 million paid through the issuance of ADSs calculated at US$3.9 per ADS. As part of the transaction, Creative Big Limited injected certain premium media licensing assets into Optimal Power Limited covering a number of jurisdictions in the Asia-Pacific. In December 2020, we acquired the remaining 20% equity interest of Optimal Power Limited from the non-controlling interest shareholder at a cash consideration of US$7 million, our equity interests in Optimal Power Limited increased to 100%.</w:t>
      </w:r>
    </w:p>
    <w:p>
      <w:pPr>
        <w:spacing w:after="0" w:line="188" w:lineRule="exact"/>
        <w:rPr>
          <w:sz w:val="20"/>
          <w:szCs w:val="20"/>
          <w:color w:val="auto"/>
        </w:rPr>
      </w:pPr>
    </w:p>
    <w:p>
      <w:pPr>
        <w:ind w:right="40" w:firstLine="495"/>
        <w:spacing w:after="0" w:line="263" w:lineRule="auto"/>
        <w:rPr>
          <w:sz w:val="20"/>
          <w:szCs w:val="20"/>
          <w:color w:val="auto"/>
        </w:rPr>
      </w:pPr>
      <w:r>
        <w:rPr>
          <w:rFonts w:ascii="Arial" w:cs="Arial" w:eastAsia="Arial" w:hAnsi="Arial"/>
          <w:sz w:val="18"/>
          <w:szCs w:val="18"/>
          <w:color w:val="auto"/>
        </w:rPr>
        <w:t>In October 2020, we acquired CMRS Group Holding Limited, or CMRS, a leading marketing automation solution provider in China. The acquisition will allow us to further enhance our full product offerings, leveraging CMRS’s marketing automation capabilities, in particular, for cross-border customers marketing into China.</w:t>
      </w:r>
    </w:p>
    <w:p>
      <w:pPr>
        <w:spacing w:after="0" w:line="184" w:lineRule="exact"/>
        <w:rPr>
          <w:sz w:val="20"/>
          <w:szCs w:val="20"/>
          <w:color w:val="auto"/>
        </w:rPr>
      </w:pPr>
    </w:p>
    <w:p>
      <w:pPr>
        <w:ind w:right="40" w:firstLine="495"/>
        <w:spacing w:after="0" w:line="301" w:lineRule="auto"/>
        <w:rPr>
          <w:sz w:val="20"/>
          <w:szCs w:val="20"/>
          <w:color w:val="auto"/>
        </w:rPr>
      </w:pPr>
      <w:r>
        <w:rPr>
          <w:rFonts w:ascii="Arial" w:cs="Arial" w:eastAsia="Arial" w:hAnsi="Arial"/>
          <w:sz w:val="16"/>
          <w:szCs w:val="16"/>
          <w:color w:val="auto"/>
        </w:rPr>
        <w:t>In January 2021, we issued certain Class B ordinary shares to Baozun, a leading brand e-commerce service partner that helps brands execute their e-commerce strategies in China and entered into a strategic cooperation framework agreement with it. Pursuant to the strategic cooperation framework agreement, we and Baozun will collaborate in developing a full-cycle, closed-loop e-commerce service model, covering areas such as system development, IT services, digital marketing, store operation, customer services and warehousing and fulfillment services to better serve potential brand partners.</w:t>
      </w:r>
    </w:p>
    <w:p>
      <w:pPr>
        <w:spacing w:after="0" w:line="157" w:lineRule="exact"/>
        <w:rPr>
          <w:sz w:val="20"/>
          <w:szCs w:val="20"/>
          <w:color w:val="auto"/>
        </w:rPr>
      </w:pPr>
    </w:p>
    <w:p>
      <w:pPr>
        <w:ind w:right="120" w:firstLine="495"/>
        <w:spacing w:after="0" w:line="311" w:lineRule="auto"/>
        <w:rPr>
          <w:sz w:val="20"/>
          <w:szCs w:val="20"/>
          <w:color w:val="auto"/>
        </w:rPr>
      </w:pPr>
      <w:r>
        <w:rPr>
          <w:rFonts w:ascii="Arial" w:cs="Arial" w:eastAsia="Arial" w:hAnsi="Arial"/>
          <w:sz w:val="16"/>
          <w:szCs w:val="16"/>
          <w:color w:val="auto"/>
        </w:rPr>
        <w:t>In January 2021, we released iSCRM, a powerful off-the-shelf SaaS enterprise management platform for daily operations and social customer relationship management. iSCRM leverages the updated features of WeCom, Tencent's communication platform for enterprises, to effectively attract new users and intelligently manage brands’ private domain traffic through integration of the various functions on WeChat Mini Program, WeCom and WeChat.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47" w:name="page48"/>
    <w:bookmarkEnd w:id="47"/>
    <w:p>
      <w:pPr>
        <w:jc w:val="both"/>
        <w:ind w:right="80" w:firstLine="495"/>
        <w:spacing w:after="0" w:line="311" w:lineRule="auto"/>
        <w:rPr>
          <w:sz w:val="20"/>
          <w:szCs w:val="20"/>
          <w:color w:val="auto"/>
        </w:rPr>
      </w:pPr>
      <w:r>
        <w:rPr>
          <w:rFonts w:ascii="Arial" w:cs="Arial" w:eastAsia="Arial" w:hAnsi="Arial"/>
          <w:sz w:val="16"/>
          <w:szCs w:val="16"/>
          <w:color w:val="auto"/>
        </w:rPr>
        <w:t>In February 2021, we entered into an agreement to acquire Parllay, a leading personalized marketing platform with deep expertise in WeChat-based CRM, e-commerce and marketing SaaS solutions in China. We anticipate utilizing Parllay's rich expertise to further enhance our product offerings, enlarge the potential clients base, and accelerate sales of our enterprise solutions. As of the date hereof, the acquisition is not yet completed.</w:t>
      </w:r>
    </w:p>
    <w:p>
      <w:pPr>
        <w:spacing w:after="0" w:line="176" w:lineRule="exact"/>
        <w:rPr>
          <w:sz w:val="20"/>
          <w:szCs w:val="20"/>
          <w:color w:val="auto"/>
        </w:rPr>
      </w:pPr>
    </w:p>
    <w:p>
      <w:pPr>
        <w:ind w:firstLine="495"/>
        <w:spacing w:after="0" w:line="301" w:lineRule="auto"/>
        <w:rPr>
          <w:sz w:val="20"/>
          <w:szCs w:val="20"/>
          <w:color w:val="auto"/>
        </w:rPr>
      </w:pPr>
      <w:r>
        <w:rPr>
          <w:rFonts w:ascii="Arial" w:cs="Arial" w:eastAsia="Arial" w:hAnsi="Arial"/>
          <w:sz w:val="16"/>
          <w:szCs w:val="16"/>
          <w:color w:val="auto"/>
        </w:rPr>
        <w:t>Our principal executive offices are located at 15/F, Prosperity Millennia Plaza, 663 King’s Road, Quarry Bay, Hong Kong S.A.R. Our telephone number at this address is (852) 3700 9000. Our registered office in the Cayman Islands is located at Maples Corporate Services Limited at PO Box 309, Ugland House, Grand Cayman, KY1-1104, Cayman Islands. Our internet address is www.i-click.com. The SEC also maintains an internet site at www.sec.gov that contains reports, proxy and information statements, and other information regarding registrants that make electronic filings with the SEC.</w:t>
      </w:r>
    </w:p>
    <w:p>
      <w:pPr>
        <w:spacing w:after="0" w:line="265"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Business Overview</w:t>
      </w:r>
    </w:p>
    <w:p>
      <w:pPr>
        <w:spacing w:after="0" w:line="117" w:lineRule="exact"/>
        <w:rPr>
          <w:sz w:val="20"/>
          <w:szCs w:val="20"/>
          <w:color w:val="auto"/>
        </w:rPr>
      </w:pPr>
    </w:p>
    <w:p>
      <w:pPr>
        <w:ind w:right="200" w:firstLine="495"/>
        <w:spacing w:after="0" w:line="259" w:lineRule="auto"/>
        <w:rPr>
          <w:sz w:val="20"/>
          <w:szCs w:val="20"/>
          <w:color w:val="auto"/>
        </w:rPr>
      </w:pPr>
      <w:r>
        <w:rPr>
          <w:rFonts w:ascii="Arial" w:cs="Arial" w:eastAsia="Arial" w:hAnsi="Arial"/>
          <w:sz w:val="18"/>
          <w:szCs w:val="18"/>
          <w:color w:val="auto"/>
        </w:rPr>
        <w:t>We are a leading enterprise and marketing cloud Platform in China. We offer a consumer full lifecycle solution that addresses our clients’ needs from traffic acquisition, customer relations management and business decisions optimization driven by data analytics in today’s smart retail era. With our industry-leading marketing solutions as our entry point, we drive customer retention and loyalty with our data enterprise solutions and grow customer lifetime value with our intelligent enterprise solutions.</w:t>
      </w:r>
    </w:p>
    <w:p>
      <w:pPr>
        <w:spacing w:after="0" w:line="187" w:lineRule="exact"/>
        <w:rPr>
          <w:sz w:val="20"/>
          <w:szCs w:val="20"/>
          <w:color w:val="auto"/>
        </w:rPr>
      </w:pPr>
    </w:p>
    <w:p>
      <w:pPr>
        <w:ind w:right="140" w:firstLine="495"/>
        <w:spacing w:after="0" w:line="272" w:lineRule="auto"/>
        <w:rPr>
          <w:sz w:val="20"/>
          <w:szCs w:val="20"/>
          <w:color w:val="auto"/>
        </w:rPr>
      </w:pPr>
      <w:r>
        <w:rPr>
          <w:rFonts w:ascii="Arial" w:cs="Arial" w:eastAsia="Arial" w:hAnsi="Arial"/>
          <w:sz w:val="17"/>
          <w:szCs w:val="17"/>
          <w:color w:val="auto"/>
        </w:rPr>
        <w:t>Our marketing solutions serve as an integrated cross-channel gateway that provides marketers with innovative and cost-effective ways to optimize their online marketing efforts throughout their marketing cycle and achieve their branding and performance-based marketing goals. Our integrated data-driven marketing solutions help marketers engage and activate potential customers, monitor and measure the results of marketing campaigns, and create content catering to potential customers across different content distribution channels through both PC and mobile devices. Our marketing solutions appeal to marketers by offering omni-channel reach to the Chinese audience. We provide our clients with one-stop access to a wide variety of cross-channel content distribution opportunities, including those from leading online publishers in China. We work closely with our content distribution partners to facilitate innovative and effective audience engagement.</w:t>
      </w:r>
    </w:p>
    <w:p>
      <w:pPr>
        <w:spacing w:after="0" w:line="177" w:lineRule="exact"/>
        <w:rPr>
          <w:sz w:val="20"/>
          <w:szCs w:val="20"/>
          <w:color w:val="auto"/>
        </w:rPr>
      </w:pPr>
    </w:p>
    <w:p>
      <w:pPr>
        <w:ind w:firstLine="495"/>
        <w:spacing w:after="0" w:line="254" w:lineRule="auto"/>
        <w:rPr>
          <w:sz w:val="20"/>
          <w:szCs w:val="20"/>
          <w:color w:val="auto"/>
        </w:rPr>
      </w:pPr>
      <w:r>
        <w:rPr>
          <w:rFonts w:ascii="Arial" w:cs="Arial" w:eastAsia="Arial" w:hAnsi="Arial"/>
          <w:sz w:val="18"/>
          <w:szCs w:val="18"/>
          <w:color w:val="auto"/>
        </w:rPr>
        <w:t>Leveraging our data analytics and experience and expertise in online marketing, we launched our SaaS-based enterprise solutions in May 2018. Our data-driven enterprise solutions, which are built on Tencent cloud and leverage Tencent’s proprietary API connection and mini programs in Tencent’s WeChat ecosystem, help enterprises maximize the value of their data to gain actionable insights to improve CRM, decision-making and establishment of data-management platforms. Through the enterprise solutions, we are able to foster deeper relationship with clients beyond online marketing. As an increasing number of clients adopt our enterprise solutions, we expect to be able to continue to enhance the quantity, quality, and diversity of our data assets and refine our product and service offerings to improve customer experience. Our ability to develop tailored enterprise solutions to our key account clients foster strong relationships with them.</w:t>
      </w:r>
    </w:p>
    <w:p>
      <w:pPr>
        <w:spacing w:after="0" w:line="195" w:lineRule="exact"/>
        <w:rPr>
          <w:sz w:val="20"/>
          <w:szCs w:val="20"/>
          <w:color w:val="auto"/>
        </w:rPr>
      </w:pPr>
    </w:p>
    <w:p>
      <w:pPr>
        <w:ind w:right="40" w:firstLine="495"/>
        <w:spacing w:after="0" w:line="270" w:lineRule="auto"/>
        <w:rPr>
          <w:sz w:val="20"/>
          <w:szCs w:val="20"/>
          <w:color w:val="auto"/>
        </w:rPr>
      </w:pPr>
      <w:r>
        <w:rPr>
          <w:rFonts w:ascii="Arial" w:cs="Arial" w:eastAsia="Arial" w:hAnsi="Arial"/>
          <w:sz w:val="17"/>
          <w:szCs w:val="17"/>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interests and other online or offline behavioral patterns. As of March 31, 2021, we had analyzed approximately 1,198.7 million active profiled users.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spacing w:after="0" w:line="181" w:lineRule="exact"/>
        <w:rPr>
          <w:sz w:val="20"/>
          <w:szCs w:val="20"/>
          <w:color w:val="auto"/>
        </w:rPr>
      </w:pPr>
    </w:p>
    <w:p>
      <w:pPr>
        <w:ind w:right="180" w:firstLine="495"/>
        <w:spacing w:after="0" w:line="279" w:lineRule="auto"/>
        <w:rPr>
          <w:sz w:val="20"/>
          <w:szCs w:val="20"/>
          <w:color w:val="auto"/>
        </w:rPr>
      </w:pPr>
      <w:r>
        <w:rPr>
          <w:rFonts w:ascii="Arial" w:cs="Arial" w:eastAsia="Arial" w:hAnsi="Arial"/>
          <w:sz w:val="17"/>
          <w:szCs w:val="17"/>
          <w:color w:val="auto"/>
        </w:rPr>
        <w:t>We take a flexible approach to delivering our solutions in order to cater to the preferences and levels of internal resources and expertise of our clients. Our clients may choose to access our solutions through (i) self-service, under which they have the flexibility to utilize our solutions “a la carte” to complement their existing marketing resources, or through (ii) managed service, under which our account management team provides in-depth services utilizing our solutions that suit the clients’ specified marketing objectives and budgets.</w:t>
      </w:r>
    </w:p>
    <w:p>
      <w:pPr>
        <w:spacing w:after="0" w:line="171" w:lineRule="exact"/>
        <w:rPr>
          <w:sz w:val="20"/>
          <w:szCs w:val="20"/>
          <w:color w:val="auto"/>
        </w:rPr>
      </w:pPr>
    </w:p>
    <w:p>
      <w:pPr>
        <w:jc w:val="both"/>
        <w:ind w:right="100" w:firstLine="495"/>
        <w:spacing w:after="0" w:line="311" w:lineRule="auto"/>
        <w:rPr>
          <w:sz w:val="20"/>
          <w:szCs w:val="20"/>
          <w:color w:val="auto"/>
        </w:rPr>
      </w:pPr>
      <w:r>
        <w:rPr>
          <w:rFonts w:ascii="Arial" w:cs="Arial" w:eastAsia="Arial" w:hAnsi="Arial"/>
          <w:sz w:val="16"/>
          <w:szCs w:val="16"/>
          <w:color w:val="auto"/>
        </w:rPr>
        <w:t>The success of our solutions is evidenced by our strong, diverse and recurring client base from a broad range of industry verticals, including but not limited to entertainment and media, E-commerce, travel and hospitality, automobile and petroleum, and banking and finance. Our clients primarily include large enterprises, from different geographic regions in and outside China, including approximately 320 multinational companies in 2020.</w:t>
      </w:r>
    </w:p>
    <w:p>
      <w:pPr>
        <w:spacing w:after="0" w:line="149"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color w:val="auto"/>
        </w:rPr>
        <w:t>For our marketing solutions, we generate revenues primarily from clients’ marketing spend through our platform as they utilize our solutions in cost-plus and specified action marketing campaigns, and to a less extent from incentives granted by the publisher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8" w:name="page49"/>
    <w:bookmarkEnd w:id="48"/>
    <w:p>
      <w:pPr>
        <w:jc w:val="both"/>
        <w:spacing w:after="0" w:line="286" w:lineRule="auto"/>
        <w:rPr>
          <w:sz w:val="20"/>
          <w:szCs w:val="20"/>
          <w:color w:val="auto"/>
        </w:rPr>
      </w:pPr>
      <w:r>
        <w:rPr>
          <w:rFonts w:ascii="Arial" w:cs="Arial" w:eastAsia="Arial" w:hAnsi="Arial"/>
          <w:sz w:val="17"/>
          <w:szCs w:val="17"/>
          <w:color w:val="auto"/>
        </w:rPr>
        <w:t>under our sales agency arrangement. In 2018, 2019 and 2020, our revenue from marketing solutions amounted to US$160.0 million, US$190.0 million and US$225.9 million, respectively. For our enterprise solutions, we generate revenue primarily from the upfront and on-going subscription fees our clients pay. We saw significant growth in revenue from enterprise solutions from US$10.4 million in 2019 to US$28.9 million in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21" w:lineRule="exact"/>
        <w:rPr>
          <w:sz w:val="20"/>
          <w:szCs w:val="20"/>
          <w:color w:val="auto"/>
        </w:rPr>
      </w:pPr>
    </w:p>
    <w:p>
      <w:pPr>
        <w:ind w:firstLine="495"/>
        <w:spacing w:after="0" w:line="259" w:lineRule="auto"/>
        <w:rPr>
          <w:sz w:val="20"/>
          <w:szCs w:val="20"/>
          <w:color w:val="auto"/>
        </w:rPr>
      </w:pPr>
      <w:r>
        <w:rPr>
          <w:rFonts w:ascii="Arial" w:cs="Arial" w:eastAsia="Arial" w:hAnsi="Arial"/>
          <w:sz w:val="18"/>
          <w:szCs w:val="18"/>
          <w:color w:val="auto"/>
        </w:rPr>
        <w:t>We are a leading enterprise and marketing cloud platform in China. We offer a consumer full lifecycle solution that addresses our clients’ needs from traffic acquisition, customer relations management and business decisions optimization driven by data analytics in today’s new smart retail era. With marketing solutions as our entry point, we drive customer retention and loyalty with our data enterprise solutions and growing customer lifetime value with our intelligent enterprise solutions.</w:t>
      </w:r>
    </w:p>
    <w:p>
      <w:pPr>
        <w:spacing w:after="0" w:line="187"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color w:val="auto"/>
        </w:rPr>
        <w:t>Through our suite of end-to-end solutions, enabled and supported by our extensive data set, sophisticated data analytics capabilities and cutting-edge technologies, we deliver highly integrated customer experience and address clients’ needs to:</w:t>
      </w:r>
    </w:p>
    <w:p>
      <w:pPr>
        <w:spacing w:after="0" w:line="62" w:lineRule="exact"/>
        <w:rPr>
          <w:sz w:val="20"/>
          <w:szCs w:val="20"/>
          <w:color w:val="auto"/>
        </w:rPr>
      </w:pPr>
    </w:p>
    <w:p>
      <w:pPr>
        <w:ind w:left="980" w:hanging="486"/>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 their potential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and activate potential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monitor and measure the results of online marketing campaigns;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 content catering to their potential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build and operate personalized storefronts on social media platforms;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SaaS-based tools;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utilize data analytics to advise business decisions;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marketing automation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diagram below illustrates our suite of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297815</wp:posOffset>
            </wp:positionV>
            <wp:extent cx="5400675" cy="25031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0067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Engagement and Activation Solutions: iAccess</w:t>
      </w:r>
    </w:p>
    <w:p>
      <w:pPr>
        <w:spacing w:after="0" w:line="117" w:lineRule="exact"/>
        <w:rPr>
          <w:sz w:val="20"/>
          <w:szCs w:val="20"/>
          <w:color w:val="auto"/>
        </w:rPr>
      </w:pPr>
    </w:p>
    <w:p>
      <w:pPr>
        <w:ind w:right="20" w:firstLine="495"/>
        <w:spacing w:after="0" w:line="257" w:lineRule="auto"/>
        <w:rPr>
          <w:sz w:val="20"/>
          <w:szCs w:val="20"/>
          <w:color w:val="auto"/>
        </w:rPr>
      </w:pPr>
      <w:r>
        <w:rPr>
          <w:rFonts w:ascii="Arial" w:cs="Arial" w:eastAsia="Arial" w:hAnsi="Arial"/>
          <w:sz w:val="18"/>
          <w:szCs w:val="18"/>
          <w:color w:val="auto"/>
        </w:rPr>
        <w:t>iAccess is our cross-channel audience engagement and activation solution tailored for brand awareness-driven campaigns and performance-driven campaigns. iAccess provide marketers with a comprehensive suite of targeting or re-targeting options to reach out to, or re-connect with, potential audience identified by iAudience. Marketers can choose to target these audience based on their gender, age, income levels, geographic locations, interest, device, and device operating system. Marketers are also afforded the flexibility to select their preferred content format, budgeting requirement, display frequency and time to reach these audience.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9" w:name="page50"/>
    <w:bookmarkEnd w:id="49"/>
    <w:p>
      <w:pPr>
        <w:ind w:left="500"/>
        <w:spacing w:after="0"/>
        <w:rPr>
          <w:sz w:val="20"/>
          <w:szCs w:val="20"/>
          <w:color w:val="auto"/>
        </w:rPr>
      </w:pPr>
      <w:r>
        <w:rPr>
          <w:rFonts w:ascii="Arial" w:cs="Arial" w:eastAsia="Arial" w:hAnsi="Arial"/>
          <w:sz w:val="18"/>
          <w:szCs w:val="18"/>
          <w:color w:val="auto"/>
        </w:rPr>
        <w:t>Below is a sample interface for our iAccess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6060440" cy="1688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6044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 Creation Solution: Influencer Marketing</w:t>
      </w:r>
    </w:p>
    <w:p>
      <w:pPr>
        <w:spacing w:after="0" w:line="117" w:lineRule="exact"/>
        <w:rPr>
          <w:sz w:val="20"/>
          <w:szCs w:val="20"/>
          <w:color w:val="auto"/>
        </w:rPr>
      </w:pPr>
    </w:p>
    <w:p>
      <w:pPr>
        <w:ind w:firstLine="495"/>
        <w:spacing w:after="0" w:line="272" w:lineRule="auto"/>
        <w:rPr>
          <w:sz w:val="20"/>
          <w:szCs w:val="20"/>
          <w:color w:val="auto"/>
        </w:rPr>
      </w:pPr>
      <w:r>
        <w:rPr>
          <w:rFonts w:ascii="Arial" w:cs="Arial" w:eastAsia="Arial" w:hAnsi="Arial"/>
          <w:sz w:val="17"/>
          <w:szCs w:val="17"/>
          <w:color w:val="auto"/>
        </w:rPr>
        <w:t>In 2020, we launched a number of products that capitalize on the rapidly-growing trend of marketing in the form of short-form videos and live-streaming through key opinion leaders (“KOL”)’s influence over the end consumers. For example, iFans, our KOL marketing intelligence platform, enables marketers to manage and analyze the impact of KOLs on key social media platforms such as Xiaohongshu and Bilibili through multi-dimensional real-time data analysis that leverages our long-established industry experience in the targeted marketing industry. Additionally, Live Streaming++, our AI-driven live streaming tool, equips KOLs with the most advanced intelligent live streaming tools and special effects to improve the marketing effectiveness of live streaming. Leveraging our strong media network in both domestic and international markets, we also operate a multi-channel network business that amplifies and monetizes the influence of KOLs to further enhance clients’ brand awareness through social media.</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Enterprise Solutions</w:t>
      </w:r>
    </w:p>
    <w:p>
      <w:pPr>
        <w:spacing w:after="0" w:line="117" w:lineRule="exact"/>
        <w:rPr>
          <w:sz w:val="20"/>
          <w:szCs w:val="20"/>
          <w:color w:val="auto"/>
        </w:rPr>
      </w:pPr>
    </w:p>
    <w:p>
      <w:pPr>
        <w:ind w:right="40" w:firstLine="495"/>
        <w:spacing w:after="0" w:line="275" w:lineRule="auto"/>
        <w:rPr>
          <w:sz w:val="20"/>
          <w:szCs w:val="20"/>
          <w:color w:val="auto"/>
        </w:rPr>
      </w:pPr>
      <w:r>
        <w:rPr>
          <w:rFonts w:ascii="Arial" w:cs="Arial" w:eastAsia="Arial" w:hAnsi="Arial"/>
          <w:sz w:val="17"/>
          <w:szCs w:val="17"/>
          <w:color w:val="auto"/>
        </w:rPr>
        <w:t>Leveraging our data analytics expertise and experience in online marketing, we launched our SaaS-based enterprise solutions in May 2018 to help businesses improve operational and marketing efficiencies. Our enterprise solutions help clients collate information from different consumer touchpoints both offline and online, and integrate them into a single data management platform to drive sales and marketing decisions. Our enterprise solutions are currently primarily established on WeChat, a widely used social platform in China that is owned and operated by Tencent Holdings Limited. Our enterprise solutions include data enterprise solutions and intelligent enterprise solutions.</w:t>
      </w:r>
    </w:p>
    <w:p>
      <w:pPr>
        <w:spacing w:after="0" w:line="176" w:lineRule="exact"/>
        <w:rPr>
          <w:sz w:val="20"/>
          <w:szCs w:val="20"/>
          <w:color w:val="auto"/>
        </w:rPr>
      </w:pPr>
    </w:p>
    <w:p>
      <w:pPr>
        <w:jc w:val="both"/>
        <w:ind w:right="160" w:firstLine="495"/>
        <w:spacing w:after="0" w:line="311" w:lineRule="auto"/>
        <w:rPr>
          <w:sz w:val="20"/>
          <w:szCs w:val="20"/>
          <w:color w:val="auto"/>
        </w:rPr>
      </w:pPr>
      <w:r>
        <w:rPr>
          <w:rFonts w:ascii="Arial" w:cs="Arial" w:eastAsia="Arial" w:hAnsi="Arial"/>
          <w:sz w:val="16"/>
          <w:szCs w:val="16"/>
          <w:color w:val="auto"/>
        </w:rPr>
        <w:t>Our data enterprise solutions include iAudience and iNsight, which were previously under our marketing solutions. We have been broadening our data sources, upgrading analysis modules and enhancing the data functionality of these two products as to help clients better formulate business decisions and marketing campaign strategies. The reclassification also highlights the importance of our data products to enrich our enterprise solutions offerings.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iAudience</w:t>
      </w:r>
    </w:p>
    <w:p>
      <w:pPr>
        <w:spacing w:after="0" w:line="117" w:lineRule="exact"/>
        <w:rPr>
          <w:sz w:val="20"/>
          <w:szCs w:val="20"/>
          <w:color w:val="auto"/>
        </w:rPr>
      </w:pPr>
    </w:p>
    <w:p>
      <w:pPr>
        <w:ind w:right="120" w:firstLine="495"/>
        <w:spacing w:after="0" w:line="254" w:lineRule="auto"/>
        <w:rPr>
          <w:sz w:val="20"/>
          <w:szCs w:val="20"/>
          <w:color w:val="auto"/>
        </w:rPr>
      </w:pPr>
      <w:r>
        <w:rPr>
          <w:rFonts w:ascii="Arial" w:cs="Arial" w:eastAsia="Arial" w:hAnsi="Arial"/>
          <w:sz w:val="18"/>
          <w:szCs w:val="18"/>
          <w:color w:val="auto"/>
        </w:rPr>
        <w:t>iAudience is our market intelligence platform empowered by our proprietary data and cutting-edge marketing technology, to provide real-time insights of the target audiences and competitive landscapes in China, that allows enterprises to explore potential market opportunities and drive long-term business growth. Our clients can uncover target audiences by simply typing in a list of keywords, such as brand names, products of interest or competitors brand names and products, and iAudience will automatically suggest other keywords usually associated with, or used in, the relevant contexts, and then search our database of user profiles to identify the most relevant user profiles to target. In addition, iAudience’s market module provides 53 ready-made market segments’ audience plans including travel, education, finance, automobile, real estate and more, with key analysis metrics to streamline the audience identification process for marketers in these industries, who can identify their desired user profiles and compare two market segments in just one click.</w:t>
      </w:r>
    </w:p>
    <w:p>
      <w:pPr>
        <w:spacing w:after="0" w:line="192" w:lineRule="exact"/>
        <w:rPr>
          <w:sz w:val="20"/>
          <w:szCs w:val="20"/>
          <w:color w:val="auto"/>
        </w:rPr>
      </w:pPr>
    </w:p>
    <w:p>
      <w:pPr>
        <w:jc w:val="both"/>
        <w:ind w:right="140" w:firstLine="495"/>
        <w:spacing w:after="0" w:line="263" w:lineRule="auto"/>
        <w:rPr>
          <w:sz w:val="20"/>
          <w:szCs w:val="20"/>
          <w:color w:val="auto"/>
        </w:rPr>
      </w:pPr>
      <w:r>
        <w:rPr>
          <w:rFonts w:ascii="Arial" w:cs="Arial" w:eastAsia="Arial" w:hAnsi="Arial"/>
          <w:sz w:val="18"/>
          <w:szCs w:val="18"/>
          <w:color w:val="auto"/>
        </w:rPr>
        <w:t>iAudience’s brand module helps clients map out the brand positioning and competitive landscapes by showing the overlaps of their consumers and their competitors. This enables marketers to filter out brand loyalists from brand switchers for more effective, bespoke communication and implement the most appropriate content and marketing strategies to further grow their customer base.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50" w:name="page51"/>
    <w:bookmarkEnd w:id="50"/>
    <w:p>
      <w:pPr>
        <w:ind w:left="500"/>
        <w:spacing w:after="0"/>
        <w:rPr>
          <w:sz w:val="20"/>
          <w:szCs w:val="20"/>
          <w:color w:val="auto"/>
        </w:rPr>
      </w:pPr>
      <w:r>
        <w:rPr>
          <w:rFonts w:ascii="Arial" w:cs="Arial" w:eastAsia="Arial" w:hAnsi="Arial"/>
          <w:sz w:val="18"/>
          <w:szCs w:val="18"/>
          <w:color w:val="auto"/>
        </w:rPr>
        <w:t>Below is a sample interface for our iAudience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5366385" cy="16287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6638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iNsights</w:t>
      </w:r>
    </w:p>
    <w:p>
      <w:pPr>
        <w:spacing w:after="0" w:line="117" w:lineRule="exact"/>
        <w:rPr>
          <w:sz w:val="20"/>
          <w:szCs w:val="20"/>
          <w:color w:val="auto"/>
        </w:rPr>
      </w:pPr>
    </w:p>
    <w:p>
      <w:pPr>
        <w:ind w:right="80" w:firstLine="495"/>
        <w:spacing w:after="0" w:line="296" w:lineRule="auto"/>
        <w:rPr>
          <w:sz w:val="20"/>
          <w:szCs w:val="20"/>
          <w:color w:val="auto"/>
        </w:rPr>
      </w:pPr>
      <w:r>
        <w:rPr>
          <w:rFonts w:ascii="Arial" w:cs="Arial" w:eastAsia="Arial" w:hAnsi="Arial"/>
          <w:sz w:val="16"/>
          <w:szCs w:val="16"/>
          <w:color w:val="auto"/>
        </w:rPr>
        <w:t>iNsights is our all-in-one marketing analytics platform, that integrates and analyses cross-channel campaigns covering China and overseas markets. Utilizing full-data analytics to produce reliable and accurate insights, iNsights helps clients analyze their campaign performance to refine campaign strategies and guide future campaign planning. Through a user-friendly interface, marketers can view their campaign performance information, including number of visitors, number of conversions and other useful information for each online channel individually and for multiple online channels in the aggregate. In addition to basic campaign performance information, iNsights provides marketers with in-depth analyses, including:</w:t>
      </w:r>
    </w:p>
    <w:p>
      <w:pPr>
        <w:spacing w:after="0" w:line="53" w:lineRule="exact"/>
        <w:rPr>
          <w:sz w:val="20"/>
          <w:szCs w:val="20"/>
          <w:color w:val="auto"/>
        </w:rPr>
      </w:pPr>
    </w:p>
    <w:p>
      <w:pPr>
        <w:ind w:left="980" w:right="100" w:hanging="486"/>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Conversion path analysis—</w:t>
      </w:r>
      <w:r>
        <w:rPr>
          <w:rFonts w:ascii="Arial" w:cs="Arial" w:eastAsia="Arial" w:hAnsi="Arial"/>
          <w:sz w:val="18"/>
          <w:szCs w:val="18"/>
          <w:color w:val="auto"/>
        </w:rPr>
        <w:t>Holistic analysis of when, where and how a user interacts with various devices by the multiple touch points he or</w:t>
      </w:r>
      <w:r>
        <w:rPr>
          <w:rFonts w:ascii="Arial" w:cs="Arial" w:eastAsia="Arial" w:hAnsi="Arial"/>
          <w:sz w:val="18"/>
          <w:szCs w:val="18"/>
          <w:i w:val="1"/>
          <w:iCs w:val="1"/>
          <w:color w:val="auto"/>
        </w:rPr>
        <w:t xml:space="preserve"> </w:t>
      </w:r>
      <w:r>
        <w:rPr>
          <w:rFonts w:ascii="Arial" w:cs="Arial" w:eastAsia="Arial" w:hAnsi="Arial"/>
          <w:sz w:val="18"/>
          <w:szCs w:val="18"/>
          <w:color w:val="auto"/>
        </w:rPr>
        <w:t>she has come in contact with, including the “last mile” through which the user is converted, i.e., making a purchase or otherwise taking an action that the marketer desires; and</w:t>
      </w:r>
    </w:p>
    <w:p>
      <w:pPr>
        <w:spacing w:after="0" w:line="75" w:lineRule="exact"/>
        <w:rPr>
          <w:rFonts w:ascii="Arial" w:cs="Arial" w:eastAsia="Arial" w:hAnsi="Arial"/>
          <w:sz w:val="18"/>
          <w:szCs w:val="18"/>
          <w:color w:val="auto"/>
        </w:rPr>
      </w:pPr>
    </w:p>
    <w:p>
      <w:pPr>
        <w:ind w:left="980" w:right="360" w:hanging="486"/>
        <w:spacing w:after="0" w:line="286"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Cross-channel effectiveness analysis—</w:t>
      </w:r>
      <w:r>
        <w:rPr>
          <w:rFonts w:ascii="Arial" w:cs="Arial" w:eastAsia="Arial" w:hAnsi="Arial"/>
          <w:sz w:val="17"/>
          <w:szCs w:val="17"/>
          <w:color w:val="auto"/>
        </w:rPr>
        <w:t>Analysis of the effectiveness of the various marketing channels in achieving different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and their respective cost effectiveness. Combining these with conversion path analyses, marketers can identify the portfolio of channels that work in tandem with each other to generate the greatest marketing impact and effectiveness.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Below is a sample interface for our iNsights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160655</wp:posOffset>
            </wp:positionV>
            <wp:extent cx="5177790" cy="1405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7779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495"/>
        <w:spacing w:after="0" w:line="272" w:lineRule="auto"/>
        <w:rPr>
          <w:sz w:val="20"/>
          <w:szCs w:val="20"/>
          <w:color w:val="auto"/>
        </w:rPr>
      </w:pPr>
      <w:r>
        <w:rPr>
          <w:rFonts w:ascii="Arial" w:cs="Arial" w:eastAsia="Arial" w:hAnsi="Arial"/>
          <w:sz w:val="17"/>
          <w:szCs w:val="17"/>
          <w:color w:val="auto"/>
        </w:rPr>
        <w:t>In addition to data enterprise solutions, we also offer a suite of intelligent enterprise solutions. For example, we have built up tailored mini programs or mini program stores based on WeChat to fulfill specific requirements of our clients. The mini programs or mini program stores offer our clients not only a WeChat-based e-commerce marketplace but also an interface for them to directly engage with their consumers. We have also establishment a consumer data platform, or CDP, to address some legacy data silo issues our clients face in China. Our CDP facilitates AI-driven personalized marketing campaigns and drives precise and real-time retail and sales decisions such as store expansions, product selection and offerings to targeted customer segments, as well as personalized customer services. For example, it provides location-based services to target potential customers within 5km of a client’s physical store, attracting more traffic and enabling other marketing triggers.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Our Data and Data Analytics Capabilities and Technologies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Assets</w:t>
      </w:r>
    </w:p>
    <w:p>
      <w:pPr>
        <w:spacing w:after="0" w:line="117" w:lineRule="exact"/>
        <w:rPr>
          <w:sz w:val="20"/>
          <w:szCs w:val="20"/>
          <w:color w:val="auto"/>
        </w:rPr>
      </w:pPr>
    </w:p>
    <w:p>
      <w:pPr>
        <w:jc w:val="both"/>
        <w:ind w:right="340" w:firstLine="495"/>
        <w:spacing w:after="0" w:line="286" w:lineRule="auto"/>
        <w:rPr>
          <w:sz w:val="20"/>
          <w:szCs w:val="20"/>
          <w:color w:val="auto"/>
        </w:rPr>
      </w:pPr>
      <w:r>
        <w:rPr>
          <w:rFonts w:ascii="Arial" w:cs="Arial" w:eastAsia="Arial" w:hAnsi="Arial"/>
          <w:sz w:val="17"/>
          <w:szCs w:val="17"/>
          <w:color w:val="auto"/>
        </w:rPr>
        <w:t>Our data assets are the backbone of our solutions and data analytics capabilities. We had analyzed approximately 1,198.7 million active profiled users in China as of March 31, 2021. According to the China Internet Network Information Center, there were 989 million internet users in China as of December 31, 2020 and the number of mobile internet users in China had reached 986 million up to December 2020.</w:t>
      </w:r>
    </w:p>
    <w:p>
      <w:pPr>
        <w:spacing w:after="0" w:line="165" w:lineRule="exact"/>
        <w:rPr>
          <w:sz w:val="20"/>
          <w:szCs w:val="20"/>
          <w:color w:val="auto"/>
        </w:rPr>
      </w:pPr>
    </w:p>
    <w:p>
      <w:pPr>
        <w:ind w:right="80" w:firstLine="495"/>
        <w:spacing w:after="0" w:line="293" w:lineRule="auto"/>
        <w:rPr>
          <w:sz w:val="20"/>
          <w:szCs w:val="20"/>
          <w:color w:val="auto"/>
        </w:rPr>
      </w:pPr>
      <w:r>
        <w:rPr>
          <w:rFonts w:ascii="Arial" w:cs="Arial" w:eastAsia="Arial" w:hAnsi="Arial"/>
          <w:sz w:val="16"/>
          <w:szCs w:val="16"/>
          <w:color w:val="auto"/>
        </w:rPr>
        <w:t>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in China and financial institutions, through our data collaboration arrangement with them. Our data assets primarily include users’ intent, interest, online transactional, offline purchase behavioral data, social data and demographic data, as well as campaign performance data.</w:t>
      </w:r>
    </w:p>
    <w:p>
      <w:pPr>
        <w:spacing w:after="0" w:line="56" w:lineRule="exact"/>
        <w:rPr>
          <w:sz w:val="20"/>
          <w:szCs w:val="20"/>
          <w:color w:val="auto"/>
        </w:rPr>
      </w:pPr>
    </w:p>
    <w:p>
      <w:pPr>
        <w:ind w:left="980" w:right="20" w:hanging="486"/>
        <w:spacing w:after="0" w:line="25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Intent data — </w:t>
      </w:r>
      <w:r>
        <w:rPr>
          <w:rFonts w:ascii="Arial" w:cs="Arial" w:eastAsia="Arial" w:hAnsi="Arial"/>
          <w:sz w:val="18"/>
          <w:szCs w:val="18"/>
          <w:color w:val="auto"/>
        </w:rPr>
        <w:t>Intent data refers to data that indicates the various intent of a user. Intent data directly identifies the interests and immediate</w:t>
      </w:r>
      <w:r>
        <w:rPr>
          <w:rFonts w:ascii="Arial" w:cs="Arial" w:eastAsia="Arial" w:hAnsi="Arial"/>
          <w:sz w:val="18"/>
          <w:szCs w:val="18"/>
          <w:i w:val="1"/>
          <w:iCs w:val="1"/>
          <w:color w:val="auto"/>
        </w:rPr>
        <w:t xml:space="preserve"> </w:t>
      </w:r>
      <w:r>
        <w:rPr>
          <w:rFonts w:ascii="Arial" w:cs="Arial" w:eastAsia="Arial" w:hAnsi="Arial"/>
          <w:sz w:val="18"/>
          <w:szCs w:val="18"/>
          <w:color w:val="auto"/>
        </w:rPr>
        <w:t>needs of a specific user. An example of intent data would be search terms entered into search engines by a particular user looking for business class air tickets from Hong Kong to Shanghai. We obtain intent data primarily from the websites and apps on which we have installed our proprietary sharing toolbars and software development kits as well as through API connection with major search engines where marketers’ search marketing is executed.</w:t>
      </w:r>
    </w:p>
    <w:p>
      <w:pPr>
        <w:spacing w:after="0" w:line="79" w:lineRule="exact"/>
        <w:rPr>
          <w:rFonts w:ascii="Arial" w:cs="Arial" w:eastAsia="Arial" w:hAnsi="Arial"/>
          <w:sz w:val="18"/>
          <w:szCs w:val="18"/>
          <w:color w:val="auto"/>
        </w:rPr>
      </w:pPr>
    </w:p>
    <w:p>
      <w:pPr>
        <w:ind w:left="980" w:right="20" w:hanging="486"/>
        <w:spacing w:after="0" w:line="296"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Interest data — </w:t>
      </w:r>
      <w:r>
        <w:rPr>
          <w:rFonts w:ascii="Arial" w:cs="Arial" w:eastAsia="Arial" w:hAnsi="Arial"/>
          <w:sz w:val="16"/>
          <w:szCs w:val="16"/>
          <w:color w:val="auto"/>
        </w:rPr>
        <w:t>Interest data refers to the category and semantic meaning of the content of websites and apps that a user visits, including visit</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sequence, from which we are able to infer the various interests of a user. Interest data shows the awareness of the relevant information by a specific user. An example of interest data would be data concerning how frequently a particular user interested in fine dining browses webpages of luxury Japanese cuisine restaurants. We collect interest data from websites and apps on which we have installed our proprietary sharing toolbars and software development kits as well as through API connection with certain ad exchanges.</w:t>
      </w:r>
    </w:p>
    <w:p>
      <w:pPr>
        <w:spacing w:after="0" w:line="53"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Online transactional data — </w:t>
      </w:r>
      <w:r>
        <w:rPr>
          <w:rFonts w:ascii="Arial" w:cs="Arial" w:eastAsia="Arial" w:hAnsi="Arial"/>
          <w:sz w:val="17"/>
          <w:szCs w:val="17"/>
          <w:color w:val="auto"/>
        </w:rPr>
        <w:t>Online transactional data refers to a user’s behavior on online commerce platforms, including the items he or she</w:t>
      </w:r>
      <w:r>
        <w:rPr>
          <w:rFonts w:ascii="Arial" w:cs="Arial" w:eastAsia="Arial" w:hAnsi="Arial"/>
          <w:sz w:val="17"/>
          <w:szCs w:val="17"/>
          <w:i w:val="1"/>
          <w:iCs w:val="1"/>
          <w:color w:val="auto"/>
        </w:rPr>
        <w:t xml:space="preserve"> </w:t>
      </w:r>
      <w:r>
        <w:rPr>
          <w:rFonts w:ascii="Arial" w:cs="Arial" w:eastAsia="Arial" w:hAnsi="Arial"/>
          <w:sz w:val="17"/>
          <w:szCs w:val="17"/>
          <w:color w:val="auto"/>
        </w:rPr>
        <w:t>is browsing or has added to his or her shopping cart. Online transactional data directly identifies the purchasing intent and immediate needs of a specific user. An example of online transactional data would be a particular user browsing for high-end skin care products and adding a specific brand of eye serum into the shopping cart in preparation of a purchase. We obtain online transactional data from partnerships with branded E-commerce platforms and the re-marketing campaigns for our E-commerce clients.</w:t>
      </w:r>
    </w:p>
    <w:p>
      <w:pPr>
        <w:spacing w:after="0" w:line="68" w:lineRule="exact"/>
        <w:rPr>
          <w:rFonts w:ascii="Arial" w:cs="Arial" w:eastAsia="Arial" w:hAnsi="Arial"/>
          <w:sz w:val="17"/>
          <w:szCs w:val="17"/>
          <w:color w:val="auto"/>
        </w:rPr>
      </w:pPr>
    </w:p>
    <w:p>
      <w:pPr>
        <w:ind w:left="980" w:hanging="486"/>
        <w:spacing w:after="0" w:line="293"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Offline purchase behavioral data — </w:t>
      </w:r>
      <w:r>
        <w:rPr>
          <w:rFonts w:ascii="Arial" w:cs="Arial" w:eastAsia="Arial" w:hAnsi="Arial"/>
          <w:sz w:val="16"/>
          <w:szCs w:val="16"/>
          <w:color w:val="auto"/>
        </w:rPr>
        <w:t>Offline purchase behavioral data refers to a user’s behavior in non-digitally connected environments,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offline purchase behavior when the user buys an item physically from an offline retailer by swiping his or her credit card. Offline purchase behavioral data directly identifies the purchasing behavior and immediate needs of a specific user outside of the realms of traditional digital user tracking. An example of offline purchase behavioral data would be a particular user buying a luxury handbag in a specific luxury retailer with his or her credit card. We obtain offline purchase behavioral data from partnerships with financial institutions and credit card issuers. Our offline purchase behavioral data is pseudonymized and does not include users’ personal details.</w:t>
      </w:r>
    </w:p>
    <w:p>
      <w:pPr>
        <w:spacing w:after="0" w:line="56" w:lineRule="exact"/>
        <w:rPr>
          <w:rFonts w:ascii="Arial" w:cs="Arial" w:eastAsia="Arial" w:hAnsi="Arial"/>
          <w:sz w:val="16"/>
          <w:szCs w:val="16"/>
          <w:color w:val="auto"/>
        </w:rPr>
      </w:pPr>
    </w:p>
    <w:p>
      <w:pPr>
        <w:ind w:left="980" w:right="20" w:hanging="486"/>
        <w:spacing w:after="0" w:line="25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Social data — </w:t>
      </w:r>
      <w:r>
        <w:rPr>
          <w:rFonts w:ascii="Arial" w:cs="Arial" w:eastAsia="Arial" w:hAnsi="Arial"/>
          <w:sz w:val="18"/>
          <w:szCs w:val="18"/>
          <w:color w:val="auto"/>
        </w:rPr>
        <w:t>Social data refers a user’s behavior on social networks, such as Sina Weibo and Tencent QZone, including the content the user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from websites or apps via social sharing toolbars, and the content the user posts, shares on the social networks, his or her “social graph,” such as his or her “friends” and “followers” and other behavior data the user publicly shares on social networks. Social data demonstrates that a specific user is engaged in certain particular topics or content online on social media. An example of social data would be the name of a restaurant being recommended by a particular user via his or her social network account. We obtain social data by installing our proprietary sharing toolbars and software development kits on websites and apps, as well as through API connections with major social networks.</w:t>
      </w:r>
    </w:p>
    <w:p>
      <w:pPr>
        <w:spacing w:after="0" w:line="86" w:lineRule="exact"/>
        <w:rPr>
          <w:rFonts w:ascii="Arial" w:cs="Arial" w:eastAsia="Arial" w:hAnsi="Arial"/>
          <w:sz w:val="18"/>
          <w:szCs w:val="18"/>
          <w:color w:val="auto"/>
        </w:rPr>
      </w:pPr>
    </w:p>
    <w:p>
      <w:pPr>
        <w:ind w:left="980" w:right="220" w:hanging="486"/>
        <w:spacing w:after="0" w:line="259"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Demographic data — </w:t>
      </w:r>
      <w:r>
        <w:rPr>
          <w:rFonts w:ascii="Arial" w:cs="Arial" w:eastAsia="Arial" w:hAnsi="Arial"/>
          <w:sz w:val="18"/>
          <w:szCs w:val="18"/>
          <w:color w:val="auto"/>
        </w:rPr>
        <w:t>Demographic data refers to a user’s age, gender, income level and geographic location. In addition to inferred</w:t>
      </w:r>
      <w:r>
        <w:rPr>
          <w:rFonts w:ascii="Arial" w:cs="Arial" w:eastAsia="Arial" w:hAnsi="Arial"/>
          <w:sz w:val="18"/>
          <w:szCs w:val="18"/>
          <w:i w:val="1"/>
          <w:iCs w:val="1"/>
          <w:color w:val="auto"/>
        </w:rPr>
        <w:t xml:space="preserve"> </w:t>
      </w:r>
      <w:r>
        <w:rPr>
          <w:rFonts w:ascii="Arial" w:cs="Arial" w:eastAsia="Arial" w:hAnsi="Arial"/>
          <w:sz w:val="18"/>
          <w:szCs w:val="18"/>
          <w:color w:val="auto"/>
        </w:rPr>
        <w:t>demographic information through our data tracking and profiling analytic capabilities and technologies, we obtain actual demographic data from social media accounts through our strategic relationship with selected third-party data partners, including major internet companies in China.</w:t>
      </w:r>
    </w:p>
    <w:p>
      <w:pPr>
        <w:spacing w:after="0" w:line="78" w:lineRule="exact"/>
        <w:rPr>
          <w:rFonts w:ascii="Arial" w:cs="Arial" w:eastAsia="Arial" w:hAnsi="Arial"/>
          <w:sz w:val="18"/>
          <w:szCs w:val="18"/>
          <w:color w:val="auto"/>
        </w:rPr>
      </w:pPr>
    </w:p>
    <w:p>
      <w:pPr>
        <w:ind w:left="980" w:right="20" w:hanging="486"/>
        <w:spacing w:after="0" w:line="255"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Campaign performance data — </w:t>
      </w:r>
      <w:r>
        <w:rPr>
          <w:rFonts w:ascii="Arial" w:cs="Arial" w:eastAsia="Arial" w:hAnsi="Arial"/>
          <w:sz w:val="18"/>
          <w:szCs w:val="18"/>
          <w:color w:val="auto"/>
        </w:rPr>
        <w:t>Campaign performance data refers to a user’s interaction with, and response to, a given marketing message,</w:t>
      </w:r>
      <w:r>
        <w:rPr>
          <w:rFonts w:ascii="Arial" w:cs="Arial" w:eastAsia="Arial" w:hAnsi="Arial"/>
          <w:sz w:val="18"/>
          <w:szCs w:val="18"/>
          <w:i w:val="1"/>
          <w:iCs w:val="1"/>
          <w:color w:val="auto"/>
        </w:rPr>
        <w:t xml:space="preserve"> </w:t>
      </w:r>
      <w:r>
        <w:rPr>
          <w:rFonts w:ascii="Arial" w:cs="Arial" w:eastAsia="Arial" w:hAnsi="Arial"/>
          <w:sz w:val="18"/>
          <w:szCs w:val="18"/>
          <w:color w:val="auto"/>
        </w:rPr>
        <w:t>starting with such user’s click on the content and including the user’s interaction with the destination site to which the link leads, and all other actions taken by the user, including E-commerce transaction, clicks, registration or sign-ups, video viewing, and “follow” or “likes” on social media platforms. We obtain campaign performance data from websites and apps on which we have installed our proprietary sharing toolbars and software development kits, in managing client campaigns, and through our data collaboration arrangements with selected third-party data partners.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sectPr>
      </w:pPr>
    </w:p>
    <w:bookmarkStart w:id="52" w:name="page53"/>
    <w:bookmarkEnd w:id="52"/>
    <w:p>
      <w:pPr>
        <w:ind w:right="40" w:firstLine="495"/>
        <w:spacing w:after="0" w:line="257" w:lineRule="auto"/>
        <w:rPr>
          <w:sz w:val="20"/>
          <w:szCs w:val="20"/>
          <w:color w:val="auto"/>
        </w:rPr>
      </w:pPr>
      <w:r>
        <w:rPr>
          <w:rFonts w:ascii="Arial" w:cs="Arial" w:eastAsia="Arial" w:hAnsi="Arial"/>
          <w:sz w:val="18"/>
          <w:szCs w:val="18"/>
          <w:color w:val="auto"/>
        </w:rPr>
        <w:t>We distill structured variables from large volume of unstructured data to construct context-rich user profiles. As of March 31, 2021, we analyzed approximately 1,198.7 million active profiled users. 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Analytics Capabilities and Technologies</w:t>
      </w:r>
    </w:p>
    <w:p>
      <w:pPr>
        <w:spacing w:after="0" w:line="117" w:lineRule="exact"/>
        <w:rPr>
          <w:sz w:val="20"/>
          <w:szCs w:val="20"/>
          <w:color w:val="auto"/>
        </w:rPr>
      </w:pPr>
    </w:p>
    <w:p>
      <w:pPr>
        <w:jc w:val="both"/>
        <w:ind w:right="100" w:firstLine="495"/>
        <w:spacing w:after="0" w:line="311" w:lineRule="auto"/>
        <w:rPr>
          <w:sz w:val="20"/>
          <w:szCs w:val="20"/>
          <w:color w:val="auto"/>
        </w:rPr>
      </w:pPr>
      <w:r>
        <w:rPr>
          <w:rFonts w:ascii="Arial" w:cs="Arial" w:eastAsia="Arial" w:hAnsi="Arial"/>
          <w:sz w:val="16"/>
          <w:szCs w:val="16"/>
          <w:color w:val="auto"/>
        </w:rPr>
        <w:t>We apply data science technologies extensively throughout the online marketing cycle to support audience tracking, profiling and segmentation and to execute cost-efficient decisions on real-time audience engagement. We also launched a strategic growth initiative on enterprise solutions, leveraging our data analytics expertise and experience in online marketing. Our proprietary data analytics capabilities and technologies include: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 Learning and Artificial Intelligence</w:t>
      </w:r>
    </w:p>
    <w:p>
      <w:pPr>
        <w:spacing w:after="0" w:line="117" w:lineRule="exact"/>
        <w:rPr>
          <w:sz w:val="20"/>
          <w:szCs w:val="20"/>
          <w:color w:val="auto"/>
        </w:rPr>
      </w:pPr>
    </w:p>
    <w:p>
      <w:pPr>
        <w:ind w:left="980" w:right="140" w:hanging="486"/>
        <w:spacing w:after="0" w:line="25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Audience tracking engine — </w:t>
      </w:r>
      <w:r>
        <w:rPr>
          <w:rFonts w:ascii="Arial" w:cs="Arial" w:eastAsia="Arial" w:hAnsi="Arial"/>
          <w:sz w:val="18"/>
          <w:szCs w:val="18"/>
          <w:color w:val="auto"/>
        </w:rPr>
        <w:t>Our audience tracking engine monitors our audience across various devices and channels to identify which user</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interacting with what content, through which devices and the environment the user is in. It also uses cookies and other digital fingerprinting technologies, which take into account social network IDs, browsing behavior, network usage, IP addresses, surfing patterns, and device features, to recognize, identify, and re- identify a user across multiple channels, devices, and geographic locations, including de-duplication of multiple devices to a user.</w:t>
      </w:r>
    </w:p>
    <w:p>
      <w:pPr>
        <w:spacing w:after="0" w:line="79" w:lineRule="exact"/>
        <w:rPr>
          <w:rFonts w:ascii="Arial" w:cs="Arial" w:eastAsia="Arial" w:hAnsi="Arial"/>
          <w:sz w:val="18"/>
          <w:szCs w:val="18"/>
          <w:color w:val="auto"/>
        </w:rPr>
      </w:pPr>
    </w:p>
    <w:p>
      <w:pPr>
        <w:ind w:left="980" w:right="40" w:hanging="486"/>
        <w:spacing w:after="0" w:line="311"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Contextual analysis engine — </w:t>
      </w:r>
      <w:r>
        <w:rPr>
          <w:rFonts w:ascii="Arial" w:cs="Arial" w:eastAsia="Arial" w:hAnsi="Arial"/>
          <w:sz w:val="16"/>
          <w:szCs w:val="16"/>
          <w:color w:val="auto"/>
        </w:rPr>
        <w:t>Our contextual analysis engine parses all data properties to understand the context and content which audiences</w:t>
      </w:r>
      <w:r>
        <w:rPr>
          <w:rFonts w:ascii="Arial" w:cs="Arial" w:eastAsia="Arial" w:hAnsi="Arial"/>
          <w:sz w:val="16"/>
          <w:szCs w:val="16"/>
          <w:i w:val="1"/>
          <w:iCs w:val="1"/>
          <w:color w:val="auto"/>
        </w:rPr>
        <w:t xml:space="preserve"> </w:t>
      </w:r>
      <w:r>
        <w:rPr>
          <w:rFonts w:ascii="Arial" w:cs="Arial" w:eastAsia="Arial" w:hAnsi="Arial"/>
          <w:sz w:val="16"/>
          <w:szCs w:val="16"/>
          <w:color w:val="auto"/>
        </w:rPr>
        <w:t>are interacting in and with, including news articles, social networks, search engines, mobile apps, etc. These help understand what a user is interested in, including product categories, brand names, product names, keywords, and the depth of their interest.</w:t>
      </w:r>
    </w:p>
    <w:p>
      <w:pPr>
        <w:spacing w:after="0" w:line="40" w:lineRule="exact"/>
        <w:rPr>
          <w:rFonts w:ascii="Arial" w:cs="Arial" w:eastAsia="Arial" w:hAnsi="Arial"/>
          <w:sz w:val="16"/>
          <w:szCs w:val="16"/>
          <w:color w:val="auto"/>
        </w:rPr>
      </w:pPr>
    </w:p>
    <w:p>
      <w:pPr>
        <w:ind w:left="980" w:right="40" w:hanging="486"/>
        <w:spacing w:after="0" w:line="255"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Natural language processing (NLP) algorithms — </w:t>
      </w:r>
      <w:r>
        <w:rPr>
          <w:rFonts w:ascii="Arial" w:cs="Arial" w:eastAsia="Arial" w:hAnsi="Arial"/>
          <w:sz w:val="18"/>
          <w:szCs w:val="18"/>
          <w:color w:val="auto"/>
        </w:rPr>
        <w:t>Our NLP algorithms are important elements of our contextual analysis engine. We use</w:t>
      </w:r>
      <w:r>
        <w:rPr>
          <w:rFonts w:ascii="Arial" w:cs="Arial" w:eastAsia="Arial" w:hAnsi="Arial"/>
          <w:sz w:val="18"/>
          <w:szCs w:val="18"/>
          <w:i w:val="1"/>
          <w:iCs w:val="1"/>
          <w:color w:val="auto"/>
        </w:rPr>
        <w:t xml:space="preserve"> </w:t>
      </w:r>
      <w:r>
        <w:rPr>
          <w:rFonts w:ascii="Arial" w:cs="Arial" w:eastAsia="Arial" w:hAnsi="Arial"/>
          <w:sz w:val="18"/>
          <w:szCs w:val="18"/>
          <w:color w:val="auto"/>
        </w:rPr>
        <w:t>these algorithms to extract structure from unstructured data, so that it can be processed and analyzed effectively. Our NLP algorithms are designed to understand and analyze Chinese and English languages and their usage in various contexts. They enable the extraction of information about entities, correlations, sentiments and emotions from vast amounts of text converted from audio and video streams and other digital content. In addition, we combine deep learning techniques with our natural language processing capabilities to further enhance the accuracy of attributes of our user profiles.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Predictive Analytics</w:t>
      </w:r>
    </w:p>
    <w:p>
      <w:pPr>
        <w:spacing w:after="0" w:line="117" w:lineRule="exact"/>
        <w:rPr>
          <w:sz w:val="20"/>
          <w:szCs w:val="20"/>
          <w:color w:val="auto"/>
        </w:rPr>
      </w:pPr>
    </w:p>
    <w:p>
      <w:pPr>
        <w:ind w:left="980" w:right="60" w:hanging="486"/>
        <w:spacing w:after="0" w:line="259"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User profiling engine — </w:t>
      </w:r>
      <w:r>
        <w:rPr>
          <w:rFonts w:ascii="Arial" w:cs="Arial" w:eastAsia="Arial" w:hAnsi="Arial"/>
          <w:sz w:val="18"/>
          <w:szCs w:val="18"/>
          <w:color w:val="auto"/>
        </w:rPr>
        <w:t>Combining the data collected through, and processed by, our contextual analysis engine and audience tracking</w:t>
      </w:r>
      <w:r>
        <w:rPr>
          <w:rFonts w:ascii="Arial" w:cs="Arial" w:eastAsia="Arial" w:hAnsi="Arial"/>
          <w:sz w:val="18"/>
          <w:szCs w:val="18"/>
          <w:i w:val="1"/>
          <w:iCs w:val="1"/>
          <w:color w:val="auto"/>
        </w:rPr>
        <w:t xml:space="preserve"> </w:t>
      </w:r>
      <w:r>
        <w:rPr>
          <w:rFonts w:ascii="Arial" w:cs="Arial" w:eastAsia="Arial" w:hAnsi="Arial"/>
          <w:sz w:val="18"/>
          <w:szCs w:val="18"/>
          <w:color w:val="auto"/>
        </w:rPr>
        <w:t>engine, our user profiling engine infers the user’s interest, demographic, intent and other features through multi-dimensional data drill down and dynamic correlation analysis. In addition, we employ various models and algorithms on user profiles to expand and provide more breadth and depth on each user profile.</w:t>
      </w:r>
    </w:p>
    <w:p>
      <w:pPr>
        <w:spacing w:after="0" w:line="78" w:lineRule="exact"/>
        <w:rPr>
          <w:rFonts w:ascii="Arial" w:cs="Arial" w:eastAsia="Arial" w:hAnsi="Arial"/>
          <w:sz w:val="18"/>
          <w:szCs w:val="18"/>
          <w:color w:val="auto"/>
        </w:rPr>
      </w:pPr>
    </w:p>
    <w:p>
      <w:pPr>
        <w:jc w:val="both"/>
        <w:ind w:left="980" w:right="60" w:hanging="486"/>
        <w:spacing w:after="0" w:line="263"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Profile Segmentation Algorithms — </w:t>
      </w:r>
      <w:r>
        <w:rPr>
          <w:rFonts w:ascii="Arial" w:cs="Arial" w:eastAsia="Arial" w:hAnsi="Arial"/>
          <w:sz w:val="18"/>
          <w:szCs w:val="18"/>
          <w:color w:val="auto"/>
        </w:rPr>
        <w:t>We use various algorithms to organize user profiles, which are generated and updated dynamically in real</w:t>
      </w:r>
      <w:r>
        <w:rPr>
          <w:rFonts w:ascii="Arial" w:cs="Arial" w:eastAsia="Arial" w:hAnsi="Arial"/>
          <w:sz w:val="18"/>
          <w:szCs w:val="18"/>
          <w:i w:val="1"/>
          <w:iCs w:val="1"/>
          <w:color w:val="auto"/>
        </w:rPr>
        <w:t xml:space="preserve"> </w:t>
      </w:r>
      <w:r>
        <w:rPr>
          <w:rFonts w:ascii="Arial" w:cs="Arial" w:eastAsia="Arial" w:hAnsi="Arial"/>
          <w:sz w:val="18"/>
          <w:szCs w:val="18"/>
          <w:color w:val="auto"/>
        </w:rPr>
        <w:t>time, responding to real time changes in user interests and needs. This allows for accurate and detailed segmentation of user interests through multiple dimensions, e.g. by user interest keywords and user interest categories.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Real-Time Matching Technologies</w:t>
      </w:r>
    </w:p>
    <w:p>
      <w:pPr>
        <w:spacing w:after="0" w:line="117" w:lineRule="exact"/>
        <w:rPr>
          <w:sz w:val="20"/>
          <w:szCs w:val="20"/>
          <w:color w:val="auto"/>
        </w:rPr>
      </w:pPr>
    </w:p>
    <w:p>
      <w:pPr>
        <w:ind w:left="980" w:hanging="486"/>
        <w:spacing w:after="0" w:line="259"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Real-time user engagement algorithms — </w:t>
      </w:r>
      <w:r>
        <w:rPr>
          <w:rFonts w:ascii="Arial" w:cs="Arial" w:eastAsia="Arial" w:hAnsi="Arial"/>
          <w:sz w:val="18"/>
          <w:szCs w:val="18"/>
          <w:color w:val="auto"/>
        </w:rPr>
        <w:t>Our real time user engagement algorithms execute marketing decisions based on a wide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parameters, including 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p>
      <w:pPr>
        <w:spacing w:after="0" w:line="78" w:lineRule="exact"/>
        <w:rPr>
          <w:rFonts w:ascii="Arial" w:cs="Arial" w:eastAsia="Arial" w:hAnsi="Arial"/>
          <w:sz w:val="18"/>
          <w:szCs w:val="18"/>
          <w:color w:val="auto"/>
        </w:rPr>
      </w:pPr>
    </w:p>
    <w:p>
      <w:pPr>
        <w:ind w:left="980" w:right="40" w:hanging="486"/>
        <w:spacing w:after="0" w:line="25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Online continuous real-time bid optimization algorithms — </w:t>
      </w:r>
      <w:r>
        <w:rPr>
          <w:rFonts w:ascii="Arial" w:cs="Arial" w:eastAsia="Arial" w:hAnsi="Arial"/>
          <w:sz w:val="18"/>
          <w:szCs w:val="18"/>
          <w:color w:val="auto"/>
        </w:rPr>
        <w:t>Our online continuous real-time bid optimization algorithms consider a wide</w:t>
      </w:r>
      <w:r>
        <w:rPr>
          <w:rFonts w:ascii="Arial" w:cs="Arial" w:eastAsia="Arial" w:hAnsi="Arial"/>
          <w:sz w:val="18"/>
          <w:szCs w:val="18"/>
          <w:i w:val="1"/>
          <w:iCs w:val="1"/>
          <w:color w:val="auto"/>
        </w:rPr>
        <w:t xml:space="preserve"> </w:t>
      </w:r>
      <w:r>
        <w:rPr>
          <w:rFonts w:ascii="Arial" w:cs="Arial" w:eastAsia="Arial" w:hAnsi="Arial"/>
          <w:sz w:val="18"/>
          <w:szCs w:val="18"/>
          <w:color w:val="auto"/>
        </w:rPr>
        <w:t>range of parameters, including purchasing efficiency, predicted conversion rate, return on media value, budget allocation efficiency, inventory safety, and what marketers are willing to pay to dynamically optimize our bidding and pricing strategies. Our real-time bid optimization algorithms continuously sieve through a large volume of user engagement opportunities per day to decide which are the best possible opportunities to engage with.</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Data Privacy and Security</w:t>
      </w:r>
    </w:p>
    <w:p>
      <w:pPr>
        <w:spacing w:after="0" w:line="121" w:lineRule="exact"/>
        <w:rPr>
          <w:sz w:val="20"/>
          <w:szCs w:val="20"/>
          <w:color w:val="auto"/>
        </w:rPr>
      </w:pPr>
    </w:p>
    <w:p>
      <w:pPr>
        <w:jc w:val="both"/>
        <w:ind w:right="120" w:firstLine="495"/>
        <w:spacing w:after="0" w:line="279" w:lineRule="auto"/>
        <w:rPr>
          <w:sz w:val="20"/>
          <w:szCs w:val="20"/>
          <w:color w:val="auto"/>
        </w:rPr>
      </w:pPr>
      <w:r>
        <w:rPr>
          <w:rFonts w:ascii="Arial" w:cs="Arial" w:eastAsia="Arial" w:hAnsi="Arial"/>
          <w:sz w:val="17"/>
          <w:szCs w:val="17"/>
          <w:color w:val="auto"/>
        </w:rPr>
        <w:t>We collect data solely to analyze audience and campaign performance. In order to identify each user profile and to protect data privacy, we develop an approach to assign each profile to a corresponding unique profile number based on our proprietary indexing methodology. We then use that number as the anonymous identification for the profile and associate it with all related data. In general, we do not collect personally identifiable information. If such information is inadvertently obtained by us, our policy is to immediately delete such information.</w:t>
      </w:r>
    </w:p>
    <w:p>
      <w:pPr>
        <w:spacing w:after="0" w:line="171" w:lineRule="exact"/>
        <w:rPr>
          <w:sz w:val="20"/>
          <w:szCs w:val="20"/>
          <w:color w:val="auto"/>
        </w:rPr>
      </w:pPr>
    </w:p>
    <w:p>
      <w:pPr>
        <w:ind w:right="140" w:firstLine="495"/>
        <w:spacing w:after="0" w:line="263" w:lineRule="auto"/>
        <w:rPr>
          <w:sz w:val="20"/>
          <w:szCs w:val="20"/>
          <w:color w:val="auto"/>
        </w:rPr>
      </w:pPr>
      <w:r>
        <w:rPr>
          <w:rFonts w:ascii="Arial" w:cs="Arial" w:eastAsia="Arial" w:hAnsi="Arial"/>
          <w:sz w:val="18"/>
          <w:szCs w:val="18"/>
          <w:color w:val="auto"/>
        </w:rPr>
        <w:t>We treat all information we collect as confidential. We have set up proper control such as encryption and access right on these information. We do not disclose any information we gather from a marketer or any third party data partner unless such disclosure is approved by it, which in turn has obtained end user consent.</w:t>
      </w:r>
    </w:p>
    <w:p>
      <w:pPr>
        <w:spacing w:after="0" w:line="184" w:lineRule="exact"/>
        <w:rPr>
          <w:sz w:val="20"/>
          <w:szCs w:val="20"/>
          <w:color w:val="auto"/>
        </w:rPr>
      </w:pPr>
    </w:p>
    <w:p>
      <w:pPr>
        <w:ind w:right="260" w:firstLine="495"/>
        <w:spacing w:after="0" w:line="277" w:lineRule="auto"/>
        <w:rPr>
          <w:sz w:val="20"/>
          <w:szCs w:val="20"/>
          <w:color w:val="auto"/>
        </w:rPr>
      </w:pPr>
      <w:r>
        <w:rPr>
          <w:rFonts w:ascii="Arial" w:cs="Arial" w:eastAsia="Arial" w:hAnsi="Arial"/>
          <w:sz w:val="18"/>
          <w:szCs w:val="18"/>
          <w:color w:val="auto"/>
        </w:rPr>
        <w:t>We have put in place appropriate physical, electronic and managerial procedures to safeguard and secure our data assets, including to prevent and detect any unauthorized access and data breach, to preserve their integrity and to ensure their appropriate use.</w:t>
      </w:r>
    </w:p>
    <w:p>
      <w:pPr>
        <w:spacing w:after="0" w:line="62" w:lineRule="exact"/>
        <w:rPr>
          <w:sz w:val="20"/>
          <w:szCs w:val="20"/>
          <w:color w:val="auto"/>
        </w:rPr>
      </w:pPr>
    </w:p>
    <w:p>
      <w:pPr>
        <w:ind w:left="980" w:right="40" w:hanging="486"/>
        <w:spacing w:after="0" w:line="279"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the software level, we maintain login information across all our computer systems to control access, and individuals with different levels or job duties are assigned different levels of access permissions. For example, only high-level technology personnel, including head of system operations and certain other technical developments leaders have root access to our operation system; and only database managers have access to the relevant database. We have central controls to govern user roles and permissions.</w:t>
      </w:r>
    </w:p>
    <w:p>
      <w:pPr>
        <w:spacing w:after="0" w:line="63" w:lineRule="exact"/>
        <w:rPr>
          <w:rFonts w:ascii="Arial" w:cs="Arial" w:eastAsia="Arial" w:hAnsi="Arial"/>
          <w:sz w:val="17"/>
          <w:szCs w:val="17"/>
          <w:color w:val="auto"/>
        </w:rPr>
      </w:pPr>
    </w:p>
    <w:p>
      <w:pPr>
        <w:ind w:left="980" w:right="200" w:hanging="486"/>
        <w:spacing w:after="0" w:line="259"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the hardware levels, our servers are located at our offices and IDCs, and only system operation personnel have access to our servers. In addition, we have established hardware firewall where all traffic is inspected and filtered according to a comprehensive set of rules. We conduct comprehensive security reviews of our data assets on a regular basis and ad hoc security reviews from time to time as special needs arise.</w:t>
      </w:r>
    </w:p>
    <w:p>
      <w:pPr>
        <w:spacing w:after="0" w:line="78" w:lineRule="exact"/>
        <w:rPr>
          <w:rFonts w:ascii="Arial" w:cs="Arial" w:eastAsia="Arial" w:hAnsi="Arial"/>
          <w:sz w:val="18"/>
          <w:szCs w:val="18"/>
          <w:color w:val="auto"/>
        </w:rPr>
      </w:pPr>
    </w:p>
    <w:p>
      <w:pPr>
        <w:ind w:left="980" w:hanging="486"/>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also perform the monitoring and maintenance of our data privacy and security mechanism on a regular basis.</w:t>
      </w:r>
    </w:p>
    <w:p>
      <w:pPr>
        <w:spacing w:after="0" w:line="117" w:lineRule="exact"/>
        <w:rPr>
          <w:rFonts w:ascii="Arial" w:cs="Arial" w:eastAsia="Arial" w:hAnsi="Arial"/>
          <w:sz w:val="18"/>
          <w:szCs w:val="18"/>
          <w:color w:val="auto"/>
        </w:rPr>
      </w:pPr>
    </w:p>
    <w:p>
      <w:pPr>
        <w:ind w:left="980" w:right="420" w:hanging="486"/>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perform regular vulnerability scanning on website or web application to identify any weak configuration or vulnerabilities. We apply patch regularly and fix any configuration issues.</w:t>
      </w:r>
    </w:p>
    <w:p>
      <w:pPr>
        <w:spacing w:after="0" w:line="62" w:lineRule="exact"/>
        <w:rPr>
          <w:rFonts w:ascii="Arial" w:cs="Arial" w:eastAsia="Arial" w:hAnsi="Arial"/>
          <w:sz w:val="18"/>
          <w:szCs w:val="18"/>
          <w:color w:val="auto"/>
        </w:rPr>
      </w:pPr>
    </w:p>
    <w:p>
      <w:pPr>
        <w:ind w:left="980" w:right="80" w:hanging="486"/>
        <w:spacing w:after="0" w:line="263"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monitor any suspicious network traffic regularly including unexpected outgoing traffic such as huge data exfiltration volume and suspicious DNS query. We gather any events or alerts from servers and endpoints with security information and event management facility to set up alerts for any abnormal events or potential security breach.</w:t>
      </w:r>
    </w:p>
    <w:p>
      <w:pPr>
        <w:spacing w:after="0" w:line="75" w:lineRule="exact"/>
        <w:rPr>
          <w:rFonts w:ascii="Arial" w:cs="Arial" w:eastAsia="Arial" w:hAnsi="Arial"/>
          <w:sz w:val="18"/>
          <w:szCs w:val="18"/>
          <w:color w:val="auto"/>
        </w:rPr>
      </w:pPr>
    </w:p>
    <w:p>
      <w:pPr>
        <w:ind w:left="980" w:right="340" w:hanging="486"/>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secure and monitor privileged access, particularly on Internet accessible accounts such as web or cloud hosting, and implement multi-factor authentication on these accounts.</w:t>
      </w:r>
    </w:p>
    <w:p>
      <w:pPr>
        <w:spacing w:after="0" w:line="170" w:lineRule="exact"/>
        <w:rPr>
          <w:sz w:val="20"/>
          <w:szCs w:val="20"/>
          <w:color w:val="auto"/>
        </w:rPr>
      </w:pPr>
    </w:p>
    <w:p>
      <w:pPr>
        <w:ind w:right="100" w:firstLine="495"/>
        <w:spacing w:after="0" w:line="259" w:lineRule="auto"/>
        <w:rPr>
          <w:sz w:val="20"/>
          <w:szCs w:val="20"/>
          <w:color w:val="auto"/>
        </w:rPr>
      </w:pPr>
      <w:r>
        <w:rPr>
          <w:rFonts w:ascii="Arial" w:cs="Arial" w:eastAsia="Arial" w:hAnsi="Arial"/>
          <w:sz w:val="18"/>
          <w:szCs w:val="18"/>
          <w:color w:val="auto"/>
        </w:rPr>
        <w:t>We give sufficient priority to develop and upgrade our mechanism to protect data and prevent data leakage. We also endeavor to build up cyber threat intelligence capability to complement the detection mechanisms. As a testament to our dedication to data security and protection, we are not only in compliance with General Data Protection Regulation (“GDPR”), agreed upon by the European Parliament and Council in April 2016 but also qualified for the third level of information system security in mainland China.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Infrastructure</w:t>
      </w:r>
    </w:p>
    <w:p>
      <w:pPr>
        <w:spacing w:after="0" w:line="121" w:lineRule="exact"/>
        <w:rPr>
          <w:sz w:val="20"/>
          <w:szCs w:val="20"/>
          <w:color w:val="auto"/>
        </w:rPr>
      </w:pPr>
    </w:p>
    <w:p>
      <w:pPr>
        <w:ind w:right="300" w:firstLine="495"/>
        <w:spacing w:after="0" w:line="342" w:lineRule="auto"/>
        <w:rPr>
          <w:sz w:val="20"/>
          <w:szCs w:val="20"/>
          <w:color w:val="auto"/>
        </w:rPr>
      </w:pPr>
      <w:r>
        <w:rPr>
          <w:rFonts w:ascii="Arial" w:cs="Arial" w:eastAsia="Arial" w:hAnsi="Arial"/>
          <w:sz w:val="16"/>
          <w:szCs w:val="16"/>
          <w:color w:val="auto"/>
        </w:rPr>
        <w:t>Our platform is built on a highly scalable and reliable cloud-based technology architecture. This allows us to harness large quantities of real-time data and ensures high speed performance at a large scale to accommodate more clients and increased complexity of their online marketing campaigns.</w:t>
      </w:r>
    </w:p>
    <w:p>
      <w:pPr>
        <w:spacing w:after="0" w:line="16" w:lineRule="exact"/>
        <w:rPr>
          <w:sz w:val="20"/>
          <w:szCs w:val="20"/>
          <w:color w:val="auto"/>
        </w:rPr>
      </w:pPr>
    </w:p>
    <w:p>
      <w:pPr>
        <w:ind w:left="980" w:hanging="486"/>
        <w:spacing w:after="0" w:line="301"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Real-time analytics — </w:t>
      </w:r>
      <w:r>
        <w:rPr>
          <w:rFonts w:ascii="Arial" w:cs="Arial" w:eastAsia="Arial" w:hAnsi="Arial"/>
          <w:sz w:val="16"/>
          <w:szCs w:val="16"/>
          <w:color w:val="auto"/>
        </w:rPr>
        <w:t>Our cloud-based technology architecture is built to be fully distributed while having a single unified access layer. Large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of data are ingested through multiple highly-optimized points and analyzed using both offline batch processing and online real-time processing through streaming technologies. This architecture allows us to combine multiple data dimensions and apply various machine learning algorithms in real- time to our data, providing the most up-to-date and accurate representations of a user’s traits and online behavior.</w:t>
      </w:r>
    </w:p>
    <w:p>
      <w:pPr>
        <w:spacing w:after="0" w:line="49" w:lineRule="exact"/>
        <w:rPr>
          <w:rFonts w:ascii="Arial" w:cs="Arial" w:eastAsia="Arial" w:hAnsi="Arial"/>
          <w:sz w:val="16"/>
          <w:szCs w:val="16"/>
          <w:color w:val="auto"/>
        </w:rPr>
      </w:pPr>
    </w:p>
    <w:p>
      <w:pPr>
        <w:ind w:left="980" w:right="40" w:hanging="486"/>
        <w:spacing w:after="0" w:line="275"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Scalability — </w:t>
      </w:r>
      <w:r>
        <w:rPr>
          <w:rFonts w:ascii="Arial" w:cs="Arial" w:eastAsia="Arial" w:hAnsi="Arial"/>
          <w:sz w:val="17"/>
          <w:szCs w:val="17"/>
          <w:color w:val="auto"/>
        </w:rPr>
        <w:t>With modular architecture that is built to be horizontally scalable, our platform can be easily expanded as data storage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and client base increase. Our data repositories are clustered and our data processing architecture is distributed in several cities in China and Hong Kong, which supports efficient expansion. When need arises, we can easily add servers and integrate them into our existing server clusters as either data nodes or processing nodes. In addition, load balancing technology helps us improve distribution of workloads across multiple computing components, optimizing resource utilization and minimizing response time.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54" w:name="page55"/>
    <w:bookmarkEnd w:id="54"/>
    <w:p>
      <w:pPr>
        <w:ind w:left="980" w:right="160" w:hanging="486"/>
        <w:spacing w:after="0" w:line="311"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Reliability — </w:t>
      </w:r>
      <w:r>
        <w:rPr>
          <w:rFonts w:ascii="Arial" w:cs="Arial" w:eastAsia="Arial" w:hAnsi="Arial"/>
          <w:sz w:val="16"/>
          <w:szCs w:val="16"/>
          <w:color w:val="auto"/>
        </w:rPr>
        <w:t>Our technology layers have built hardware redundancy and will switch if errors are detected. We built our platform on a</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distributed computing architecture. Furthermore, our data processing architecture is located within the same cities where servers of major ad exchanges in China are located, facilitating low latency access and reliability as we bid for content distribution opportunities in real time.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Content Distribution Channels and Social Medial Platform Partners</w:t>
      </w:r>
    </w:p>
    <w:p>
      <w:pPr>
        <w:spacing w:after="0" w:line="121" w:lineRule="exact"/>
        <w:rPr>
          <w:sz w:val="20"/>
          <w:szCs w:val="20"/>
          <w:color w:val="auto"/>
        </w:rPr>
      </w:pPr>
    </w:p>
    <w:p>
      <w:pPr>
        <w:ind w:right="40" w:firstLine="495"/>
        <w:spacing w:after="0" w:line="293" w:lineRule="auto"/>
        <w:rPr>
          <w:sz w:val="20"/>
          <w:szCs w:val="20"/>
          <w:color w:val="auto"/>
        </w:rPr>
      </w:pPr>
      <w:r>
        <w:rPr>
          <w:rFonts w:ascii="Arial" w:cs="Arial" w:eastAsia="Arial" w:hAnsi="Arial"/>
          <w:sz w:val="16"/>
          <w:szCs w:val="16"/>
          <w:color w:val="auto"/>
        </w:rPr>
        <w:t>For our marketing solutions, we provide marketers with one-stop access to a wide variety of cross-channel content distribution opportunities in China through our deep relationship with content distribution channel partners, which primarily include mobile and online publishers, major search engines and ad exchanges. For example, we purchase or promote content distribution opportunities on content distribution channels, including premium channels such as Tencent, Baidu, Google and Alibaba. Media cost for content distribution opportunities on Tencent, Baidu, Google and Alibaba channels in aggregate accounted for 91.1%, 87.4% and 75.9% of our media costs in 2018, 2019 and 2020, respectively. Media cost for content distribution opportunities on our largest and second largest channel partners accounted for 70.7% and 7.7% of our media cost in 2020, respectively.</w:t>
      </w:r>
    </w:p>
    <w:p>
      <w:pPr>
        <w:spacing w:after="0" w:line="164" w:lineRule="exact"/>
        <w:rPr>
          <w:sz w:val="20"/>
          <w:szCs w:val="20"/>
          <w:color w:val="auto"/>
        </w:rPr>
      </w:pPr>
    </w:p>
    <w:p>
      <w:pPr>
        <w:ind w:right="140" w:firstLine="495"/>
        <w:spacing w:after="0" w:line="255" w:lineRule="auto"/>
        <w:rPr>
          <w:sz w:val="20"/>
          <w:szCs w:val="20"/>
          <w:color w:val="auto"/>
        </w:rPr>
      </w:pPr>
      <w:r>
        <w:rPr>
          <w:rFonts w:ascii="Arial" w:cs="Arial" w:eastAsia="Arial" w:hAnsi="Arial"/>
          <w:sz w:val="18"/>
          <w:szCs w:val="18"/>
          <w:color w:val="auto"/>
        </w:rPr>
        <w:t>We generally enter into annual framework agreements with content distribution channel partners, which set out each party’s rights and responsibilities with respect to the relevant content distribution opportunities. For example, we are generally required to examine advertising content to ensure its compliance with applicable laws and content distribution channel partners’ policies. We are also generally required to prepay media cost, which is based on pricing models determined by content distribution partners and calculated based on content distribution partners’ tracking. In addition, these agreements generally provide for certain rebates or incentives, generally calculated as a percentage of marketing spend, that we are entitled to should the marketing spend during the terms exceed specified thresholds.</w:t>
      </w:r>
    </w:p>
    <w:p>
      <w:pPr>
        <w:spacing w:after="0" w:line="192" w:lineRule="exact"/>
        <w:rPr>
          <w:sz w:val="20"/>
          <w:szCs w:val="20"/>
          <w:color w:val="auto"/>
        </w:rPr>
      </w:pPr>
    </w:p>
    <w:p>
      <w:pPr>
        <w:ind w:right="100" w:firstLine="495"/>
        <w:spacing w:after="0" w:line="308" w:lineRule="auto"/>
        <w:rPr>
          <w:sz w:val="20"/>
          <w:szCs w:val="20"/>
          <w:color w:val="auto"/>
        </w:rPr>
      </w:pPr>
      <w:r>
        <w:rPr>
          <w:rFonts w:ascii="Arial" w:cs="Arial" w:eastAsia="Arial" w:hAnsi="Arial"/>
          <w:sz w:val="17"/>
          <w:szCs w:val="17"/>
          <w:color w:val="auto"/>
        </w:rPr>
        <w:t>For our enterprise solutions, we currently collaborate with Tencent and other social media platforms for the operating environment of our enterprise solutions. We primarily deliver our enterprise products on WeChat in the form of WeChat Mini Programs and WeChat Official Accounts.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121" w:lineRule="exact"/>
        <w:rPr>
          <w:sz w:val="20"/>
          <w:szCs w:val="20"/>
          <w:color w:val="auto"/>
        </w:rPr>
      </w:pPr>
    </w:p>
    <w:p>
      <w:pPr>
        <w:ind w:right="40" w:firstLine="495"/>
        <w:spacing w:after="0" w:line="253" w:lineRule="auto"/>
        <w:rPr>
          <w:sz w:val="20"/>
          <w:szCs w:val="20"/>
          <w:color w:val="auto"/>
        </w:rPr>
      </w:pPr>
      <w:r>
        <w:rPr>
          <w:rFonts w:ascii="Arial" w:cs="Arial" w:eastAsia="Arial" w:hAnsi="Arial"/>
          <w:sz w:val="18"/>
          <w:szCs w:val="18"/>
          <w:color w:val="auto"/>
        </w:rPr>
        <w:t>We sell our solutions primarily by entering into sales contracts with marketers, marketing agencies or other merchants. We enter into marketing campaign contracts with marketers and marketing agencies for our marketing solutions and service contracts with merchants, many of who are also our marketers for our enterprise solutions. We treat entities which enter into sales contracts with us and incur spending during the relevant period as our clients. Therefore, we count specific sub-brands or divisions within the same brand or holding company as distinct clients so long as we have signed campaign contracts with different entities. On the other hand, even though multiple sales contracts may be involved, we only record one single client if those contracts with us are signed by the same entity. For our marketing solutions, our clients include both marketers who have direct contractual relationships with us, or direct marketer clients, and marketing agency clients. Our “end marketers,” or “marketers” comprise marketers we serve, either directly or through marketing agencies, regardless if they have direct contractual relationship with us. In 2020, we had 3,215 marketers, including 1,457 marketers represented by our marketing agency clients.</w:t>
      </w:r>
    </w:p>
    <w:p>
      <w:pPr>
        <w:spacing w:after="0" w:line="196" w:lineRule="exact"/>
        <w:rPr>
          <w:sz w:val="20"/>
          <w:szCs w:val="20"/>
          <w:color w:val="auto"/>
        </w:rPr>
      </w:pPr>
    </w:p>
    <w:p>
      <w:pPr>
        <w:ind w:firstLine="495"/>
        <w:spacing w:after="0" w:line="291" w:lineRule="auto"/>
        <w:rPr>
          <w:sz w:val="20"/>
          <w:szCs w:val="20"/>
          <w:color w:val="auto"/>
        </w:rPr>
      </w:pPr>
      <w:r>
        <w:rPr>
          <w:rFonts w:ascii="Arial" w:cs="Arial" w:eastAsia="Arial" w:hAnsi="Arial"/>
          <w:sz w:val="16"/>
          <w:szCs w:val="16"/>
          <w:color w:val="auto"/>
        </w:rPr>
        <w:t>Our marketers span a diverse array of industry segments, with gaming, entertainment and media, personal care and beauty, e-commerce, education &amp; training, and automobile and petroleum being among the top five in terms of gross billing contribution in 2020. They also feature companies of different sizes, including approximately 320 multinational companies in 2020. Our marketers come from a variety of regions, with headquarters in Europe, North America, or Asia. In determining the geographic classification of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marketing campaign contracts with other clients.</w:t>
      </w:r>
    </w:p>
    <w:p>
      <w:pPr>
        <w:spacing w:after="0" w:line="166" w:lineRule="exact"/>
        <w:rPr>
          <w:sz w:val="20"/>
          <w:szCs w:val="20"/>
          <w:color w:val="auto"/>
        </w:rPr>
      </w:pPr>
    </w:p>
    <w:p>
      <w:pPr>
        <w:ind w:firstLine="495"/>
        <w:spacing w:after="0" w:line="287" w:lineRule="auto"/>
        <w:rPr>
          <w:sz w:val="20"/>
          <w:szCs w:val="20"/>
          <w:color w:val="auto"/>
        </w:rPr>
      </w:pPr>
      <w:r>
        <w:rPr>
          <w:rFonts w:ascii="Arial" w:cs="Arial" w:eastAsia="Arial" w:hAnsi="Arial"/>
          <w:sz w:val="16"/>
          <w:szCs w:val="16"/>
          <w:color w:val="auto"/>
        </w:rPr>
        <w:t>We have been strategically optimizing the client base to focus on profitability and liquidity. As a result of these efforts, our gross billing per client increased by US$44,699, or 16.0%, from US$279,740 in 2018 to US$324,439 in 2019, and decreased by US$23,989, or 7.4%, from US$324,439 in 2019 to US$300,450 in 2020. Relatedly, the total number of clients that we served increased by 38.2% from 1,429 in 2018 to 1,975 in 2019, and increased by</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14.2% from 1,975 in 2019 to 2,256 in 2020, primarily attributable to our increased ability to cater to the growing market demand especially from specified action marketing campaigns.</w:t>
      </w:r>
    </w:p>
    <w:p>
      <w:pPr>
        <w:spacing w:after="0" w:line="185" w:lineRule="exact"/>
        <w:rPr>
          <w:sz w:val="20"/>
          <w:szCs w:val="20"/>
          <w:color w:val="auto"/>
        </w:rPr>
      </w:pPr>
    </w:p>
    <w:p>
      <w:pPr>
        <w:ind w:firstLine="495"/>
        <w:spacing w:after="0" w:line="279" w:lineRule="auto"/>
        <w:rPr>
          <w:sz w:val="20"/>
          <w:szCs w:val="20"/>
          <w:color w:val="auto"/>
        </w:rPr>
      </w:pPr>
      <w:r>
        <w:rPr>
          <w:rFonts w:ascii="Arial" w:cs="Arial" w:eastAsia="Arial" w:hAnsi="Arial"/>
          <w:sz w:val="17"/>
          <w:szCs w:val="17"/>
          <w:color w:val="auto"/>
        </w:rPr>
        <w:t>In 2018, we derived 14% of our net revenues from a marketer in the entertainment industry. In 2019 and 2020, we did not derive over 10% of our net revenues from a marketer. These marketers utilized our mobile marketing solutions under specified-action arrangement and therefore, revenue from these marketers was recognized on a gross basis. Their marketing campaign contracts were for a term of one year and contained terms similar to that under the marketing campaign contracts we generally enter into with other marketers utilizing similar solutions.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Sales, Business Development and Account Management</w:t>
      </w:r>
    </w:p>
    <w:p>
      <w:pPr>
        <w:spacing w:after="0" w:line="121" w:lineRule="exact"/>
        <w:rPr>
          <w:sz w:val="20"/>
          <w:szCs w:val="20"/>
          <w:color w:val="auto"/>
        </w:rPr>
      </w:pPr>
    </w:p>
    <w:p>
      <w:pPr>
        <w:ind w:firstLine="495"/>
        <w:spacing w:after="0" w:line="290" w:lineRule="auto"/>
        <w:rPr>
          <w:sz w:val="20"/>
          <w:szCs w:val="20"/>
          <w:color w:val="auto"/>
        </w:rPr>
      </w:pPr>
      <w:r>
        <w:rPr>
          <w:rFonts w:ascii="Arial" w:cs="Arial" w:eastAsia="Arial" w:hAnsi="Arial"/>
          <w:sz w:val="16"/>
          <w:szCs w:val="16"/>
          <w:color w:val="auto"/>
        </w:rPr>
        <w:t>Our sales and business development workforce is mainly focused on attracting more clients for our marketing solutions and enterprise solutions, and optimizing the client base to focus on profitability and liquidity. Leveraging our existing positions and reputations in industry sectors where we already have a strong presence, we are able to attract more clients in those sectors. With marketing solutions as our entry point, we drive customer retention and loyalty with our data-driven enterprise solutions and growing customer lifetime value with our smart retail enterprise solutions. Our full-stack marketing and enterprise solutions allow cost-effective conversion of clients of our marketing solutions into clients of our enterprise solutions and vice versa, enabling us to lower our client acquisition costs compared to acquiring new clients separately. We also expect to benefit from the cross-selling opportunities from our recent strategic business cooperation with Baozun by offering our solutions to Baozun’s brand partners. In addition, as we further expand our enterprise solution offerings in collaboration with Baozun, our marketing solutions clients may accelerate their adoption of our enterprise solutions.</w:t>
      </w:r>
    </w:p>
    <w:p>
      <w:pPr>
        <w:spacing w:after="0" w:line="57" w:lineRule="exact"/>
        <w:rPr>
          <w:sz w:val="20"/>
          <w:szCs w:val="20"/>
          <w:color w:val="auto"/>
        </w:rPr>
      </w:pPr>
    </w:p>
    <w:p>
      <w:pPr>
        <w:ind w:firstLine="495"/>
        <w:spacing w:after="0" w:line="279" w:lineRule="auto"/>
        <w:rPr>
          <w:sz w:val="20"/>
          <w:szCs w:val="20"/>
          <w:color w:val="auto"/>
        </w:rPr>
      </w:pPr>
      <w:r>
        <w:rPr>
          <w:rFonts w:ascii="Arial" w:cs="Arial" w:eastAsia="Arial" w:hAnsi="Arial"/>
          <w:sz w:val="17"/>
          <w:szCs w:val="17"/>
          <w:color w:val="auto"/>
        </w:rPr>
        <w:t>In addition, we are focused on diversifying our client base. We have partnered with local marketing agencies at selected first and second-tier cities in China to expand our client base in industry segments where we have relatively less presence, as well as to attract and retain high quality enterprises to use our solutions on a self-serve basis. Furthermore, our sales and business development team works closely with overseas marketing agencies and channel partners in the home countries of overseas marketers, who help promote our solutions to overseas marketers.</w:t>
      </w:r>
    </w:p>
    <w:p>
      <w:pPr>
        <w:spacing w:after="0" w:line="171" w:lineRule="exact"/>
        <w:rPr>
          <w:sz w:val="20"/>
          <w:szCs w:val="20"/>
          <w:color w:val="auto"/>
        </w:rPr>
      </w:pPr>
    </w:p>
    <w:p>
      <w:pPr>
        <w:ind w:right="40" w:firstLine="495"/>
        <w:spacing w:after="0" w:line="277" w:lineRule="auto"/>
        <w:rPr>
          <w:sz w:val="20"/>
          <w:szCs w:val="20"/>
          <w:color w:val="auto"/>
        </w:rPr>
      </w:pPr>
      <w:r>
        <w:rPr>
          <w:rFonts w:ascii="Arial" w:cs="Arial" w:eastAsia="Arial" w:hAnsi="Arial"/>
          <w:sz w:val="18"/>
          <w:szCs w:val="18"/>
          <w:color w:val="auto"/>
        </w:rPr>
        <w:t>Our sales and business development team is organized by geographic region, and is further divided into groups that focus on sales to marketers or to marketing agencies in each geographic region.</w:t>
      </w:r>
    </w:p>
    <w:p>
      <w:pPr>
        <w:spacing w:after="0" w:line="170" w:lineRule="exact"/>
        <w:rPr>
          <w:sz w:val="20"/>
          <w:szCs w:val="20"/>
          <w:color w:val="auto"/>
        </w:rPr>
      </w:pPr>
    </w:p>
    <w:p>
      <w:pPr>
        <w:ind w:right="40" w:firstLine="495"/>
        <w:spacing w:after="0" w:line="293" w:lineRule="auto"/>
        <w:rPr>
          <w:sz w:val="20"/>
          <w:szCs w:val="20"/>
          <w:color w:val="auto"/>
        </w:rPr>
      </w:pPr>
      <w:r>
        <w:rPr>
          <w:rFonts w:ascii="Arial" w:cs="Arial" w:eastAsia="Arial" w:hAnsi="Arial"/>
          <w:sz w:val="16"/>
          <w:szCs w:val="16"/>
          <w:color w:val="auto"/>
        </w:rPr>
        <w:t>Supporting our sales and business development team are our account managers under our operational support team, who help maintain and grow the accounts of our clients. While our intuitive user interfaces are designed to enable clients to easily deploy and utilize our solutions themselves with minimal customer support, we make online and telephonic helpdesk facilities available and provide onsite engineering support to clients and also assign account managers for our direct marketer clients and some of our marketing agency clients. Our account mangers provide consultative services on the use of our solutions, and in addition, for our managed service clients, more in-depth servicing on campaign planning, execution and result measurement and analysis. As of December 31, 2020, we had 644 employees for sales, business development and account management.</w:t>
      </w:r>
    </w:p>
    <w:p>
      <w:pPr>
        <w:spacing w:after="0" w:line="164" w:lineRule="exact"/>
        <w:rPr>
          <w:sz w:val="20"/>
          <w:szCs w:val="20"/>
          <w:color w:val="auto"/>
        </w:rPr>
      </w:pPr>
    </w:p>
    <w:p>
      <w:pPr>
        <w:ind w:right="20" w:firstLine="495"/>
        <w:spacing w:after="0" w:line="279" w:lineRule="auto"/>
        <w:rPr>
          <w:sz w:val="20"/>
          <w:szCs w:val="20"/>
          <w:color w:val="auto"/>
        </w:rPr>
      </w:pPr>
      <w:r>
        <w:rPr>
          <w:rFonts w:ascii="Arial" w:cs="Arial" w:eastAsia="Arial" w:hAnsi="Arial"/>
          <w:sz w:val="17"/>
          <w:szCs w:val="17"/>
          <w:color w:val="auto"/>
        </w:rPr>
        <w:t>We use a variety of traditional and web-based channels to drive our brand awareness and generate demand, including through direct marketing, print advertising in trade journals, offline sales efforts and client referrals. We regularly attend trade shows and industry conferences, and speak to the press about the latest trends in China’s digital market industry and developments in our solution offerings. In addition, we periodically post case studies and observations and analysis on industry trends on our website and social media, including our WeChat public account.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right="360" w:firstLine="495"/>
        <w:spacing w:after="0" w:line="263" w:lineRule="auto"/>
        <w:rPr>
          <w:sz w:val="20"/>
          <w:szCs w:val="20"/>
          <w:color w:val="auto"/>
        </w:rPr>
      </w:pPr>
      <w:r>
        <w:rPr>
          <w:rFonts w:ascii="Arial" w:cs="Arial" w:eastAsia="Arial" w:hAnsi="Arial"/>
          <w:sz w:val="18"/>
          <w:szCs w:val="18"/>
          <w:color w:val="auto"/>
        </w:rPr>
        <w:t>We are committed to continually enhancing and innovating our solutions, technologies and technical infrastructure. Our current R&amp;D initiatives include leveraging our technology from our marketing solutions to provide the consumer in-depth analysis, forming 360-degree consumer profiles and marketing automation to enhance our integrated solutions.</w:t>
      </w:r>
    </w:p>
    <w:p>
      <w:pPr>
        <w:spacing w:after="0" w:line="184" w:lineRule="exact"/>
        <w:rPr>
          <w:sz w:val="20"/>
          <w:szCs w:val="20"/>
          <w:color w:val="auto"/>
        </w:rPr>
      </w:pPr>
    </w:p>
    <w:p>
      <w:pPr>
        <w:ind w:firstLine="495"/>
        <w:spacing w:after="0" w:line="275" w:lineRule="auto"/>
        <w:rPr>
          <w:sz w:val="20"/>
          <w:szCs w:val="20"/>
          <w:color w:val="auto"/>
        </w:rPr>
      </w:pPr>
      <w:r>
        <w:rPr>
          <w:rFonts w:ascii="Arial" w:cs="Arial" w:eastAsia="Arial" w:hAnsi="Arial"/>
          <w:sz w:val="17"/>
          <w:szCs w:val="17"/>
          <w:color w:val="auto"/>
        </w:rPr>
        <w:t>In addition to continuous R&amp;D resources devoted to the customization requirements from key account clients, we have launched a number of standard off-the-shelf products to cater to the strong needs of mid-end enterprises for our enterprises solutions and will continue to allocate more R&amp;D resources there. Our R&amp;D process is demand and innovation driven and involves collaborative efforts, including from our other functional teams, including sales and marketing, and product and operation support. Our R&amp;D process advocates adaptive planning, iterative and incremental development cycles, and encourages rapid and flexible response to change. We typically release new solution features or improvements every week.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firstLine="495"/>
        <w:spacing w:after="0" w:line="259" w:lineRule="auto"/>
        <w:rPr>
          <w:sz w:val="20"/>
          <w:szCs w:val="20"/>
          <w:color w:val="auto"/>
        </w:rPr>
      </w:pPr>
      <w:r>
        <w:rPr>
          <w:rFonts w:ascii="Arial" w:cs="Arial" w:eastAsia="Arial" w:hAnsi="Arial"/>
          <w:sz w:val="18"/>
          <w:szCs w:val="18"/>
          <w:color w:val="auto"/>
        </w:rPr>
        <w:t>We have developed all of the key technologies supporting our platform and solutions in-house. Our intellectual property rights are a key component of our success. We rely on a combination of trademark and trade secret laws, and contractual restrictions, including through confidentiality, non-disclosure invention assignment agreements with our key employees, consultants and third parties with whom we do business, to establish, maintain and protect our proprietary information and other intellectual property.</w:t>
      </w:r>
    </w:p>
    <w:p>
      <w:pPr>
        <w:spacing w:after="0" w:line="187" w:lineRule="exact"/>
        <w:rPr>
          <w:sz w:val="20"/>
          <w:szCs w:val="20"/>
          <w:color w:val="auto"/>
        </w:rPr>
      </w:pPr>
    </w:p>
    <w:p>
      <w:pPr>
        <w:ind w:right="180" w:firstLine="495"/>
        <w:spacing w:after="0" w:line="277" w:lineRule="auto"/>
        <w:rPr>
          <w:sz w:val="20"/>
          <w:szCs w:val="20"/>
          <w:color w:val="auto"/>
        </w:rPr>
      </w:pPr>
      <w:r>
        <w:rPr>
          <w:rFonts w:ascii="Arial" w:cs="Arial" w:eastAsia="Arial" w:hAnsi="Arial"/>
          <w:sz w:val="18"/>
          <w:szCs w:val="18"/>
          <w:color w:val="auto"/>
        </w:rPr>
        <w:t>Notwithstanding these efforts, we cannot be sure that any intellectual property we own will not be challenged, invalidated, or circumvented or that such intellectual property will be commercially useful in protecting our brand, products, services and technology.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sectPr>
      </w:pPr>
    </w:p>
    <w:bookmarkStart w:id="56" w:name="page57"/>
    <w:bookmarkEnd w:id="56"/>
    <w:p>
      <w:pPr>
        <w:ind w:right="120" w:firstLine="495"/>
        <w:spacing w:after="0" w:line="277" w:lineRule="auto"/>
        <w:rPr>
          <w:sz w:val="20"/>
          <w:szCs w:val="20"/>
          <w:color w:val="auto"/>
        </w:rPr>
      </w:pPr>
      <w:r>
        <w:rPr>
          <w:rFonts w:ascii="Arial" w:cs="Arial" w:eastAsia="Arial" w:hAnsi="Arial"/>
          <w:sz w:val="18"/>
          <w:szCs w:val="18"/>
          <w:color w:val="auto"/>
        </w:rPr>
        <w:t>As of December 31, 2020, we had 2 patents and 92 computer software copyrights in China, and 24 registered trademarks in China, Hong Kong and Singapore.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495"/>
        <w:spacing w:after="0" w:line="263" w:lineRule="auto"/>
        <w:rPr>
          <w:sz w:val="20"/>
          <w:szCs w:val="20"/>
          <w:color w:val="auto"/>
        </w:rPr>
      </w:pPr>
      <w:r>
        <w:rPr>
          <w:rFonts w:ascii="Arial" w:cs="Arial" w:eastAsia="Arial" w:hAnsi="Arial"/>
          <w:sz w:val="18"/>
          <w:szCs w:val="18"/>
          <w:color w:val="auto"/>
        </w:rPr>
        <w:t>China’s independent online marketing technology market is highly competitive, fragmented and rapidly changing. We mainly compete with independent online marketing technology companies in China that offer marketing solutions through demand side platform and use advanced technologies to optimize marketing campaigns for marketers.</w:t>
      </w:r>
    </w:p>
    <w:p>
      <w:pPr>
        <w:spacing w:after="0" w:line="184" w:lineRule="exact"/>
        <w:rPr>
          <w:sz w:val="20"/>
          <w:szCs w:val="20"/>
          <w:color w:val="auto"/>
        </w:rPr>
      </w:pPr>
    </w:p>
    <w:p>
      <w:pPr>
        <w:ind w:right="40" w:firstLine="495"/>
        <w:spacing w:after="0" w:line="253" w:lineRule="auto"/>
        <w:rPr>
          <w:sz w:val="20"/>
          <w:szCs w:val="20"/>
          <w:color w:val="auto"/>
        </w:rPr>
      </w:pPr>
      <w:r>
        <w:rPr>
          <w:rFonts w:ascii="Arial" w:cs="Arial" w:eastAsia="Arial" w:hAnsi="Arial"/>
          <w:sz w:val="18"/>
          <w:szCs w:val="18"/>
          <w:color w:val="auto"/>
        </w:rPr>
        <w:t>We compete for online marketing revenue based on many factors, including our ability to deliver return on marketing expenditure at scale, client trust, geographic reach, breadth and depth of relationships with publishers, ad exchanges, ad networks and other participants in the online marketing ecosystem, comprehensiveness of solutions and service offerings, pricing structure and competitiveness, cross-channel capabilities, accessibility and user-friendliness of solutions and brand awareness. We compete for content distribution opportunities based on our ability to maximize the value of content distribution opportunities for content distribution channels partners, provide them with a wide array of solutions covering various types of content distribution opportunities and our ability to increase fill rates. While our industry is evolving rapidly and is becoming increasingly competitive, we believe that our highly scalable and flexible business model, large Chinese consumer data set, and omni-channel, targeted audience reach, proprietary, cutting-edge technologies, strong, diverse and loyal client base, deep knowledge and familiarity with China’s online marketing industry, and visionary leadership enable us to remain competitive.</w:t>
      </w:r>
    </w:p>
    <w:p>
      <w:pPr>
        <w:spacing w:after="0" w:line="196" w:lineRule="exact"/>
        <w:rPr>
          <w:sz w:val="20"/>
          <w:szCs w:val="20"/>
          <w:color w:val="auto"/>
        </w:rPr>
      </w:pPr>
    </w:p>
    <w:p>
      <w:pPr>
        <w:ind w:firstLine="495"/>
        <w:spacing w:after="0" w:line="269" w:lineRule="auto"/>
        <w:rPr>
          <w:sz w:val="20"/>
          <w:szCs w:val="20"/>
          <w:color w:val="auto"/>
        </w:rPr>
      </w:pPr>
      <w:r>
        <w:rPr>
          <w:rFonts w:ascii="Arial" w:cs="Arial" w:eastAsia="Arial" w:hAnsi="Arial"/>
          <w:sz w:val="17"/>
          <w:szCs w:val="17"/>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marketing and other resources, more extensive client base and broader supplier relationship, and longer operating histories and greater brand recognition than we do. While we believe that we do not directly compete with these large and well-established internet companies for marketing spend as we promote their content distribution opportunities or purchase their content distribution opportunities in the ordinary course of our business in connection with our execution of marketing campaigns, and these companies generally do not provide integrated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w:t>
      </w:r>
    </w:p>
    <w:p>
      <w:pPr>
        <w:spacing w:after="0" w:line="185" w:lineRule="exact"/>
        <w:rPr>
          <w:sz w:val="20"/>
          <w:szCs w:val="20"/>
          <w:color w:val="auto"/>
        </w:rPr>
      </w:pPr>
    </w:p>
    <w:p>
      <w:pPr>
        <w:jc w:val="both"/>
        <w:ind w:right="660" w:firstLine="495"/>
        <w:spacing w:after="0" w:line="286" w:lineRule="auto"/>
        <w:rPr>
          <w:sz w:val="20"/>
          <w:szCs w:val="20"/>
          <w:color w:val="auto"/>
        </w:rPr>
      </w:pPr>
      <w:r>
        <w:rPr>
          <w:rFonts w:ascii="Arial" w:cs="Arial" w:eastAsia="Arial" w:hAnsi="Arial"/>
          <w:sz w:val="17"/>
          <w:szCs w:val="17"/>
          <w:color w:val="auto"/>
        </w:rPr>
        <w:t>Online marketing technology platforms also face competition from marketing agencies, who may have their own relationships with content distribution channels and can directly connect marketers with such channels. Furthermore, online marketing technology platforms continue to face competition from traditional media including direct marketing, television, radio, cable and print advertising companies.</w:t>
      </w:r>
    </w:p>
    <w:p>
      <w:pPr>
        <w:spacing w:after="0" w:line="165" w:lineRule="exact"/>
        <w:rPr>
          <w:sz w:val="20"/>
          <w:szCs w:val="20"/>
          <w:color w:val="auto"/>
        </w:rPr>
      </w:pPr>
    </w:p>
    <w:p>
      <w:pPr>
        <w:ind w:right="160" w:firstLine="495"/>
        <w:spacing w:after="0" w:line="271" w:lineRule="auto"/>
        <w:rPr>
          <w:sz w:val="20"/>
          <w:szCs w:val="20"/>
          <w:color w:val="auto"/>
        </w:rPr>
      </w:pPr>
      <w:r>
        <w:rPr>
          <w:rFonts w:ascii="Arial" w:cs="Arial" w:eastAsia="Arial" w:hAnsi="Arial"/>
          <w:sz w:val="17"/>
          <w:szCs w:val="17"/>
          <w:color w:val="auto"/>
        </w:rPr>
        <w:t>With respect to our SaaS-based enterprise solutions, our competitors include local cloud-based commerce and marketing service providers, as well as WeChat-based third-party service providers in China. We may also face competition from international SaaS companies, which have longer operating histories, greater financial, technical, marketing, distribution, professional services or other resources and greater name recognition. In addition, many of our prospective competitors may have close relationship with our existing and new clients and bear an extensive knowledge of this industry. As a result, they may be able to respond more quickly to new or emerging technologies and changes in clients’ requirements, or devote greater resources to the development, promotion and sale of their products. We believe the principal competitive factors in our industries include the functionality of the products and services, user experience, technology capabilities, sale capabilities, pricing, brand recognition and reputation. In addition, new and enhanced technologies may further increase competition in our industries.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900" w:firstLine="495"/>
        <w:spacing w:after="0" w:line="277" w:lineRule="auto"/>
        <w:rPr>
          <w:sz w:val="20"/>
          <w:szCs w:val="20"/>
          <w:color w:val="auto"/>
        </w:rPr>
      </w:pPr>
      <w:r>
        <w:rPr>
          <w:rFonts w:ascii="Arial" w:cs="Arial" w:eastAsia="Arial" w:hAnsi="Arial"/>
          <w:sz w:val="18"/>
          <w:szCs w:val="18"/>
          <w:color w:val="auto"/>
        </w:rPr>
        <w:t>This section sets forth a summary of the most significant regulations or requirements that affect our business activities in the PRC or our shareholders’ right to receive dividends and other distributions from us.</w:t>
      </w:r>
    </w:p>
    <w:p>
      <w:pPr>
        <w:spacing w:after="0" w:line="170" w:lineRule="exact"/>
        <w:rPr>
          <w:sz w:val="20"/>
          <w:szCs w:val="20"/>
          <w:color w:val="auto"/>
        </w:rPr>
      </w:pPr>
    </w:p>
    <w:p>
      <w:pPr>
        <w:ind w:right="60" w:firstLine="495"/>
        <w:spacing w:after="0" w:line="263" w:lineRule="auto"/>
        <w:rPr>
          <w:sz w:val="20"/>
          <w:szCs w:val="20"/>
          <w:color w:val="auto"/>
        </w:rPr>
      </w:pPr>
      <w:r>
        <w:rPr>
          <w:rFonts w:ascii="Arial" w:cs="Arial" w:eastAsia="Arial" w:hAnsi="Arial"/>
          <w:sz w:val="18"/>
          <w:szCs w:val="18"/>
          <w:color w:val="auto"/>
        </w:rPr>
        <w:t>We operate in an increasingly complex legal and regulatory environment. We are subject to a variety of PRC and foreign laws, rules and regulations across numerous aspects of our business. This section sets forth a summary of the principal PRC laws, rules and regulations relevant to our business and operations in the PRC.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Advertising Business</w:t>
      </w:r>
    </w:p>
    <w:p>
      <w:pPr>
        <w:spacing w:after="0" w:line="117" w:lineRule="exact"/>
        <w:rPr>
          <w:sz w:val="20"/>
          <w:szCs w:val="20"/>
          <w:color w:val="auto"/>
        </w:rPr>
      </w:pPr>
    </w:p>
    <w:p>
      <w:pPr>
        <w:ind w:right="220" w:firstLine="495"/>
        <w:spacing w:after="0" w:line="259" w:lineRule="auto"/>
        <w:rPr>
          <w:sz w:val="20"/>
          <w:szCs w:val="20"/>
          <w:color w:val="auto"/>
        </w:rPr>
      </w:pPr>
      <w:r>
        <w:rPr>
          <w:rFonts w:ascii="Arial" w:cs="Arial" w:eastAsia="Arial" w:hAnsi="Arial"/>
          <w:sz w:val="18"/>
          <w:szCs w:val="18"/>
          <w:color w:val="auto"/>
        </w:rPr>
        <w:t>The Advertising Law of the People’s Republic of China, promulgated by the Standing Committee of the National People’s Congress on April 24, 2015 and became effective on September 1, 2015 and was amended on October 27, 2018, is the principal law regulating our business. This law regulates contents of advertisements, codes of conduct for advertising, and the supervision and administration of advertising industry. It also stipulates that advertisers, advertising operators, and advertisement publishers shall</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57" w:name="page58"/>
    <w:bookmarkEnd w:id="57"/>
    <w:p>
      <w:pPr>
        <w:spacing w:after="0" w:line="289" w:lineRule="auto"/>
        <w:rPr>
          <w:sz w:val="20"/>
          <w:szCs w:val="20"/>
          <w:color w:val="auto"/>
        </w:rPr>
      </w:pPr>
      <w:r>
        <w:rPr>
          <w:rFonts w:ascii="Arial" w:cs="Arial" w:eastAsia="Arial" w:hAnsi="Arial"/>
          <w:sz w:val="16"/>
          <w:szCs w:val="16"/>
          <w:color w:val="auto"/>
        </w:rPr>
        <w:t>abide by the Advertising Law and other laws and regulations, be honest and trustworthy, and compete in a fair manner in advertising business. According to the Advertising Law, advertising operators and advertisement publishers shall examine the relevant certification documents and verify the contents of advertisements in accordance with laws and regulations. According the Advertising Law, if advertising operators know or should have known the content of the advertisements is false or deceptive but still provide advertising design, production and agency services in connection with the advertisements, they might be subject to penalties, including confiscation of revenue and fines, and the competent PRC authority may suspend or revoke their business licenses. In addition, the Regulations on the Administration of Advertisement, promulgated by the State Council on October 26, 1987 requires the advertising operators to submit applications to the industry and commerce authorities for approval and registration. During the course of business, advertising operators are required to check papers or certificates and examine the contents of advertisements. According to this regulation, advertising operators may not publish, broadcast, install or post any advertisements which violate the provisions of the relevant regulations.</w:t>
      </w:r>
    </w:p>
    <w:p>
      <w:pPr>
        <w:spacing w:after="0" w:line="166" w:lineRule="exact"/>
        <w:rPr>
          <w:sz w:val="20"/>
          <w:szCs w:val="20"/>
          <w:color w:val="auto"/>
        </w:rPr>
      </w:pPr>
    </w:p>
    <w:p>
      <w:pPr>
        <w:ind w:right="20" w:firstLine="495"/>
        <w:spacing w:after="0" w:line="269" w:lineRule="auto"/>
        <w:rPr>
          <w:sz w:val="20"/>
          <w:szCs w:val="20"/>
          <w:color w:val="auto"/>
        </w:rPr>
      </w:pPr>
      <w:r>
        <w:rPr>
          <w:rFonts w:ascii="Arial" w:cs="Arial" w:eastAsia="Arial" w:hAnsi="Arial"/>
          <w:sz w:val="17"/>
          <w:szCs w:val="17"/>
          <w:color w:val="auto"/>
        </w:rPr>
        <w:t>On July 4, 2016, the State Administration for Industry and Commerce, or the SAIC, promulgated the Interim Measures for the Administration of Internet Advertising, or Interim Measures on Internet Advertising to regulate advertising activities conducted via the internet. According to the Interim Measures on Internet Advertising, advertisements published or distributed via the internet shall not interfere with users’ normal use of the internet. For example, advertisements published on web page pop-up windows or in others forms shall be clearly marked with a “close” sign to give the users an opportunity to close them out. No entity or individual may induce users to click on the contents of an advertisement through deception. An internet advertisement publisher or advertising operator, shall establish and maintain an acceptable registration, examination and file management system for its advertisers; examine, verify and record the identity information of each advertiser. The Interim Measures on Internet Advertising also require internet advertisement publishers and advertising operators to verify related supporting documents, check the contents of the advertisement and prohibits them from designing, producing, providing services or publishing any advertisement if the content and the supporting documents do not match each other or the documentary evidence thereof are insufficient.</w:t>
      </w:r>
    </w:p>
    <w:p>
      <w:pPr>
        <w:spacing w:after="0" w:line="185" w:lineRule="exact"/>
        <w:rPr>
          <w:sz w:val="20"/>
          <w:szCs w:val="20"/>
          <w:color w:val="auto"/>
        </w:rPr>
      </w:pPr>
    </w:p>
    <w:p>
      <w:pPr>
        <w:ind w:right="120" w:firstLine="495"/>
        <w:spacing w:after="0" w:line="275" w:lineRule="auto"/>
        <w:rPr>
          <w:sz w:val="20"/>
          <w:szCs w:val="20"/>
          <w:color w:val="auto"/>
        </w:rPr>
      </w:pPr>
      <w:r>
        <w:rPr>
          <w:rFonts w:ascii="Arial" w:cs="Arial" w:eastAsia="Arial" w:hAnsi="Arial"/>
          <w:sz w:val="17"/>
          <w:szCs w:val="17"/>
          <w:color w:val="auto"/>
        </w:rPr>
        <w:t>The Advertising Law defines an “advertising operator” as any natural person, legal person or other organization that agrees to provide advertising design, production and agency services for advertisers. Therefore, we are an “advertising operator” as provided in the Advertising Law and thus subject to the content review and conduct requirements of the Advertising Law and the Interim Measures on Internet Advertising, or the Interim Measures. To facilitate compliance with Advertising Law, we have developed certain advertising business management rules containing these mandatory content review and conduct requirements, and are establishing internal mechanisms to implement these rules.</w:t>
      </w:r>
    </w:p>
    <w:p>
      <w:pPr>
        <w:spacing w:after="0" w:line="176" w:lineRule="exact"/>
        <w:rPr>
          <w:sz w:val="20"/>
          <w:szCs w:val="20"/>
          <w:color w:val="auto"/>
        </w:rPr>
      </w:pPr>
    </w:p>
    <w:p>
      <w:pPr>
        <w:ind w:right="80" w:firstLine="495"/>
        <w:spacing w:after="0" w:line="296" w:lineRule="auto"/>
        <w:rPr>
          <w:sz w:val="20"/>
          <w:szCs w:val="20"/>
          <w:color w:val="auto"/>
        </w:rPr>
      </w:pPr>
      <w:r>
        <w:rPr>
          <w:rFonts w:ascii="Arial" w:cs="Arial" w:eastAsia="Arial" w:hAnsi="Arial"/>
          <w:sz w:val="16"/>
          <w:szCs w:val="16"/>
          <w:color w:val="auto"/>
        </w:rPr>
        <w:t>Prior to June 29, 2015, we were regulated by the Regulations for the Administration of Foreign-Invested Advertising Enterprises, promulgated by the SAIC and MOFCOM, which prescribed certain conditions on foreign investors that invest in companies in advertising business in China. Among other things, such foreign investors shall have at least three years’ track record primarily engaging in advertising business and shall have obtained an Opinion on the Approval of Foreign-invested Advertising Enterprise Project, which is issued by the SAIC or its local counterparts. The Regulations for the Administration of Foreign-Invested Advertising Enterprises were abolished on June 29, 2015 by the SAIC after consultation with MOFCOM.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Internet Information Service</w:t>
      </w:r>
    </w:p>
    <w:p>
      <w:pPr>
        <w:spacing w:after="0" w:line="117" w:lineRule="exact"/>
        <w:rPr>
          <w:sz w:val="20"/>
          <w:szCs w:val="20"/>
          <w:color w:val="auto"/>
        </w:rPr>
      </w:pPr>
    </w:p>
    <w:p>
      <w:pPr>
        <w:ind w:firstLine="495"/>
        <w:spacing w:after="0" w:line="287" w:lineRule="auto"/>
        <w:rPr>
          <w:sz w:val="20"/>
          <w:szCs w:val="20"/>
          <w:color w:val="auto"/>
        </w:rPr>
      </w:pPr>
      <w:r>
        <w:rPr>
          <w:rFonts w:ascii="Arial" w:cs="Arial" w:eastAsia="Arial" w:hAnsi="Arial"/>
          <w:sz w:val="16"/>
          <w:szCs w:val="16"/>
          <w:color w:val="auto"/>
        </w:rPr>
        <w:t>There are several principal regulations on internet information service business, including (i) the Telecommunications Regulations of the People’s Republic of China, promulgated by the State Council on September 25, 2000 and most recently amended on February 6, 2016, (ii) the Administrative Measures on Internet Information Services, promulgated by the State Council on September 25, 2000 and most recently amended on January 8, 2011, or the Internet Measures, and (iii) the Catalogue of Telecommunication Services, issued by the State Council on September 25, 2000, and most recently amended by the MIIT on June 6, 2019. According to the Internet Measures, “internet information services” include provision of information services through the internet to internet users. Since we have websites that provides information, including description of our business and solutions, to online users, we are deemed to be providing “internet information service,” and are therefore subject to these regulations on internet information services. Pursuant to the Internet Measures, there are two categories of internet information services, namely, services of an operative nature and services of a non-operative nature. The Internet Measures require providers of operative internet information services to obtain an operating permit and imposes certain restrictions on the percentage of foreign ownership in such providers. Our business does not involve the provision of operative internet information services, and therefore, we are not required to obtain any operating permits or subject to foreign ownership restrictions under these regulations. In accordance with the Internet Measures, we shall complete a filing process for our website, which has been done.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Value-added Telecommunication Services</w:t>
      </w:r>
    </w:p>
    <w:p>
      <w:pPr>
        <w:spacing w:after="0" w:line="117" w:lineRule="exact"/>
        <w:rPr>
          <w:sz w:val="20"/>
          <w:szCs w:val="20"/>
          <w:color w:val="auto"/>
        </w:rPr>
      </w:pPr>
    </w:p>
    <w:p>
      <w:pPr>
        <w:ind w:right="120" w:firstLine="495"/>
        <w:spacing w:after="0" w:line="257" w:lineRule="auto"/>
        <w:rPr>
          <w:sz w:val="20"/>
          <w:szCs w:val="20"/>
          <w:color w:val="auto"/>
        </w:rPr>
      </w:pPr>
      <w:r>
        <w:rPr>
          <w:rFonts w:ascii="Arial" w:cs="Arial" w:eastAsia="Arial" w:hAnsi="Arial"/>
          <w:sz w:val="18"/>
          <w:szCs w:val="18"/>
          <w:color w:val="auto"/>
        </w:rPr>
        <w:t>On September 25, 2000, the State Council promulgated the Telecommunications Regulations of the People’s Republic of China, or the Telecom Regulations, which was amended on July 29, 2014 and February 6, 2016. The Telecom Regulations is the primary PRC law governing telecommunication services and sets out the general regulatory framework for telecommunication services provided by PRC companies. The Telecom Regulations distinguishes between “basic telecommunication services” and “value-added telecommunication services.” The Telecom Regulations defines value-added telecommunications services as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8" w:name="page59"/>
    <w:bookmarkEnd w:id="58"/>
    <w:p>
      <w:pPr>
        <w:ind w:right="60"/>
        <w:spacing w:after="0" w:line="308" w:lineRule="auto"/>
        <w:rPr>
          <w:sz w:val="20"/>
          <w:szCs w:val="20"/>
          <w:color w:val="auto"/>
        </w:rPr>
      </w:pPr>
      <w:r>
        <w:rPr>
          <w:rFonts w:ascii="Arial" w:cs="Arial" w:eastAsia="Arial" w:hAnsi="Arial"/>
          <w:sz w:val="17"/>
          <w:szCs w:val="17"/>
          <w:color w:val="auto"/>
        </w:rPr>
        <w:t>telecommunications and information services provided through public network infrastructures. Pursuant to the Telecom Regulations, commercial operators of value-added telecommunications services must first obtain an operating license from the MIIT, or its provincial level counterparts.</w:t>
      </w:r>
    </w:p>
    <w:p>
      <w:pPr>
        <w:spacing w:after="0" w:line="146" w:lineRule="exact"/>
        <w:rPr>
          <w:sz w:val="20"/>
          <w:szCs w:val="20"/>
          <w:color w:val="auto"/>
        </w:rPr>
      </w:pPr>
    </w:p>
    <w:p>
      <w:pPr>
        <w:jc w:val="both"/>
        <w:ind w:right="220" w:firstLine="495"/>
        <w:spacing w:after="0" w:line="279" w:lineRule="auto"/>
        <w:rPr>
          <w:sz w:val="20"/>
          <w:szCs w:val="20"/>
          <w:color w:val="auto"/>
        </w:rPr>
      </w:pPr>
      <w:r>
        <w:rPr>
          <w:rFonts w:ascii="Arial" w:cs="Arial" w:eastAsia="Arial" w:hAnsi="Arial"/>
          <w:sz w:val="17"/>
          <w:szCs w:val="17"/>
          <w:color w:val="auto"/>
        </w:rPr>
        <w:t>The Catalog of Telecommunications Business, or the Catalog, which was issued as an attachment to the Telecom Regulations and updated in June 11, 2001, February 21, 2003, December 28, 2015 and June 6, 2019, further categorizes value-added telecommunication services into two classes: Class 1 value-added telecommunication services and Class 2 value-added telecommunication services. Information services provided via cable networks, mobile networks or internet fall within Class 2 value-added telecommunications services.</w:t>
      </w:r>
    </w:p>
    <w:p>
      <w:pPr>
        <w:spacing w:after="0" w:line="171" w:lineRule="exact"/>
        <w:rPr>
          <w:sz w:val="20"/>
          <w:szCs w:val="20"/>
          <w:color w:val="auto"/>
        </w:rPr>
      </w:pPr>
    </w:p>
    <w:p>
      <w:pPr>
        <w:ind w:right="80" w:firstLine="495"/>
        <w:spacing w:after="0" w:line="273" w:lineRule="auto"/>
        <w:rPr>
          <w:sz w:val="20"/>
          <w:szCs w:val="20"/>
          <w:color w:val="auto"/>
        </w:rPr>
      </w:pPr>
      <w:r>
        <w:rPr>
          <w:rFonts w:ascii="Arial" w:cs="Arial" w:eastAsia="Arial" w:hAnsi="Arial"/>
          <w:sz w:val="17"/>
          <w:szCs w:val="17"/>
          <w:color w:val="auto"/>
        </w:rPr>
        <w:t>On July 3, 2017, the MIIT issued the Administrative Measures for the Licensing of Telecommunications Business, or the Telecom Licensing Measures, which became effective on September 1, 2017, to supplement the Telecom Regulations. The Telecom Licensing Measures sets forth the types of licenses required to operate value-added telecommunications services and the qualifications and procedures for obtaining such licenses. The Telecom Licensing Measures also provides that an operator providing value-added services in multiple provinces is required to obtain an inter-regional license, whereas an operator providing value-added services in one province is required to obtain an intra-provincial license. Any telecommunication services operator must conduct its business in accordance with the specifications in its license.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Foreign Direct Investment in Value-Added Telecommunications Companies</w:t>
      </w:r>
    </w:p>
    <w:p>
      <w:pPr>
        <w:spacing w:after="0" w:line="117" w:lineRule="exact"/>
        <w:rPr>
          <w:sz w:val="20"/>
          <w:szCs w:val="20"/>
          <w:color w:val="auto"/>
        </w:rPr>
      </w:pPr>
    </w:p>
    <w:p>
      <w:pPr>
        <w:ind w:right="160" w:firstLine="495"/>
        <w:spacing w:after="0" w:line="291" w:lineRule="auto"/>
        <w:rPr>
          <w:sz w:val="20"/>
          <w:szCs w:val="20"/>
          <w:color w:val="auto"/>
        </w:rPr>
      </w:pPr>
      <w:r>
        <w:rPr>
          <w:rFonts w:ascii="Arial" w:cs="Arial" w:eastAsia="Arial" w:hAnsi="Arial"/>
          <w:sz w:val="16"/>
          <w:szCs w:val="16"/>
          <w:color w:val="auto"/>
        </w:rPr>
        <w:t>Foreign direct investment in telecommunications companies in China is governed by the Provisions on the Administration of Foreign-Invested Telecommunications Enterprises, which was promulgated by the State Council on December 11, 2001 and amended on September 10, 2008 and February 6, 2016. These regulations require that foreign-invested value-added telecommunications enterprises in China must be established as Sino-foreign equity joint ventures and that the foreign investors may acquire up to 50% equity interests in such joint ventures. In addition, a major foreign investor in a value-added telecommunications business in China must demonstrate a good track record and experience in operating value-added telecommunications businesses. Moreover, foreign investors that meet these requirements must obtain approvals from the MIIT and MOFCOM, to provide value-added telecommunication services in China and the MIIT and MOFCOM retain considerable discretion in granting such approvals.</w:t>
      </w:r>
    </w:p>
    <w:p>
      <w:pPr>
        <w:spacing w:after="0" w:line="166" w:lineRule="exact"/>
        <w:rPr>
          <w:sz w:val="20"/>
          <w:szCs w:val="20"/>
          <w:color w:val="auto"/>
        </w:rPr>
      </w:pPr>
    </w:p>
    <w:p>
      <w:pPr>
        <w:ind w:firstLine="495"/>
        <w:spacing w:after="0" w:line="254" w:lineRule="auto"/>
        <w:rPr>
          <w:sz w:val="20"/>
          <w:szCs w:val="20"/>
          <w:color w:val="auto"/>
        </w:rPr>
      </w:pPr>
      <w:r>
        <w:rPr>
          <w:rFonts w:ascii="Arial" w:cs="Arial" w:eastAsia="Arial" w:hAnsi="Arial"/>
          <w:sz w:val="18"/>
          <w:szCs w:val="18"/>
          <w:color w:val="auto"/>
        </w:rPr>
        <w:t>On July 13, 2006, the Ministry of Information Industry, or the MII, released the Notice on Strengthening the Administration of Foreign Investment in the Operation of Value-added Telecommunications Business, or the MII Notice, pursuant to which, for any foreign investor to invest in telecommunications businesses in China, a foreign-invested telecommunications enterprise must be established and such enterprise must apply for the relevant telecommunications business operation licenses. Furthermore, under the MII Notice, domestic telecommunications enterprises may not rent, transfer or sell a telecommunications business operation license to foreign investors in any form, and they may not provide any resources, premises, facilities and other assistance in any form to foreign investors for their illegal operation of any telecommunications business in China. In addition, under the MII Notice, the internet domain names and registered trademarks used by a value-added telecommunication service operator shall be legally owned by such operator or its shareholders.</w:t>
      </w:r>
    </w:p>
    <w:p>
      <w:pPr>
        <w:spacing w:after="0" w:line="192" w:lineRule="exact"/>
        <w:rPr>
          <w:sz w:val="20"/>
          <w:szCs w:val="20"/>
          <w:color w:val="auto"/>
        </w:rPr>
      </w:pPr>
    </w:p>
    <w:p>
      <w:pPr>
        <w:ind w:right="120" w:firstLine="495"/>
        <w:spacing w:after="0" w:line="271" w:lineRule="auto"/>
        <w:rPr>
          <w:sz w:val="20"/>
          <w:szCs w:val="20"/>
          <w:color w:val="auto"/>
        </w:rPr>
      </w:pPr>
      <w:r>
        <w:rPr>
          <w:rFonts w:ascii="Arial" w:cs="Arial" w:eastAsia="Arial" w:hAnsi="Arial"/>
          <w:sz w:val="17"/>
          <w:szCs w:val="17"/>
          <w:color w:val="auto"/>
        </w:rPr>
        <w:t>Furthermore, the Guidance Catalog of Industries for Foreign Investment, or the Foreign Investment Catalog, the latest version of which was promulgated jointly by MOFCOM and the National Development and Reform Commission, or the NDRC, on June 28, 2017 and became effective on July 28, 2017, classifies businesses into three categories with regard to foreign investment:(i) “encouraged,” (ii) “restricted,” and (iii) “prohibited.” The latter two categories are included in the negative list (Negative List, which was most recently amended on June 23, 2020), which was first introduced into the Foreign Investment Catalog in 2017, and listed, in a unified manner, the restrictive measures for the entry of foreign investment. Industries that are not listed in the Foreign Investment Catalog or the Special Administrative Measures are permitted areas for foreign investments, and are generally open to foreign investment unless specifically restricted by other PRC regulations. Our business falls under value-added telecommunications services, which are listed under the Special Administrative Measures.</w:t>
      </w:r>
    </w:p>
    <w:p>
      <w:pPr>
        <w:spacing w:after="0" w:line="178" w:lineRule="exact"/>
        <w:rPr>
          <w:sz w:val="20"/>
          <w:szCs w:val="20"/>
          <w:color w:val="auto"/>
        </w:rPr>
      </w:pPr>
    </w:p>
    <w:p>
      <w:pPr>
        <w:ind w:right="20" w:firstLine="495"/>
        <w:spacing w:after="0" w:line="289" w:lineRule="auto"/>
        <w:rPr>
          <w:sz w:val="20"/>
          <w:szCs w:val="20"/>
          <w:color w:val="auto"/>
        </w:rPr>
      </w:pPr>
      <w:r>
        <w:rPr>
          <w:rFonts w:ascii="Arial" w:cs="Arial" w:eastAsia="Arial" w:hAnsi="Arial"/>
          <w:sz w:val="16"/>
          <w:szCs w:val="16"/>
          <w:color w:val="auto"/>
        </w:rPr>
        <w:t>In view of these restrictions on foreign direct investment in value-added telecommunications services and certain other types of businesses under which our business may fall, we have established domestic consolidated affiliated entities to engage in value- added telecommunications services. For a detailed discussion of our consolidated affiliated entities, see “Item 4. Information on the Company—C. Organizational Structure.” Due to the lack of interpretative guidance from the relevant PRC governmental authorities, there are uncertainties regarding whether PRC governmental authorities would consider our corporate structure and contractual arrangements to constitute foreign ownership of a value-added telecommunications business. In order to comply with PRC regulatory requirements, we operate a substantial portion of our business through our consolidated affiliated entities, which we have contractual relationships with but we do not have actual ownership interests in. If our current ownership structure is found to be in violation of current or future PRC laws, rules or regulations regarding the legality of foreign investment in value-added telecommunications services and other types of businesses on which foreign investment is restricted or prohibited, we could be subject to severe penalties.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Regulations on Internet Content Providers</w:t>
      </w:r>
    </w:p>
    <w:p>
      <w:pPr>
        <w:spacing w:after="0" w:line="117" w:lineRule="exact"/>
        <w:rPr>
          <w:sz w:val="20"/>
          <w:szCs w:val="20"/>
          <w:color w:val="auto"/>
        </w:rPr>
      </w:pPr>
    </w:p>
    <w:p>
      <w:pPr>
        <w:ind w:firstLine="495"/>
        <w:spacing w:after="0" w:line="269" w:lineRule="auto"/>
        <w:rPr>
          <w:sz w:val="20"/>
          <w:szCs w:val="20"/>
          <w:color w:val="auto"/>
        </w:rPr>
      </w:pPr>
      <w:r>
        <w:rPr>
          <w:rFonts w:ascii="Arial" w:cs="Arial" w:eastAsia="Arial" w:hAnsi="Arial"/>
          <w:sz w:val="17"/>
          <w:szCs w:val="17"/>
          <w:color w:val="auto"/>
        </w:rPr>
        <w:t>The Administrative Measures on Internet Information Services, or the Internet Content Measures, which was promulgated by the State Council on September 25, 2000 and amended on January 8, 2011, set out guidelines on the provision of internet information services. The Internet Content Measures specifies that internet information services regarding news, publications, education, medical and health care, pharmacy and medical appliances, among other things, are required to be examined, approved and regulated by the relevant authorities. The Internet Content Measures specifies a list of prohibited content. Internet information providers are prohibited from producing, copying, publishing or distributing information that is humiliating or defamatory to others or that infringes the legal rights of others. Internet information providers that violate such prohibition may face criminal charges or administrative sanctions. If any prohibited content is found, they must remove the content immediately, keep a record of such content and report to the relevant authorities. In accordance with Provisions on the Governance of Network Information Content Ecology promulgated by Cyberspace Administration of China on December 15, 2019, which became effective on March 15, 2020, the utilization of personalized algorithm recommendation technology taken in internet content provision service shall be in compliance with all the requirements as stated above as well.</w:t>
      </w:r>
    </w:p>
    <w:p>
      <w:pPr>
        <w:spacing w:after="0" w:line="185" w:lineRule="exact"/>
        <w:rPr>
          <w:sz w:val="20"/>
          <w:szCs w:val="20"/>
          <w:color w:val="auto"/>
        </w:rPr>
      </w:pPr>
    </w:p>
    <w:p>
      <w:pPr>
        <w:ind w:right="180" w:firstLine="495"/>
        <w:spacing w:after="0" w:line="286" w:lineRule="auto"/>
        <w:rPr>
          <w:sz w:val="20"/>
          <w:szCs w:val="20"/>
          <w:color w:val="auto"/>
        </w:rPr>
      </w:pPr>
      <w:r>
        <w:rPr>
          <w:rFonts w:ascii="Arial" w:cs="Arial" w:eastAsia="Arial" w:hAnsi="Arial"/>
          <w:sz w:val="17"/>
          <w:szCs w:val="17"/>
          <w:color w:val="auto"/>
        </w:rPr>
        <w:t>The Internet Content Measures classifies internet information services into commercial internet information services and non- commercial internet information services. Commercial internet information services refer to services that provide information or services to internet users with charge. A provider of commercial internet information services must obtain the value-added telecommunications business operation license.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Privacy Protection</w:t>
      </w:r>
    </w:p>
    <w:p>
      <w:pPr>
        <w:spacing w:after="0" w:line="117" w:lineRule="exact"/>
        <w:rPr>
          <w:sz w:val="20"/>
          <w:szCs w:val="20"/>
          <w:color w:val="auto"/>
        </w:rPr>
      </w:pPr>
    </w:p>
    <w:p>
      <w:pPr>
        <w:ind w:right="60" w:firstLine="495"/>
        <w:spacing w:after="0" w:line="273" w:lineRule="auto"/>
        <w:rPr>
          <w:sz w:val="20"/>
          <w:szCs w:val="20"/>
          <w:color w:val="auto"/>
        </w:rPr>
      </w:pPr>
      <w:r>
        <w:rPr>
          <w:rFonts w:ascii="Arial" w:cs="Arial" w:eastAsia="Arial" w:hAnsi="Arial"/>
          <w:sz w:val="17"/>
          <w:szCs w:val="17"/>
          <w:color w:val="auto"/>
        </w:rPr>
        <w:t>According to the Internet Measures, “internet information services” means the activity of providing information services through the internet to internet users. Since we have websites that provide information to internet users, we are considered an internet information service provider under the Internet Measures and are therefore, subject to regulations relating to the protection of privacy, including prohibitions on producing, copying, publishing or distributing information that is humiliating or defamatory to others or that infringes on the lawful rights and interests of others. Internet information service providers that violate the prohibition could face criminal charges or administrative sanctions by the PRC security authorities. In addition, relevant authorities may suspend their services, revoke their licenses or temporarily suspend or close down their websites.</w:t>
      </w:r>
    </w:p>
    <w:p>
      <w:pPr>
        <w:spacing w:after="0" w:line="178" w:lineRule="exact"/>
        <w:rPr>
          <w:sz w:val="20"/>
          <w:szCs w:val="20"/>
          <w:color w:val="auto"/>
        </w:rPr>
      </w:pPr>
    </w:p>
    <w:p>
      <w:pPr>
        <w:ind w:right="40" w:firstLine="495"/>
        <w:spacing w:after="0" w:line="254" w:lineRule="auto"/>
        <w:rPr>
          <w:sz w:val="20"/>
          <w:szCs w:val="20"/>
          <w:color w:val="auto"/>
        </w:rPr>
      </w:pPr>
      <w:r>
        <w:rPr>
          <w:rFonts w:ascii="Arial" w:cs="Arial" w:eastAsia="Arial" w:hAnsi="Arial"/>
          <w:sz w:val="18"/>
          <w:szCs w:val="18"/>
          <w:color w:val="auto"/>
        </w:rPr>
        <w:t>Under the Several Provisions on Regulating the Market Order of Internet Information Services, issued by MIIT, in December 2011, internet information service providers are prohibited from collecting any user-related information that can reveal the identity of the user whether by itself or when used in combination with other information, or providing any such information to third parties without the consent of that user. Internet information service providers must expressly inform the users of the method, content and purpose to collect and process such user personal information, and may only collect such information necessary for their services. Internet information service providers are also required to properly maintain the user personal information and, in case of any leakage or likely leakage of such information, must take remedial measures immediately and report any material leakage to the telecommunications regulatory authority.</w:t>
      </w:r>
    </w:p>
    <w:p>
      <w:pPr>
        <w:spacing w:after="0" w:line="195" w:lineRule="exact"/>
        <w:rPr>
          <w:sz w:val="20"/>
          <w:szCs w:val="20"/>
          <w:color w:val="auto"/>
        </w:rPr>
      </w:pPr>
    </w:p>
    <w:p>
      <w:pPr>
        <w:ind w:firstLine="495"/>
        <w:spacing w:after="0" w:line="279" w:lineRule="auto"/>
        <w:rPr>
          <w:sz w:val="20"/>
          <w:szCs w:val="20"/>
          <w:color w:val="auto"/>
        </w:rPr>
      </w:pPr>
      <w:r>
        <w:rPr>
          <w:rFonts w:ascii="Arial" w:cs="Arial" w:eastAsia="Arial" w:hAnsi="Arial"/>
          <w:sz w:val="17"/>
          <w:szCs w:val="17"/>
          <w:color w:val="auto"/>
        </w:rPr>
        <w:t>In December 2012, the Decision on Strengthening Network Information Protection promulgated by the Standing Committee of the National People’s Congress emphasizes the need to protect electronic information that contains personal identification information and other private data. The decision requires internet information service providers to establish and publish policies regarding the collection and use of personal electronic information, to take necessary measures to ensure the security of the information and to prevent leakage, damage or loss.</w:t>
      </w:r>
    </w:p>
    <w:p>
      <w:pPr>
        <w:spacing w:after="0" w:line="171" w:lineRule="exact"/>
        <w:rPr>
          <w:sz w:val="20"/>
          <w:szCs w:val="20"/>
          <w:color w:val="auto"/>
        </w:rPr>
      </w:pPr>
    </w:p>
    <w:p>
      <w:pPr>
        <w:ind w:right="20" w:firstLine="495"/>
        <w:spacing w:after="0" w:line="270" w:lineRule="auto"/>
        <w:rPr>
          <w:sz w:val="20"/>
          <w:szCs w:val="20"/>
          <w:color w:val="auto"/>
        </w:rPr>
      </w:pPr>
      <w:r>
        <w:rPr>
          <w:rFonts w:ascii="Arial" w:cs="Arial" w:eastAsia="Arial" w:hAnsi="Arial"/>
          <w:sz w:val="17"/>
          <w:szCs w:val="17"/>
          <w:color w:val="auto"/>
        </w:rPr>
        <w:t>Furthermore, the MIIT’s Rules on Protection of Personal Information of Telecommunications and Internet Users issued in July 2013 contain detailed requirements upon the activities collecting or using personal information of users in the provision of telecommunication service and internet information service, which mainly include: (i) the telecommunication business operators or internet information service providers shall expressly advise users about the purpose, method and scope of the collection or use of information, and the ways to inquire or correct information, and the consequences of refusal to provide information, etc.; (ii) the telecommunication business operators or internet information service providers shall not go beyond the necessary and the purpose for their service, nor by means of deceiving, misleading or force or in violation of the laws, regulations or the agreements between the parties; (iii) any collected information shall be kept in strict confidence with adequate measures; (iv) shall establish user complaint handling mechanism to accept complaints from the users, and etc. Internet information service providers, including us, may subject to penalties, including fines, warnings, orders to correct and even criminal charges if failed to fulfill the aforesaid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Information Security, Censorship and Privacy</w:t>
      </w:r>
    </w:p>
    <w:p>
      <w:pPr>
        <w:spacing w:after="0" w:line="117" w:lineRule="exact"/>
        <w:rPr>
          <w:sz w:val="20"/>
          <w:szCs w:val="20"/>
          <w:color w:val="auto"/>
        </w:rPr>
      </w:pPr>
    </w:p>
    <w:p>
      <w:pPr>
        <w:ind w:right="80" w:firstLine="495"/>
        <w:spacing w:after="0" w:line="263" w:lineRule="auto"/>
        <w:rPr>
          <w:sz w:val="20"/>
          <w:szCs w:val="20"/>
          <w:color w:val="auto"/>
        </w:rPr>
      </w:pPr>
      <w:r>
        <w:rPr>
          <w:rFonts w:ascii="Arial" w:cs="Arial" w:eastAsia="Arial" w:hAnsi="Arial"/>
          <w:sz w:val="18"/>
          <w:szCs w:val="18"/>
          <w:color w:val="auto"/>
        </w:rPr>
        <w:t>The Standing Committee of the National People’s Congress, China’s national legislative body, enacted the Decisions on the Maintenance of Internet Security on December 28, 2000 and amended them on August 27, 2009 that may subject persons to criminal liabilities in China for any attempt to use the internet to: (i) gain improper entry to a computer or system of strategic importance; (ii)</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60" w:name="page61"/>
    <w:bookmarkEnd w:id="60"/>
    <w:p>
      <w:pPr>
        <w:ind w:right="60"/>
        <w:spacing w:after="0" w:line="253" w:lineRule="auto"/>
        <w:rPr>
          <w:sz w:val="20"/>
          <w:szCs w:val="20"/>
          <w:color w:val="auto"/>
        </w:rPr>
      </w:pPr>
      <w:r>
        <w:rPr>
          <w:rFonts w:ascii="Arial" w:cs="Arial" w:eastAsia="Arial" w:hAnsi="Arial"/>
          <w:sz w:val="18"/>
          <w:szCs w:val="18"/>
          <w:color w:val="auto"/>
        </w:rPr>
        <w:t>disseminate politically disruptive information; (iii) leak state secrets; (iv) spread false commercial information or (v) infringe upon intellectual property rights. In 1997, the Ministry of Public Security issued the Administration Measures on the Security Protection of Computer Information Network with International Connections which was amended in 2011 and prohibits using the internet to leak state secrets or to spread socially destabilizing materials. If an ICP license holder violates these measures, the PRC government may revoke its ICP license and shut down its websites. Pursuant to the Ninth Amendment to the Criminal Law issued by the Standing Committee of the National People’s Congress on August 29, 2015, effective on November 1, 2015, any ICP provider that fails to fulfill the obligations related to internet information security as required by applicable laws and refuses to take corrective measures, will be subject to criminal liability for (i) any large-scale dissemination of illegal information; (ii) any severe effect due to the leakage of users’ personal information; (iii) any serious loss of evidence of criminal activities; or (iv) other severe situations, and any individual or entity that (i) sells or provides personal information to others unlawfully or (ii) steals or illegally obtains any personal information will be subject to criminal liability in severe situations.</w:t>
      </w:r>
    </w:p>
    <w:p>
      <w:pPr>
        <w:spacing w:after="0" w:line="194" w:lineRule="exact"/>
        <w:rPr>
          <w:sz w:val="20"/>
          <w:szCs w:val="20"/>
          <w:color w:val="auto"/>
        </w:rPr>
      </w:pPr>
    </w:p>
    <w:p>
      <w:pPr>
        <w:ind w:right="40" w:firstLine="495"/>
        <w:spacing w:after="0" w:line="287" w:lineRule="auto"/>
        <w:rPr>
          <w:sz w:val="20"/>
          <w:szCs w:val="20"/>
          <w:color w:val="auto"/>
        </w:rPr>
      </w:pPr>
      <w:r>
        <w:rPr>
          <w:rFonts w:ascii="Arial" w:cs="Arial" w:eastAsia="Arial" w:hAnsi="Arial"/>
          <w:sz w:val="16"/>
          <w:szCs w:val="16"/>
          <w:color w:val="auto"/>
        </w:rPr>
        <w:t>The Cybersecurity Law of the PRC, or the Cybersecurity Law, which was promulgated on November 7, 2016 by the Standing Committee of the National People’s Congress and came into effect on June 1, 2017, provides that network operators shall meet their cyber security obligations and shall take technical measures and other necessary measures to protect the safety and stability of their networks. Under the Cybersecurity Law, network operators are subject to various security protection-related obligations, including: (i) network operators shall comply with certain obligations regarding maintenance of the security of internet systems; (ii) network operators shall verify users’ identities before signing agreements or providing certain services such as information publishing or real- time communication services; (iii) when collecting or using personal information, network operators shall clearly indicate the purposes, methods and scope of the information collection, the use of information collection, and obtain the consent of those from whom the information is collected; (iv) network operators shall strictly preserve the privacy of user information they collect, and establish and maintain systems to protect user privacy; (v) network operators shall strengthen management of information published by users, and when they discover information prohibited by laws and regulations from publication or dissemination, they shall immediately stop dissemination of that information, including taking measures such as deleting the information, preventing the information from spreading, saving relevant records, and reporting to the relevant governmental agencies.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Foreign-related Surveys Measures</w:t>
      </w:r>
    </w:p>
    <w:p>
      <w:pPr>
        <w:spacing w:after="0" w:line="117" w:lineRule="exact"/>
        <w:rPr>
          <w:sz w:val="20"/>
          <w:szCs w:val="20"/>
          <w:color w:val="auto"/>
        </w:rPr>
      </w:pPr>
    </w:p>
    <w:p>
      <w:pPr>
        <w:ind w:firstLine="495"/>
        <w:spacing w:after="0" w:line="289" w:lineRule="auto"/>
        <w:rPr>
          <w:sz w:val="20"/>
          <w:szCs w:val="20"/>
          <w:color w:val="auto"/>
        </w:rPr>
      </w:pPr>
      <w:r>
        <w:rPr>
          <w:rFonts w:ascii="Arial" w:cs="Arial" w:eastAsia="Arial" w:hAnsi="Arial"/>
          <w:sz w:val="16"/>
          <w:szCs w:val="16"/>
          <w:color w:val="auto"/>
        </w:rPr>
        <w:t>According to the Foreign-related Surveys Measures, foreign-related surveys include: (i) market and social surveys conducted under the entrustment or financial aid of any overseas organization, individual, or the agency of any overseas organization in China; (ii) market and social surveys conducted in cooperation with any overseas organization, individual, or the agency of any overseas organization in China; (iii) market surveys lawfully conducted by the agency of any overseas organization in China; and (iv) market and social surveys of which the materials and results are to be provided to any overseas organization, individual, or the agency of any overseas organization in China. Any foreign-related market survey must be conducted by a foreign-related survey institution and no individual or organization may conduct any foreign-related survey without a license for foreign-related surveys. According to the Foreign-related Surveys Measure and the Negative List, only a domestic enterprise or a sino-foreign enterprise which meet the several requirements stipulated in the Foreign-related Surveys Measures can apply for license for the foreign- related survey. Industries that are not listed in the Negative List are permitted areas for foreign investments, and are generally open to foreign investment unless specifically restricted by other PRC regulations.</w:t>
      </w:r>
    </w:p>
    <w:p>
      <w:pPr>
        <w:spacing w:after="0" w:line="166" w:lineRule="exact"/>
        <w:rPr>
          <w:sz w:val="20"/>
          <w:szCs w:val="20"/>
          <w:color w:val="auto"/>
        </w:rPr>
      </w:pPr>
    </w:p>
    <w:p>
      <w:pPr>
        <w:ind w:firstLine="495"/>
        <w:spacing w:after="0" w:line="289" w:lineRule="auto"/>
        <w:rPr>
          <w:sz w:val="20"/>
          <w:szCs w:val="20"/>
          <w:color w:val="auto"/>
        </w:rPr>
      </w:pPr>
      <w:r>
        <w:rPr>
          <w:rFonts w:ascii="Arial" w:cs="Arial" w:eastAsia="Arial" w:hAnsi="Arial"/>
          <w:sz w:val="16"/>
          <w:szCs w:val="16"/>
          <w:color w:val="auto"/>
        </w:rPr>
        <w:t>We collect data of multiple kinds and from multiple sources through our consolidated subsidiaries in the PRC and Hong Kong. These data include users’ search, browse, E-commerce and offline behavioral data, social data, demographic data, campaign performance data, and certain technical data, from our proprietary tracking tools, our marketers, publishers and ad exchanges in connection with marketing campaigns, and from collaboration with selected third-party data partners. Except for the general definitions of market surveys and social surveys defined in the Foreign-related Surveys Measures, there is no further clarification or specific guidance on the characteristics and scope of “foreign-related surveys”. In the opinion of our PRC counsel, Jingtian &amp; Gongcheng, the collection and use of data of our business do not fall within the scope of “foreign-related survey” and therefore we are not required to obtain a foreign-related survey license under the Foreign-related Survey Measures as currently interpreted and enforced by the relevant PRC regulatory authorities. However, in light of these uncertainties and out of prudence, we through OptAim Network, our VIE entity, applied for and were granted the foreign-related survey license on June 6, 2017 by the Chinese National Bureau of Statistics.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Intellectual Property Rights</w:t>
      </w:r>
    </w:p>
    <w:p>
      <w:pPr>
        <w:spacing w:after="0" w:line="117" w:lineRule="exact"/>
        <w:rPr>
          <w:sz w:val="20"/>
          <w:szCs w:val="20"/>
          <w:color w:val="auto"/>
        </w:rPr>
      </w:pPr>
    </w:p>
    <w:p>
      <w:pPr>
        <w:ind w:firstLine="495"/>
        <w:spacing w:after="0" w:line="263" w:lineRule="auto"/>
        <w:rPr>
          <w:sz w:val="20"/>
          <w:szCs w:val="20"/>
          <w:color w:val="auto"/>
        </w:rPr>
      </w:pPr>
      <w:r>
        <w:rPr>
          <w:rFonts w:ascii="Arial" w:cs="Arial" w:eastAsia="Arial" w:hAnsi="Arial"/>
          <w:sz w:val="18"/>
          <w:szCs w:val="18"/>
          <w:color w:val="auto"/>
        </w:rPr>
        <w:t>China has adopted legislation governing intellectual property rights, including copyrights, trademarks and patents. China is a signatory to major international conventions on intellectual property rights and is subject to the Agreement on Trade Related Aspects of Intellectual Property Rights as a result of its accession to the World Trade Organization in December 2001.</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Computer Software Copyright</w:t>
      </w:r>
    </w:p>
    <w:p>
      <w:pPr>
        <w:spacing w:after="0" w:line="117" w:lineRule="exact"/>
        <w:rPr>
          <w:sz w:val="20"/>
          <w:szCs w:val="20"/>
          <w:color w:val="auto"/>
        </w:rPr>
      </w:pPr>
    </w:p>
    <w:p>
      <w:pPr>
        <w:ind w:right="220" w:firstLine="495"/>
        <w:spacing w:after="0" w:line="263" w:lineRule="auto"/>
        <w:rPr>
          <w:sz w:val="20"/>
          <w:szCs w:val="20"/>
          <w:color w:val="auto"/>
        </w:rPr>
      </w:pPr>
      <w:r>
        <w:rPr>
          <w:rFonts w:ascii="Arial" w:cs="Arial" w:eastAsia="Arial" w:hAnsi="Arial"/>
          <w:sz w:val="18"/>
          <w:szCs w:val="18"/>
          <w:color w:val="auto"/>
        </w:rPr>
        <w:t>On March 1, 2013, the Regulations for the Protection of Computer Software promulgated by the State Council came into effect. These regulations are formulated for protecting the rights and interests of computer software copyright owners, encouraging the development and application of computer software and promoting the development of software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w:t>
      </w:r>
    </w:p>
    <w:p>
      <w:pPr>
        <w:spacing w:after="0" w:line="117" w:lineRule="exact"/>
        <w:rPr>
          <w:sz w:val="20"/>
          <w:szCs w:val="20"/>
          <w:color w:val="auto"/>
        </w:rPr>
      </w:pPr>
    </w:p>
    <w:p>
      <w:pPr>
        <w:ind w:right="60" w:firstLine="495"/>
        <w:spacing w:after="0" w:line="257" w:lineRule="auto"/>
        <w:rPr>
          <w:sz w:val="20"/>
          <w:szCs w:val="20"/>
          <w:color w:val="auto"/>
        </w:rPr>
      </w:pPr>
      <w:r>
        <w:rPr>
          <w:rFonts w:ascii="Arial" w:cs="Arial" w:eastAsia="Arial" w:hAnsi="Arial"/>
          <w:sz w:val="18"/>
          <w:szCs w:val="18"/>
          <w:color w:val="auto"/>
        </w:rPr>
        <w:t>Patents in the PRC are principally protected under the Patent Law of the People’s Republic of China, which was amended by the Standing Committee of the National People’s Congress in 2008 and became effective on October 1, 2009. This law is formulated for protecting the rights and interests of patentees, encouraging invention, promoting the application of inventions, enhancing innovation capacity, and facilitating the advancement of science and technology, and the economic and social development. Under this law, the duration of a patent right is either 10 years or 20 years from the date of application, depending on the type of patent right.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w:t>
      </w:r>
    </w:p>
    <w:p>
      <w:pPr>
        <w:spacing w:after="0" w:line="117" w:lineRule="exact"/>
        <w:rPr>
          <w:sz w:val="20"/>
          <w:szCs w:val="20"/>
          <w:color w:val="auto"/>
        </w:rPr>
      </w:pPr>
    </w:p>
    <w:p>
      <w:pPr>
        <w:ind w:right="60" w:firstLine="495"/>
        <w:spacing w:after="0" w:line="275" w:lineRule="auto"/>
        <w:rPr>
          <w:sz w:val="20"/>
          <w:szCs w:val="20"/>
          <w:color w:val="auto"/>
        </w:rPr>
      </w:pPr>
      <w:r>
        <w:rPr>
          <w:rFonts w:ascii="Arial" w:cs="Arial" w:eastAsia="Arial" w:hAnsi="Arial"/>
          <w:sz w:val="17"/>
          <w:szCs w:val="17"/>
          <w:color w:val="auto"/>
        </w:rPr>
        <w:t>The PRC Trademark Law, promulgated in 1983 and most recently amended in 2019, which such amendments became effective on November 1, 2019, protects the proprietary rights with respect to registered trademarks. The Trademark Office under the SAIC handles trademark registrations and may grant a term of 10 years for registered trademarks, which may be extended for another 10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the relevant products or services.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Domain Name</w:t>
      </w:r>
    </w:p>
    <w:p>
      <w:pPr>
        <w:spacing w:after="0" w:line="117" w:lineRule="exact"/>
        <w:rPr>
          <w:sz w:val="20"/>
          <w:szCs w:val="20"/>
          <w:color w:val="auto"/>
        </w:rPr>
      </w:pPr>
    </w:p>
    <w:p>
      <w:pPr>
        <w:ind w:firstLine="495"/>
        <w:spacing w:after="0" w:line="254" w:lineRule="auto"/>
        <w:rPr>
          <w:sz w:val="20"/>
          <w:szCs w:val="20"/>
          <w:color w:val="auto"/>
        </w:rPr>
      </w:pPr>
      <w:r>
        <w:rPr>
          <w:rFonts w:ascii="Arial" w:cs="Arial" w:eastAsia="Arial" w:hAnsi="Arial"/>
          <w:sz w:val="18"/>
          <w:szCs w:val="18"/>
          <w:color w:val="auto"/>
        </w:rPr>
        <w:t>The Ministry of Industry and Information Technology promulgated the Measures on Administration of Internet Domain Names, or the Domain Name Measures, on August 24, 2017, which took effect on November 1, 2017 and replaced the Administrative Measures on China Internet Domain Name promulgated by MIIT on November 5, 2004. According to the Domain Name Measures, the MIIT is in charge of the administration of PRC internet domain names. The domain name registration follows a first-to-file principle. Applicants for registration of domain names shall provide the true, accurate and complete information of their identities to domain name registration service institutions. The applicants will become the holder of such domain names upon the completion of the registration procedure. These measures are formulated with reference to the norms on administration of internet domain names worldwide, for the purposes of promoting the healthy development of China’s internet sector and guaranteeing the safe and reliable operation of the internet domain name system in the PRC.</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Employment</w:t>
      </w:r>
    </w:p>
    <w:p>
      <w:pPr>
        <w:spacing w:after="0" w:line="117" w:lineRule="exact"/>
        <w:rPr>
          <w:sz w:val="20"/>
          <w:szCs w:val="20"/>
          <w:color w:val="auto"/>
        </w:rPr>
      </w:pPr>
    </w:p>
    <w:p>
      <w:pPr>
        <w:ind w:right="40" w:firstLine="495"/>
        <w:spacing w:after="0" w:line="272" w:lineRule="auto"/>
        <w:rPr>
          <w:sz w:val="20"/>
          <w:szCs w:val="20"/>
          <w:color w:val="auto"/>
        </w:rPr>
      </w:pPr>
      <w:r>
        <w:rPr>
          <w:rFonts w:ascii="Arial" w:cs="Arial" w:eastAsia="Arial" w:hAnsi="Arial"/>
          <w:sz w:val="17"/>
          <w:szCs w:val="17"/>
          <w:color w:val="auto"/>
        </w:rPr>
        <w:t>There are several principal rules and regulations in the PRC with respect to rights and obligations of employers and labors, including (i) the Labor Law of the People’s Republic of China, promulgated by the Standing Committee of the National People’s Congress effective on January 1, 1995, amended and became effective on December 29, 2018, or the Labor Law, (ii) the Labor Contract Law of the People’s Republic of China, promulgated by the Standing Committee of the National People’s Congress effective on July 1, 2013, or the Labor Contract Law, (iii) the Social Insurance Law of the People’s Republic of China, promulgated by the Standing Committee of the National People’s Congress effective on July 1, 2011, amended and became effective on December 29, 2018, or the Social Insurance Law, which was, and (iv) the Regulations on the Management of Housing Provident Fund, promulgated by the State Council on March 24, 2002 and amended and became effective on March 4, 2019.</w:t>
      </w:r>
    </w:p>
    <w:p>
      <w:pPr>
        <w:spacing w:after="0" w:line="177" w:lineRule="exact"/>
        <w:rPr>
          <w:sz w:val="20"/>
          <w:szCs w:val="20"/>
          <w:color w:val="auto"/>
        </w:rPr>
      </w:pPr>
    </w:p>
    <w:p>
      <w:pPr>
        <w:ind w:right="40" w:firstLine="495"/>
        <w:spacing w:after="0" w:line="273" w:lineRule="auto"/>
        <w:rPr>
          <w:sz w:val="20"/>
          <w:szCs w:val="20"/>
          <w:color w:val="auto"/>
        </w:rPr>
      </w:pPr>
      <w:r>
        <w:rPr>
          <w:rFonts w:ascii="Arial" w:cs="Arial" w:eastAsia="Arial" w:hAnsi="Arial"/>
          <w:sz w:val="17"/>
          <w:szCs w:val="17"/>
          <w:color w:val="auto"/>
        </w:rPr>
        <w:t>According to the Labor Law and the Labor Contract Law, employers must execute written labor contracts with full-time employees. All employers must compensate their employees with wages equal to at least the local minimum wage standard. All employers are required, among other things, to establish a system for labor safety and workplace sanitation, and to provide employees with workplace safety training. Violations of the Labor Law and the Labor Contract Law may result in the imposition of fines and other administrative penalties. For serious violations, criminal liability may arise. In addition, pursuant to the Social Insurance Law, employers in the PRC are required to provide employees with welfare schemes covering pension insurance, unemployment insurance, maternity insurance, work-related injury insurance, medical insurance and housing funds.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Taxation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PRC Enterprise Income Tax</w:t>
      </w:r>
    </w:p>
    <w:p>
      <w:pPr>
        <w:spacing w:after="0" w:line="117" w:lineRule="exact"/>
        <w:rPr>
          <w:sz w:val="20"/>
          <w:szCs w:val="20"/>
          <w:color w:val="auto"/>
        </w:rPr>
      </w:pPr>
    </w:p>
    <w:p>
      <w:pPr>
        <w:jc w:val="both"/>
        <w:ind w:right="140" w:firstLine="495"/>
        <w:spacing w:after="0" w:line="263" w:lineRule="auto"/>
        <w:rPr>
          <w:sz w:val="20"/>
          <w:szCs w:val="20"/>
          <w:color w:val="auto"/>
        </w:rPr>
      </w:pPr>
      <w:r>
        <w:rPr>
          <w:rFonts w:ascii="Arial" w:cs="Arial" w:eastAsia="Arial" w:hAnsi="Arial"/>
          <w:sz w:val="18"/>
          <w:szCs w:val="18"/>
          <w:color w:val="auto"/>
        </w:rPr>
        <w:t>PRC enterprise income tax is calculated based on taxable income, which is determined under (i) the PRC Enterprise Income Tax Law, promulgated by the National People’s Congress of China and implemented on January 1, 2008, amended and became effective on December 29, 2018, or the EIT Law, and (ii) the implementation rules to the EIT Law promulgated by the State Council</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62" w:name="page63"/>
    <w:bookmarkEnd w:id="62"/>
    <w:p>
      <w:pPr>
        <w:ind w:right="40"/>
        <w:spacing w:after="0" w:line="259" w:lineRule="auto"/>
        <w:rPr>
          <w:sz w:val="20"/>
          <w:szCs w:val="20"/>
          <w:color w:val="auto"/>
        </w:rPr>
      </w:pPr>
      <w:r>
        <w:rPr>
          <w:rFonts w:ascii="Arial" w:cs="Arial" w:eastAsia="Arial" w:hAnsi="Arial"/>
          <w:sz w:val="18"/>
          <w:szCs w:val="18"/>
          <w:color w:val="auto"/>
        </w:rPr>
        <w:t>and implemented on January 1, 2008 and amended on April 23, 2019. The EIT Law imposes a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 with the approval of relevant tax authorities.</w:t>
      </w:r>
    </w:p>
    <w:p>
      <w:pPr>
        <w:spacing w:after="0" w:line="187" w:lineRule="exact"/>
        <w:rPr>
          <w:sz w:val="20"/>
          <w:szCs w:val="20"/>
          <w:color w:val="auto"/>
        </w:rPr>
      </w:pPr>
    </w:p>
    <w:p>
      <w:pPr>
        <w:ind w:firstLine="495"/>
        <w:spacing w:after="0" w:line="270" w:lineRule="auto"/>
        <w:rPr>
          <w:sz w:val="20"/>
          <w:szCs w:val="20"/>
          <w:color w:val="auto"/>
        </w:rPr>
      </w:pPr>
      <w:r>
        <w:rPr>
          <w:rFonts w:ascii="Arial" w:cs="Arial" w:eastAsia="Arial" w:hAnsi="Arial"/>
          <w:sz w:val="17"/>
          <w:szCs w:val="17"/>
          <w:color w:val="auto"/>
        </w:rPr>
        <w:t>In addition, according to the EIT Law, enterprises that are incorporated outside the PRC but have their “de facto management body” located in China may be considered as PRC resident enterprises and may therefore be subject to PRC enterprise income tax at the rate of 25% on their worldwide income. The implementation rules of the EIT Law define “de facto management body” as “establishment that carries out substantial and overall management and control over the manufacturing and business operations, personnel, accounting, properties, etc. of an enterprise.” And the Notice Regarding the Determination of Chinese-Controlled Overseas Incorporated Enterprises as PRC Tax Resident Enterprises on the Basis of De Facto Management Bodies, or Circular 82, further provides certain specific criteria to determine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w:t>
      </w:r>
    </w:p>
    <w:p>
      <w:pPr>
        <w:spacing w:after="0" w:line="181" w:lineRule="exact"/>
        <w:rPr>
          <w:sz w:val="20"/>
          <w:szCs w:val="20"/>
          <w:color w:val="auto"/>
        </w:rPr>
      </w:pPr>
    </w:p>
    <w:p>
      <w:pPr>
        <w:ind w:right="60" w:firstLine="495"/>
        <w:spacing w:after="0" w:line="272" w:lineRule="auto"/>
        <w:rPr>
          <w:sz w:val="20"/>
          <w:szCs w:val="20"/>
          <w:color w:val="auto"/>
        </w:rPr>
      </w:pPr>
      <w:r>
        <w:rPr>
          <w:rFonts w:ascii="Arial" w:cs="Arial" w:eastAsia="Arial" w:hAnsi="Arial"/>
          <w:sz w:val="17"/>
          <w:szCs w:val="17"/>
          <w:color w:val="auto"/>
        </w:rPr>
        <w:t>According to Circular 82, a Chinese-controlled offshore-incorporated enterprise will be regarded as a PRC tax resident by virtue of having its “de facto management body” in China and will be subject to PRC enterprise income tax on its global income only if all of the following conditions are met: (i) the primary location of the day-to-day operational management and the place where the enterprise performs its duties are in the PRC; (ii) decisions relating to the enterprise’s financial and human resource matters are made or are subject to approval of organizations or personnel in the PRC; (iii) the enterprise’s primary assets, accounting books and records, company seals and board and shareholder resolutions are located or maintained in the PRC; and (iv) 50% or more of voting board members or senior executives habitually reside in the PRC. In the event that we are considered a PRC resident enterprise, we would be subject to the PRC enterprise income tax at the rate of 25% on our worldwide income.</w:t>
      </w:r>
    </w:p>
    <w:p>
      <w:pPr>
        <w:spacing w:after="0" w:line="177"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We are organized under the laws of the Cayman Islands and not controlled by a PRC enterprise or PRC enterprise group, we therefore do not believe that we meet all of the conditions above. But if we are considered a PRC resident enterprise by the competent tax authority, we would be subject to the PRC enterprise income tax at the rate of 25% on our worldwide income.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for Share Transfers</w:t>
      </w:r>
    </w:p>
    <w:p>
      <w:pPr>
        <w:spacing w:after="0" w:line="117" w:lineRule="exact"/>
        <w:rPr>
          <w:sz w:val="20"/>
          <w:szCs w:val="20"/>
          <w:color w:val="auto"/>
        </w:rPr>
      </w:pPr>
    </w:p>
    <w:p>
      <w:pPr>
        <w:ind w:firstLine="495"/>
        <w:spacing w:after="0" w:line="268" w:lineRule="auto"/>
        <w:rPr>
          <w:sz w:val="20"/>
          <w:szCs w:val="20"/>
          <w:color w:val="auto"/>
        </w:rPr>
      </w:pPr>
      <w:r>
        <w:rPr>
          <w:rFonts w:ascii="Arial" w:cs="Arial" w:eastAsia="Arial" w:hAnsi="Arial"/>
          <w:sz w:val="17"/>
          <w:szCs w:val="17"/>
          <w:color w:val="auto"/>
        </w:rPr>
        <w:t>According to the Notice on Strengthening Administration of Enterprise Income Tax for Share Transfers by Non-Resident Enterprises, or Circular 698, promulgated by the SAT on December 10, 2009, which is replaced by the Circular on Issues of Tax Withholding regarding Non-PRC Resident Enterprise Income Tax, or Circular 37, promulgated by the SAT on October 17, 2017, and the SAT’s Announcement on Several Issues Concerning the Enterprise Income Tax on Indirect Property Transfer by Non-Resident Enterprises, or Circular 7, promulgated by the SAT on February 3, 2015, if a non-resident enterprise transfers the equity interests of a PRC resident enterprise indirectly by transfer of the equity interests of an offshore holding company (issued by a PRC resident enterprise) without a reasonable commercial purpose, the PRC tax authorities have the power to reassess the nature of the transaction and the indirect equity transfer may be treated as a direct transfer. As a result, the gain derived from such transfer, which means the equity transfer price less the cost of equity, may be subject to PRC withholding tax at a rate of up to 10%. Under the terms of Circular 7, a transfer that meets all of the following circumstances will be deemed to have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 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w:t>
      </w:r>
    </w:p>
    <w:p>
      <w:pPr>
        <w:spacing w:after="0" w:line="184" w:lineRule="exact"/>
        <w:rPr>
          <w:sz w:val="20"/>
          <w:szCs w:val="20"/>
          <w:color w:val="auto"/>
        </w:rPr>
      </w:pPr>
    </w:p>
    <w:p>
      <w:pPr>
        <w:ind w:right="140" w:firstLine="495"/>
        <w:spacing w:after="0" w:line="296" w:lineRule="auto"/>
        <w:rPr>
          <w:sz w:val="20"/>
          <w:szCs w:val="20"/>
          <w:color w:val="auto"/>
        </w:rPr>
      </w:pPr>
      <w:r>
        <w:rPr>
          <w:rFonts w:ascii="Arial" w:cs="Arial" w:eastAsia="Arial" w:hAnsi="Arial"/>
          <w:sz w:val="16"/>
          <w:szCs w:val="16"/>
          <w:color w:val="auto"/>
        </w:rPr>
        <w:t>There is uncertainty as to the application of Circular 37 and Circular 7. Circular 37 and Circular 7 may be determined by the PRC tax authorities to be applicable to our prior private equity financing transactions that involved non-resident investors, if any of such transactions were determined by the tax authorities to lack reasonable commercial purpose. As a result, we and our non-resident investors in such transactions may be taxed under Circular 37 and Circular 7, and we may be required to expend valuable resources to comply with Circular 37 and Circular 7 or to establish that we should not be taxed under the general anti-avoidance rule of the EIT Law, which may have a material adverse effect on our financial condition and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Added Tax</w:t>
      </w:r>
    </w:p>
    <w:p>
      <w:pPr>
        <w:spacing w:after="0" w:line="117" w:lineRule="exact"/>
        <w:rPr>
          <w:sz w:val="20"/>
          <w:szCs w:val="20"/>
          <w:color w:val="auto"/>
        </w:rPr>
      </w:pPr>
    </w:p>
    <w:p>
      <w:pPr>
        <w:jc w:val="both"/>
        <w:ind w:right="180" w:firstLine="495"/>
        <w:spacing w:after="0" w:line="263" w:lineRule="auto"/>
        <w:rPr>
          <w:sz w:val="20"/>
          <w:szCs w:val="20"/>
          <w:color w:val="auto"/>
        </w:rPr>
      </w:pPr>
      <w:r>
        <w:rPr>
          <w:rFonts w:ascii="Arial" w:cs="Arial" w:eastAsia="Arial" w:hAnsi="Arial"/>
          <w:sz w:val="18"/>
          <w:szCs w:val="18"/>
          <w:color w:val="auto"/>
        </w:rPr>
        <w:t>On January 1, 2012, the State Council launched a pilot value-added tax, or VAT, reform program, or the Pilot Program, applicable to businesses in selected industries, such as industries involving the leasing of tangible movable property, transportation services, research and development and technical services, information technology services, cultural and creativity services, logistics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3" w:name="page64"/>
    <w:bookmarkEnd w:id="63"/>
    <w:p>
      <w:pPr>
        <w:spacing w:after="0" w:line="286" w:lineRule="auto"/>
        <w:rPr>
          <w:sz w:val="20"/>
          <w:szCs w:val="20"/>
          <w:color w:val="auto"/>
        </w:rPr>
      </w:pPr>
      <w:r>
        <w:rPr>
          <w:rFonts w:ascii="Arial" w:cs="Arial" w:eastAsia="Arial" w:hAnsi="Arial"/>
          <w:sz w:val="16"/>
          <w:szCs w:val="16"/>
          <w:color w:val="auto"/>
        </w:rPr>
        <w:t>ancillary services and attestation and consulting services. Businesses subject to the Pilot Program are subject to VAT instead of business tax. On May 24, 2013, the Ministry of Finance and the SAT issued the Circular on Tax Policies in the Nationwide Pilot Collection of Value Added Tax in Lieu of Business Tax in the Transportation Industry and Certain Modern Services Industries. On August 1, 2013, the Pilot Program was implemented throughout China. On March 23, 2016, SAT and Ministry of Finance promulgated Circular on Comprehensively Promoting the Pilot Program of the Collection of Value-added Tax in Lieu of Business Tax, which became effective on May 1, 2016. According to the 2016 Circular, general taxpayers who are engaged in technical services, information technology services, cultural creativity services, logistics supporting services, leasing services, attestation consulting services and/or other modern service industries are subject to a VAT at the rate of 6%. On November 19, 2017, the State Council promulgated The Decisions on Abolishing the Provisional Regulations of the PRC on Business Tax and Amending the Provisional Regulations of the PRC on Value-added Tax, or Order 691. According to the VAT Law and Order 691, all enterprises and individuals engaged in the sale of goods, the provision of processing, repair and replacement services, sales of services, intangible assets, real property and the importation of goods within the territory of the PRC are the taxpayers of VAT. The VAT tax rates generally applicable are simplified as 17%, 11%, 6% and 0%, and the VAT tax rate applicable to the small-scale taxpayers is 3%. The Notice of the Ministry of Finance and the SAT on Adjusting Value-added Tax Rates, or the Notice, was promulgated on April 4, 2018 and came into effect on May 1, 2018. According to the Notice, the VAT tax rate of 17% and 11% are changed into 16% and 10%, respectively. On March 20, 2019, the Ministry of Finance, State Taxation Administration and General Administration of Customs jointly promulgated the Relevant Policies Notice on Deepening Reform of VAT Tax, or the Notice 39, effective on April 1, 2019, which lowers the VAT tax rate of 16% and 10% to 13% and 9%,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Withholding Tax</w:t>
      </w:r>
    </w:p>
    <w:p>
      <w:pPr>
        <w:spacing w:after="0" w:line="117" w:lineRule="exact"/>
        <w:rPr>
          <w:sz w:val="20"/>
          <w:szCs w:val="20"/>
          <w:color w:val="auto"/>
        </w:rPr>
      </w:pPr>
    </w:p>
    <w:p>
      <w:pPr>
        <w:ind w:right="120" w:firstLine="495"/>
        <w:spacing w:after="0" w:line="259" w:lineRule="auto"/>
        <w:rPr>
          <w:sz w:val="20"/>
          <w:szCs w:val="20"/>
          <w:color w:val="auto"/>
        </w:rPr>
      </w:pPr>
      <w:r>
        <w:rPr>
          <w:rFonts w:ascii="Arial" w:cs="Arial" w:eastAsia="Arial" w:hAnsi="Arial"/>
          <w:sz w:val="18"/>
          <w:szCs w:val="18"/>
          <w:color w:val="auto"/>
        </w:rPr>
        <w:t>We are a Cayman Islands exempted limited liability company, used as a holding company and a substantial part of our income may come from dividends we receive from our PRC subsidiary by distributions to our Hong Kong subsidiaries. Pursuant to the EIT Law and its implementation rules, and Special Double Taxation Avoidance Agreement, dividends generated after January 1, 2008 and distributed to our Hong Kong subsidiaries by our PRC subsidiary are subject to withholding tax at a rate of 5%.</w:t>
      </w:r>
    </w:p>
    <w:p>
      <w:pPr>
        <w:spacing w:after="0" w:line="187" w:lineRule="exact"/>
        <w:rPr>
          <w:sz w:val="20"/>
          <w:szCs w:val="20"/>
          <w:color w:val="auto"/>
        </w:rPr>
      </w:pPr>
    </w:p>
    <w:p>
      <w:pPr>
        <w:ind w:firstLine="495"/>
        <w:spacing w:after="0" w:line="268" w:lineRule="auto"/>
        <w:rPr>
          <w:sz w:val="20"/>
          <w:szCs w:val="20"/>
          <w:color w:val="auto"/>
        </w:rPr>
      </w:pPr>
      <w:r>
        <w:rPr>
          <w:rFonts w:ascii="Arial" w:cs="Arial" w:eastAsia="Arial" w:hAnsi="Arial"/>
          <w:sz w:val="17"/>
          <w:szCs w:val="17"/>
          <w:color w:val="auto"/>
        </w:rPr>
        <w:t>The PRC and the Hong Kong Special Administrative Region entered into the Arrangement for the Avoidance of Double Taxation and Prevention of Fiscal Evasion with respect to Taxes on Income, or Special Double Taxation Avoidance Agreement, on August 21, 2006. This arrangement reduces the withholding tax rate in respect of the payment of dividends by a PRC enterprise to a Hong Kong enterprise, such as from our PRC subsidiaries to our Hong Kong subsidiaries, from the statutory rate of 10% to 5% if the Hong Kong enterprise directly holds at least 25% of the PRC enterprise. Pursuant to the SAT’s Notice on the Issues concerning the Application of the Dividend Clauses of Tax Agreements, or Circular 81, a Hong Kong resident enterprise must meet the following conditions, among others, in order to benefit from the reduced withholding tax rate: (i) it must be is a company; (ii) it must directly own the required percentage of equity interests and voting rights in the PRC resident enterprise; and (iii) it must have directly owned such required percentage in the PRC resident enterprise throughout the 12 months prior to receiving the dividends. Furthermore, the Announcement of the State Taxation Administration on Issuing the Administrative Measures for Entitlement to Treaty Benefits for Non-resident Taxpayers, or Non-Resident Tax Treatments Measures, which became effective in October 14, 2019, require that non-resident taxpayers collect, gather and retain relevant materials for future reference in accordance with the provisions of this measure and be administrated and supervised subsequently by the relevant tax authority in order for the reduced withholding tax rate to apply. There are also other conditions for the reduced withholding tax rate including that Hong Kong recipient must be the beneficial owner of the income.</w:t>
      </w:r>
    </w:p>
    <w:p>
      <w:pPr>
        <w:spacing w:after="0" w:line="186" w:lineRule="exact"/>
        <w:rPr>
          <w:sz w:val="20"/>
          <w:szCs w:val="20"/>
          <w:color w:val="auto"/>
        </w:rPr>
      </w:pPr>
    </w:p>
    <w:p>
      <w:pPr>
        <w:jc w:val="both"/>
        <w:ind w:right="60" w:firstLine="495"/>
        <w:spacing w:after="0" w:line="263" w:lineRule="auto"/>
        <w:rPr>
          <w:sz w:val="20"/>
          <w:szCs w:val="20"/>
          <w:color w:val="auto"/>
        </w:rPr>
      </w:pPr>
      <w:r>
        <w:rPr>
          <w:rFonts w:ascii="Arial" w:cs="Arial" w:eastAsia="Arial" w:hAnsi="Arial"/>
          <w:sz w:val="18"/>
          <w:szCs w:val="18"/>
          <w:color w:val="auto"/>
        </w:rPr>
        <w:t>As uncertainties remain regarding the interpretation and implementation of the EIT Law and its implementation rules, we cannot assure you that, if we are deemed a PRC resident enterprise, any dividends to be distributed by us to our non-PRC shareholders and ADS holders would not be subject to any PRC withholding tax.</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Foreign Exchange</w:t>
      </w:r>
    </w:p>
    <w:p>
      <w:pPr>
        <w:spacing w:after="0" w:line="117" w:lineRule="exact"/>
        <w:rPr>
          <w:sz w:val="20"/>
          <w:szCs w:val="20"/>
          <w:color w:val="auto"/>
        </w:rPr>
      </w:pPr>
    </w:p>
    <w:p>
      <w:pPr>
        <w:ind w:firstLine="495"/>
        <w:spacing w:after="0" w:line="279" w:lineRule="auto"/>
        <w:rPr>
          <w:sz w:val="20"/>
          <w:szCs w:val="20"/>
          <w:color w:val="auto"/>
        </w:rPr>
      </w:pPr>
      <w:r>
        <w:rPr>
          <w:rFonts w:ascii="Arial" w:cs="Arial" w:eastAsia="Arial" w:hAnsi="Arial"/>
          <w:sz w:val="17"/>
          <w:szCs w:val="17"/>
          <w:color w:val="auto"/>
        </w:rPr>
        <w:t>The Regulations of the People’s Republic of China on Foreign Exchange Control, promulgated by the State Council on August 5, 2008, are principal regulations on foreign currency exchange in the PRC. Under these regulations, the Renminbi is freely convertible for current account items after due process, including distribution of dividends, trade-related foreign exchange transactions and service-related foreign exchange transactions, whereas foreign exchange for capital account items, such as direct investments or loans, require prior approval of and registration with SAFE.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Settlement and Overseas Remittance of Foreign-Invested Enterprises</w:t>
      </w:r>
    </w:p>
    <w:p>
      <w:pPr>
        <w:spacing w:after="0" w:line="117" w:lineRule="exact"/>
        <w:rPr>
          <w:sz w:val="20"/>
          <w:szCs w:val="20"/>
          <w:color w:val="auto"/>
        </w:rPr>
      </w:pPr>
    </w:p>
    <w:p>
      <w:pPr>
        <w:ind w:firstLine="495"/>
        <w:spacing w:after="0" w:line="290" w:lineRule="auto"/>
        <w:rPr>
          <w:sz w:val="20"/>
          <w:szCs w:val="20"/>
          <w:color w:val="auto"/>
        </w:rPr>
      </w:pPr>
      <w:r>
        <w:rPr>
          <w:rFonts w:ascii="Arial" w:cs="Arial" w:eastAsia="Arial" w:hAnsi="Arial"/>
          <w:sz w:val="16"/>
          <w:szCs w:val="16"/>
          <w:color w:val="auto"/>
        </w:rPr>
        <w:t>On May 13, 2013, SAFE promulgated the Provisions on Foreign Exchange Administration Over Direct Investment Made by Foreign Investors in the PRC in order to promote and facilitate foreign investors to make direct investment in the PRC. Under these provisions, a foreign-invested enterprise may remit funds abroad for purchase and remit foreign exchange with relevant banks from capital reduction, liquidation, advance recovery of investment, profit distribution, etc. after due registration. On June 1, 2015, SAFE Circular 19 came into effect, which introduced a reform of the administration to the settlement of the foreign exchange capital for foreign-invested enterprises national wide based on the pilot experience in certain regions in the early days. On June 9, 2016, SAFE Circular 16 was promulgated, which included more detailed provisions on capital account settlement and overseas remittance for foreign-invested enterprises. This notice allows foreign-invested enterprises to settle their foreign exchange receipt on a discretionary basis and explicitly includes foreign debts and repatriated funds raised through overseas listing as foreign exchange receipts that can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64" w:name="page65"/>
    <w:bookmarkEnd w:id="64"/>
    <w:p>
      <w:pPr>
        <w:ind w:right="160"/>
        <w:spacing w:after="0" w:line="301" w:lineRule="auto"/>
        <w:rPr>
          <w:sz w:val="20"/>
          <w:szCs w:val="20"/>
          <w:color w:val="auto"/>
        </w:rPr>
      </w:pPr>
      <w:r>
        <w:rPr>
          <w:rFonts w:ascii="Arial" w:cs="Arial" w:eastAsia="Arial" w:hAnsi="Arial"/>
          <w:sz w:val="16"/>
          <w:szCs w:val="16"/>
          <w:color w:val="auto"/>
        </w:rPr>
        <w:t>be settled discretionally in addition to foreign exchange capital, but continues to prohibit foreign-invested enterprises from using the Renminbi fund converted from their foreign exchange capitals for expenditure beyond their business scopes, investment in security market, offering of entrustment loans or purchase of any investment properties. Although this makes a further relaxation of policies on the control over foreign exchange settlement of capital accounts, in practice, there are still several specific requirements that affect the abilities of the PRC enterprises to access the offshore financing capitals.</w:t>
      </w:r>
    </w:p>
    <w:p>
      <w:pPr>
        <w:spacing w:after="0" w:line="157" w:lineRule="exact"/>
        <w:rPr>
          <w:sz w:val="20"/>
          <w:szCs w:val="20"/>
          <w:color w:val="auto"/>
        </w:rPr>
      </w:pPr>
    </w:p>
    <w:p>
      <w:pPr>
        <w:ind w:right="160" w:firstLine="495"/>
        <w:spacing w:after="0" w:line="296" w:lineRule="auto"/>
        <w:rPr>
          <w:sz w:val="20"/>
          <w:szCs w:val="20"/>
          <w:color w:val="auto"/>
        </w:rPr>
      </w:pPr>
      <w:r>
        <w:rPr>
          <w:rFonts w:ascii="Arial" w:cs="Arial" w:eastAsia="Arial" w:hAnsi="Arial"/>
          <w:sz w:val="16"/>
          <w:szCs w:val="16"/>
          <w:color w:val="auto"/>
        </w:rPr>
        <w:t>According to Interim Administrative Measures for the Record-filing of the Incorporation and Change of Foreign-invested Enterprises promulgated by the Ministry of Commerce, or the MOC, effective on October 8, 2016, foreign investors making capital contributions to their PRC subsidiaries shall make necessary filings in the Foreign Investment Comprehensive Management Information System, or FICMIS. Pursuant to the Interim Measures on the Management of Foreign Debts promulgated jointly by SAFE, Ministry of Finance, the NDRC, effective on March 1, 2003, PRC foreign-invested companies may not procure loans which exceed the difference between its registered capital and its total investment amount as recorded in FICMIS.</w:t>
      </w:r>
    </w:p>
    <w:p>
      <w:pPr>
        <w:spacing w:after="0" w:line="161" w:lineRule="exact"/>
        <w:rPr>
          <w:sz w:val="20"/>
          <w:szCs w:val="20"/>
          <w:color w:val="auto"/>
        </w:rPr>
      </w:pPr>
    </w:p>
    <w:p>
      <w:pPr>
        <w:ind w:right="100" w:firstLine="495"/>
        <w:spacing w:after="0" w:line="257" w:lineRule="auto"/>
        <w:rPr>
          <w:sz w:val="20"/>
          <w:szCs w:val="20"/>
          <w:color w:val="auto"/>
        </w:rPr>
      </w:pPr>
      <w:r>
        <w:rPr>
          <w:rFonts w:ascii="Arial" w:cs="Arial" w:eastAsia="Arial" w:hAnsi="Arial"/>
          <w:sz w:val="18"/>
          <w:szCs w:val="18"/>
          <w:color w:val="auto"/>
        </w:rPr>
        <w:t>On January 12, 2017, the People’s Bank of China promulgated the Circular on Management of Cross-border Financing. According to this circular, an enterprise shall file the cross-border financing contracts for the record with the Capital Project Information System of SAFE after the execution date of the contracts but no later than three working days before the withdrawal date. In addition, according to the Circular on Promoting the Administrative Reform, promulgated by the NDRC on September 14, 2015, any medium or long term loan to be provided by foreign entities to domestic enterprises must be recorded and registered by the NDRC.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Outbound Investment and Financing and Roundtrip Investment</w:t>
      </w:r>
    </w:p>
    <w:p>
      <w:pPr>
        <w:spacing w:after="0" w:line="117" w:lineRule="exact"/>
        <w:rPr>
          <w:sz w:val="20"/>
          <w:szCs w:val="20"/>
          <w:color w:val="auto"/>
        </w:rPr>
      </w:pPr>
    </w:p>
    <w:p>
      <w:pPr>
        <w:ind w:right="40" w:firstLine="495"/>
        <w:spacing w:after="0" w:line="257" w:lineRule="auto"/>
        <w:rPr>
          <w:sz w:val="20"/>
          <w:szCs w:val="20"/>
          <w:color w:val="auto"/>
        </w:rPr>
      </w:pPr>
      <w:r>
        <w:rPr>
          <w:rFonts w:ascii="Arial" w:cs="Arial" w:eastAsia="Arial" w:hAnsi="Arial"/>
          <w:sz w:val="18"/>
          <w:szCs w:val="18"/>
          <w:color w:val="auto"/>
        </w:rPr>
        <w:t>On July 4, 2014, the Circular on the Relevant Issues Concerning Foreign Exchange Control on Domestic Residents Outbound Investment and Financing and Roundtrip Investment though Special Purpose Vehicles promulgated by SAFE came into effect. This circular prescribes operational procedures and registration requirements for roundtrip investment through special purpose companies and others. In particular, it states that a domestic resident shall apply to the relevant local branch of SAFE for foreign exchange registration of overseas investment, prior to making contribution to a special purpose company with legitimate domestic or overseas assets or interests.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Plans</w:t>
      </w:r>
    </w:p>
    <w:p>
      <w:pPr>
        <w:spacing w:after="0" w:line="117" w:lineRule="exact"/>
        <w:rPr>
          <w:sz w:val="20"/>
          <w:szCs w:val="20"/>
          <w:color w:val="auto"/>
        </w:rPr>
      </w:pPr>
    </w:p>
    <w:p>
      <w:pPr>
        <w:ind w:firstLine="495"/>
        <w:spacing w:after="0" w:line="270" w:lineRule="auto"/>
        <w:rPr>
          <w:sz w:val="20"/>
          <w:szCs w:val="20"/>
          <w:color w:val="auto"/>
        </w:rPr>
      </w:pPr>
      <w:r>
        <w:rPr>
          <w:rFonts w:ascii="Arial" w:cs="Arial" w:eastAsia="Arial" w:hAnsi="Arial"/>
          <w:sz w:val="17"/>
          <w:szCs w:val="17"/>
          <w:color w:val="auto"/>
        </w:rPr>
        <w:t>On February 15, 2012, the Notice of SAFE on Relevant Issues Concerning the Foreign Exchange Administration for Domestic Individuals’ Participation in Equity Incentive Plans of Overseas-Listed Companies came into effect. This notice prescribes foreign exchange registration requirements for domestic individuals such as directors, supervisors, officials and other employees in relation to equity incentive plans of companies listed abroad, including employee stock ownership plans, employee stock option plans and other equity incentive programs permitted by applicable laws and regulations. Under the notice, individuals who participate in equity incentive plans of an overseas listed company shall, through the domestic companies they serve, collectively entrust a domestic agency to handle matters such as foreign exchange registration with SAFE, account opening, and funds transfer and remittance, and also entrust an overseas institution to handle matters such as exercise of options, purchasing and sale of related equity and transfer of funds. An individual may use his/her own foreign currency funds in his/her personal foreign currency deposit account, RMB funds or other legitimate domestic funds to participate in an equity incentive plan.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Dividend Distribution</w:t>
      </w:r>
    </w:p>
    <w:p>
      <w:pPr>
        <w:spacing w:after="0" w:line="117" w:lineRule="exact"/>
        <w:rPr>
          <w:sz w:val="20"/>
          <w:szCs w:val="20"/>
          <w:color w:val="auto"/>
        </w:rPr>
      </w:pPr>
    </w:p>
    <w:p>
      <w:pPr>
        <w:ind w:right="120" w:firstLine="495"/>
        <w:spacing w:after="0" w:line="254" w:lineRule="auto"/>
        <w:rPr>
          <w:sz w:val="20"/>
          <w:szCs w:val="20"/>
          <w:color w:val="auto"/>
        </w:rPr>
      </w:pPr>
      <w:r>
        <w:rPr>
          <w:rFonts w:ascii="Arial" w:cs="Arial" w:eastAsia="Arial" w:hAnsi="Arial"/>
          <w:sz w:val="18"/>
          <w:szCs w:val="18"/>
          <w:color w:val="auto"/>
        </w:rPr>
        <w:t>The principal legislation with respect to payment or distribution of dividends by wholly foreign-owned enterprises include (i) the Company Law of the People’s Republic of China, most recently amended by the Standing Committee of the National People’s Congress as of October 26, 2018, and (ii) Foreign Investment Law of the People’s Republic of China, which was promulgated on March 15, 2019 and effective from January 1, 2020. Under these laws, wholly foreign-owned enterprises in the PRC may pay dividends only out of accumulated profits, after setting aside annually at least 10% of accumulated after-tax profits as reserve fund, if any, until such time as the accumulative amount of such fund reaches 50% of the enterprise’s registered capital. A wholly foreign-owned enterprise may allocate a portion of its after-tax profits to its employee welfare and bonus funds at its discretion. These reserve funds may not be distributed as cash dividends.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Foreign Investment</w:t>
      </w:r>
    </w:p>
    <w:p>
      <w:pPr>
        <w:spacing w:after="0" w:line="117" w:lineRule="exact"/>
        <w:rPr>
          <w:sz w:val="20"/>
          <w:szCs w:val="20"/>
          <w:color w:val="auto"/>
        </w:rPr>
      </w:pPr>
    </w:p>
    <w:p>
      <w:pPr>
        <w:ind w:right="160" w:firstLine="495"/>
        <w:spacing w:after="0" w:line="263" w:lineRule="auto"/>
        <w:rPr>
          <w:sz w:val="20"/>
          <w:szCs w:val="20"/>
          <w:color w:val="auto"/>
        </w:rPr>
      </w:pPr>
      <w:r>
        <w:rPr>
          <w:rFonts w:ascii="Arial" w:cs="Arial" w:eastAsia="Arial" w:hAnsi="Arial"/>
          <w:sz w:val="18"/>
          <w:szCs w:val="18"/>
          <w:color w:val="auto"/>
        </w:rPr>
        <w:t>According to the Negative List, there is no restriction on the foreign-invested advertising company as advertising industry falls within neither the catalogue of prohibitions nor the catalogue of restrictions. Moreover, the Regulations for the Administration of Foreign-Invested Advertising Enterprises, which prescribed certain restrictions on foreign investors were abolished on June 29, 2015.</w:t>
      </w:r>
    </w:p>
    <w:p>
      <w:pPr>
        <w:spacing w:after="0" w:line="184" w:lineRule="exact"/>
        <w:rPr>
          <w:sz w:val="20"/>
          <w:szCs w:val="20"/>
          <w:color w:val="auto"/>
        </w:rPr>
      </w:pPr>
    </w:p>
    <w:p>
      <w:pPr>
        <w:ind w:right="40" w:firstLine="495"/>
        <w:spacing w:after="0" w:line="277" w:lineRule="auto"/>
        <w:rPr>
          <w:sz w:val="20"/>
          <w:szCs w:val="20"/>
          <w:color w:val="auto"/>
        </w:rPr>
      </w:pPr>
      <w:r>
        <w:rPr>
          <w:rFonts w:ascii="Arial" w:cs="Arial" w:eastAsia="Arial" w:hAnsi="Arial"/>
          <w:sz w:val="18"/>
          <w:szCs w:val="18"/>
          <w:color w:val="auto"/>
        </w:rPr>
        <w:t>According to the Negative List, market survey falls into the catalogue of restrictions, which means foreign investors can engage in businesses in this industry only through a sino-foreign enterprise, while social survey falls into the catalogue of prohibitions.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65" w:name="page66"/>
    <w:bookmarkEnd w:id="65"/>
    <w:p>
      <w:pPr>
        <w:ind w:firstLine="495"/>
        <w:spacing w:after="0" w:line="271" w:lineRule="auto"/>
        <w:rPr>
          <w:sz w:val="20"/>
          <w:szCs w:val="20"/>
          <w:color w:val="auto"/>
        </w:rPr>
      </w:pPr>
      <w:r>
        <w:rPr>
          <w:rFonts w:ascii="Arial" w:cs="Arial" w:eastAsia="Arial" w:hAnsi="Arial"/>
          <w:sz w:val="17"/>
          <w:szCs w:val="17"/>
          <w:color w:val="auto"/>
        </w:rPr>
        <w:t>On March 15, 2019, the National People’s Congress approved the Foreign Investment Law, which came into effect on January 1, 2020 on December 26, 2019, the State Council adopted Implementing Rules for the Foreign Investment Law of the People’s Republic of China which took effect from January 1, 2020, to interprete and implement the Foreign Investment Law. These rules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organization form and activities of foreign-invested enterprises shall be governed by the laws of the Company Law of the People’s Republic of China and the Partnership Enterprise Law of the People’s Republic of China. Foreign-invested enterprises established before the implementation of the Foreign Investment Law may retain the original business organization and so on within five years after the implementation of the Foreign Investment Law.</w:t>
      </w:r>
    </w:p>
    <w:p>
      <w:pPr>
        <w:spacing w:after="0" w:line="178" w:lineRule="exact"/>
        <w:rPr>
          <w:sz w:val="20"/>
          <w:szCs w:val="20"/>
          <w:color w:val="auto"/>
        </w:rPr>
      </w:pPr>
    </w:p>
    <w:p>
      <w:pPr>
        <w:ind w:right="100" w:firstLine="495"/>
        <w:spacing w:after="0" w:line="254" w:lineRule="auto"/>
        <w:rPr>
          <w:sz w:val="20"/>
          <w:szCs w:val="20"/>
          <w:color w:val="auto"/>
        </w:rPr>
      </w:pPr>
      <w:r>
        <w:rPr>
          <w:rFonts w:ascii="Arial" w:cs="Arial" w:eastAsia="Arial" w:hAnsi="Arial"/>
          <w:sz w:val="18"/>
          <w:szCs w:val="18"/>
          <w:color w:val="auto"/>
        </w:rPr>
        <w:t>The Foreign Investment Law is formulated to further expand opening-up, promote foreign investment and protect the legitimate rights and interests of foreign investors. According to the Foreign Investment Law, foreign investments are entitled to pre-entry national treatment and are subject to negative list management system. The pre-entry national treatment means that the treatment given to foreign investors and their investments at the stage of investment access shall not be less favorable than that of domestic investors and their investments. The negative list management system means that the state implements special administrative measures for access of foreign investment in specific fields. Foreign investors shall not invest in any forbidden fields stipulated in the negative list effective on June 2018 and shall meet the conditions stipulated in the negative list before investing in any restricted fields.</w:t>
      </w:r>
    </w:p>
    <w:p>
      <w:pPr>
        <w:spacing w:after="0" w:line="195" w:lineRule="exact"/>
        <w:rPr>
          <w:sz w:val="20"/>
          <w:szCs w:val="20"/>
          <w:color w:val="auto"/>
        </w:rPr>
      </w:pPr>
    </w:p>
    <w:p>
      <w:pPr>
        <w:ind w:right="100" w:firstLine="495"/>
        <w:spacing w:after="0" w:line="271" w:lineRule="auto"/>
        <w:rPr>
          <w:sz w:val="20"/>
          <w:szCs w:val="20"/>
          <w:color w:val="auto"/>
        </w:rPr>
      </w:pPr>
      <w:r>
        <w:rPr>
          <w:rFonts w:ascii="Arial" w:cs="Arial" w:eastAsia="Arial" w:hAnsi="Arial"/>
          <w:sz w:val="17"/>
          <w:szCs w:val="17"/>
          <w:color w:val="auto"/>
        </w:rPr>
        <w:t>The Foreign Investment Law does not mention the relevant concept and regulatory regime of VIE structures, since it is relatively new, uncertainties still exist in relation to its interpretation and implementation. Under the Foreign Investment Law, “foreign investment” refers to the investment activities directly or indirectly conducted by foreign individuals, enterprises or other entities in China. Though the Foreign Investment Law does not explicitly classify contractual arrangements as a form of foreign investment, there is no assurance that foreign investment via contractual arrangement would not be interpreted as a type of indirect foreign investment activities under the definition.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Stale Council to provide for contractual arrangements as a form of foreign investment.</w:t>
      </w:r>
    </w:p>
    <w:p>
      <w:pPr>
        <w:spacing w:after="0" w:line="178" w:lineRule="exact"/>
        <w:rPr>
          <w:sz w:val="20"/>
          <w:szCs w:val="20"/>
          <w:color w:val="auto"/>
        </w:rPr>
      </w:pPr>
    </w:p>
    <w:p>
      <w:pPr>
        <w:ind w:right="80" w:firstLine="495"/>
        <w:spacing w:after="0" w:line="269" w:lineRule="auto"/>
        <w:rPr>
          <w:sz w:val="20"/>
          <w:szCs w:val="20"/>
          <w:color w:val="auto"/>
        </w:rPr>
      </w:pPr>
      <w:r>
        <w:rPr>
          <w:rFonts w:ascii="Arial" w:cs="Arial" w:eastAsia="Arial" w:hAnsi="Arial"/>
          <w:sz w:val="17"/>
          <w:szCs w:val="17"/>
          <w:color w:val="auto"/>
        </w:rPr>
        <w:t>If our contractual arrangements is considered a form of foreign investment, then we may be required to complete the MOC market entry clearance, and we face uncertainties as to whether such clearance can be timely obtained, or at all. If we are not able to obtain such clearance when required, our VIE structure may be regarded as invalid and illegal. As a result, we would not be able to (i) continue our business in China through our contractual arrangements with the VIE and shareholders of the VIE, (ii) exert control over the VIE, (iii) receive the economic benefits of the VIE under such contractual arrangements, or (iv) consolidate the financial results of the VIE. Were this to occur, our results of operations and financial condition would be materially and adversely affected and the market price of our ADSs may decline.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293"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Organizational Structure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chart illustrates our company’s organizational structure, including our principal subsidiaries and consolidated affiliated entities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5349240" cy="66865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68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 w:firstLine="8"/>
        <w:spacing w:after="0" w:line="259" w:lineRule="auto"/>
        <w:tabs>
          <w:tab w:leader="none" w:pos="8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nominee shareholders of OptAim Network are Ms. Jie Jiao and Mr. Jian Tang, who hold 51% and 49% equity interests in OptAim Network, respectively. Ms. Jie Jiao was our former chief financial officer, and Mr. Jian Tang is our co- founder, director and chief executive officer. As of the date of this annual report, Mr. Jian Tang and Ms. Jie Jiao are the nominee shareholders of OptAim Network, and we are arranging the transfer of Ms. Jie Jiao’s equity interest in OptAim Network to an affiliate of our company.</w:t>
      </w:r>
    </w:p>
    <w:p>
      <w:pPr>
        <w:spacing w:after="0" w:line="200" w:lineRule="exact"/>
        <w:rPr>
          <w:sz w:val="20"/>
          <w:szCs w:val="20"/>
          <w:color w:val="auto"/>
        </w:rPr>
      </w:pP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67" w:name="page68"/>
    <w:bookmarkEnd w:id="67"/>
    <w:p>
      <w:pPr>
        <w:ind w:left="500"/>
        <w:spacing w:after="0"/>
        <w:rPr>
          <w:sz w:val="20"/>
          <w:szCs w:val="20"/>
          <w:color w:val="auto"/>
        </w:rPr>
      </w:pPr>
      <w:r>
        <w:rPr>
          <w:rFonts w:ascii="Arial" w:cs="Arial" w:eastAsia="Arial" w:hAnsi="Arial"/>
          <w:sz w:val="18"/>
          <w:szCs w:val="18"/>
          <w:color w:val="auto"/>
        </w:rPr>
        <w:t>We conduct substantially all our operations through the following consolidated subsidiaries:</w:t>
      </w:r>
    </w:p>
    <w:p>
      <w:pPr>
        <w:spacing w:after="0" w:line="117" w:lineRule="exact"/>
        <w:rPr>
          <w:sz w:val="20"/>
          <w:szCs w:val="20"/>
          <w:color w:val="auto"/>
        </w:rPr>
      </w:pPr>
    </w:p>
    <w:p>
      <w:pPr>
        <w:ind w:left="980" w:hanging="486"/>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iClick Interactive Asia Limited: primarily focusing on providing marketing solutions to Hong Kong and overseas clients</w:t>
      </w:r>
    </w:p>
    <w:p>
      <w:pPr>
        <w:spacing w:after="0" w:line="117" w:lineRule="exact"/>
        <w:rPr>
          <w:rFonts w:ascii="Arial" w:cs="Arial" w:eastAsia="Arial" w:hAnsi="Arial"/>
          <w:sz w:val="18"/>
          <w:szCs w:val="18"/>
          <w:color w:val="auto"/>
        </w:rPr>
      </w:pPr>
    </w:p>
    <w:p>
      <w:pPr>
        <w:ind w:left="980" w:right="100" w:hanging="486"/>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Tetris Media Limited and Tetris Media (Shanghai) Co., Ltd.: primarily focusing on providing our marketing solutions to agency clients and its business are gradually being transferred to iClick Interactive Asia Limited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Performance Media Group Limited: primarily focusing on providing marketing solutions to Hong Kong clients</w:t>
      </w:r>
    </w:p>
    <w:p>
      <w:pPr>
        <w:spacing w:after="0" w:line="117" w:lineRule="exact"/>
        <w:rPr>
          <w:rFonts w:ascii="Arial" w:cs="Arial" w:eastAsia="Arial" w:hAnsi="Arial"/>
          <w:sz w:val="18"/>
          <w:szCs w:val="18"/>
          <w:color w:val="auto"/>
        </w:rPr>
      </w:pPr>
    </w:p>
    <w:p>
      <w:pPr>
        <w:ind w:left="980" w:right="680" w:hanging="486"/>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China Search (Asia) Limited and its subsidiary: promoting content distribution opportunities for the publisher under our sales agency arrangement</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iClick Interactive (Singapore) Pte. Ltd: primarily focusing on providing marketing solutions to Singapore and other overseas clients</w:t>
      </w:r>
    </w:p>
    <w:p>
      <w:pPr>
        <w:spacing w:after="0" w:line="128"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iClick Data Technology (Beijing) Limited (previously named iClick Interactive (Beijing) Advertisement Co., Ltd.): primarily focusing on providing our other marketing solutions to PRC clients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Anhui Zhiyunzhong Information Technology Co., Ltd.: primarily focusing on providing mobile marketing solutions to PRC clients</w:t>
      </w:r>
    </w:p>
    <w:p>
      <w:pPr>
        <w:spacing w:after="0" w:line="117" w:lineRule="exact"/>
        <w:rPr>
          <w:rFonts w:ascii="Arial" w:cs="Arial" w:eastAsia="Arial" w:hAnsi="Arial"/>
          <w:sz w:val="18"/>
          <w:szCs w:val="18"/>
          <w:color w:val="auto"/>
        </w:rPr>
      </w:pPr>
    </w:p>
    <w:p>
      <w:pPr>
        <w:ind w:left="980" w:right="160" w:hanging="486"/>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OptAim (Beijing) Information Technology Co., Ltd.: primarily focusing on providing mobile marketing solutions to PRC clients through our VIE and the VIE’s subsidiary</w:t>
      </w:r>
    </w:p>
    <w:p>
      <w:pPr>
        <w:spacing w:after="0" w:line="62" w:lineRule="exact"/>
        <w:rPr>
          <w:rFonts w:ascii="Arial" w:cs="Arial" w:eastAsia="Arial" w:hAnsi="Arial"/>
          <w:sz w:val="18"/>
          <w:szCs w:val="18"/>
          <w:color w:val="auto"/>
        </w:rPr>
      </w:pPr>
    </w:p>
    <w:p>
      <w:pPr>
        <w:ind w:left="980" w:right="500" w:hanging="486"/>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Beijing OptAim Network Technology Co., Ltd. which is our VIE, and its subsidiary: primarily focusing on providing mobile marketing solutions to PRC clients</w:t>
      </w:r>
    </w:p>
    <w:p>
      <w:pPr>
        <w:spacing w:after="0" w:line="62"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Changyi (Shanghai) Information Technology Co., Ltd. and Xi'an Changzhan Information Technology Ltd.: primarily focusing on providing enterprise solutions</w:t>
      </w:r>
    </w:p>
    <w:p>
      <w:pPr>
        <w:spacing w:after="0" w:line="62" w:lineRule="exact"/>
        <w:rPr>
          <w:rFonts w:ascii="Arial" w:cs="Arial" w:eastAsia="Arial" w:hAnsi="Arial"/>
          <w:sz w:val="18"/>
          <w:szCs w:val="18"/>
          <w:color w:val="auto"/>
        </w:rPr>
      </w:pPr>
    </w:p>
    <w:p>
      <w:pPr>
        <w:ind w:left="980" w:right="880" w:hanging="486"/>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Shanghai Myhayo Technology Co., Ltd. and Anhui Myhayo Technology Co., Ltd.: primarily focusing on providing mobile content distributions in PRC</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Optimal Power Limited and its subsidiaries: primarily focusing on providing marketing solutions with premium media licensing assets</w:t>
      </w:r>
    </w:p>
    <w:p>
      <w:pPr>
        <w:spacing w:after="0" w:line="128" w:lineRule="exact"/>
        <w:rPr>
          <w:rFonts w:ascii="Arial" w:cs="Arial" w:eastAsia="Arial" w:hAnsi="Arial"/>
          <w:sz w:val="17"/>
          <w:szCs w:val="17"/>
          <w:color w:val="auto"/>
        </w:rPr>
      </w:pPr>
    </w:p>
    <w:p>
      <w:pPr>
        <w:ind w:left="980" w:right="380" w:hanging="486"/>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CMRS Group Holding Limited and its subsidiaries: primarily focusing on promoting digital marketing, social media, key opinion leaders (KOLs) and smart content generation enterprise solution services</w:t>
      </w:r>
    </w:p>
    <w:p>
      <w:pPr>
        <w:spacing w:after="0" w:line="170" w:lineRule="exact"/>
        <w:rPr>
          <w:sz w:val="20"/>
          <w:szCs w:val="20"/>
          <w:color w:val="auto"/>
        </w:rPr>
      </w:pPr>
    </w:p>
    <w:p>
      <w:pPr>
        <w:ind w:right="20" w:firstLine="495"/>
        <w:spacing w:after="0" w:line="255" w:lineRule="auto"/>
        <w:rPr>
          <w:sz w:val="20"/>
          <w:szCs w:val="20"/>
          <w:color w:val="auto"/>
        </w:rPr>
      </w:pPr>
      <w:r>
        <w:rPr>
          <w:rFonts w:ascii="Arial" w:cs="Arial" w:eastAsia="Arial" w:hAnsi="Arial"/>
          <w:sz w:val="18"/>
          <w:szCs w:val="18"/>
          <w:color w:val="auto"/>
        </w:rPr>
        <w:t>After the abolishment of the foreign ownership restriction in advertising business, we had been transferring the advertising business previously operated by our VIE, OptAim Network, primarily consisting of our mobile marketing solution business, to our wholly-owned subsidiaries. As of December 31, 2018, our wholly-owned subsidiaries had replaced OptAim Network as contracting party for all our mobile marketing solution business. In November 2018, OptAim Network acquired the controlling investment in Shanghai Myhayo Technology Co., Ltd. and Anhui Myhayo Technology Co., Ltd. in November 2018 and March 2019 respectively, providing a content distribution channel and a mobile content aggregator of articles and short videos in the PRC, which presents customized feeds to users via its mobile application.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OptAim Network</w:t>
      </w:r>
    </w:p>
    <w:p>
      <w:pPr>
        <w:spacing w:after="0" w:line="121" w:lineRule="exact"/>
        <w:rPr>
          <w:sz w:val="20"/>
          <w:szCs w:val="20"/>
          <w:color w:val="auto"/>
        </w:rPr>
      </w:pPr>
    </w:p>
    <w:p>
      <w:pPr>
        <w:ind w:right="40" w:firstLine="495"/>
        <w:spacing w:after="0" w:line="291" w:lineRule="auto"/>
        <w:rPr>
          <w:sz w:val="20"/>
          <w:szCs w:val="20"/>
          <w:color w:val="auto"/>
        </w:rPr>
      </w:pPr>
      <w:r>
        <w:rPr>
          <w:rFonts w:ascii="Arial" w:cs="Arial" w:eastAsia="Arial" w:hAnsi="Arial"/>
          <w:sz w:val="16"/>
          <w:szCs w:val="16"/>
          <w:color w:val="auto"/>
        </w:rPr>
        <w:t>Foreign ownership in advertising companies used to be subject to certain restrictions under the PRC laws and regulations. For example, according to the Administrative Provisions on Foreign-Invested Advertising Enterprises, foreign investors were required to meet several conditions in order to invest in the PRC advertising business, such as a minimum number of years of advertising-related experience and an approval from the relevant PRC regulatory authority. OptAim is a Cayman Islands company and OptAim Beijing, its PRC subsidiary, is considered an FIE. To comply with the then-effective PRC laws and regulations, including the Administrative Provisions on Foreign-Invested Advertising Enterprises, OptAim Beijing entered into a set of contractual arrangements with OptAim Network and its shareholders. The laws and regulations that imposed restrictions on foreign ownership in advertising companies, including the Administrative Provisions on Foreign-Invested Advertising Enterprises were abolished in June 2015.</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8" w:name="page69"/>
    <w:bookmarkEnd w:id="68"/>
    <w:p>
      <w:pPr>
        <w:ind w:right="40" w:firstLine="495"/>
        <w:spacing w:after="0" w:line="285" w:lineRule="auto"/>
        <w:rPr>
          <w:sz w:val="20"/>
          <w:szCs w:val="20"/>
          <w:color w:val="auto"/>
        </w:rPr>
      </w:pPr>
      <w:r>
        <w:rPr>
          <w:rFonts w:ascii="Arial" w:cs="Arial" w:eastAsia="Arial" w:hAnsi="Arial"/>
          <w:sz w:val="16"/>
          <w:szCs w:val="16"/>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June 28, 2017,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 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 See “Item 3. Key Information—D. Risk Factors—Risk Related to Our Corporate Structure—We rely on the contractual arrangements that establish the structure for certain of our operations in China and we will need to rely on the contractual arrangements when and to the extent our operations are deemed as foreign-related survey.”</w:t>
      </w:r>
    </w:p>
    <w:p>
      <w:pPr>
        <w:spacing w:after="0" w:line="176" w:lineRule="exact"/>
        <w:rPr>
          <w:sz w:val="20"/>
          <w:szCs w:val="20"/>
          <w:color w:val="auto"/>
        </w:rPr>
      </w:pPr>
    </w:p>
    <w:p>
      <w:pPr>
        <w:ind w:firstLine="495"/>
        <w:spacing w:after="0" w:line="270" w:lineRule="auto"/>
        <w:rPr>
          <w:sz w:val="20"/>
          <w:szCs w:val="20"/>
          <w:color w:val="auto"/>
        </w:rPr>
      </w:pPr>
      <w:r>
        <w:rPr>
          <w:rFonts w:ascii="Arial" w:cs="Arial" w:eastAsia="Arial" w:hAnsi="Arial"/>
          <w:sz w:val="17"/>
          <w:szCs w:val="17"/>
          <w:color w:val="auto"/>
        </w:rPr>
        <w:t>Under the relevant PRC laws, commercial operators of value-added telecommunication services, which refer to providers of telecommunications and information services through public network infrastructures that provide information or services to internet users with a charge, shall obtain a value-added telecommunications business operation license. See “Regulations -Regulations on Value-added Telecommunication Services” and “—Regulations on Internet Content Providers.” It is unclear whether Myhayo’s business model would render it a commercial operator of value-added telecommunication services under the relevant PRC laws, in which case Myhayo would be required to hold a value-added telecommunication license. Pursuant to the Negative List, jointly promulgated by MOFCOM and the NDRC on October 24, 2019, foreign investment in value- added telecommunication services is subject to certain restrictions. See “—Regulations—Regulations on Foreign Direct Investment in Value-Added Telecommunications Companies”. As a result, we made our controlling investment in Myhayo through OptAim Network, our VIE. In August 2019, Myhayo obtained the value-added telecommunication business operation license from the relevant local counterpart of MIIT.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contractual arrangements between OptAim Beijing, OptAim Network and the shareholders of OptAim Network allow us to:</w:t>
      </w:r>
    </w:p>
    <w:p>
      <w:pPr>
        <w:spacing w:after="0" w:line="117" w:lineRule="exact"/>
        <w:rPr>
          <w:sz w:val="20"/>
          <w:szCs w:val="20"/>
          <w:color w:val="auto"/>
        </w:rPr>
      </w:pPr>
    </w:p>
    <w:p>
      <w:pPr>
        <w:ind w:left="980" w:hanging="486"/>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its subsidiaries;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its subsidiaries;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w:t>
      </w:r>
    </w:p>
    <w:p>
      <w:pPr>
        <w:spacing w:after="0" w:line="225" w:lineRule="exact"/>
        <w:rPr>
          <w:sz w:val="20"/>
          <w:szCs w:val="20"/>
          <w:color w:val="auto"/>
        </w:rPr>
      </w:pPr>
    </w:p>
    <w:p>
      <w:pPr>
        <w:ind w:right="340" w:firstLine="495"/>
        <w:spacing w:after="0" w:line="263"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subsidiaries as our consolidated affiliated entities under U.S. GAAP and have consolidated their financial results in our consolidated financial statements in accordance with U.S. GAAP.</w:t>
      </w:r>
    </w:p>
    <w:p>
      <w:pPr>
        <w:spacing w:after="0" w:line="184" w:lineRule="exact"/>
        <w:rPr>
          <w:sz w:val="20"/>
          <w:szCs w:val="20"/>
          <w:color w:val="auto"/>
        </w:rPr>
      </w:pPr>
    </w:p>
    <w:p>
      <w:pPr>
        <w:ind w:right="480" w:firstLine="495"/>
        <w:spacing w:after="0" w:line="277" w:lineRule="auto"/>
        <w:rPr>
          <w:sz w:val="20"/>
          <w:szCs w:val="20"/>
          <w:color w:val="auto"/>
        </w:rPr>
      </w:pPr>
      <w:r>
        <w:rPr>
          <w:rFonts w:ascii="Arial" w:cs="Arial" w:eastAsia="Arial" w:hAnsi="Arial"/>
          <w:sz w:val="18"/>
          <w:szCs w:val="18"/>
          <w:color w:val="auto"/>
        </w:rPr>
        <w:t>The following is a summary of the currently effective contractual arrangements by and among OptAim Beijing, our wholly- owned subsidiary, OptAim Network, our consolidated VIE, the shareholders of OptAim Network and Zhiyunzhong.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Provide Us with Effective Control over OptAim Network Second Amended and Restated Equity Pledge Agreement</w:t>
      </w:r>
    </w:p>
    <w:p>
      <w:pPr>
        <w:spacing w:after="0" w:line="117" w:lineRule="exact"/>
        <w:rPr>
          <w:sz w:val="20"/>
          <w:szCs w:val="20"/>
          <w:color w:val="auto"/>
        </w:rPr>
      </w:pPr>
    </w:p>
    <w:p>
      <w:pPr>
        <w:ind w:right="20" w:firstLine="495"/>
        <w:spacing w:after="0" w:line="293" w:lineRule="auto"/>
        <w:rPr>
          <w:sz w:val="20"/>
          <w:szCs w:val="20"/>
          <w:color w:val="auto"/>
        </w:rPr>
      </w:pPr>
      <w:r>
        <w:rPr>
          <w:rFonts w:ascii="Arial" w:cs="Arial" w:eastAsia="Arial" w:hAnsi="Arial"/>
          <w:sz w:val="16"/>
          <w:szCs w:val="16"/>
          <w:color w:val="auto"/>
        </w:rPr>
        <w:t>OptAim Beijing, OptAim Network and the shareholders of OptAim Network entered into a second amended and restated equity pledge agreement on May 26, 2017. Pursuant to the second amended and restated equity pledge agreement, each shareholder of OptAim Network has pledged all of his or her equity interest in OptAim Network to OptAim Beijing to guarantee the performance by such shareholder and OptAim Network of their respective obligations under the exclusive business cooperation agreement, powers of attorney and the second amended and restated exclusive call option agreement as well as their respective liabilities arising from any breach. If OptAim Network or any of its shareholders breaches any obligations under these agreements, OptAim Beijing, as pledgee, will be entitled to dispose of the pledged equity and have priority to be compensated by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9" w:name="page70"/>
    <w:bookmarkEnd w:id="69"/>
    <w:p>
      <w:pPr>
        <w:ind w:right="100"/>
        <w:spacing w:after="0" w:line="272" w:lineRule="auto"/>
        <w:rPr>
          <w:sz w:val="20"/>
          <w:szCs w:val="20"/>
          <w:color w:val="auto"/>
        </w:rPr>
      </w:pPr>
      <w:r>
        <w:rPr>
          <w:rFonts w:ascii="Arial" w:cs="Arial" w:eastAsia="Arial" w:hAnsi="Arial"/>
          <w:sz w:val="17"/>
          <w:szCs w:val="17"/>
          <w:color w:val="auto"/>
        </w:rPr>
        <w:t>the proceeds from the disposal of the pledged equity. Each of the shareholders of OptAim Network agrees that before his or her obligations under the contractual arrangements are discharged, he or she will not dispose of the pledged equity interests, create or allow any encumbrance on the pledged equity interests, or take any action which may result in any change of the pledged equity that may have material adverse effects on the pledgee’s rights under this agreement without the prior written consent of OptAim Beijing. The second amended and restated equity pledge agreement will remain effective until OptAim Network and its shareholders discharge all their obligations under the contractual arrangements and pay out all consulting and services fees under the exclusive business cooperation agreement. We have completed the registration of the equity pledge with the relevant office of the SAIC in accordance with PRC Property Rights Law on June 21,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Powers of Attorney</w:t>
      </w:r>
    </w:p>
    <w:p>
      <w:pPr>
        <w:spacing w:after="0" w:line="117" w:lineRule="exact"/>
        <w:rPr>
          <w:sz w:val="20"/>
          <w:szCs w:val="20"/>
          <w:color w:val="auto"/>
        </w:rPr>
      </w:pPr>
    </w:p>
    <w:p>
      <w:pPr>
        <w:ind w:right="40" w:firstLine="495"/>
        <w:spacing w:after="0" w:line="273" w:lineRule="auto"/>
        <w:rPr>
          <w:sz w:val="20"/>
          <w:szCs w:val="20"/>
          <w:color w:val="auto"/>
        </w:rPr>
      </w:pPr>
      <w:r>
        <w:rPr>
          <w:rFonts w:ascii="Arial" w:cs="Arial" w:eastAsia="Arial" w:hAnsi="Arial"/>
          <w:sz w:val="17"/>
          <w:szCs w:val="17"/>
          <w:color w:val="auto"/>
        </w:rPr>
        <w:t>Through powers of attorney dated May 26, 2017, each shareholder of OptAim Network irrevocably authorizes OptAim Beijing or any person(s) designated by OptAim Beijing to act as his or her attorney-in-fact to exercise all of such shareholder’s voting and other rights associated with the shareholder’s equity interest in OptAim Network, such as the right to appoint directors, supervisors and officers, as well as the right to sell, transfer, pledge and dispose of all or a portion of the shares held by such shareholder. The powers of attorney will remain in force unless OptAim Beijing gives out any instruction in writing otherwise. Once the powers of attorney are terminated in whole or in part, each shareholder shall revoke his/her power of attorney to OptAim Beijing and immediately sign another power of attorney with the person(s) designated by OptAim Beijing.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Spousal Consent</w:t>
      </w:r>
    </w:p>
    <w:p>
      <w:pPr>
        <w:spacing w:after="0" w:line="117" w:lineRule="exact"/>
        <w:rPr>
          <w:sz w:val="20"/>
          <w:szCs w:val="20"/>
          <w:color w:val="auto"/>
        </w:rPr>
      </w:pPr>
    </w:p>
    <w:p>
      <w:pPr>
        <w:ind w:right="20" w:firstLine="495"/>
        <w:spacing w:after="0" w:line="293" w:lineRule="auto"/>
        <w:rPr>
          <w:sz w:val="20"/>
          <w:szCs w:val="20"/>
          <w:color w:val="auto"/>
        </w:rPr>
      </w:pPr>
      <w:r>
        <w:rPr>
          <w:rFonts w:ascii="Arial" w:cs="Arial" w:eastAsia="Arial" w:hAnsi="Arial"/>
          <w:sz w:val="16"/>
          <w:szCs w:val="16"/>
          <w:color w:val="auto"/>
        </w:rPr>
        <w:t>The spouse of Mr. Jian Tang signed a spousal consent letter on May 26, 2017. Mr. Jian Tang holds 49% equity interest in OptAim Network. Under the spousal consent letter, the signing spouse unconditionally and irrevocably agreed that she was aware of the disposal of OptAim Network shares held by Mr. Jian Tang in the following second amended and restated exclusive call option agreement, the abovementioned power of attorney, and the second amended and restated equity pledge agreement. The signing spouse confirmed not having any interest in the OptAim Network shares and committed not to impose any adverse assertions upon those shares. The signing spouse further confirmed that her consent and approval are not needed for any amendment or termination of the abovementioned agreements and committed that she shall take all necessary measures needed for the performance of those agreements.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that Allows Us to Receive Economic Benefits from OptAim Network Exclusive Business Cooperation Agreement</w:t>
      </w:r>
    </w:p>
    <w:p>
      <w:pPr>
        <w:spacing w:after="0" w:line="117" w:lineRule="exact"/>
        <w:rPr>
          <w:sz w:val="20"/>
          <w:szCs w:val="20"/>
          <w:color w:val="auto"/>
        </w:rPr>
      </w:pPr>
    </w:p>
    <w:p>
      <w:pPr>
        <w:ind w:firstLine="495"/>
        <w:spacing w:after="0" w:line="271" w:lineRule="auto"/>
        <w:rPr>
          <w:sz w:val="20"/>
          <w:szCs w:val="20"/>
          <w:color w:val="auto"/>
        </w:rPr>
      </w:pPr>
      <w:r>
        <w:rPr>
          <w:rFonts w:ascii="Arial" w:cs="Arial" w:eastAsia="Arial" w:hAnsi="Arial"/>
          <w:sz w:val="17"/>
          <w:szCs w:val="17"/>
          <w:color w:val="auto"/>
        </w:rPr>
        <w:t>OptAim Beijing, OptAim Network and Zhiyunzhong entered into an exclusive business cooperation agreement on January 16, 2015. Pursuant to this agreement, OptAim Beijing or its designated party has the exclusive right to provide OptAim Network and Zhiyunzhong with technical support, consulting services and other services. Without OptAim Beijing’s prior written consent, OptAim Network and Zhiyunzhong shall not accept any technical support and services covered by this agreement from any third party. OptAim Network and Zhiyunzhong agree to pay service fees in an amount equal to 100% of their respective net income for the relevant period on a monthly basis. OptAim Beijing owns the intellectual property rights arising out of the provisions of services under this agreement. OptAim Network and Zhiyunzhong shall grant an irrevocable call option to OptAim Beijing to purchase all or any of their assets or business with the lowest price allowed by PRC law. Unless OptAim Beijing terminates this agreement, this agreement will remain effective until any party thereto is dissolved in accordance with PRC law.</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Agreement that Provides Us with the Option to Purchase the Equity Interest in OptAim Network Second Amended and Restated Exclusive Call Option Agreement</w:t>
      </w:r>
    </w:p>
    <w:p>
      <w:pPr>
        <w:spacing w:after="0" w:line="62" w:lineRule="exact"/>
        <w:rPr>
          <w:sz w:val="20"/>
          <w:szCs w:val="20"/>
          <w:color w:val="auto"/>
        </w:rPr>
      </w:pPr>
    </w:p>
    <w:p>
      <w:pPr>
        <w:ind w:firstLine="495"/>
        <w:spacing w:after="0" w:line="288" w:lineRule="auto"/>
        <w:rPr>
          <w:sz w:val="20"/>
          <w:szCs w:val="20"/>
          <w:color w:val="auto"/>
        </w:rPr>
      </w:pPr>
      <w:r>
        <w:rPr>
          <w:rFonts w:ascii="Arial" w:cs="Arial" w:eastAsia="Arial" w:hAnsi="Arial"/>
          <w:sz w:val="16"/>
          <w:szCs w:val="16"/>
          <w:color w:val="auto"/>
        </w:rPr>
        <w:t>OptAim Beijing, OptAim Network and the shareholders of OptAim Network entered into a second amended and restated exclusive call option agreement on May 26, 2017. Pursuant to the second amended and restated exclusive call option agreement, the shareholders of OptAim Network have irrevocably granted OptAim Beijing or any third party designated by OptAim Beijing a second amended and restated exclusive call option to purchase all or part of their respective equity interests in OptAim Network. Until there is any evaluation request by PRC law, the purchase price is equal to RMB100 or the lowest price allowed by PRC law. Unless otherwise agreed, the shareholders of OptAim Network will immediately gift OptAim Beijing or any third party designated by OptAim Beijing with the purchase price after OptAim Beijing or any third party designated by OptAim Beijing exercises the option. OptAim Beijing may transfer all or part of its option under this agreement to a third party under the approval of the shareholders of OptAim Beijing. Without OptAim Beijing’s prior written consent, the shareholders of OptAim Network shall not, among other things, amend its articles of association, increase or 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70" w:name="page71"/>
    <w:bookmarkEnd w:id="70"/>
    <w:p>
      <w:pPr>
        <w:ind w:right="40"/>
        <w:spacing w:after="0" w:line="259" w:lineRule="auto"/>
        <w:rPr>
          <w:sz w:val="20"/>
          <w:szCs w:val="20"/>
          <w:color w:val="auto"/>
        </w:rPr>
      </w:pPr>
      <w:r>
        <w:rPr>
          <w:rFonts w:ascii="Arial" w:cs="Arial" w:eastAsia="Arial" w:hAnsi="Arial"/>
          <w:sz w:val="18"/>
          <w:szCs w:val="18"/>
          <w:color w:val="auto"/>
        </w:rPr>
        <w:t>material adverse effects on its business. The shareholders of OptAim Network also jointly and severally undertake that they will not sale, transfer, pledge, or otherwise dispose of their equity interests in OptAim Network to any third party or create or allow any encumbrance on their equity interests. This agreement will remain effective until OptAim Beijing or any third party designated by OptAim Beijing has acquired all equity interest of OptAim Network from its shareholders.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the opinion of Jingtian &amp; Gongcheng, our PRC legal counsel:</w:t>
      </w:r>
    </w:p>
    <w:p>
      <w:pPr>
        <w:spacing w:after="0" w:line="117" w:lineRule="exact"/>
        <w:rPr>
          <w:sz w:val="20"/>
          <w:szCs w:val="20"/>
          <w:color w:val="auto"/>
        </w:rPr>
      </w:pPr>
    </w:p>
    <w:p>
      <w:pPr>
        <w:ind w:left="980" w:right="360" w:hanging="486"/>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ownership structures of OptAim Beijing and OptAim Network do not contravene any applicable PRC laws or regulations currently in effect; and</w:t>
      </w:r>
    </w:p>
    <w:p>
      <w:pPr>
        <w:spacing w:after="0" w:line="62" w:lineRule="exact"/>
        <w:rPr>
          <w:rFonts w:ascii="Arial" w:cs="Arial" w:eastAsia="Arial" w:hAnsi="Arial"/>
          <w:sz w:val="18"/>
          <w:szCs w:val="18"/>
          <w:color w:val="auto"/>
        </w:rPr>
      </w:pPr>
    </w:p>
    <w:p>
      <w:pPr>
        <w:ind w:left="980" w:right="40" w:hanging="486"/>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contractual arrangements among OptAim Beijing, OptAim Network, the shareholders of OptAim Network and Zhiyunzhong governed by PRC law are valid, binding and enforceable, and do not contravene any PRC laws or regulations currently in effect.</w:t>
      </w:r>
    </w:p>
    <w:p>
      <w:pPr>
        <w:spacing w:after="0" w:line="170" w:lineRule="exact"/>
        <w:rPr>
          <w:sz w:val="20"/>
          <w:szCs w:val="20"/>
          <w:color w:val="auto"/>
        </w:rPr>
      </w:pPr>
    </w:p>
    <w:p>
      <w:pPr>
        <w:ind w:firstLine="495"/>
        <w:spacing w:after="0" w:line="270" w:lineRule="auto"/>
        <w:rPr>
          <w:sz w:val="20"/>
          <w:szCs w:val="20"/>
          <w:color w:val="auto"/>
        </w:rPr>
      </w:pPr>
      <w:r>
        <w:rPr>
          <w:rFonts w:ascii="Arial" w:cs="Arial" w:eastAsia="Arial" w:hAnsi="Arial"/>
          <w:sz w:val="17"/>
          <w:szCs w:val="17"/>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It is uncertain whether any new PRC laws or regulations relating to VIE structures will be adopted or if adopted, what they would provide. If the PRC government finds that the agreements that establish the structure for the operation of OptAim Network do not comply with PRC government restrictions on foreign investment in our businesses, we could be subject to severe penalties including being prohibited from continuing operations. See “Item 3. Key Information—D. Risk Factors—Risks Related to Our Corporate Structure—We rely on the contractual arrangements that establish the structure for certain of our operations in China and we will need to rely on the contractual arrangements when and to the extent our operations are deemed as foreign-related survey,” and “—Substantial uncertainties exist with respect to the newly enacted PRC Foreign Investment Law and how it may impact the viability of our current corporate structure, corporate governance and business operations.”</w:t>
      </w:r>
    </w:p>
    <w:p>
      <w:pPr>
        <w:spacing w:after="0" w:line="289"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Property, Plant and Equipment</w:t>
      </w:r>
    </w:p>
    <w:p>
      <w:pPr>
        <w:spacing w:after="0" w:line="117" w:lineRule="exact"/>
        <w:rPr>
          <w:sz w:val="20"/>
          <w:szCs w:val="20"/>
          <w:color w:val="auto"/>
        </w:rPr>
      </w:pPr>
    </w:p>
    <w:p>
      <w:pPr>
        <w:ind w:right="20" w:firstLine="495"/>
        <w:spacing w:after="0" w:line="257" w:lineRule="auto"/>
        <w:rPr>
          <w:sz w:val="20"/>
          <w:szCs w:val="20"/>
          <w:color w:val="auto"/>
        </w:rPr>
      </w:pPr>
      <w:r>
        <w:rPr>
          <w:rFonts w:ascii="Arial" w:cs="Arial" w:eastAsia="Arial" w:hAnsi="Arial"/>
          <w:sz w:val="18"/>
          <w:szCs w:val="18"/>
          <w:color w:val="auto"/>
        </w:rPr>
        <w:t>Our headquarters, principal executive office and some subsidiaries are located in Hong Kong, in an approximately 2,000 square-meter facility, under certain lease agreements expiring on December 31, 2021. As of December 31, 2020, we leased approximately 8,900 square-meter office space in China located in Beijing, Shanghai, Shenzhen, Anhui and Guangzhou, which primarily carry out the functions of technology and data engineering, sales and business development and operation support. Outside of China and Hong Kong, we also have subsidiaries or sales offices in Singapore, Taiwan, Korea, Thailand and London.</w:t>
      </w:r>
    </w:p>
    <w:p>
      <w:pPr>
        <w:spacing w:after="0" w:line="188" w:lineRule="exact"/>
        <w:rPr>
          <w:sz w:val="20"/>
          <w:szCs w:val="20"/>
          <w:color w:val="auto"/>
        </w:rPr>
      </w:pPr>
    </w:p>
    <w:p>
      <w:pPr>
        <w:ind w:firstLine="495"/>
        <w:spacing w:after="0" w:line="263" w:lineRule="auto"/>
        <w:rPr>
          <w:sz w:val="20"/>
          <w:szCs w:val="20"/>
          <w:color w:val="auto"/>
        </w:rPr>
      </w:pPr>
      <w:r>
        <w:rPr>
          <w:rFonts w:ascii="Arial" w:cs="Arial" w:eastAsia="Arial" w:hAnsi="Arial"/>
          <w:sz w:val="18"/>
          <w:szCs w:val="18"/>
          <w:color w:val="auto"/>
        </w:rPr>
        <w:t>We lease all of our facilities and do not own any real property. Our leases will expire from 2020 to 2021, and we have renewed leases that expired on or before the date of this annual report. We believe that our current facilities are suitable and adequate to meet our current needs. If we require additional space, we expect to be able to obtain additional facilities on commercially reasonable terms.</w:t>
      </w:r>
    </w:p>
    <w:p>
      <w:pPr>
        <w:sectPr>
          <w:pgSz w:w="11900" w:h="16838" w:orient="portrait"/>
          <w:cols w:equalWidth="0" w:num="1">
            <w:col w:w="11220"/>
          </w:cols>
          <w:pgMar w:left="320" w:top="463" w:right="359" w:bottom="1440" w:gutter="0" w:footer="0" w:header="0"/>
        </w:sect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UNRESOLVED STAFF COMMENTS</w:t>
      </w:r>
    </w:p>
    <w:p>
      <w:pPr>
        <w:spacing w:after="0" w:line="132" w:lineRule="exact"/>
        <w:rPr>
          <w:sz w:val="20"/>
          <w:szCs w:val="20"/>
          <w:color w:val="auto"/>
        </w:rPr>
      </w:pPr>
    </w:p>
    <w:p>
      <w:pPr>
        <w:sectPr>
          <w:pgSz w:w="11900" w:h="16838" w:orient="portrait"/>
          <w:cols w:equalWidth="0" w:num="2">
            <w:col w:w="1520" w:space="720"/>
            <w:col w:w="8980"/>
          </w:cols>
          <w:pgMar w:left="320" w:top="463" w:right="35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20"/>
          </w:cols>
          <w:pgMar w:left="320" w:top="463" w:right="359"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FINANCIAL REVIEW AND PROSPECTS</w:t>
      </w:r>
    </w:p>
    <w:p>
      <w:pPr>
        <w:spacing w:after="0" w:line="121" w:lineRule="exact"/>
        <w:rPr>
          <w:sz w:val="20"/>
          <w:szCs w:val="20"/>
          <w:color w:val="auto"/>
        </w:rPr>
      </w:pPr>
    </w:p>
    <w:p>
      <w:pPr>
        <w:sectPr>
          <w:pgSz w:w="11900" w:h="16838" w:orient="portrait"/>
          <w:cols w:equalWidth="0" w:num="2">
            <w:col w:w="1360" w:space="720"/>
            <w:col w:w="9140"/>
          </w:cols>
          <w:pgMar w:left="320" w:top="463" w:right="359" w:bottom="1440" w:gutter="0" w:footer="0" w:header="0"/>
          <w:type w:val="continuous"/>
        </w:sectPr>
      </w:pPr>
    </w:p>
    <w:p>
      <w:pPr>
        <w:ind w:left="640" w:hanging="632"/>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Operating Results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believe the key factors affecting our financial condition and results of operations include the following:</w:t>
      </w:r>
    </w:p>
    <w:p>
      <w:pPr>
        <w:spacing w:after="0" w:line="117" w:lineRule="exact"/>
        <w:rPr>
          <w:sz w:val="20"/>
          <w:szCs w:val="20"/>
          <w:color w:val="auto"/>
        </w:rPr>
      </w:pPr>
    </w:p>
    <w:p>
      <w:pPr>
        <w:ind w:left="1440" w:hanging="717"/>
        <w:spacing w:after="0"/>
        <w:tabs>
          <w:tab w:leader="none" w:pos="1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expand mobile app channels;</w:t>
      </w:r>
    </w:p>
    <w:p>
      <w:pPr>
        <w:spacing w:after="0" w:line="117" w:lineRule="exact"/>
        <w:rPr>
          <w:rFonts w:ascii="Arial" w:cs="Arial" w:eastAsia="Arial" w:hAnsi="Arial"/>
          <w:sz w:val="18"/>
          <w:szCs w:val="18"/>
          <w:color w:val="auto"/>
        </w:rPr>
      </w:pPr>
    </w:p>
    <w:p>
      <w:pPr>
        <w:ind w:left="1440" w:hanging="717"/>
        <w:spacing w:after="0"/>
        <w:tabs>
          <w:tab w:leader="none" w:pos="1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expand enterprise solutions;</w:t>
      </w:r>
    </w:p>
    <w:p>
      <w:pPr>
        <w:spacing w:after="0" w:line="117" w:lineRule="exact"/>
        <w:rPr>
          <w:rFonts w:ascii="Arial" w:cs="Arial" w:eastAsia="Arial" w:hAnsi="Arial"/>
          <w:sz w:val="18"/>
          <w:szCs w:val="18"/>
          <w:color w:val="auto"/>
        </w:rPr>
      </w:pPr>
    </w:p>
    <w:p>
      <w:pPr>
        <w:ind w:left="1440" w:hanging="717"/>
        <w:spacing w:after="0"/>
        <w:tabs>
          <w:tab w:leader="none" w:pos="1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revenue models;</w:t>
      </w:r>
    </w:p>
    <w:p>
      <w:pPr>
        <w:spacing w:after="0" w:line="117" w:lineRule="exact"/>
        <w:rPr>
          <w:rFonts w:ascii="Arial" w:cs="Arial" w:eastAsia="Arial" w:hAnsi="Arial"/>
          <w:sz w:val="18"/>
          <w:szCs w:val="18"/>
          <w:color w:val="auto"/>
        </w:rPr>
      </w:pPr>
    </w:p>
    <w:p>
      <w:pPr>
        <w:ind w:left="1440" w:hanging="717"/>
        <w:spacing w:after="0"/>
        <w:tabs>
          <w:tab w:leader="none" w:pos="1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optimize client base and increase client spending;</w:t>
      </w:r>
    </w:p>
    <w:p>
      <w:pPr>
        <w:spacing w:after="0" w:line="117" w:lineRule="exact"/>
        <w:rPr>
          <w:rFonts w:ascii="Arial" w:cs="Arial" w:eastAsia="Arial" w:hAnsi="Arial"/>
          <w:sz w:val="18"/>
          <w:szCs w:val="18"/>
          <w:color w:val="auto"/>
        </w:rPr>
      </w:pPr>
    </w:p>
    <w:p>
      <w:pPr>
        <w:ind w:left="1440" w:hanging="717"/>
        <w:spacing w:after="0"/>
        <w:tabs>
          <w:tab w:leader="none" w:pos="1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enlarge audience data set, strengthen data analytics capabilities and innovate technologies; and</w:t>
      </w:r>
    </w:p>
    <w:p>
      <w:pPr>
        <w:spacing w:after="0" w:line="117" w:lineRule="exact"/>
        <w:rPr>
          <w:rFonts w:ascii="Arial" w:cs="Arial" w:eastAsia="Arial" w:hAnsi="Arial"/>
          <w:sz w:val="18"/>
          <w:szCs w:val="18"/>
          <w:color w:val="auto"/>
        </w:rPr>
      </w:pPr>
    </w:p>
    <w:p>
      <w:pPr>
        <w:ind w:left="1440" w:hanging="717"/>
        <w:spacing w:after="0"/>
        <w:tabs>
          <w:tab w:leader="none" w:pos="1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Mobile App Channels</w:t>
      </w:r>
    </w:p>
    <w:p>
      <w:pPr>
        <w:spacing w:after="0" w:line="117" w:lineRule="exact"/>
        <w:rPr>
          <w:sz w:val="20"/>
          <w:szCs w:val="20"/>
          <w:color w:val="auto"/>
        </w:rPr>
      </w:pPr>
    </w:p>
    <w:p>
      <w:pPr>
        <w:jc w:val="both"/>
        <w:ind w:right="60" w:firstLine="727"/>
        <w:spacing w:after="0" w:line="311" w:lineRule="auto"/>
        <w:rPr>
          <w:sz w:val="20"/>
          <w:szCs w:val="20"/>
          <w:color w:val="auto"/>
        </w:rPr>
      </w:pPr>
      <w:r>
        <w:rPr>
          <w:rFonts w:ascii="Arial" w:cs="Arial" w:eastAsia="Arial" w:hAnsi="Arial"/>
          <w:sz w:val="16"/>
          <w:szCs w:val="16"/>
          <w:color w:val="auto"/>
        </w:rPr>
        <w:t>Our future growth depends on our ability to expand our content distribution channels, in particular mobile app channels, to capture a larger share of the marketing spend in China. We have been prioritizing the execution of our mobile strategy since 2014 to capture a larger share of marketing spend on mobile apps, including through our acquisition of OptAim on July 24, 2015, which have significantly strengthened our mobile capabilities.</w:t>
      </w:r>
    </w:p>
    <w:p>
      <w:pPr>
        <w:spacing w:after="0" w:line="149" w:lineRule="exact"/>
        <w:rPr>
          <w:sz w:val="20"/>
          <w:szCs w:val="20"/>
          <w:color w:val="auto"/>
        </w:rPr>
      </w:pPr>
    </w:p>
    <w:p>
      <w:pPr>
        <w:ind w:right="60" w:firstLine="727"/>
        <w:spacing w:after="0" w:line="255" w:lineRule="auto"/>
        <w:rPr>
          <w:sz w:val="20"/>
          <w:szCs w:val="20"/>
          <w:color w:val="auto"/>
        </w:rPr>
      </w:pPr>
      <w:r>
        <w:rPr>
          <w:rFonts w:ascii="Arial" w:cs="Arial" w:eastAsia="Arial" w:hAnsi="Arial"/>
          <w:sz w:val="18"/>
          <w:szCs w:val="18"/>
          <w:color w:val="auto"/>
        </w:rPr>
        <w:t>While marketing via non-mobile channels has been established for several years, marketing via mobile channels, in particular via mobile apps, which has a more dynamic competitive landscape, is a relatively new phenomena in China driven by recent innovations in mobile technologies and the growing popularity and prevalence of mobile devices and mobile apps. We have experienced and expect to continue to face significant competition for our mobile marketing solutions. In addition, in light of the rising demand for marketing via mobile apps, mobile app publishers, especially popular mobile apps, publishers tend to command stronger bargaining power compared to their non-mobile app publisher counterparts. All this have contributed to margin pressure on our marketing solutions.</w:t>
      </w:r>
    </w:p>
    <w:p>
      <w:pPr>
        <w:spacing w:after="0" w:line="192" w:lineRule="exact"/>
        <w:rPr>
          <w:sz w:val="20"/>
          <w:szCs w:val="20"/>
          <w:color w:val="auto"/>
        </w:rPr>
      </w:pPr>
    </w:p>
    <w:p>
      <w:pPr>
        <w:ind w:right="120" w:firstLine="727"/>
        <w:spacing w:after="0" w:line="259" w:lineRule="auto"/>
        <w:rPr>
          <w:sz w:val="20"/>
          <w:szCs w:val="20"/>
          <w:color w:val="auto"/>
        </w:rPr>
      </w:pPr>
      <w:r>
        <w:rPr>
          <w:rFonts w:ascii="Arial" w:cs="Arial" w:eastAsia="Arial" w:hAnsi="Arial"/>
          <w:sz w:val="18"/>
          <w:szCs w:val="18"/>
          <w:color w:val="auto"/>
        </w:rPr>
        <w:t>Furthermore, as we continue to focus on the growth on mobile channels,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28.1%, 33.9% and 29.2% of our clients in 2018, 2019 and 2020, respectively.</w:t>
      </w:r>
    </w:p>
    <w:p>
      <w:pPr>
        <w:spacing w:after="0" w:line="187" w:lineRule="exact"/>
        <w:rPr>
          <w:sz w:val="20"/>
          <w:szCs w:val="20"/>
          <w:color w:val="auto"/>
        </w:rPr>
      </w:pPr>
    </w:p>
    <w:p>
      <w:pPr>
        <w:ind w:right="40" w:firstLine="727"/>
        <w:spacing w:after="0" w:line="290" w:lineRule="auto"/>
        <w:rPr>
          <w:sz w:val="20"/>
          <w:szCs w:val="20"/>
          <w:color w:val="auto"/>
        </w:rPr>
      </w:pPr>
      <w:r>
        <w:rPr>
          <w:rFonts w:ascii="Arial" w:cs="Arial" w:eastAsia="Arial" w:hAnsi="Arial"/>
          <w:sz w:val="16"/>
          <w:szCs w:val="16"/>
          <w:color w:val="auto"/>
        </w:rPr>
        <w:t>We primarily rely on third-party content distribution channels to access mobile content distribution opportunities. To further expand our mobile content distribution network, we need to develop new and enhance our existing relationships with content distribution channel partners, which depends, in part, on our ability to continually generate sufficient marketing spend from our clients on these channels, especially mobile app channels. We also intend to strengthen our relationships with content distribution channel partners through technology collaboration to facilitate innovative and effective user engagement. Furthermore, we are building proprietary mobile content distribution channels through inorganic growth. For example, in 2018, we made a controlling investment in Myhayo, a content distribution channel and a mobile content aggregator of articles and short videos in the PRC, which presents customized feeds to users via its mobile application. In 2020, we acquired Optimal Power Limited and its subsidiaries which certain premium media licensing assets in countries including Singapore, Greater China (including Hong Kong), Australia, India, Indonesia, Philippines and Malaysia.</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Enterprise Solutions</w:t>
      </w:r>
    </w:p>
    <w:p>
      <w:pPr>
        <w:spacing w:after="0" w:line="117" w:lineRule="exact"/>
        <w:rPr>
          <w:sz w:val="20"/>
          <w:szCs w:val="20"/>
          <w:color w:val="auto"/>
        </w:rPr>
      </w:pPr>
    </w:p>
    <w:p>
      <w:pPr>
        <w:ind w:firstLine="727"/>
        <w:spacing w:after="0" w:line="272" w:lineRule="auto"/>
        <w:rPr>
          <w:sz w:val="20"/>
          <w:szCs w:val="20"/>
          <w:color w:val="auto"/>
        </w:rPr>
      </w:pPr>
      <w:r>
        <w:rPr>
          <w:rFonts w:ascii="Arial" w:cs="Arial" w:eastAsia="Arial" w:hAnsi="Arial"/>
          <w:sz w:val="17"/>
          <w:szCs w:val="17"/>
          <w:color w:val="auto"/>
        </w:rPr>
        <w:t>Our future growth also depends on our ability to expand our enterprise solutions. The markets for certain of our offerings remain relatively new and it is uncertain whether our efforts, and related investments, will ever result in significant profits for us. Also, if we are unable to develop enhancements to and new features for our existing services that keep pace with rapid technological developments, our business could be impacted. The success of our development, and implementation of new features and services depends on several factors, including the timely completion, introduction and market acceptance of the feature, service or enhancement by customers, administrators and developers, as well as our ability to integrate all of our service offerings and develop adequate selling capabilities in this new market. Failure in this regard may significantly impair our revenue growth as well as negatively impact our operating results if additional costs are not offset by additional revenues.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Our Revenue Models</w:t>
      </w:r>
    </w:p>
    <w:p>
      <w:pPr>
        <w:spacing w:after="0" w:line="117" w:lineRule="exact"/>
        <w:rPr>
          <w:sz w:val="20"/>
          <w:szCs w:val="20"/>
          <w:color w:val="auto"/>
        </w:rPr>
      </w:pPr>
    </w:p>
    <w:p>
      <w:pPr>
        <w:ind w:right="120" w:firstLine="727"/>
        <w:spacing w:after="0" w:line="255" w:lineRule="auto"/>
        <w:rPr>
          <w:sz w:val="20"/>
          <w:szCs w:val="20"/>
          <w:color w:val="auto"/>
        </w:rPr>
      </w:pPr>
      <w:r>
        <w:rPr>
          <w:rFonts w:ascii="Arial" w:cs="Arial" w:eastAsia="Arial" w:hAnsi="Arial"/>
          <w:sz w:val="18"/>
          <w:szCs w:val="18"/>
          <w:color w:val="auto"/>
        </w:rPr>
        <w:t>We derive revenue primarily from four sources and report them on either the net or gross basis. For our marketing solutions, we derive revenue from (i) incentives earned from the website publishers, for which we act as a sales agent for their content distribution opportunities, or the sales agency arrangement, which is reported on a net basis, (ii) performing cost-plus marketing campaigns, which is reported on a net basis, (iii) performing specified actions marketing campaigns (i.e., a CPM, CPC, CPA, CPS, CPL or ROI basis), which is reported on a gross basis. For our enterprise solutions, we derive revenue from the offering of SaaS products, which is reported on a gross basis and a net basis. Please see “—Key Components of Results of Operations— Net Revenues” above for more details.</w:t>
      </w:r>
    </w:p>
    <w:p>
      <w:pPr>
        <w:spacing w:after="0" w:line="192" w:lineRule="exact"/>
        <w:rPr>
          <w:sz w:val="20"/>
          <w:szCs w:val="20"/>
          <w:color w:val="auto"/>
        </w:rPr>
      </w:pPr>
    </w:p>
    <w:p>
      <w:pPr>
        <w:ind w:firstLine="727"/>
        <w:spacing w:after="0" w:line="273" w:lineRule="auto"/>
        <w:rPr>
          <w:sz w:val="20"/>
          <w:szCs w:val="20"/>
          <w:color w:val="auto"/>
        </w:rPr>
      </w:pPr>
      <w:r>
        <w:rPr>
          <w:rFonts w:ascii="Arial" w:cs="Arial" w:eastAsia="Arial" w:hAnsi="Arial"/>
          <w:sz w:val="17"/>
          <w:szCs w:val="17"/>
          <w:color w:val="auto"/>
        </w:rPr>
        <w:t>With respect to our marketing solutions, the gross profit margins for our sales agency arrangement and cost-plus marketing campaigns are higher than that for our specified action marketing campaigns as cost of revenues for our sales agency arrangement and cost-plus marketing campaigns does not include media cost. As a result,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w:t>
      </w:r>
    </w:p>
    <w:p>
      <w:pPr>
        <w:spacing w:after="0" w:line="178" w:lineRule="exact"/>
        <w:rPr>
          <w:sz w:val="20"/>
          <w:szCs w:val="20"/>
          <w:color w:val="auto"/>
        </w:rPr>
      </w:pPr>
    </w:p>
    <w:p>
      <w:pPr>
        <w:ind w:right="20" w:firstLine="727"/>
        <w:spacing w:after="0" w:line="273" w:lineRule="auto"/>
        <w:rPr>
          <w:sz w:val="20"/>
          <w:szCs w:val="20"/>
          <w:color w:val="auto"/>
        </w:rPr>
      </w:pPr>
      <w:r>
        <w:rPr>
          <w:rFonts w:ascii="Arial" w:cs="Arial" w:eastAsia="Arial" w:hAnsi="Arial"/>
          <w:sz w:val="17"/>
          <w:szCs w:val="17"/>
          <w:color w:val="auto"/>
        </w:rPr>
        <w:t>Our marketing solutions and enterprise solutions 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proportion of our gross billing recognized as net revenues on a gross basis and a net basis. The relative proportions of gross billing recognized as net revenues on a gross basis and a net basis are affected by a variety of factors, in particular, the terms of the arrangements with our clients, including whether to conduct their marketing campaigns on a specified-action (i.e., gross) or cost-plus (i.e., net) basis in a particular period, which in turn depends on clients’ needs and goals.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Optimize Client Base and Increase Client Spending</w:t>
      </w:r>
    </w:p>
    <w:p>
      <w:pPr>
        <w:spacing w:after="0" w:line="117" w:lineRule="exact"/>
        <w:rPr>
          <w:sz w:val="20"/>
          <w:szCs w:val="20"/>
          <w:color w:val="auto"/>
        </w:rPr>
      </w:pPr>
    </w:p>
    <w:p>
      <w:pPr>
        <w:ind w:firstLine="727"/>
        <w:spacing w:after="0" w:line="290" w:lineRule="auto"/>
        <w:rPr>
          <w:sz w:val="20"/>
          <w:szCs w:val="20"/>
          <w:color w:val="auto"/>
        </w:rPr>
      </w:pPr>
      <w:r>
        <w:rPr>
          <w:rFonts w:ascii="Arial" w:cs="Arial" w:eastAsia="Arial" w:hAnsi="Arial"/>
          <w:sz w:val="16"/>
          <w:szCs w:val="16"/>
          <w:color w:val="auto"/>
        </w:rPr>
        <w:t>Our growth and profitability are dependent upon our ability to optimize our client base and increase our clients’ spending related to marketing and customer management. We started a comprehensive review of our client base for other marketing solutions in 2016 to focus on profitability and liquidity. For example, we terminated relationships with certain clients for our other marketing solutions, which had relatively long account receivable cycles and yielded relatively low operating profit margins in 2020. We have also been focused, and expect to continue our focus, on sales to direct marketer clients, which tend to command higher gross profit margin compared to agency clients. However, as we continue to focus on the growth on mobile channels, we may, from time to time, prioritize on engaging with marketing agency clients, which may generate larger marketing spend per client compared to direct marketer clients. Furthermore, our growth and profitability also depend on our ability to attract more marketers to our self-service model, and to further diversify our client base to capture the growth in additional industry verticals and geographic markets.</w:t>
      </w:r>
    </w:p>
    <w:p>
      <w:pPr>
        <w:spacing w:after="0" w:line="165" w:lineRule="exact"/>
        <w:rPr>
          <w:sz w:val="20"/>
          <w:szCs w:val="20"/>
          <w:color w:val="auto"/>
        </w:rPr>
      </w:pPr>
    </w:p>
    <w:p>
      <w:pPr>
        <w:ind w:right="140" w:firstLine="727"/>
        <w:spacing w:after="0" w:line="257" w:lineRule="auto"/>
        <w:rPr>
          <w:sz w:val="20"/>
          <w:szCs w:val="20"/>
          <w:color w:val="auto"/>
        </w:rPr>
      </w:pPr>
      <w:r>
        <w:rPr>
          <w:rFonts w:ascii="Arial" w:cs="Arial" w:eastAsia="Arial" w:hAnsi="Arial"/>
          <w:sz w:val="18"/>
          <w:szCs w:val="18"/>
          <w:color w:val="auto"/>
        </w:rPr>
        <w:t>Our ability to increase clients’ spending on our platform depends on whether our solutions can effectively address marketers’ evolving and diverse needs in a cost-efficient manner. To that end, we plan to develop and offer more tailored, innovative and user- friendly solutions and services and enhance our sales, marketing and account servicing efforts. For example, we strive to promote our newly launched enterprise solutions to clients by enhancing our ability to effectively identify and address clients’ needs on CRM and comprehensive and customized data acquisition, mining and analytics for real-time, data-driven and more accurate decision making.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Enlarge Audience Data Set, Strengthen Data Analytics Capabilities and Innovate Technologies</w:t>
      </w:r>
    </w:p>
    <w:p>
      <w:pPr>
        <w:spacing w:after="0" w:line="117" w:lineRule="exact"/>
        <w:rPr>
          <w:sz w:val="20"/>
          <w:szCs w:val="20"/>
          <w:color w:val="auto"/>
        </w:rPr>
      </w:pPr>
    </w:p>
    <w:p>
      <w:pPr>
        <w:ind w:right="40" w:firstLine="727"/>
        <w:spacing w:after="0" w:line="271" w:lineRule="auto"/>
        <w:rPr>
          <w:sz w:val="20"/>
          <w:szCs w:val="20"/>
          <w:color w:val="auto"/>
        </w:rPr>
      </w:pPr>
      <w:r>
        <w:rPr>
          <w:rFonts w:ascii="Arial" w:cs="Arial" w:eastAsia="Arial" w:hAnsi="Arial"/>
          <w:sz w:val="17"/>
          <w:szCs w:val="17"/>
          <w:color w:val="auto"/>
        </w:rPr>
        <w:t>Our performance is significantly dependent on our ability to enlarge audience data set, strengthen data analytics capabilities and innovate technologies. This helps clients achieve more precise audience targeting and enables us to retain clients and increase their marketing spend. It also helps drive up our gross profit margin under our gross revenue model as we make better decisions about which content distribution opportunities to bid for and at which price, and better predict user interaction with a marketing message to achieve our clients’ minimum key performance indicator, or KPI requirements without having to purchase additional content distribution opportunities and incur additional media cost. Such KPIs generally include target audience reach (i.e., the percentage of target audience we successfully engage through our platform), click-through rate (i.e., the ratio of users who click on a specific link to the number of total users who view a marketing message) and landing rate (i.e., the ratio of users who arrive at the clients’ websites to the number of total users who view a marketing message). Furthermore, our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73" w:name="page74"/>
    <w:bookmarkEnd w:id="73"/>
    <w:p>
      <w:pPr>
        <w:ind w:right="180"/>
        <w:spacing w:after="0" w:line="277" w:lineRule="auto"/>
        <w:rPr>
          <w:sz w:val="20"/>
          <w:szCs w:val="20"/>
          <w:color w:val="auto"/>
        </w:rPr>
      </w:pPr>
      <w:r>
        <w:rPr>
          <w:rFonts w:ascii="Arial" w:cs="Arial" w:eastAsia="Arial" w:hAnsi="Arial"/>
          <w:sz w:val="18"/>
          <w:szCs w:val="18"/>
          <w:color w:val="auto"/>
        </w:rPr>
        <w:t>ability to enlarge audience data set, strengthen data analytics capabilities and innovate technologies enables us to extend our data application across more aspects in online marketing and beyond to capitalize on more growth opportunities.</w:t>
      </w:r>
    </w:p>
    <w:p>
      <w:pPr>
        <w:spacing w:after="0" w:line="170" w:lineRule="exact"/>
        <w:rPr>
          <w:sz w:val="20"/>
          <w:szCs w:val="20"/>
          <w:color w:val="auto"/>
        </w:rPr>
      </w:pPr>
    </w:p>
    <w:p>
      <w:pPr>
        <w:ind w:right="80" w:firstLine="727"/>
        <w:spacing w:after="0" w:line="263" w:lineRule="auto"/>
        <w:rPr>
          <w:sz w:val="20"/>
          <w:szCs w:val="20"/>
          <w:color w:val="auto"/>
        </w:rPr>
      </w:pPr>
      <w:r>
        <w:rPr>
          <w:rFonts w:ascii="Arial" w:cs="Arial" w:eastAsia="Arial" w:hAnsi="Arial"/>
          <w:sz w:val="18"/>
          <w:szCs w:val="18"/>
          <w:color w:val="auto"/>
        </w:rPr>
        <w:t>We plan to continue collaborating with clients and other third parties to increase the dimensions and varieties of our data assets and develop new strategic relationships to exploit new data sources and enlarge audience data set. We also plan to continue investing in our data science technologies and upgrading our technology infrastructure.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100" w:firstLine="727"/>
        <w:spacing w:after="0" w:line="293" w:lineRule="auto"/>
        <w:rPr>
          <w:sz w:val="20"/>
          <w:szCs w:val="20"/>
          <w:color w:val="auto"/>
        </w:rPr>
      </w:pPr>
      <w:r>
        <w:rPr>
          <w:rFonts w:ascii="Arial" w:cs="Arial" w:eastAsia="Arial" w:hAnsi="Arial"/>
          <w:sz w:val="16"/>
          <w:szCs w:val="16"/>
          <w:color w:val="auto"/>
        </w:rPr>
        <w:t>We have experienced seasonal fluctuations in revenue. The fourth quarter of each calendar year generally contributes the largest portion of our annual gross billing as marketers tend to allocate a significant portion of their online marketing budgets to that quarter, which coincides with Chinese consumers’ increased purchases around the holidays and shopping events in that quarter, such as Single’s Day on November 11 of each year. The first quarter of each calendar year generally contributes the smallest portion of our annual gross billing, primarily due to a lower level of allocation of online marketing budgets by marketers at the beginning of the calendar year in which the Chinese New Year holidays fall, during which time businesses in China are generally closed. We expect our gross billing to continue fluctuating based on seasonal factors that affect the online marketing industry as a whole.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right="20" w:firstLine="727"/>
        <w:spacing w:after="0" w:line="269" w:lineRule="auto"/>
        <w:rPr>
          <w:sz w:val="20"/>
          <w:szCs w:val="20"/>
          <w:color w:val="auto"/>
        </w:rPr>
      </w:pPr>
      <w:r>
        <w:rPr>
          <w:rFonts w:ascii="Arial" w:cs="Arial" w:eastAsia="Arial" w:hAnsi="Arial"/>
          <w:sz w:val="17"/>
          <w:szCs w:val="17"/>
          <w:color w:val="auto"/>
        </w:rPr>
        <w:t>Since December 2019, there has been an outbreak of COVID-19 in China and around the world. In March 2020, the World Health Organization declared the COVID-19 a pandemic. The pandemic has resulted in quarantines, travel restrictions, home office policies, and the temporary closure of stores and facilities in China, Hong Kong and many other jurisdictions for most part of 2020, with some of such restrictions still continuing as of the date hereof, including in jurisdiction where we have operation. These measures have slowed down the development of the Chinese economy and adversely affected the global economic conditions and financial markets. Majority of our revenues and our workforce are based in China and Hong Kong. Our operations have been, and may continue to be, materially and adversely affected by potential delays in or reductions of business activities and commercial transactions and by general uncertainties surrounding the duration of the government’s extended business and travel restrictions. In addition, our business operations could be disrupted if any of our employees is suspected of contracting the coronavirus or any other infectious disease, since it could require our employees to be quarantined and/or our offices to be disinfected. In 2020, especially in the first half thereof, our clients in industries adversely affected by the COVID-19 outbreak, including travel and hospitality sectors, among others, reduced their budgets on advertising, which had an adverse impact on our results of operations.</w:t>
      </w:r>
    </w:p>
    <w:p>
      <w:pPr>
        <w:spacing w:after="0" w:line="74" w:lineRule="exact"/>
        <w:rPr>
          <w:sz w:val="20"/>
          <w:szCs w:val="20"/>
          <w:color w:val="auto"/>
        </w:rPr>
      </w:pPr>
    </w:p>
    <w:p>
      <w:pPr>
        <w:ind w:right="20" w:firstLine="727"/>
        <w:spacing w:after="0" w:line="259" w:lineRule="auto"/>
        <w:rPr>
          <w:sz w:val="20"/>
          <w:szCs w:val="20"/>
          <w:color w:val="auto"/>
        </w:rPr>
      </w:pPr>
      <w:r>
        <w:rPr>
          <w:rFonts w:ascii="Arial" w:cs="Arial" w:eastAsia="Arial" w:hAnsi="Arial"/>
          <w:sz w:val="18"/>
          <w:szCs w:val="18"/>
          <w:color w:val="auto"/>
        </w:rPr>
        <w:t>We noted that the advertising budgets for our clients recovered across-the-board, especially since the second half of 2020, as a result of the relaxation of restrictions on economic and social life due to a slowdown of COVID-19 cases in China. In addition, we believe brands may also increasingly appreciate the importance of online and offline consumer behavioral data integration and analysis, especially during challenging times like a pandemic, which may favor our enterprise solutions business in the long run.</w:t>
      </w:r>
    </w:p>
    <w:p>
      <w:pPr>
        <w:spacing w:after="0" w:line="79" w:lineRule="exact"/>
        <w:rPr>
          <w:sz w:val="20"/>
          <w:szCs w:val="20"/>
          <w:color w:val="auto"/>
        </w:rPr>
      </w:pPr>
    </w:p>
    <w:p>
      <w:pPr>
        <w:ind w:right="40" w:firstLine="727"/>
        <w:spacing w:after="0" w:line="254" w:lineRule="auto"/>
        <w:rPr>
          <w:sz w:val="20"/>
          <w:szCs w:val="20"/>
          <w:color w:val="auto"/>
        </w:rPr>
      </w:pPr>
      <w:r>
        <w:rPr>
          <w:rFonts w:ascii="Arial" w:cs="Arial" w:eastAsia="Arial" w:hAnsi="Arial"/>
          <w:sz w:val="18"/>
          <w:szCs w:val="18"/>
          <w:color w:val="auto"/>
        </w:rPr>
        <w:t>The outlook for the pandemic remains fluid, and the full and long-term implications from COVID-19 on our business and results of operations remain uncertain. Any significant resurgence of COVID-19 may have an adverse effect on our results of operations, financial condition, business and prospects. Any potential impact on our results will depend on, to a large extent, future developments and new information that may emerge regarding the duration of COVID-19 and the actions taken by governmental authorities and other entities to contain COVID-19 or treat its impact, which are mostly beyond our control. We are closely monitoring the pandemic and its impact on us. Additionally, to the extent the COVID-19 adversely affects our business, results of operations, cash flows, financial condition and/or prospects, it may also have the effect of heightening many of the other risks described in this “Risk Factors” section.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727"/>
        <w:spacing w:after="0" w:line="273" w:lineRule="auto"/>
        <w:rPr>
          <w:sz w:val="20"/>
          <w:szCs w:val="20"/>
          <w:color w:val="auto"/>
        </w:rPr>
      </w:pPr>
      <w:r>
        <w:rPr>
          <w:rFonts w:ascii="Arial" w:cs="Arial" w:eastAsia="Arial" w:hAnsi="Arial"/>
          <w:sz w:val="17"/>
          <w:szCs w:val="17"/>
          <w:color w:val="auto"/>
        </w:rPr>
        <w:t>We prepare our consolidated financial statements in accordance with U.S. GAAP, which requires us to make judgments, estimates and assumptions that affect (i) the reported amounts of assets and liabilities, (ii) disclosure of contingent assets and liabilities at the end of each reporting period and (iii) the reported amounts of revenues and expenses during each reporting period. We continually evaluate these estimates and assumptions based on historical experience, knowledge and assessment of current business and other conditions, expectations regarding the future based on available information and reasonable assumptions, which together form a basis for making judgments about matters not readily apparent from other sources. Since the use of estimates is an integral component of the financial reporting process, actual results could differ from</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74" w:name="page75"/>
    <w:bookmarkEnd w:id="74"/>
    <w:p>
      <w:pPr>
        <w:ind w:right="240"/>
        <w:spacing w:after="0" w:line="286" w:lineRule="auto"/>
        <w:rPr>
          <w:sz w:val="20"/>
          <w:szCs w:val="20"/>
          <w:color w:val="auto"/>
        </w:rPr>
      </w:pPr>
      <w:r>
        <w:rPr>
          <w:rFonts w:ascii="Arial" w:cs="Arial" w:eastAsia="Arial" w:hAnsi="Arial"/>
          <w:sz w:val="17"/>
          <w:szCs w:val="17"/>
          <w:color w:val="auto"/>
        </w:rPr>
        <w:t>those estimates. Some of our accounting policies require higher degrees of judgment than others in their application. We consider the policies discussed below to be critical to an understanding of our financial statements as their application places the most significant demands on the judgment of our management. For further information on our critical accounting policies, see Note 2 to our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117" w:lineRule="exact"/>
        <w:rPr>
          <w:sz w:val="20"/>
          <w:szCs w:val="20"/>
          <w:color w:val="auto"/>
        </w:rPr>
      </w:pPr>
    </w:p>
    <w:p>
      <w:pPr>
        <w:ind w:right="60" w:firstLine="727"/>
        <w:spacing w:after="0" w:line="286" w:lineRule="auto"/>
        <w:rPr>
          <w:sz w:val="20"/>
          <w:szCs w:val="20"/>
          <w:color w:val="auto"/>
        </w:rPr>
      </w:pPr>
      <w:r>
        <w:rPr>
          <w:rFonts w:ascii="Arial" w:cs="Arial" w:eastAsia="Arial" w:hAnsi="Arial"/>
          <w:sz w:val="17"/>
          <w:szCs w:val="17"/>
          <w:color w:val="auto"/>
        </w:rPr>
        <w:t>Foreign ownership in advertising companies used to be subject to certain restrictions under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57" w:lineRule="exact"/>
        <w:rPr>
          <w:sz w:val="20"/>
          <w:szCs w:val="20"/>
          <w:color w:val="auto"/>
        </w:rPr>
      </w:pPr>
    </w:p>
    <w:p>
      <w:pPr>
        <w:ind w:left="1200" w:hanging="477"/>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its subsidiaries;</w:t>
      </w:r>
    </w:p>
    <w:p>
      <w:pPr>
        <w:spacing w:after="0" w:line="117" w:lineRule="exact"/>
        <w:rPr>
          <w:rFonts w:ascii="Arial" w:cs="Arial" w:eastAsia="Arial" w:hAnsi="Arial"/>
          <w:sz w:val="18"/>
          <w:szCs w:val="18"/>
          <w:color w:val="auto"/>
        </w:rPr>
      </w:pPr>
    </w:p>
    <w:p>
      <w:pPr>
        <w:ind w:left="1200" w:hanging="477"/>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its subsidiaries; and</w:t>
      </w:r>
    </w:p>
    <w:p>
      <w:pPr>
        <w:spacing w:after="0" w:line="117" w:lineRule="exact"/>
        <w:rPr>
          <w:rFonts w:ascii="Arial" w:cs="Arial" w:eastAsia="Arial" w:hAnsi="Arial"/>
          <w:sz w:val="18"/>
          <w:szCs w:val="18"/>
          <w:color w:val="auto"/>
        </w:rPr>
      </w:pPr>
    </w:p>
    <w:p>
      <w:pPr>
        <w:ind w:left="1200" w:right="60" w:hanging="477"/>
        <w:spacing w:after="0" w:line="277" w:lineRule="auto"/>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 when and to the extent permitted by PRC law.</w:t>
      </w:r>
    </w:p>
    <w:p>
      <w:pPr>
        <w:spacing w:after="0" w:line="170" w:lineRule="exact"/>
        <w:rPr>
          <w:sz w:val="20"/>
          <w:szCs w:val="20"/>
          <w:color w:val="auto"/>
        </w:rPr>
      </w:pPr>
    </w:p>
    <w:p>
      <w:pPr>
        <w:ind w:right="80" w:firstLine="727"/>
        <w:spacing w:after="0" w:line="263" w:lineRule="auto"/>
        <w:rPr>
          <w:sz w:val="20"/>
          <w:szCs w:val="20"/>
          <w:color w:val="auto"/>
        </w:rPr>
      </w:pPr>
      <w:r>
        <w:rPr>
          <w:rFonts w:ascii="Arial" w:cs="Arial" w:eastAsia="Arial" w:hAnsi="Arial"/>
          <w:sz w:val="18"/>
          <w:szCs w:val="18"/>
          <w:color w:val="auto"/>
        </w:rPr>
        <w:t>Our consolidated financial statements include the financial statements of the Company, its subsidiaries, its VIE and the VIE’s subsidiaries for which we are the primary beneficiary. All transactions and balances among we, our subsidiaries, our VIE and the VIE’s subsidiaries have been eliminated upon consolidation.</w:t>
      </w:r>
    </w:p>
    <w:p>
      <w:pPr>
        <w:spacing w:after="0" w:line="184" w:lineRule="exact"/>
        <w:rPr>
          <w:sz w:val="20"/>
          <w:szCs w:val="20"/>
          <w:color w:val="auto"/>
        </w:rPr>
      </w:pPr>
    </w:p>
    <w:p>
      <w:pPr>
        <w:jc w:val="both"/>
        <w:ind w:right="380" w:firstLine="727"/>
        <w:spacing w:after="0" w:line="286" w:lineRule="auto"/>
        <w:rPr>
          <w:sz w:val="20"/>
          <w:szCs w:val="20"/>
          <w:color w:val="auto"/>
        </w:rPr>
      </w:pPr>
      <w:r>
        <w:rPr>
          <w:rFonts w:ascii="Arial" w:cs="Arial" w:eastAsia="Arial" w:hAnsi="Arial"/>
          <w:sz w:val="17"/>
          <w:szCs w:val="17"/>
          <w:color w:val="auto"/>
        </w:rPr>
        <w:t>A subsidiary is an entity in which we, directly or indirectly, control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65" w:lineRule="exact"/>
        <w:rPr>
          <w:sz w:val="20"/>
          <w:szCs w:val="20"/>
          <w:color w:val="auto"/>
        </w:rPr>
      </w:pPr>
    </w:p>
    <w:p>
      <w:pPr>
        <w:ind w:firstLine="727"/>
        <w:spacing w:after="0" w:line="275" w:lineRule="auto"/>
        <w:rPr>
          <w:sz w:val="20"/>
          <w:szCs w:val="20"/>
          <w:color w:val="auto"/>
        </w:rPr>
      </w:pPr>
      <w:r>
        <w:rPr>
          <w:rFonts w:ascii="Arial" w:cs="Arial" w:eastAsia="Arial" w:hAnsi="Arial"/>
          <w:sz w:val="17"/>
          <w:szCs w:val="17"/>
          <w:color w:val="auto"/>
        </w:rPr>
        <w:t>A VIE is an entity in which we, or our subsidiary, through contractual agreements, bears the risks of, and enjoys the rewards normally associated with ownership of the entity. In determining whether we or our subsidiaries are the primary beneficiary, we considered whether it has the power to direct activities that are significant to the VIE’s economic performance, and also our obligation to absorb losses of the VIE that could potentially be significant to the VIE or the right to receive benefits from the VIE that could potentially be significant to the VIE. OptAim Beijing, and ultimately we, hold all the variable interests of the VIE and its subsidiaries, and has been determined to be the primary beneficiary of the VIE.</w:t>
      </w:r>
    </w:p>
    <w:p>
      <w:pPr>
        <w:spacing w:after="0" w:line="176" w:lineRule="exact"/>
        <w:rPr>
          <w:sz w:val="20"/>
          <w:szCs w:val="20"/>
          <w:color w:val="auto"/>
        </w:rPr>
      </w:pPr>
    </w:p>
    <w:p>
      <w:pPr>
        <w:ind w:firstLine="727"/>
        <w:spacing w:after="0" w:line="273" w:lineRule="auto"/>
        <w:rPr>
          <w:sz w:val="20"/>
          <w:szCs w:val="20"/>
          <w:color w:val="auto"/>
        </w:rPr>
      </w:pPr>
      <w:r>
        <w:rPr>
          <w:rFonts w:ascii="Arial" w:cs="Arial" w:eastAsia="Arial" w:hAnsi="Arial"/>
          <w:sz w:val="17"/>
          <w:szCs w:val="17"/>
          <w:color w:val="auto"/>
        </w:rPr>
        <w:t>In accordance with the contractual agreements among the OptAim Beijing, OptAim Network and the shareholders of OptAim Network, we have power to direct activities of the VIE, and can have assets transferred out of the VIE. Therefore, we consider that there is no asset in the VIE that can be used only to settle obligations of the VIE, except for registered capital and PRC statutory reserves of the VIE and the VIE’s subsidiaries amounting to US$2.0 million, US$2.0 million and US$2.0 million, respectively, as of December 31, 2018, 2019 and 2020. As the VIE was incorporated as limited liability company under the PRC Company Law, the creditors do not have recourse to our general credit for all the liabilities of the VIE. Currently there is no contractual arrangement that could require us to provide additional financial support to the VIE.</w:t>
      </w:r>
    </w:p>
    <w:p>
      <w:pPr>
        <w:spacing w:after="0" w:line="178" w:lineRule="exact"/>
        <w:rPr>
          <w:sz w:val="20"/>
          <w:szCs w:val="20"/>
          <w:color w:val="auto"/>
        </w:rPr>
      </w:pPr>
    </w:p>
    <w:p>
      <w:pPr>
        <w:ind w:right="340" w:firstLine="727"/>
        <w:spacing w:after="0" w:line="277" w:lineRule="auto"/>
        <w:rPr>
          <w:sz w:val="20"/>
          <w:szCs w:val="20"/>
          <w:color w:val="auto"/>
        </w:rPr>
      </w:pPr>
      <w:r>
        <w:rPr>
          <w:rFonts w:ascii="Arial" w:cs="Arial" w:eastAsia="Arial" w:hAnsi="Arial"/>
          <w:sz w:val="18"/>
          <w:szCs w:val="18"/>
          <w:color w:val="auto"/>
        </w:rPr>
        <w:t>As we are conducting our PRC online advertising services business through OptAim Network, we will, if needed, provide such support on a discretion basis in the future, which could expose us to a loss.</w:t>
      </w:r>
    </w:p>
    <w:p>
      <w:pPr>
        <w:spacing w:after="0" w:line="170" w:lineRule="exact"/>
        <w:rPr>
          <w:sz w:val="20"/>
          <w:szCs w:val="20"/>
          <w:color w:val="auto"/>
        </w:rPr>
      </w:pPr>
    </w:p>
    <w:p>
      <w:pPr>
        <w:ind w:right="80" w:firstLine="727"/>
        <w:spacing w:after="0" w:line="259" w:lineRule="auto"/>
        <w:rPr>
          <w:sz w:val="20"/>
          <w:szCs w:val="20"/>
          <w:color w:val="auto"/>
        </w:rPr>
      </w:pPr>
      <w:r>
        <w:rPr>
          <w:rFonts w:ascii="Arial" w:cs="Arial" w:eastAsia="Arial" w:hAnsi="Arial"/>
          <w:sz w:val="18"/>
          <w:szCs w:val="18"/>
          <w:color w:val="auto"/>
        </w:rPr>
        <w:t>We believe that the contractual arrangements among OptAim Beijing, OptAim Network and the shareholders of OptAim Network are in compliance with PRC law and are legally enforceable. However, uncertainties in the PRC legal system could limit our ability to enforce these contractual arrangements and if the shareholders of VIE were to reduce their interest in us, their interests may diverge from ours and that may potentially increase the risk that they would seek to act contrary to the contractual terms.</w:t>
      </w:r>
    </w:p>
    <w:p>
      <w:pPr>
        <w:spacing w:after="0" w:line="187" w:lineRule="exact"/>
        <w:rPr>
          <w:sz w:val="20"/>
          <w:szCs w:val="20"/>
          <w:color w:val="auto"/>
        </w:rPr>
      </w:pPr>
    </w:p>
    <w:p>
      <w:pPr>
        <w:ind w:right="480" w:firstLine="727"/>
        <w:spacing w:after="0" w:line="342" w:lineRule="auto"/>
        <w:rPr>
          <w:sz w:val="20"/>
          <w:szCs w:val="20"/>
          <w:color w:val="auto"/>
        </w:rPr>
      </w:pPr>
      <w:r>
        <w:rPr>
          <w:rFonts w:ascii="Arial" w:cs="Arial" w:eastAsia="Arial" w:hAnsi="Arial"/>
          <w:sz w:val="16"/>
          <w:szCs w:val="16"/>
          <w:color w:val="auto"/>
        </w:rPr>
        <w:t>Our ability to control the VIE also depends on the power of attorney and OptAim Beijing has to vote on all matters requiring shareholder approval in the VIE. As noted above, we believe this power of attorney is legally enforceable but may not be as effective as direct equity ownership.</w:t>
      </w: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63" w:right="41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Fair Value Determination Related to the Accounting for Business Combinations</w:t>
      </w:r>
    </w:p>
    <w:p>
      <w:pPr>
        <w:spacing w:after="0" w:line="117" w:lineRule="exact"/>
        <w:rPr>
          <w:sz w:val="20"/>
          <w:szCs w:val="20"/>
          <w:color w:val="auto"/>
        </w:rPr>
      </w:pPr>
    </w:p>
    <w:p>
      <w:pPr>
        <w:ind w:firstLine="727"/>
        <w:spacing w:after="0" w:line="254" w:lineRule="auto"/>
        <w:rPr>
          <w:sz w:val="20"/>
          <w:szCs w:val="20"/>
          <w:color w:val="auto"/>
        </w:rPr>
      </w:pPr>
      <w:r>
        <w:rPr>
          <w:rFonts w:ascii="Arial" w:cs="Arial" w:eastAsia="Arial" w:hAnsi="Arial"/>
          <w:sz w:val="18"/>
          <w:szCs w:val="18"/>
          <w:color w:val="auto"/>
        </w:rPr>
        <w:t>We completed business combinations during 2015, 2018 to 2020 which require us to perform purchase price allocations. In order to recognize the fair value of assets acquired and liabilities assumed, mainly consisting of intangible assets and goodwill, we use valuation techniques such as discounted cash flow analysis under the income approach. Major factors considered include historical financial results and assumptions including future growth rates, terminal rate and an estimate of weighted average cost of capital. Most of the valuations of our acquired businesses have been performed by independent valuation specialists under our management’s supervision. We believe that the estimated fair value assigned to the assets acquired and liabilities assumed are based on reasonable assumptions and estimates that market participants would use. However, such assumptions are inherently uncertain and actual results could differ from those estimates.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right="100" w:firstLine="727"/>
        <w:spacing w:after="0" w:line="286" w:lineRule="auto"/>
        <w:rPr>
          <w:sz w:val="20"/>
          <w:szCs w:val="20"/>
          <w:color w:val="auto"/>
        </w:rPr>
      </w:pPr>
      <w:r>
        <w:rPr>
          <w:rFonts w:ascii="Arial" w:cs="Arial" w:eastAsia="Arial" w:hAnsi="Arial"/>
          <w:sz w:val="16"/>
          <w:szCs w:val="16"/>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We, however, select to proceed directly to perform a two-step goodwill impairment test. The first step compares the fair value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Application of a goodwill impairment test requires significant management judgment, including the identification of reporting units, assigning assets, liabilities and goodwill to reporting units, and determining the fair value of each reporting unit. The judgment in estimating the fair value of each reporting unit includes estimating future cash flows, determining appropriate discount rates, control premium, comparable companies’ multipliers and making other assumptions. Changes in these estimates and assumptions could materially affect the determination of fair value for each reporting unit.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727"/>
        <w:spacing w:after="0" w:line="255" w:lineRule="auto"/>
        <w:rPr>
          <w:sz w:val="20"/>
          <w:szCs w:val="20"/>
          <w:color w:val="auto"/>
        </w:rPr>
      </w:pPr>
      <w:r>
        <w:rPr>
          <w:rFonts w:ascii="Arial" w:cs="Arial" w:eastAsia="Arial" w:hAnsi="Arial"/>
          <w:sz w:val="18"/>
          <w:szCs w:val="18"/>
          <w:color w:val="auto"/>
        </w:rPr>
        <w:t>Our marketing solutions service offerings are the provisions of online marketing services. We utilize a combination of pricing models and revenue is recognized when the related services are delivered based on the specific terms of the contract, which are commonly based on (i) agreed incentive to be earned for being a sales agent of a publisher, (ii) cost-plus or (iii) specified actions (i.e. cost per impression (“CPM”), cost per click (“CPC”), cost per action (“CPA”), cost per sale (“CPS”), cost per lead (“CPL”) or return on investment (“ROI”)) and related campaign budgets, depending on the customers’ preferences and their campaigns launched. Subsequent to the acquisition of Changyi on January 1, 2019, we also offer the enterprise solutions via the offering of SaaS products.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76" w:name="page77"/>
    <w:bookmarkEnd w:id="76"/>
    <w:p>
      <w:pPr>
        <w:ind w:left="740"/>
        <w:spacing w:after="0"/>
        <w:rPr>
          <w:sz w:val="20"/>
          <w:szCs w:val="20"/>
          <w:color w:val="auto"/>
        </w:rPr>
      </w:pPr>
      <w:r>
        <w:rPr>
          <w:rFonts w:ascii="Arial" w:cs="Arial" w:eastAsia="Arial" w:hAnsi="Arial"/>
          <w:sz w:val="17"/>
          <w:szCs w:val="17"/>
          <w:color w:val="auto"/>
        </w:rPr>
        <w:t>The following table presents our revenue recognized from contracts with customers disaggregated by the four types of pricing models: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For the years ended</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38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560" w:type="dxa"/>
            <w:vAlign w:val="bottom"/>
            <w:gridSpan w:val="2"/>
          </w:tcPr>
          <w:p>
            <w:pPr>
              <w:ind w:left="240"/>
              <w:spacing w:after="0" w:line="133" w:lineRule="exact"/>
              <w:rPr>
                <w:sz w:val="20"/>
                <w:szCs w:val="20"/>
                <w:color w:val="auto"/>
              </w:rPr>
            </w:pPr>
            <w:r>
              <w:rPr>
                <w:rFonts w:ascii="Arial" w:cs="Arial" w:eastAsia="Arial" w:hAnsi="Arial"/>
                <w:sz w:val="14"/>
                <w:szCs w:val="14"/>
                <w:b w:val="1"/>
                <w:bCs w:val="1"/>
                <w:color w:val="auto"/>
              </w:rPr>
              <w:t>December 31,</w:t>
            </w:r>
          </w:p>
        </w:tc>
        <w:tc>
          <w:tcPr>
            <w:tcW w:w="15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340" w:type="dxa"/>
            <w:vAlign w:val="bottom"/>
          </w:tcPr>
          <w:p>
            <w:pPr>
              <w:jc w:val="right"/>
              <w:ind w:right="174"/>
              <w:spacing w:after="0" w:line="13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r>
      <w:tr>
        <w:trPr>
          <w:trHeight w:val="171"/>
        </w:trPr>
        <w:tc>
          <w:tcPr>
            <w:tcW w:w="380" w:type="dxa"/>
            <w:vAlign w:val="bottom"/>
            <w:tcBorders>
              <w:bottom w:val="single" w:sz="8" w:color="CFF0FC"/>
            </w:tcBorders>
          </w:tcPr>
          <w:p>
            <w:pPr>
              <w:spacing w:after="0"/>
              <w:rPr>
                <w:sz w:val="14"/>
                <w:szCs w:val="14"/>
                <w:color w:val="auto"/>
              </w:rPr>
            </w:pPr>
          </w:p>
        </w:tc>
        <w:tc>
          <w:tcPr>
            <w:tcW w:w="628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Recognized over time</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80" w:type="dxa"/>
            <w:vAlign w:val="bottom"/>
          </w:tcPr>
          <w:p>
            <w:pPr>
              <w:spacing w:after="0"/>
              <w:rPr>
                <w:sz w:val="20"/>
                <w:szCs w:val="20"/>
                <w:color w:val="auto"/>
              </w:rPr>
            </w:pPr>
            <w:r>
              <w:rPr>
                <w:rFonts w:ascii="Arial" w:cs="Arial" w:eastAsia="Arial" w:hAnsi="Arial"/>
                <w:sz w:val="18"/>
                <w:szCs w:val="18"/>
                <w:color w:val="auto"/>
              </w:rPr>
              <w:t>Sales agent</w:t>
            </w:r>
          </w:p>
        </w:tc>
        <w:tc>
          <w:tcPr>
            <w:tcW w:w="1320" w:type="dxa"/>
            <w:vAlign w:val="bottom"/>
          </w:tcPr>
          <w:p>
            <w:pPr>
              <w:jc w:val="right"/>
              <w:spacing w:after="0"/>
              <w:rPr>
                <w:sz w:val="20"/>
                <w:szCs w:val="20"/>
                <w:color w:val="auto"/>
              </w:rPr>
            </w:pPr>
            <w:r>
              <w:rPr>
                <w:rFonts w:ascii="Arial" w:cs="Arial" w:eastAsia="Arial" w:hAnsi="Arial"/>
                <w:sz w:val="18"/>
                <w:szCs w:val="18"/>
                <w:color w:val="auto"/>
              </w:rPr>
              <w:t>8,671</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6,563</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5,834</w:t>
            </w:r>
          </w:p>
        </w:tc>
        <w:tc>
          <w:tcPr>
            <w:tcW w:w="100" w:type="dxa"/>
            <w:vAlign w:val="bottom"/>
          </w:tcPr>
          <w:p>
            <w:pPr>
              <w:spacing w:after="0"/>
              <w:rPr>
                <w:sz w:val="19"/>
                <w:szCs w:val="19"/>
                <w:color w:val="auto"/>
              </w:rPr>
            </w:pPr>
          </w:p>
        </w:tc>
      </w:tr>
      <w:tr>
        <w:trPr>
          <w:trHeight w:val="229"/>
        </w:trPr>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12,192</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17,146</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26,738</w:t>
            </w:r>
          </w:p>
        </w:tc>
        <w:tc>
          <w:tcPr>
            <w:tcW w:w="100" w:type="dxa"/>
            <w:vAlign w:val="bottom"/>
            <w:shd w:val="clear" w:color="auto" w:fill="CFF0FC"/>
          </w:tcPr>
          <w:p>
            <w:pPr>
              <w:spacing w:after="0"/>
              <w:rPr>
                <w:sz w:val="19"/>
                <w:szCs w:val="19"/>
                <w:color w:val="auto"/>
              </w:rPr>
            </w:pPr>
          </w:p>
        </w:tc>
      </w:tr>
      <w:tr>
        <w:trPr>
          <w:trHeight w:val="230"/>
        </w:trPr>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80" w:type="dxa"/>
            <w:vAlign w:val="bottom"/>
          </w:tcPr>
          <w:p>
            <w:pPr>
              <w:spacing w:after="0"/>
              <w:rPr>
                <w:sz w:val="20"/>
                <w:szCs w:val="20"/>
                <w:color w:val="auto"/>
              </w:rPr>
            </w:pPr>
            <w:r>
              <w:rPr>
                <w:rFonts w:ascii="Arial" w:cs="Arial" w:eastAsia="Arial" w:hAnsi="Arial"/>
                <w:sz w:val="18"/>
                <w:szCs w:val="18"/>
                <w:color w:val="auto"/>
              </w:rPr>
              <w:t>SaaS products offering</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8,687</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28,545</w:t>
            </w:r>
          </w:p>
        </w:tc>
        <w:tc>
          <w:tcPr>
            <w:tcW w:w="100" w:type="dxa"/>
            <w:vAlign w:val="bottom"/>
          </w:tcPr>
          <w:p>
            <w:pPr>
              <w:spacing w:after="0"/>
              <w:rPr>
                <w:sz w:val="19"/>
                <w:szCs w:val="19"/>
                <w:color w:val="auto"/>
              </w:rPr>
            </w:pPr>
          </w:p>
        </w:tc>
      </w:tr>
      <w:tr>
        <w:trPr>
          <w:trHeight w:val="223"/>
        </w:trPr>
        <w:tc>
          <w:tcPr>
            <w:tcW w:w="380" w:type="dxa"/>
            <w:vAlign w:val="bottom"/>
            <w:tcBorders>
              <w:top w:val="single" w:sz="8" w:color="CFF0FC"/>
            </w:tcBorders>
            <w:shd w:val="clear" w:color="auto" w:fill="CFF0FC"/>
          </w:tcPr>
          <w:p>
            <w:pPr>
              <w:spacing w:after="0"/>
              <w:rPr>
                <w:sz w:val="19"/>
                <w:szCs w:val="19"/>
                <w:color w:val="auto"/>
              </w:rPr>
            </w:pPr>
          </w:p>
        </w:tc>
        <w:tc>
          <w:tcPr>
            <w:tcW w:w="628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20,863</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32,396</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Recognized at point in time</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Specified actions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139,154</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165,263</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193,280</w:t>
            </w:r>
          </w:p>
        </w:tc>
        <w:tc>
          <w:tcPr>
            <w:tcW w:w="100" w:type="dxa"/>
            <w:vAlign w:val="bottom"/>
            <w:shd w:val="clear" w:color="auto" w:fill="CFF0FC"/>
          </w:tcPr>
          <w:p>
            <w:pPr>
              <w:spacing w:after="0"/>
              <w:rPr>
                <w:sz w:val="19"/>
                <w:szCs w:val="19"/>
                <w:color w:val="auto"/>
              </w:rPr>
            </w:pPr>
          </w:p>
        </w:tc>
      </w:tr>
      <w:tr>
        <w:trPr>
          <w:trHeight w:val="230"/>
        </w:trPr>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80" w:type="dxa"/>
            <w:vAlign w:val="bottom"/>
          </w:tcPr>
          <w:p>
            <w:pPr>
              <w:spacing w:after="0"/>
              <w:rPr>
                <w:sz w:val="20"/>
                <w:szCs w:val="20"/>
                <w:color w:val="auto"/>
              </w:rPr>
            </w:pPr>
            <w:r>
              <w:rPr>
                <w:rFonts w:ascii="Arial" w:cs="Arial" w:eastAsia="Arial" w:hAnsi="Arial"/>
                <w:sz w:val="18"/>
                <w:szCs w:val="18"/>
                <w:color w:val="auto"/>
              </w:rPr>
              <w:t>SaaS products offering</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1,749</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r>
      <w:tr>
        <w:trPr>
          <w:trHeight w:val="223"/>
        </w:trPr>
        <w:tc>
          <w:tcPr>
            <w:tcW w:w="380" w:type="dxa"/>
            <w:vAlign w:val="bottom"/>
            <w:tcBorders>
              <w:top w:val="single" w:sz="8" w:color="CFF0FC"/>
            </w:tcBorders>
            <w:shd w:val="clear" w:color="auto" w:fill="CFF0FC"/>
          </w:tcPr>
          <w:p>
            <w:pPr>
              <w:spacing w:after="0"/>
              <w:rPr>
                <w:sz w:val="19"/>
                <w:szCs w:val="19"/>
                <w:color w:val="auto"/>
              </w:rPr>
            </w:pPr>
          </w:p>
        </w:tc>
        <w:tc>
          <w:tcPr>
            <w:tcW w:w="628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139,154</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167,012</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193,628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80" w:type="dxa"/>
            <w:vAlign w:val="bottom"/>
          </w:tcPr>
          <w:p>
            <w:pPr>
              <w:spacing w:after="0"/>
              <w:rPr>
                <w:sz w:val="20"/>
                <w:szCs w:val="20"/>
                <w:color w:val="auto"/>
              </w:rPr>
            </w:pPr>
            <w:r>
              <w:rPr>
                <w:rFonts w:ascii="Arial" w:cs="Arial" w:eastAsia="Arial" w:hAnsi="Arial"/>
                <w:sz w:val="18"/>
                <w:szCs w:val="18"/>
                <w:color w:val="auto"/>
                <w:w w:val="89"/>
              </w:rPr>
              <w:t>Total</w:t>
            </w:r>
          </w:p>
        </w:tc>
        <w:tc>
          <w:tcPr>
            <w:tcW w:w="62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160,017</w:t>
            </w:r>
          </w:p>
        </w:tc>
        <w:tc>
          <w:tcPr>
            <w:tcW w:w="2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199,408</w:t>
            </w:r>
          </w:p>
        </w:tc>
        <w:tc>
          <w:tcPr>
            <w:tcW w:w="2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254,745</w:t>
            </w: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727"/>
        <w:spacing w:after="0" w:line="275" w:lineRule="auto"/>
        <w:rPr>
          <w:sz w:val="20"/>
          <w:szCs w:val="20"/>
          <w:color w:val="auto"/>
        </w:rPr>
      </w:pPr>
      <w:r>
        <w:rPr>
          <w:rFonts w:ascii="Arial" w:cs="Arial" w:eastAsia="Arial" w:hAnsi="Arial"/>
          <w:sz w:val="17"/>
          <w:szCs w:val="17"/>
          <w:color w:val="auto"/>
        </w:rPr>
        <w:t>We recognize revenue when we satisfy a performance obligation by transferring a promised service to a customer. We consider the following when determining if a contract exists under which the performance obligations have been satisfied: (i) contract approval by all parties, (ii) identification of each party’s rights regarding the goods or services to be transferred, (iii) specified payment terms, (iv) commercial substance of the contract, and (v) collectability of substantially all of the consideration is probable. Collectability is assessed based on a number of factors, including the creditworthiness of a customer, the size and nature of a customer’s business and transaction history.</w:t>
      </w:r>
    </w:p>
    <w:p>
      <w:pPr>
        <w:spacing w:after="0" w:line="17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Revenues are recorded net of value-added taxes.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agent</w:t>
      </w:r>
    </w:p>
    <w:p>
      <w:pPr>
        <w:spacing w:after="0" w:line="117" w:lineRule="exact"/>
        <w:rPr>
          <w:sz w:val="20"/>
          <w:szCs w:val="20"/>
          <w:color w:val="auto"/>
        </w:rPr>
      </w:pPr>
    </w:p>
    <w:p>
      <w:pPr>
        <w:ind w:firstLine="727"/>
        <w:spacing w:after="0" w:line="259" w:lineRule="auto"/>
        <w:rPr>
          <w:sz w:val="20"/>
          <w:szCs w:val="20"/>
          <w:color w:val="auto"/>
        </w:rPr>
      </w:pPr>
      <w:r>
        <w:rPr>
          <w:rFonts w:ascii="Arial" w:cs="Arial" w:eastAsia="Arial" w:hAnsi="Arial"/>
          <w:sz w:val="18"/>
          <w:szCs w:val="18"/>
          <w:color w:val="auto"/>
        </w:rPr>
        <w:t>In the arrangement with a particular publisher, we act as a sales agent for this publisher in selling marketing spaces to marketing clients. In return, we earn incentives from this publisher based on contractually stipulated amounts when certain spending thresholds are achieved. We consider this particular publisher as a customer and record such incentives as net revenues. Incentives from this publisher are calculated on both a quarterly and an annual basis in accordance with the terms as set out in the arrangement.</w:t>
      </w:r>
    </w:p>
    <w:p>
      <w:pPr>
        <w:spacing w:after="0" w:line="187" w:lineRule="exact"/>
        <w:rPr>
          <w:sz w:val="20"/>
          <w:szCs w:val="20"/>
          <w:color w:val="auto"/>
        </w:rPr>
      </w:pPr>
    </w:p>
    <w:p>
      <w:pPr>
        <w:ind w:right="20" w:firstLine="727"/>
        <w:spacing w:after="0" w:line="259" w:lineRule="auto"/>
        <w:rPr>
          <w:sz w:val="20"/>
          <w:szCs w:val="20"/>
          <w:color w:val="auto"/>
        </w:rPr>
      </w:pPr>
      <w:r>
        <w:rPr>
          <w:rFonts w:ascii="Arial" w:cs="Arial" w:eastAsia="Arial" w:hAnsi="Arial"/>
          <w:sz w:val="18"/>
          <w:szCs w:val="18"/>
          <w:color w:val="auto"/>
        </w:rPr>
        <w:t>Revenue under this arrangement is recognized over-time given we consider this particular publisher simultaneously receives and consumes the benefits provided by our performance as we perform. In other words, when we purchase marketing spaces on behalf of the marketing clients throughout the marketing campaigns as requested by them, this particular publisher simultaneously receives and consumes the benefit of the marketing spaces being purchased and therefore we are entitled to incentive payment from this publisher.</w:t>
      </w:r>
    </w:p>
    <w:p>
      <w:pPr>
        <w:spacing w:after="0" w:line="187" w:lineRule="exact"/>
        <w:rPr>
          <w:sz w:val="20"/>
          <w:szCs w:val="20"/>
          <w:color w:val="auto"/>
        </w:rPr>
      </w:pPr>
    </w:p>
    <w:p>
      <w:pPr>
        <w:ind w:right="360" w:firstLine="727"/>
        <w:spacing w:after="0" w:line="263" w:lineRule="auto"/>
        <w:rPr>
          <w:sz w:val="20"/>
          <w:szCs w:val="20"/>
          <w:color w:val="auto"/>
        </w:rPr>
      </w:pPr>
      <w:r>
        <w:rPr>
          <w:rFonts w:ascii="Arial" w:cs="Arial" w:eastAsia="Arial" w:hAnsi="Arial"/>
          <w:sz w:val="18"/>
          <w:szCs w:val="18"/>
          <w:color w:val="auto"/>
        </w:rPr>
        <w:t>We grant rebates to marketing clients under the sales agent arrangement. The majority of marketing clients under this arrangement are not customers under either the cost-plus arrangement or specified actions arrangement. We record rebates granted to such marketing clients as reduction of revenue.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Cost-plus</w:t>
      </w:r>
    </w:p>
    <w:p>
      <w:pPr>
        <w:spacing w:after="0" w:line="117" w:lineRule="exact"/>
        <w:rPr>
          <w:sz w:val="20"/>
          <w:szCs w:val="20"/>
          <w:color w:val="auto"/>
        </w:rPr>
      </w:pPr>
    </w:p>
    <w:p>
      <w:pPr>
        <w:ind w:firstLine="727"/>
        <w:spacing w:after="0" w:line="290" w:lineRule="auto"/>
        <w:rPr>
          <w:sz w:val="20"/>
          <w:szCs w:val="20"/>
          <w:color w:val="auto"/>
        </w:rPr>
      </w:pPr>
      <w:r>
        <w:rPr>
          <w:rFonts w:ascii="Arial" w:cs="Arial" w:eastAsia="Arial" w:hAnsi="Arial"/>
          <w:sz w:val="16"/>
          <w:szCs w:val="16"/>
          <w:color w:val="auto"/>
        </w:rPr>
        <w:t>For cost-plus advertisement campaigns, sales are recognized at the fair value of the amount received. Discounts granted to marketing clients under cost-plus marketing campaigns are recorded as a reduction of revenue. The determination of whether revenue should be reported on a gross or net basis is based on an assessment of whether we are acting as the principal or an agent in the transactions. In the normal course of business, we act as an intermediary in executing transactions between website publishers and marketing clients. The specified service in the cost-plus arrangement is the provision of marketing space, which is controlled by the website publishers, rather than us. We assist the marketing clients to place orders with specific website publishers based on specification set out the marketing clients. We do not have the ability to direct the use of marketing space and do not have any inventory risk. Pricing is generally based on the actual advertising spending incurred by the marketing clients plus a margin. Accordingly, we conclude that we are not the principal in these arrangements and reports revenue earned and costs incurred related to these transactions on a net basis.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7" w:name="page78"/>
    <w:bookmarkEnd w:id="77"/>
    <w:p>
      <w:pPr>
        <w:ind w:firstLine="727"/>
        <w:spacing w:after="0" w:line="311" w:lineRule="auto"/>
        <w:rPr>
          <w:sz w:val="20"/>
          <w:szCs w:val="20"/>
          <w:color w:val="auto"/>
        </w:rPr>
      </w:pPr>
      <w:r>
        <w:rPr>
          <w:rFonts w:ascii="Arial" w:cs="Arial" w:eastAsia="Arial" w:hAnsi="Arial"/>
          <w:sz w:val="16"/>
          <w:szCs w:val="16"/>
          <w:color w:val="auto"/>
        </w:rPr>
        <w:t>Revenue under this arrangement is recognized over-time as we consider our customers simultaneously receive and consume the benefits provided by our performance. At the time we purchase marketing spaces during the contract term for our customers, the customers’ advertisements could be placed throughout the marketing campaign. Revenue recognition under this arrangement is not based on an occurrence of significant act or milestone method.</w:t>
      </w:r>
    </w:p>
    <w:p>
      <w:pPr>
        <w:spacing w:after="0" w:line="149" w:lineRule="exact"/>
        <w:rPr>
          <w:sz w:val="20"/>
          <w:szCs w:val="20"/>
          <w:color w:val="auto"/>
        </w:rPr>
      </w:pPr>
    </w:p>
    <w:p>
      <w:pPr>
        <w:ind w:right="120" w:firstLine="727"/>
        <w:spacing w:after="0" w:line="293" w:lineRule="auto"/>
        <w:rPr>
          <w:sz w:val="20"/>
          <w:szCs w:val="20"/>
          <w:color w:val="auto"/>
        </w:rPr>
      </w:pPr>
      <w:r>
        <w:rPr>
          <w:rFonts w:ascii="Arial" w:cs="Arial" w:eastAsia="Arial" w:hAnsi="Arial"/>
          <w:sz w:val="16"/>
          <w:szCs w:val="16"/>
          <w:color w:val="auto"/>
        </w:rPr>
        <w:t>Throughout the various services delivered to clients under the cost-plus arrangements, we earn rebates from publishers and grant rebates to marketing clients. The rebates that we grant to marketing clients under cost-plus arrangement are recorded as reduction of revenue and are recorded based on the amount the marketing clients would ultimately need to spend to earn the corresponding level of rebates. We are also able to reasonably estimate the spending the customers can ultimately achieve based on the historical spending patterns of the customers with similar arrangements. The rebates that we receive from publishers under the cost-plus arrangements are recorded as revenue. These rebates are recognized when a particular milestone is achieved (i.e. applying the relevant rebates based on the level of spending threshold actually achieved) and spending has actually occurred.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Specified actions</w:t>
      </w:r>
    </w:p>
    <w:p>
      <w:pPr>
        <w:spacing w:after="0" w:line="117" w:lineRule="exact"/>
        <w:rPr>
          <w:sz w:val="20"/>
          <w:szCs w:val="20"/>
          <w:color w:val="auto"/>
        </w:rPr>
      </w:pPr>
    </w:p>
    <w:p>
      <w:pPr>
        <w:ind w:right="40" w:firstLine="727"/>
        <w:spacing w:after="0" w:line="270" w:lineRule="auto"/>
        <w:rPr>
          <w:sz w:val="20"/>
          <w:szCs w:val="20"/>
          <w:color w:val="auto"/>
        </w:rPr>
      </w:pPr>
      <w:r>
        <w:rPr>
          <w:rFonts w:ascii="Arial" w:cs="Arial" w:eastAsia="Arial" w:hAnsi="Arial"/>
          <w:sz w:val="17"/>
          <w:szCs w:val="17"/>
          <w:color w:val="auto"/>
        </w:rPr>
        <w:t>We also generate revenue from performing specified actions (i.e., a CPM, CPC, CPA, CPS, CPL or ROI basis). Revenue is recognized on a CPM or CPC basis as impressions or clicks are delivered while revenue on a CPA, CPS, CPL or ROI basis is recognized once agreed actions are performed. For the specified actions advertisement campaigns, we are the principal as we have the obligation to deliver successful actions requested by marketing clients. Also, we will only be paid if successful actions can be delivered and is exposed to risk of loss. In terms of pricing, we have complete latitude in establishing the selling prices of each of the CPM, CPC, CPA, CPS, CPL or ROI pricing model. Our margin may vary as the costs incurred to deliver successful actions may vary and we are therefore exposed to risk of loss whereby validating our degree of responsibility to our customers. Although the inventory risk under specified actions arrangement is considered to be low, we conclude that we are the principal in such arrangement as we are the principal ultimately responsible for delivering successful actions and in charge of establishing the price per action. Accordingly, we report revenue earned and costs incurred related to these transactions on a gross basis.</w:t>
      </w:r>
    </w:p>
    <w:p>
      <w:pPr>
        <w:spacing w:after="0" w:line="181" w:lineRule="exact"/>
        <w:rPr>
          <w:sz w:val="20"/>
          <w:szCs w:val="20"/>
          <w:color w:val="auto"/>
        </w:rPr>
      </w:pPr>
    </w:p>
    <w:p>
      <w:pPr>
        <w:ind w:right="100" w:firstLine="727"/>
        <w:spacing w:after="0" w:line="273" w:lineRule="auto"/>
        <w:rPr>
          <w:sz w:val="20"/>
          <w:szCs w:val="20"/>
          <w:color w:val="auto"/>
        </w:rPr>
      </w:pPr>
      <w:r>
        <w:rPr>
          <w:rFonts w:ascii="Arial" w:cs="Arial" w:eastAsia="Arial" w:hAnsi="Arial"/>
          <w:sz w:val="17"/>
          <w:szCs w:val="17"/>
          <w:color w:val="auto"/>
        </w:rPr>
        <w:t>Revenues under this arrangement is recognized at point-in-time when we are able to deliver the specified actions as requested by the customers. Upon the occurrence of the specified actions, the customers take control of the specified actions and this is when we recognize the corresponding revenue. Unlike the cost-plus arrangement, when we purchase marketing spaces in order to deliver the specified actions, the customers do not receive and consume the benefit as the benefit to be received by the customers is the occurrence of the specified actions. Also, we do not create or enhance an asset that the customers control as the marketing spaces ultimately belong to the publishers. We do not have any right to payment for simply purchasing the marketing spaces and would only be compensated upon delivery of the specified actions.</w:t>
      </w:r>
    </w:p>
    <w:p>
      <w:pPr>
        <w:spacing w:after="0" w:line="178" w:lineRule="exact"/>
        <w:rPr>
          <w:sz w:val="20"/>
          <w:szCs w:val="20"/>
          <w:color w:val="auto"/>
        </w:rPr>
      </w:pPr>
    </w:p>
    <w:p>
      <w:pPr>
        <w:ind w:right="40" w:firstLine="727"/>
        <w:spacing w:after="0" w:line="293" w:lineRule="auto"/>
        <w:rPr>
          <w:sz w:val="20"/>
          <w:szCs w:val="20"/>
          <w:color w:val="auto"/>
        </w:rPr>
      </w:pPr>
      <w:r>
        <w:rPr>
          <w:rFonts w:ascii="Arial" w:cs="Arial" w:eastAsia="Arial" w:hAnsi="Arial"/>
          <w:sz w:val="16"/>
          <w:szCs w:val="16"/>
          <w:color w:val="auto"/>
        </w:rPr>
        <w:t>Similar to the cost-plus arrangements, we earn rebates from publishers and grant rebates to marketing clients under specified action arrangement. Likewise, the rebates that we grant to marketing clients under specified action arrangement are recorded as reduction of revenue and are recorded based on the amount the marketing clients would ultimately need to spend to earn the corresponding level of rebates based on the historical spending patterns of the customers with similar arrangements. The rebates that we receive from publishers under the specified action arrangements are recorded as a reduction of cost of revenues. Similar to the cost-plus arrangement, these rebates under specified action arrangements are recognized when a particular milestone is achieved (i.e. applying the relevant rebates based on the level of spending threshold actually achieved) and spending has actually occurred.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SaaS products offering</w:t>
      </w:r>
    </w:p>
    <w:p>
      <w:pPr>
        <w:spacing w:after="0" w:line="117" w:lineRule="exact"/>
        <w:rPr>
          <w:sz w:val="20"/>
          <w:szCs w:val="20"/>
          <w:color w:val="auto"/>
        </w:rPr>
      </w:pPr>
    </w:p>
    <w:p>
      <w:pPr>
        <w:ind w:right="20" w:firstLine="727"/>
        <w:spacing w:after="0" w:line="257" w:lineRule="auto"/>
        <w:rPr>
          <w:sz w:val="20"/>
          <w:szCs w:val="20"/>
          <w:color w:val="auto"/>
        </w:rPr>
      </w:pPr>
      <w:r>
        <w:rPr>
          <w:rFonts w:ascii="Arial" w:cs="Arial" w:eastAsia="Arial" w:hAnsi="Arial"/>
          <w:sz w:val="18"/>
          <w:szCs w:val="18"/>
          <w:color w:val="auto"/>
        </w:rPr>
        <w:t>Under this arrangement, we offer SaaS products which are cloud-hosted software offering enterprise solutions to customers through provision of software licenses and retail and CRM. Revenues under this arrangement primarily consist of fees for (i) licensing to provide customers with access to one or more of the existing cloud applications for e-commerce, marketing and customer management, (ii) the development of new cloud applications customized for individual customer, and (iii) various combinations of technical support and maintenance services provided by us. Contracts with customers under this arrangement are generally with a term of 1 to 24 months.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78" w:name="page79"/>
    <w:bookmarkEnd w:id="78"/>
    <w:p>
      <w:pPr>
        <w:ind w:right="80" w:firstLine="727"/>
        <w:spacing w:after="0" w:line="259" w:lineRule="auto"/>
        <w:rPr>
          <w:sz w:val="20"/>
          <w:szCs w:val="20"/>
          <w:color w:val="auto"/>
        </w:rPr>
      </w:pPr>
      <w:r>
        <w:rPr>
          <w:rFonts w:ascii="Arial" w:cs="Arial" w:eastAsia="Arial" w:hAnsi="Arial"/>
          <w:sz w:val="18"/>
          <w:szCs w:val="18"/>
          <w:color w:val="auto"/>
        </w:rPr>
        <w:t>Revenues from licensing of existing cloud applications are generally recognized ratably over time over the contract term beginning on the date that the licensing service is made available to the customer, whereby we consider that our customers simultaneously receive and consume the benefits provided by the use of existing cloud applications. We do not have other right to consideration in exchange for goods or service that we have transferred to a customer when that right is conditional on something other than the passage of time.</w:t>
      </w:r>
    </w:p>
    <w:p>
      <w:pPr>
        <w:spacing w:after="0" w:line="187" w:lineRule="exact"/>
        <w:rPr>
          <w:sz w:val="20"/>
          <w:szCs w:val="20"/>
          <w:color w:val="auto"/>
        </w:rPr>
      </w:pPr>
    </w:p>
    <w:p>
      <w:pPr>
        <w:ind w:firstLine="727"/>
        <w:spacing w:after="0" w:line="259" w:lineRule="auto"/>
        <w:rPr>
          <w:sz w:val="20"/>
          <w:szCs w:val="20"/>
          <w:color w:val="auto"/>
        </w:rPr>
      </w:pPr>
      <w:r>
        <w:rPr>
          <w:rFonts w:ascii="Arial" w:cs="Arial" w:eastAsia="Arial" w:hAnsi="Arial"/>
          <w:sz w:val="18"/>
          <w:szCs w:val="18"/>
          <w:color w:val="auto"/>
        </w:rPr>
        <w:t>Revenues of developing new cloud applications exclusively customized for customers are recognized at point-in-time when we are able to deliver the cloud applications to customers. We consider the transfer of control of new cloud applications to customer, which represents a distinct performance obligation, to be completed when such cloud applications are on-premise and fully functional such that the customer can use and benefit from the cloud applications on its own.</w:t>
      </w:r>
    </w:p>
    <w:p>
      <w:pPr>
        <w:spacing w:after="0" w:line="187" w:lineRule="exact"/>
        <w:rPr>
          <w:sz w:val="20"/>
          <w:szCs w:val="20"/>
          <w:color w:val="auto"/>
        </w:rPr>
      </w:pPr>
    </w:p>
    <w:p>
      <w:pPr>
        <w:ind w:right="260" w:firstLine="727"/>
        <w:spacing w:after="0" w:line="301" w:lineRule="auto"/>
        <w:rPr>
          <w:sz w:val="20"/>
          <w:szCs w:val="20"/>
          <w:color w:val="auto"/>
        </w:rPr>
      </w:pPr>
      <w:r>
        <w:rPr>
          <w:rFonts w:ascii="Arial" w:cs="Arial" w:eastAsia="Arial" w:hAnsi="Arial"/>
          <w:sz w:val="16"/>
          <w:szCs w:val="16"/>
          <w:color w:val="auto"/>
        </w:rPr>
        <w:t>Besides, we also provide certain additional maintenance services along with the above arrangements of cloud application development and licensing, such as technical support and bug fixes. These additional maintenance services are considered to be a series of distinct services that are substantially the same and have the same duration and measure of progress; therefore, we conclude that they represent a separate combined performance obligation. Revenues from such additional maintenance services are recognized ratably over-time over the contract period.</w:t>
      </w:r>
    </w:p>
    <w:p>
      <w:pPr>
        <w:spacing w:after="0" w:line="157" w:lineRule="exact"/>
        <w:rPr>
          <w:sz w:val="20"/>
          <w:szCs w:val="20"/>
          <w:color w:val="auto"/>
        </w:rPr>
      </w:pPr>
    </w:p>
    <w:p>
      <w:pPr>
        <w:ind w:right="260" w:firstLine="727"/>
        <w:spacing w:after="0" w:line="342" w:lineRule="auto"/>
        <w:rPr>
          <w:sz w:val="20"/>
          <w:szCs w:val="20"/>
          <w:color w:val="auto"/>
        </w:rPr>
      </w:pPr>
      <w:r>
        <w:rPr>
          <w:rFonts w:ascii="Arial" w:cs="Arial" w:eastAsia="Arial" w:hAnsi="Arial"/>
          <w:sz w:val="16"/>
          <w:szCs w:val="16"/>
          <w:color w:val="auto"/>
        </w:rPr>
        <w:t>The respective stand-alone selling prices of each of these performance obligations are determined based upon observable prices in stand-alone transactions and contractually stated price whereby no allocation of selling prices among individual performance obligations are required.</w:t>
      </w:r>
    </w:p>
    <w:p>
      <w:pPr>
        <w:spacing w:after="0" w:line="124" w:lineRule="exact"/>
        <w:rPr>
          <w:sz w:val="20"/>
          <w:szCs w:val="20"/>
          <w:color w:val="auto"/>
        </w:rPr>
      </w:pPr>
    </w:p>
    <w:p>
      <w:pPr>
        <w:ind w:right="580" w:firstLine="727"/>
        <w:spacing w:after="0" w:line="342" w:lineRule="auto"/>
        <w:rPr>
          <w:sz w:val="20"/>
          <w:szCs w:val="20"/>
          <w:color w:val="auto"/>
        </w:rPr>
      </w:pPr>
      <w:r>
        <w:rPr>
          <w:rFonts w:ascii="Arial" w:cs="Arial" w:eastAsia="Arial" w:hAnsi="Arial"/>
          <w:sz w:val="16"/>
          <w:szCs w:val="16"/>
          <w:color w:val="auto"/>
        </w:rPr>
        <w:t>Cost of revenues for SaaS products primarily comprises amortization expenses related to our computer software and systems, salaries and benefits of relevant operations and support personnel, depreciation of relevant property and equipment depreciation and other direct services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260" w:firstLine="727"/>
        <w:spacing w:after="0" w:line="311" w:lineRule="auto"/>
        <w:rPr>
          <w:sz w:val="20"/>
          <w:szCs w:val="20"/>
          <w:color w:val="auto"/>
        </w:rPr>
      </w:pPr>
      <w:r>
        <w:rPr>
          <w:rFonts w:ascii="Arial" w:cs="Arial" w:eastAsia="Arial" w:hAnsi="Arial"/>
          <w:sz w:val="16"/>
          <w:szCs w:val="16"/>
          <w:color w:val="auto"/>
        </w:rPr>
        <w:t>Timing of revenue recognition may differ from the timing of invoicing to customers. Accounts receivable represents amounts invoiced and revenue recognized prior to invoicing when we have satisfied our performance obligations and have the unconditional right to payment. We normally do not have contract assets, which are primarily unbilled accounts receivable that are conditional on something other than the passage of time.</w:t>
      </w:r>
    </w:p>
    <w:p>
      <w:pPr>
        <w:spacing w:after="0" w:line="14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Deferred revenue represents contract liabilities which related to unsatisfied performance obligations at the end of the period.</w:t>
      </w:r>
    </w:p>
    <w:p>
      <w:pPr>
        <w:spacing w:after="0" w:line="225" w:lineRule="exact"/>
        <w:rPr>
          <w:sz w:val="20"/>
          <w:szCs w:val="20"/>
          <w:color w:val="auto"/>
        </w:rPr>
      </w:pPr>
    </w:p>
    <w:p>
      <w:pPr>
        <w:ind w:right="420" w:firstLine="727"/>
        <w:spacing w:after="0" w:line="342" w:lineRule="auto"/>
        <w:rPr>
          <w:sz w:val="20"/>
          <w:szCs w:val="20"/>
          <w:color w:val="auto"/>
        </w:rPr>
      </w:pPr>
      <w:r>
        <w:rPr>
          <w:rFonts w:ascii="Arial" w:cs="Arial" w:eastAsia="Arial" w:hAnsi="Arial"/>
          <w:sz w:val="16"/>
          <w:szCs w:val="16"/>
          <w:color w:val="auto"/>
        </w:rPr>
        <w:t>Due to the generally short-term duration of the contracts, the majority of the performance obligations are satisfied in the following reporting period. Revenue recognized during the year ended December 31, 2020 relating to deferred revenue as of January 1, 2020 was US$15.8 million.</w:t>
      </w:r>
    </w:p>
    <w:p>
      <w:pPr>
        <w:spacing w:after="0" w:line="12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Revenue recognized in the current period from performance obligations related to prior periods was not material.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have used the following practical expedients as allowed under ASC 606:</w:t>
      </w:r>
    </w:p>
    <w:p>
      <w:pPr>
        <w:spacing w:after="0" w:line="117" w:lineRule="exact"/>
        <w:rPr>
          <w:sz w:val="20"/>
          <w:szCs w:val="20"/>
          <w:color w:val="auto"/>
        </w:rPr>
      </w:pPr>
    </w:p>
    <w:p>
      <w:pPr>
        <w:ind w:left="1440" w:right="460" w:hanging="717"/>
        <w:spacing w:after="0" w:line="277" w:lineRule="auto"/>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transaction price allocated to the performance obligations that are unsatisfied, or partially unsatisfied, has not been disclosed as substantially all of our contracts have a duration of one year or less.</w:t>
      </w:r>
    </w:p>
    <w:p>
      <w:pPr>
        <w:spacing w:after="0" w:line="62" w:lineRule="exact"/>
        <w:rPr>
          <w:rFonts w:ascii="Arial" w:cs="Arial" w:eastAsia="Arial" w:hAnsi="Arial"/>
          <w:sz w:val="18"/>
          <w:szCs w:val="18"/>
          <w:color w:val="auto"/>
        </w:rPr>
      </w:pPr>
    </w:p>
    <w:p>
      <w:pPr>
        <w:jc w:val="both"/>
        <w:ind w:left="1440" w:right="200" w:hanging="717"/>
        <w:spacing w:after="0" w:line="263" w:lineRule="auto"/>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Payment terms and conditions vary by contract type, although terms generally include a requirement of prepayment or payment within one year or less. In instances where the timing of revenue recognition differs from the timing of invoicing, we have determined that our contracts generally do not include a significant financing component.</w:t>
      </w:r>
    </w:p>
    <w:p>
      <w:pPr>
        <w:spacing w:after="0" w:line="75" w:lineRule="exact"/>
        <w:rPr>
          <w:rFonts w:ascii="Arial" w:cs="Arial" w:eastAsia="Arial" w:hAnsi="Arial"/>
          <w:sz w:val="18"/>
          <w:szCs w:val="18"/>
          <w:color w:val="auto"/>
        </w:rPr>
      </w:pPr>
    </w:p>
    <w:p>
      <w:pPr>
        <w:ind w:left="1440" w:right="480" w:hanging="717"/>
        <w:spacing w:after="0" w:line="277" w:lineRule="auto"/>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generally expense sales commissions when incurred because the amortization period would be one year or less. These costs are recorded within sales and marketing expenses.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Rebates</w:t>
      </w:r>
    </w:p>
    <w:p>
      <w:pPr>
        <w:spacing w:after="0" w:line="117" w:lineRule="exact"/>
        <w:rPr>
          <w:sz w:val="20"/>
          <w:szCs w:val="20"/>
          <w:color w:val="auto"/>
        </w:rPr>
      </w:pPr>
    </w:p>
    <w:p>
      <w:pPr>
        <w:ind w:firstLine="727"/>
        <w:spacing w:after="0" w:line="271" w:lineRule="auto"/>
        <w:rPr>
          <w:sz w:val="20"/>
          <w:szCs w:val="20"/>
          <w:color w:val="auto"/>
        </w:rPr>
      </w:pPr>
      <w:r>
        <w:rPr>
          <w:rFonts w:ascii="Arial" w:cs="Arial" w:eastAsia="Arial" w:hAnsi="Arial"/>
          <w:sz w:val="17"/>
          <w:szCs w:val="17"/>
          <w:color w:val="auto"/>
        </w:rPr>
        <w:t>Throughout the various services delivered to our clients under the cost-plus and specified action arrangements, we earn rebates from our publishers and grant rebates to clients. The rebates we grant to clients under cost-plus/specified actions arrangement are recorded as reduction of revenue and are recorded based on the amount the marketing clients would ultimately need to spend to earn the corresponding level of rebates. We are also able to reasonably estimate the spending our customers can ultimately achieve based on the historical spending patterns of our customers with similar arrangements. The rebates we receive from our publishers under the specified action arrangements are recorded as reduction of cost of revenue, while under the cost-plus arrangements, they are recorded as revenue. These rebates are recognized when a particular milestone is achieved (i.e. applying the relevant rebates based on the level of spending threshold actually achieved) and spending has actually occurred. Furthermore, no rebates have been received from the publisher under the sales agent arrangements.</w:t>
      </w:r>
    </w:p>
    <w:p>
      <w:pPr>
        <w:spacing w:after="0" w:line="178" w:lineRule="exact"/>
        <w:rPr>
          <w:sz w:val="20"/>
          <w:szCs w:val="20"/>
          <w:color w:val="auto"/>
        </w:rPr>
      </w:pPr>
    </w:p>
    <w:p>
      <w:pPr>
        <w:ind w:right="60" w:firstLine="727"/>
        <w:spacing w:after="0" w:line="263" w:lineRule="auto"/>
        <w:rPr>
          <w:sz w:val="20"/>
          <w:szCs w:val="20"/>
          <w:color w:val="auto"/>
        </w:rPr>
      </w:pPr>
      <w:r>
        <w:rPr>
          <w:rFonts w:ascii="Arial" w:cs="Arial" w:eastAsia="Arial" w:hAnsi="Arial"/>
          <w:sz w:val="18"/>
          <w:szCs w:val="18"/>
          <w:color w:val="auto"/>
        </w:rPr>
        <w:t>We grant rebates to our clients under sales agent arrangement. The majority of the clients under our sales agent arrangement are not our clients under either the cost-plus arrangement or specified action arrangement. We record rebates granted to clients under the sales agent arrangement as reduction of revenue.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Share Options and Warrants</w:t>
      </w:r>
    </w:p>
    <w:p>
      <w:pPr>
        <w:spacing w:after="0" w:line="50" w:lineRule="exact"/>
        <w:rPr>
          <w:sz w:val="20"/>
          <w:szCs w:val="20"/>
          <w:color w:val="auto"/>
        </w:rPr>
      </w:pPr>
    </w:p>
    <w:p>
      <w:pPr>
        <w:ind w:right="260" w:firstLine="727"/>
        <w:spacing w:after="0" w:line="291" w:lineRule="auto"/>
        <w:rPr>
          <w:sz w:val="20"/>
          <w:szCs w:val="20"/>
          <w:color w:val="auto"/>
        </w:rPr>
      </w:pPr>
      <w:r>
        <w:rPr>
          <w:rFonts w:ascii="Arial" w:cs="Arial" w:eastAsia="Arial" w:hAnsi="Arial"/>
          <w:sz w:val="16"/>
          <w:szCs w:val="16"/>
          <w:color w:val="auto"/>
        </w:rPr>
        <w:t>We grant share options and restricted share units (“RSUs”) to eligible employees and account for these share-based awards in accordance with ASC 718 Compensation Stock Compensation. Effective January 1, 2019, we adopted ASU No. 2018-07, Compensation—Stock Compensation (Topic</w:t>
      </w:r>
    </w:p>
    <w:p>
      <w:pPr>
        <w:ind w:right="60"/>
        <w:spacing w:after="0" w:line="269" w:lineRule="auto"/>
        <w:rPr>
          <w:sz w:val="20"/>
          <w:szCs w:val="20"/>
          <w:color w:val="auto"/>
        </w:rPr>
      </w:pPr>
      <w:r>
        <w:rPr>
          <w:rFonts w:ascii="Arial" w:cs="Arial" w:eastAsia="Arial" w:hAnsi="Arial"/>
          <w:sz w:val="17"/>
          <w:szCs w:val="17"/>
          <w:color w:val="auto"/>
        </w:rPr>
        <w:t>718): Improvements to Nonemployee Share-Based Payment Accounting (“ASU 2018-07”), which expands the scope of Topic 718 to include share-based payment awards to nonemployees. As a result, share-based awards granted to consultants and non-employees are accounted for in the same manner as awards granted to employees as described above. The impact of adoption of this new guidance did not have a material impact on our consolidated financial statements. Prior to the adoption of ASU 2018-07, for share-based awards granted to non-employees, we accounted for the related share-based compensation expenses in accordance with ASC subtopic, 505-50 (“ASC 505-50”), “Equity-Based Payments to Non-Employees.” Under the provision of ASC 505-50, these options, RSUs and warrants are measured as of the earlier of the date at which either: (1) commitment for performance by the non-employee has been reached; or (2) the non-employee’s performance is complete.</w:t>
      </w:r>
    </w:p>
    <w:p>
      <w:pPr>
        <w:spacing w:after="0" w:line="180" w:lineRule="exact"/>
        <w:rPr>
          <w:sz w:val="20"/>
          <w:szCs w:val="20"/>
          <w:color w:val="auto"/>
        </w:rPr>
      </w:pPr>
    </w:p>
    <w:p>
      <w:pPr>
        <w:ind w:right="80" w:firstLine="727"/>
        <w:spacing w:after="0" w:line="291" w:lineRule="auto"/>
        <w:rPr>
          <w:sz w:val="20"/>
          <w:szCs w:val="20"/>
          <w:color w:val="auto"/>
        </w:rPr>
      </w:pPr>
      <w:r>
        <w:rPr>
          <w:rFonts w:ascii="Arial" w:cs="Arial" w:eastAsia="Arial" w:hAnsi="Arial"/>
          <w:sz w:val="16"/>
          <w:szCs w:val="16"/>
          <w:color w:val="auto"/>
        </w:rPr>
        <w:t>Share-based awards are measured at the grant date fair value of the awards and recognized as expenses using graded vesting method, net of estimated forfeitures, over the requisite service period, which is the vesting period. Compensation cost is accrued if it is probable that a performance condition will be achieved. We estimate the forfeiture rate based on historical forfeitures of equity awards and adjust the rate to reflect changes in facts and circumstances, if any. We revise our estimated forfeiture rate if actual forfeitures differ from our initial estimates. Grant date fair values of share options and warrants are calculated using the binomial option pricing model with the assistance from an independent appraiser. The binomial option pricing model is used to measure the value of the awards. The determination of the fair value is affected by the share price as well as assumptions regarding a number of complex and subjective variables, including the expected volatility, risk-free interest rates, exercise multiple, expected dividend yield and expected term.</w:t>
      </w:r>
    </w:p>
    <w:p>
      <w:pPr>
        <w:spacing w:after="0" w:line="166" w:lineRule="exact"/>
        <w:rPr>
          <w:sz w:val="20"/>
          <w:szCs w:val="20"/>
          <w:color w:val="auto"/>
        </w:rPr>
      </w:pPr>
    </w:p>
    <w:p>
      <w:pPr>
        <w:ind w:right="640" w:firstLine="727"/>
        <w:spacing w:after="0" w:line="263" w:lineRule="auto"/>
        <w:rPr>
          <w:sz w:val="20"/>
          <w:szCs w:val="20"/>
          <w:color w:val="auto"/>
        </w:rPr>
      </w:pPr>
      <w:r>
        <w:rPr>
          <w:rFonts w:ascii="Arial" w:cs="Arial" w:eastAsia="Arial" w:hAnsi="Arial"/>
          <w:sz w:val="18"/>
          <w:szCs w:val="18"/>
          <w:color w:val="auto"/>
        </w:rPr>
        <w:t>The binomial option pricing model is used to determine the fair value of the share options and warrants granted to employees and non-employees. The fair values of share options granted/ modified during the years ended December 31, 2018, 2019 and 2020 were estimated using the following assumptions: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380" w:type="dxa"/>
            <w:vAlign w:val="bottom"/>
            <w:vMerge w:val="restart"/>
          </w:tcPr>
          <w:p>
            <w:pPr>
              <w:jc w:val="right"/>
              <w:ind w:right="577"/>
              <w:spacing w:after="0"/>
              <w:rPr>
                <w:sz w:val="20"/>
                <w:szCs w:val="20"/>
                <w:color w:val="auto"/>
              </w:rPr>
            </w:pPr>
            <w:r>
              <w:rPr>
                <w:rFonts w:ascii="Arial" w:cs="Arial" w:eastAsia="Arial" w:hAnsi="Arial"/>
                <w:sz w:val="14"/>
                <w:szCs w:val="14"/>
                <w:b w:val="1"/>
                <w:bCs w:val="1"/>
                <w:color w:val="auto"/>
              </w:rPr>
              <w:t>Risk-free</w:t>
            </w:r>
          </w:p>
        </w:tc>
        <w:tc>
          <w:tcPr>
            <w:tcW w:w="1460" w:type="dxa"/>
            <w:vAlign w:val="bottom"/>
            <w:vMerge w:val="restart"/>
          </w:tcPr>
          <w:p>
            <w:pPr>
              <w:jc w:val="right"/>
              <w:ind w:right="597"/>
              <w:spacing w:after="0"/>
              <w:rPr>
                <w:sz w:val="20"/>
                <w:szCs w:val="20"/>
                <w:color w:val="auto"/>
              </w:rPr>
            </w:pPr>
            <w:r>
              <w:rPr>
                <w:rFonts w:ascii="Arial" w:cs="Arial" w:eastAsia="Arial" w:hAnsi="Arial"/>
                <w:sz w:val="14"/>
                <w:szCs w:val="14"/>
                <w:b w:val="1"/>
                <w:bCs w:val="1"/>
                <w:color w:val="auto"/>
              </w:rPr>
              <w:t>Dividend</w:t>
            </w:r>
          </w:p>
        </w:tc>
        <w:tc>
          <w:tcPr>
            <w:tcW w:w="140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Volatility</w:t>
            </w: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8"/>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Granted during the years ended December 31, 2019 and 2020</w:t>
            </w:r>
          </w:p>
        </w:tc>
        <w:tc>
          <w:tcPr>
            <w:tcW w:w="23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2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term</w:t>
            </w:r>
          </w:p>
        </w:tc>
        <w:tc>
          <w:tcPr>
            <w:tcW w:w="0" w:type="dxa"/>
            <w:vAlign w:val="bottom"/>
          </w:tcPr>
          <w:p>
            <w:pPr>
              <w:spacing w:after="0"/>
              <w:rPr>
                <w:sz w:val="1"/>
                <w:szCs w:val="1"/>
                <w:color w:val="auto"/>
              </w:rPr>
            </w:pPr>
          </w:p>
        </w:tc>
      </w:tr>
      <w:tr>
        <w:trPr>
          <w:trHeight w:val="171"/>
        </w:trPr>
        <w:tc>
          <w:tcPr>
            <w:tcW w:w="4780" w:type="dxa"/>
            <w:vAlign w:val="bottom"/>
            <w:vMerge w:val="continue"/>
          </w:tcPr>
          <w:p>
            <w:pPr>
              <w:spacing w:after="0"/>
              <w:rPr>
                <w:sz w:val="14"/>
                <w:szCs w:val="14"/>
                <w:color w:val="auto"/>
              </w:rPr>
            </w:pPr>
          </w:p>
        </w:tc>
        <w:tc>
          <w:tcPr>
            <w:tcW w:w="2380" w:type="dxa"/>
            <w:vAlign w:val="bottom"/>
          </w:tcPr>
          <w:p>
            <w:pPr>
              <w:jc w:val="right"/>
              <w:ind w:right="417"/>
              <w:spacing w:after="0"/>
              <w:rPr>
                <w:sz w:val="20"/>
                <w:szCs w:val="20"/>
                <w:color w:val="auto"/>
              </w:rPr>
            </w:pPr>
            <w:r>
              <w:rPr>
                <w:rFonts w:ascii="Arial" w:cs="Arial" w:eastAsia="Arial" w:hAnsi="Arial"/>
                <w:sz w:val="14"/>
                <w:szCs w:val="14"/>
                <w:b w:val="1"/>
                <w:bCs w:val="1"/>
                <w:color w:val="auto"/>
              </w:rPr>
              <w:t>interest rate</w:t>
            </w:r>
            <w:r>
              <w:rPr>
                <w:rFonts w:ascii="Arial" w:cs="Arial" w:eastAsia="Arial" w:hAnsi="Arial"/>
                <w:sz w:val="12"/>
                <w:szCs w:val="12"/>
                <w:b w:val="1"/>
                <w:bCs w:val="1"/>
                <w:color w:val="auto"/>
              </w:rPr>
              <w:t>(1)</w:t>
            </w:r>
          </w:p>
        </w:tc>
        <w:tc>
          <w:tcPr>
            <w:tcW w:w="1460" w:type="dxa"/>
            <w:vAlign w:val="bottom"/>
          </w:tcPr>
          <w:p>
            <w:pPr>
              <w:jc w:val="right"/>
              <w:ind w:right="657"/>
              <w:spacing w:after="0"/>
              <w:rPr>
                <w:sz w:val="20"/>
                <w:szCs w:val="20"/>
                <w:color w:val="auto"/>
              </w:rPr>
            </w:pPr>
            <w:r>
              <w:rPr>
                <w:rFonts w:ascii="Arial" w:cs="Arial" w:eastAsia="Arial" w:hAnsi="Arial"/>
                <w:sz w:val="14"/>
                <w:szCs w:val="14"/>
                <w:b w:val="1"/>
                <w:bCs w:val="1"/>
                <w:color w:val="auto"/>
              </w:rPr>
              <w:t>yield</w:t>
            </w:r>
            <w:r>
              <w:rPr>
                <w:rFonts w:ascii="Arial" w:cs="Arial" w:eastAsia="Arial" w:hAnsi="Arial"/>
                <w:sz w:val="12"/>
                <w:szCs w:val="12"/>
                <w:b w:val="1"/>
                <w:bCs w:val="1"/>
                <w:color w:val="auto"/>
              </w:rPr>
              <w:t>(2)</w:t>
            </w:r>
          </w:p>
        </w:tc>
        <w:tc>
          <w:tcPr>
            <w:tcW w:w="1400" w:type="dxa"/>
            <w:vAlign w:val="bottom"/>
          </w:tcPr>
          <w:p>
            <w:pPr>
              <w:jc w:val="right"/>
              <w:ind w:right="637"/>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2"/>
                <w:szCs w:val="12"/>
                <w:b w:val="1"/>
                <w:bCs w:val="1"/>
                <w:color w:val="auto"/>
              </w:rPr>
              <w:t>(3)</w:t>
            </w: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(in years)</w:t>
            </w:r>
            <w:r>
              <w:rPr>
                <w:rFonts w:ascii="Arial" w:cs="Arial" w:eastAsia="Arial" w:hAnsi="Arial"/>
                <w:sz w:val="12"/>
                <w:szCs w:val="12"/>
                <w:b w:val="1"/>
                <w:bCs w:val="1"/>
                <w:color w:val="auto"/>
                <w:w w:val="93"/>
              </w:rPr>
              <w:t>(4)</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December 9, 2019(7)</w:t>
            </w:r>
          </w:p>
        </w:tc>
        <w:tc>
          <w:tcPr>
            <w:tcW w:w="238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1.60%</w:t>
            </w:r>
          </w:p>
        </w:tc>
        <w:tc>
          <w:tcPr>
            <w:tcW w:w="146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0%</w:t>
            </w:r>
          </w:p>
        </w:tc>
        <w:tc>
          <w:tcPr>
            <w:tcW w:w="140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42.11%</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Modified during the year ended December 31, 2018:</w:t>
            </w:r>
          </w:p>
        </w:tc>
        <w:tc>
          <w:tcPr>
            <w:tcW w:w="2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September 1, 2018(5)</w:t>
            </w:r>
          </w:p>
        </w:tc>
        <w:tc>
          <w:tcPr>
            <w:tcW w:w="238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2.83%</w:t>
            </w:r>
          </w:p>
        </w:tc>
        <w:tc>
          <w:tcPr>
            <w:tcW w:w="146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0%</w:t>
            </w:r>
          </w:p>
        </w:tc>
        <w:tc>
          <w:tcPr>
            <w:tcW w:w="140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42.72%</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September 1, 2018(6)</w:t>
            </w:r>
          </w:p>
        </w:tc>
        <w:tc>
          <w:tcPr>
            <w:tcW w:w="2380" w:type="dxa"/>
            <w:vAlign w:val="bottom"/>
          </w:tcPr>
          <w:p>
            <w:pPr>
              <w:jc w:val="right"/>
              <w:ind w:right="137"/>
              <w:spacing w:after="0"/>
              <w:rPr>
                <w:sz w:val="20"/>
                <w:szCs w:val="20"/>
                <w:color w:val="auto"/>
              </w:rPr>
            </w:pPr>
            <w:r>
              <w:rPr>
                <w:rFonts w:ascii="Arial" w:cs="Arial" w:eastAsia="Arial" w:hAnsi="Arial"/>
                <w:sz w:val="18"/>
                <w:szCs w:val="18"/>
                <w:color w:val="auto"/>
              </w:rPr>
              <w:t>2.92%</w:t>
            </w:r>
          </w:p>
        </w:tc>
        <w:tc>
          <w:tcPr>
            <w:tcW w:w="1460" w:type="dxa"/>
            <w:vAlign w:val="bottom"/>
          </w:tcPr>
          <w:p>
            <w:pPr>
              <w:jc w:val="right"/>
              <w:ind w:right="137"/>
              <w:spacing w:after="0"/>
              <w:rPr>
                <w:sz w:val="20"/>
                <w:szCs w:val="20"/>
                <w:color w:val="auto"/>
              </w:rPr>
            </w:pPr>
            <w:r>
              <w:rPr>
                <w:rFonts w:ascii="Arial" w:cs="Arial" w:eastAsia="Arial" w:hAnsi="Arial"/>
                <w:sz w:val="18"/>
                <w:szCs w:val="18"/>
                <w:color w:val="auto"/>
              </w:rPr>
              <w:t>0%</w:t>
            </w: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44.65%</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00" w:right="20" w:hanging="492"/>
        <w:spacing w:after="0" w:line="212"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500" w:hanging="492"/>
        <w:spacing w:after="0" w:line="219"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ind w:left="500" w:right="400" w:hanging="492"/>
        <w:spacing w:after="0" w:line="233"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80" w:name="page81"/>
    <w:bookmarkEnd w:id="80"/>
    <w:p>
      <w:pPr>
        <w:jc w:val="both"/>
        <w:ind w:left="500" w:right="100" w:hanging="492"/>
        <w:spacing w:after="0" w:line="256" w:lineRule="auto"/>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1" w:lineRule="exact"/>
        <w:rPr>
          <w:rFonts w:ascii="Arial" w:cs="Arial" w:eastAsia="Arial" w:hAnsi="Arial"/>
          <w:sz w:val="16"/>
          <w:szCs w:val="16"/>
          <w:color w:val="auto"/>
        </w:rPr>
      </w:pPr>
    </w:p>
    <w:p>
      <w:pPr>
        <w:ind w:left="500" w:hanging="492"/>
        <w:spacing w:after="0" w:line="203"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refers to the modification of options previously granted on January 1, 2015.</w:t>
      </w:r>
    </w:p>
    <w:p>
      <w:pPr>
        <w:ind w:left="500" w:hanging="492"/>
        <w:spacing w:after="0" w:line="219"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refers to the modification of options previously granted on January 1, 2017.</w:t>
      </w: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refers to the issue of warrants to a non-employee on December 9, 2019.</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Billing</w:t>
      </w:r>
    </w:p>
    <w:p>
      <w:pPr>
        <w:spacing w:after="0" w:line="121" w:lineRule="exact"/>
        <w:rPr>
          <w:sz w:val="20"/>
          <w:szCs w:val="20"/>
          <w:color w:val="auto"/>
        </w:rPr>
      </w:pPr>
    </w:p>
    <w:p>
      <w:pPr>
        <w:ind w:right="200" w:firstLine="727"/>
        <w:spacing w:after="0" w:line="263" w:lineRule="auto"/>
        <w:rPr>
          <w:sz w:val="20"/>
          <w:szCs w:val="20"/>
          <w:color w:val="auto"/>
        </w:rPr>
      </w:pPr>
      <w:r>
        <w:rPr>
          <w:rFonts w:ascii="Arial" w:cs="Arial" w:eastAsia="Arial" w:hAnsi="Arial"/>
          <w:sz w:val="18"/>
          <w:szCs w:val="18"/>
          <w:color w:val="auto"/>
        </w:rPr>
        <w:t>We regularly review a number of financial and operating metrics, including those set forth below, to help us evaluate our business, measure our performance, identify trends affecting our business, establish budgets, measure the effectiveness of sales and marketing, and assess our operational efficiencies.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22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6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(US$ in</w:t>
            </w:r>
          </w:p>
        </w:tc>
        <w:tc>
          <w:tcPr>
            <w:tcW w:w="84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rPr>
              <w:t>(% of total</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(US$ in</w:t>
            </w:r>
          </w:p>
        </w:tc>
        <w:tc>
          <w:tcPr>
            <w:tcW w:w="8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rPr>
              <w:t>(% of total</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(US$ in</w:t>
            </w:r>
          </w:p>
        </w:tc>
        <w:tc>
          <w:tcPr>
            <w:tcW w:w="820" w:type="dxa"/>
            <w:vAlign w:val="bottom"/>
            <w:tcBorders>
              <w:top w:val="single" w:sz="8" w:color="auto"/>
            </w:tcBorders>
            <w:gridSpan w:val="2"/>
          </w:tcPr>
          <w:p>
            <w:pPr>
              <w:jc w:val="center"/>
              <w:ind w:right="2"/>
              <w:spacing w:after="0" w:line="133" w:lineRule="exact"/>
              <w:rPr>
                <w:sz w:val="20"/>
                <w:szCs w:val="20"/>
                <w:color w:val="auto"/>
              </w:rPr>
            </w:pPr>
            <w:r>
              <w:rPr>
                <w:rFonts w:ascii="Arial" w:cs="Arial" w:eastAsia="Arial" w:hAnsi="Arial"/>
                <w:sz w:val="14"/>
                <w:szCs w:val="14"/>
                <w:b w:val="1"/>
                <w:bCs w:val="1"/>
                <w:color w:val="auto"/>
                <w:w w:val="97"/>
              </w:rPr>
              <w:t>(% of 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thousands)</w:t>
            </w:r>
          </w:p>
        </w:tc>
        <w:tc>
          <w:tcPr>
            <w:tcW w:w="60" w:type="dxa"/>
            <w:vAlign w:val="bottom"/>
          </w:tcPr>
          <w:p>
            <w:pPr>
              <w:spacing w:after="0"/>
              <w:rPr>
                <w:sz w:val="14"/>
                <w:szCs w:val="14"/>
                <w:color w:val="auto"/>
              </w:rPr>
            </w:pPr>
          </w:p>
        </w:tc>
        <w:tc>
          <w:tcPr>
            <w:tcW w:w="78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billing)</w:t>
            </w:r>
          </w:p>
        </w:tc>
        <w:tc>
          <w:tcPr>
            <w:tcW w:w="24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thousands)</w:t>
            </w:r>
          </w:p>
        </w:tc>
        <w:tc>
          <w:tcPr>
            <w:tcW w:w="60" w:type="dxa"/>
            <w:vAlign w:val="bottom"/>
          </w:tcPr>
          <w:p>
            <w:pPr>
              <w:spacing w:after="0"/>
              <w:rPr>
                <w:sz w:val="14"/>
                <w:szCs w:val="14"/>
                <w:color w:val="auto"/>
              </w:rPr>
            </w:pPr>
          </w:p>
        </w:tc>
        <w:tc>
          <w:tcPr>
            <w:tcW w:w="760" w:type="dxa"/>
            <w:vAlign w:val="bottom"/>
          </w:tcPr>
          <w:p>
            <w:pPr>
              <w:jc w:val="center"/>
              <w:ind w:right="42"/>
              <w:spacing w:after="0"/>
              <w:rPr>
                <w:sz w:val="20"/>
                <w:szCs w:val="20"/>
                <w:color w:val="auto"/>
              </w:rPr>
            </w:pPr>
            <w:r>
              <w:rPr>
                <w:rFonts w:ascii="Arial" w:cs="Arial" w:eastAsia="Arial" w:hAnsi="Arial"/>
                <w:sz w:val="14"/>
                <w:szCs w:val="14"/>
                <w:b w:val="1"/>
                <w:bCs w:val="1"/>
                <w:color w:val="auto"/>
                <w:w w:val="95"/>
              </w:rPr>
              <w:t>billing)</w:t>
            </w:r>
          </w:p>
        </w:tc>
        <w:tc>
          <w:tcPr>
            <w:tcW w:w="22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thousands)</w:t>
            </w:r>
          </w:p>
        </w:tc>
        <w:tc>
          <w:tcPr>
            <w:tcW w:w="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billing)</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metrics: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Gross billing from marketing solutions*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399,749</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630,331</w:t>
            </w: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98.4</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648,922</w:t>
            </w:r>
          </w:p>
        </w:tc>
        <w:tc>
          <w:tcPr>
            <w:tcW w:w="2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Gross billing from enterprise solutions</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10,436</w:t>
            </w:r>
          </w:p>
        </w:tc>
        <w:tc>
          <w:tcPr>
            <w:tcW w:w="2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28,893</w:t>
            </w: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399,749</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640,767</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677,815</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8"/>
        <w:spacing w:after="0" w:line="308" w:lineRule="auto"/>
        <w:tabs>
          <w:tab w:leader="none" w:pos="738" w:val="left"/>
        </w:tabs>
        <w:numPr>
          <w:ilvl w:val="0"/>
          <w:numId w:val="53"/>
        </w:numPr>
        <w:rPr>
          <w:rFonts w:ascii="Arial" w:cs="Arial" w:eastAsia="Arial" w:hAnsi="Arial"/>
          <w:sz w:val="17"/>
          <w:szCs w:val="17"/>
          <w:color w:val="auto"/>
        </w:rPr>
      </w:pPr>
      <w:r>
        <w:rPr>
          <w:rFonts w:ascii="Arial" w:cs="Arial" w:eastAsia="Arial" w:hAnsi="Arial"/>
          <w:sz w:val="17"/>
          <w:szCs w:val="17"/>
          <w:color w:val="auto"/>
        </w:rPr>
        <w:t>Formerly “mobile marketing solutions” and “other marketing solutions” are combined into marketing solutions effective from January 1, 2020, as management operates and assesses the financial condition and results of the online marketing service business as a whole.</w:t>
      </w:r>
    </w:p>
    <w:p>
      <w:pPr>
        <w:spacing w:after="0" w:line="146" w:lineRule="exact"/>
        <w:rPr>
          <w:sz w:val="20"/>
          <w:szCs w:val="20"/>
          <w:color w:val="auto"/>
        </w:rPr>
      </w:pPr>
    </w:p>
    <w:p>
      <w:pPr>
        <w:ind w:right="200" w:firstLine="727"/>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our clients pay us, after deducting rebates paid and discounts given to clients.</w:t>
      </w:r>
    </w:p>
    <w:p>
      <w:pPr>
        <w:spacing w:after="0" w:line="170" w:lineRule="exact"/>
        <w:rPr>
          <w:sz w:val="20"/>
          <w:szCs w:val="20"/>
          <w:color w:val="auto"/>
        </w:rPr>
      </w:pPr>
    </w:p>
    <w:p>
      <w:pPr>
        <w:ind w:right="180" w:firstLine="727"/>
        <w:spacing w:after="0" w:line="263" w:lineRule="auto"/>
        <w:rPr>
          <w:sz w:val="20"/>
          <w:szCs w:val="20"/>
          <w:color w:val="auto"/>
        </w:rPr>
      </w:pPr>
      <w:r>
        <w:rPr>
          <w:rFonts w:ascii="Arial" w:cs="Arial" w:eastAsia="Arial" w:hAnsi="Arial"/>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184" w:lineRule="exact"/>
        <w:rPr>
          <w:sz w:val="20"/>
          <w:szCs w:val="20"/>
          <w:color w:val="auto"/>
        </w:rPr>
      </w:pPr>
    </w:p>
    <w:p>
      <w:pPr>
        <w:ind w:right="120" w:firstLine="727"/>
        <w:spacing w:after="0" w:line="275" w:lineRule="auto"/>
        <w:rPr>
          <w:sz w:val="20"/>
          <w:szCs w:val="20"/>
          <w:color w:val="auto"/>
        </w:rPr>
      </w:pPr>
      <w:r>
        <w:rPr>
          <w:rFonts w:ascii="Arial" w:cs="Arial" w:eastAsia="Arial" w:hAnsi="Arial"/>
          <w:sz w:val="17"/>
          <w:szCs w:val="17"/>
          <w:color w:val="auto"/>
        </w:rPr>
        <w:t>Our gross billing increased from US$399.7 million in 2018 to US$640.8 million in 2019 and further to US$677.8 million in 2020, which was primarily a result of higher demand for our marketing solutions and enterprise solutions. Gross billing from our marketing solutions increased from US$399.7 million 2018 to US$630.3 million 2019 and further to US$648.9 million in 2020, as we continued to capture the continued growth on online marketing demand on mobile apps and various multi-channel marketing. Gross billing from our enterprise solutions increased from US$10.4 million 2019 to US$28.9 million in 2020, primarily as a result of the increasing need for online and offline consumer behavior data integration.</w:t>
      </w:r>
    </w:p>
    <w:p>
      <w:pPr>
        <w:spacing w:after="0" w:line="176" w:lineRule="exact"/>
        <w:rPr>
          <w:sz w:val="20"/>
          <w:szCs w:val="20"/>
          <w:color w:val="auto"/>
        </w:rPr>
      </w:pPr>
    </w:p>
    <w:p>
      <w:pPr>
        <w:ind w:right="220" w:firstLine="727"/>
        <w:spacing w:after="0" w:line="277" w:lineRule="auto"/>
        <w:rPr>
          <w:sz w:val="20"/>
          <w:szCs w:val="20"/>
          <w:color w:val="auto"/>
        </w:rPr>
      </w:pPr>
      <w:r>
        <w:rPr>
          <w:rFonts w:ascii="Arial" w:cs="Arial" w:eastAsia="Arial" w:hAnsi="Arial"/>
          <w:sz w:val="18"/>
          <w:szCs w:val="18"/>
          <w:color w:val="auto"/>
        </w:rPr>
        <w:t>Gross billing derived from our sales agency arrangement was US$39.9 million, US$35.2 million and US$20.4 million in 2018, 2019 and 2020, respectively, none of which was recognized as net revenues for the respective periods.</w:t>
      </w:r>
    </w:p>
    <w:p>
      <w:pPr>
        <w:spacing w:after="0" w:line="170" w:lineRule="exact"/>
        <w:rPr>
          <w:sz w:val="20"/>
          <w:szCs w:val="20"/>
          <w:color w:val="auto"/>
        </w:rPr>
      </w:pPr>
    </w:p>
    <w:p>
      <w:pPr>
        <w:ind w:firstLine="727"/>
        <w:spacing w:after="0" w:line="342" w:lineRule="auto"/>
        <w:rPr>
          <w:sz w:val="20"/>
          <w:szCs w:val="20"/>
          <w:color w:val="auto"/>
        </w:rPr>
      </w:pPr>
      <w:r>
        <w:rPr>
          <w:rFonts w:ascii="Arial" w:cs="Arial" w:eastAsia="Arial" w:hAnsi="Arial"/>
          <w:sz w:val="16"/>
          <w:szCs w:val="16"/>
          <w:color w:val="auto"/>
        </w:rPr>
        <w:t>Gross billing derived from our cost-plus marketing campaigns was US$220.7 million, US$430.0 million and US$435.3 million in 2018, 2019 and 2020, respectively, out of which US$12.2 million, US$17.1 million and US$26.7 million was recognized as net revenues for the respective periods.</w:t>
      </w:r>
    </w:p>
    <w:p>
      <w:pPr>
        <w:spacing w:after="0" w:line="124" w:lineRule="exact"/>
        <w:rPr>
          <w:sz w:val="20"/>
          <w:szCs w:val="20"/>
          <w:color w:val="auto"/>
        </w:rPr>
      </w:pPr>
    </w:p>
    <w:p>
      <w:pPr>
        <w:ind w:right="220" w:firstLine="727"/>
        <w:spacing w:after="0" w:line="277" w:lineRule="auto"/>
        <w:rPr>
          <w:sz w:val="20"/>
          <w:szCs w:val="20"/>
          <w:color w:val="auto"/>
        </w:rPr>
      </w:pPr>
      <w:r>
        <w:rPr>
          <w:rFonts w:ascii="Arial" w:cs="Arial" w:eastAsia="Arial" w:hAnsi="Arial"/>
          <w:sz w:val="18"/>
          <w:szCs w:val="18"/>
          <w:color w:val="auto"/>
        </w:rPr>
        <w:t>Gross billing derived from our specified action marketing campaigns was US$139.2 million, US$165.3 million and US$193.3 million in 2018, 2019 and 2020, respectively, all of which was recognized as net revenues for the respective periods.</w:t>
      </w:r>
    </w:p>
    <w:p>
      <w:pPr>
        <w:spacing w:after="0" w:line="170" w:lineRule="exact"/>
        <w:rPr>
          <w:sz w:val="20"/>
          <w:szCs w:val="20"/>
          <w:color w:val="auto"/>
        </w:rPr>
      </w:pPr>
    </w:p>
    <w:p>
      <w:pPr>
        <w:ind w:right="220" w:firstLine="727"/>
        <w:spacing w:after="0" w:line="277" w:lineRule="auto"/>
        <w:rPr>
          <w:sz w:val="20"/>
          <w:szCs w:val="20"/>
          <w:color w:val="auto"/>
        </w:rPr>
      </w:pPr>
      <w:r>
        <w:rPr>
          <w:rFonts w:ascii="Arial" w:cs="Arial" w:eastAsia="Arial" w:hAnsi="Arial"/>
          <w:sz w:val="18"/>
          <w:szCs w:val="18"/>
          <w:color w:val="auto"/>
        </w:rPr>
        <w:t>Gross billing derived from our enterprise solutions was US$10.4 million and US$28.9 million in 2019 and 2020, respectively, all of which was recognized as net revenues for the respective periods.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ind w:left="740"/>
        <w:spacing w:after="0"/>
        <w:rPr>
          <w:sz w:val="20"/>
          <w:szCs w:val="20"/>
          <w:color w:val="auto"/>
        </w:rPr>
      </w:pPr>
      <w:r>
        <w:rPr>
          <w:rFonts w:ascii="Arial" w:cs="Arial" w:eastAsia="Arial" w:hAnsi="Arial"/>
          <w:sz w:val="17"/>
          <w:szCs w:val="17"/>
          <w:color w:val="auto"/>
        </w:rPr>
        <w:t>Our gross billing per client increased by US$44,699, or 16.0%, from US$279,740 in 2018 to US$324,439 in 2019, while decreased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US$23,989, or 7.4%, to US$300,450 in 2020. The total number of our clients increased by 38.2% from 1,429 in 2018 to 1,975 in 2019, and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14.2% from 1,975 in 2019 to 2,256 in 2020, primarily attributable to our increased ability to cater to the growing market demand.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40" w:firstLine="495"/>
        <w:spacing w:after="0" w:line="259" w:lineRule="auto"/>
        <w:rPr>
          <w:sz w:val="20"/>
          <w:szCs w:val="20"/>
          <w:color w:val="auto"/>
        </w:rPr>
      </w:pPr>
      <w:r>
        <w:rPr>
          <w:rFonts w:ascii="Arial" w:cs="Arial" w:eastAsia="Arial" w:hAnsi="Arial"/>
          <w:sz w:val="18"/>
          <w:szCs w:val="18"/>
          <w:color w:val="auto"/>
        </w:rPr>
        <w:t>The following table sets forth a summary of our consolidated results of operations for the periods indicated. This information should be read together with our consolidated financial statements and related notes included elsewhere in this annual report. The operating results in any period are not necessarily indicative of the results that may be expected for any future period and the period-to-period comparisons discussed below may not be meaningful and are not indicative of our future trends.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9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(US$ in</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 of net</w:t>
            </w:r>
          </w:p>
        </w:tc>
        <w:tc>
          <w:tcPr>
            <w:tcW w:w="160" w:type="dxa"/>
            <w:vAlign w:val="bottom"/>
          </w:tcPr>
          <w:p>
            <w:pPr>
              <w:spacing w:after="0"/>
              <w:rPr>
                <w:sz w:val="12"/>
                <w:szCs w:val="12"/>
                <w:color w:val="auto"/>
              </w:rPr>
            </w:pP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(US$ in</w:t>
            </w: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8"/>
              </w:rPr>
              <w:t>(% of net</w:t>
            </w:r>
          </w:p>
        </w:tc>
        <w:tc>
          <w:tcPr>
            <w:tcW w:w="120" w:type="dxa"/>
            <w:vAlign w:val="bottom"/>
          </w:tcPr>
          <w:p>
            <w:pPr>
              <w:spacing w:after="0"/>
              <w:rPr>
                <w:sz w:val="12"/>
                <w:szCs w:val="12"/>
                <w:color w:val="auto"/>
              </w:rPr>
            </w:pPr>
          </w:p>
        </w:tc>
        <w:tc>
          <w:tcPr>
            <w:tcW w:w="11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(US$ in</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900" w:type="dxa"/>
            <w:vAlign w:val="bottom"/>
            <w:gridSpan w:val="4"/>
          </w:tcPr>
          <w:p>
            <w:pPr>
              <w:jc w:val="center"/>
              <w:ind w:left="153"/>
              <w:spacing w:after="0"/>
              <w:rPr>
                <w:sz w:val="20"/>
                <w:szCs w:val="20"/>
                <w:color w:val="auto"/>
              </w:rPr>
            </w:pPr>
            <w:r>
              <w:rPr>
                <w:rFonts w:ascii="Arial" w:cs="Arial" w:eastAsia="Arial" w:hAnsi="Arial"/>
                <w:sz w:val="14"/>
                <w:szCs w:val="14"/>
                <w:b w:val="1"/>
                <w:bCs w:val="1"/>
                <w:color w:val="auto"/>
                <w:w w:val="87"/>
              </w:rPr>
              <w:t>thousands)</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12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thousands)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revenues)</w:t>
            </w:r>
          </w:p>
        </w:tc>
        <w:tc>
          <w:tcPr>
            <w:tcW w:w="12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thousands)</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revenues)</w:t>
            </w: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160,017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199,408</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254,745</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Cost of revenues</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(120,897)</w:t>
            </w:r>
          </w:p>
        </w:tc>
        <w:tc>
          <w:tcPr>
            <w:tcW w:w="2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(75.6)</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(142,703)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(71.6)</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(181,482)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7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39,120</w:t>
            </w:r>
          </w:p>
        </w:tc>
        <w:tc>
          <w:tcPr>
            <w:tcW w:w="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56,705</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73,263</w:t>
            </w:r>
          </w:p>
        </w:tc>
        <w:tc>
          <w:tcPr>
            <w:tcW w:w="3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6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(10,737)</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w:t>
            </w:r>
          </w:p>
        </w:tc>
        <w:tc>
          <w:tcPr>
            <w:tcW w:w="12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(5,574)</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12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(5,349)</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(32,080)</w:t>
            </w:r>
          </w:p>
        </w:tc>
        <w:tc>
          <w:tcPr>
            <w:tcW w:w="2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(42,968)</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(38,028)</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(23,757)</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(14.9)</w:t>
            </w:r>
          </w:p>
        </w:tc>
        <w:tc>
          <w:tcPr>
            <w:tcW w:w="12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(20,304)</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(10.2)</w:t>
            </w:r>
          </w:p>
        </w:tc>
        <w:tc>
          <w:tcPr>
            <w:tcW w:w="12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(31,648)</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(66,574)</w:t>
            </w:r>
          </w:p>
        </w:tc>
        <w:tc>
          <w:tcPr>
            <w:tcW w:w="1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(41.6)</w:t>
            </w:r>
          </w:p>
        </w:tc>
        <w:tc>
          <w:tcPr>
            <w:tcW w:w="16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(68,846)</w:t>
            </w:r>
          </w:p>
        </w:tc>
        <w:tc>
          <w:tcPr>
            <w:tcW w:w="320" w:type="dxa"/>
            <w:vAlign w:val="bottom"/>
            <w:vMerge w:val="continue"/>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(34.5)</w:t>
            </w:r>
          </w:p>
        </w:tc>
        <w:tc>
          <w:tcPr>
            <w:tcW w:w="12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(75,025)</w:t>
            </w:r>
          </w:p>
        </w:tc>
        <w:tc>
          <w:tcPr>
            <w:tcW w:w="320" w:type="dxa"/>
            <w:vAlign w:val="bottom"/>
            <w:vMerge w:val="continue"/>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6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(27,454)</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(17.2)</w:t>
            </w:r>
          </w:p>
        </w:tc>
        <w:tc>
          <w:tcPr>
            <w:tcW w:w="12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(12,141)</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w:t>
            </w:r>
          </w:p>
        </w:tc>
        <w:tc>
          <w:tcPr>
            <w:tcW w:w="12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(1,762)</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Interest income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537</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1,297</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(773)</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(0.5)</w:t>
            </w:r>
          </w:p>
        </w:tc>
        <w:tc>
          <w:tcPr>
            <w:tcW w:w="12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(1,915)</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w:t>
            </w:r>
          </w:p>
        </w:tc>
        <w:tc>
          <w:tcPr>
            <w:tcW w:w="12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(2,650)</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Other gains, net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2,992</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5,852</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Fair value (losses)/ gains on convertible notes</w:t>
            </w:r>
          </w:p>
        </w:tc>
        <w:tc>
          <w:tcPr>
            <w:tcW w:w="16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(4,837)</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(4,433)</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Fair value losses on derivative liabilities</w:t>
            </w:r>
          </w:p>
        </w:tc>
        <w:tc>
          <w:tcPr>
            <w:tcW w:w="740" w:type="dxa"/>
            <w:vAlign w:val="bottom"/>
          </w:tcPr>
          <w:p>
            <w:pPr>
              <w:spacing w:after="0"/>
              <w:rPr>
                <w:sz w:val="19"/>
                <w:szCs w:val="19"/>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(11,466)</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6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(31,956)</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(20.0)</w:t>
            </w:r>
          </w:p>
        </w:tc>
        <w:tc>
          <w:tcPr>
            <w:tcW w:w="12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(10,394)</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12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(13,162)</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Share of losses from an equity investee</w:t>
            </w:r>
          </w:p>
        </w:tc>
        <w:tc>
          <w:tcPr>
            <w:tcW w:w="740" w:type="dxa"/>
            <w:vAlign w:val="bottom"/>
          </w:tcPr>
          <w:p>
            <w:pPr>
              <w:spacing w:after="0"/>
              <w:rPr>
                <w:sz w:val="19"/>
                <w:szCs w:val="19"/>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(408)</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(111)</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7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(655)</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(0.4)</w:t>
            </w:r>
          </w:p>
        </w:tc>
        <w:tc>
          <w:tcPr>
            <w:tcW w:w="12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(47)</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w:t>
            </w:r>
          </w:p>
        </w:tc>
        <w:tc>
          <w:tcPr>
            <w:tcW w:w="12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(1,633)</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7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(32,611)</w:t>
            </w:r>
          </w:p>
        </w:tc>
        <w:tc>
          <w:tcPr>
            <w:tcW w:w="1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(20.4)</w:t>
            </w:r>
          </w:p>
        </w:tc>
        <w:tc>
          <w:tcPr>
            <w:tcW w:w="16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(10,849)</w:t>
            </w:r>
          </w:p>
        </w:tc>
        <w:tc>
          <w:tcPr>
            <w:tcW w:w="3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(14,906)</w:t>
            </w:r>
          </w:p>
        </w:tc>
        <w:tc>
          <w:tcPr>
            <w:tcW w:w="3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20" w:firstLine="727"/>
        <w:spacing w:after="0" w:line="286" w:lineRule="auto"/>
        <w:rPr>
          <w:sz w:val="20"/>
          <w:szCs w:val="20"/>
          <w:color w:val="auto"/>
        </w:rPr>
      </w:pPr>
      <w:r>
        <w:rPr>
          <w:rFonts w:ascii="Arial" w:cs="Arial" w:eastAsia="Arial" w:hAnsi="Arial"/>
          <w:sz w:val="16"/>
          <w:szCs w:val="16"/>
          <w:color w:val="auto"/>
        </w:rPr>
        <w:t>We generate revenue primarily from clients’ marketing spend through our platform as they utilize our solutions in cost-plus and specified action marketing campaigns, and to a less extent from incentives granted by the publishers under our sales agency arrangement. We derive revenue primarily from four sources and report them on either the net or gross basis. For our marketing solutions, we derive revenue from (i) incentives earned from the website publishers, for which we act as a sales agent for their content distribution opportunities, or the sales agency arrangement, which is reported on a net basis,</w:t>
      </w:r>
    </w:p>
    <w:p>
      <w:pPr>
        <w:spacing w:after="0" w:line="1" w:lineRule="exact"/>
        <w:rPr>
          <w:sz w:val="20"/>
          <w:szCs w:val="20"/>
          <w:color w:val="auto"/>
        </w:rPr>
      </w:pPr>
    </w:p>
    <w:p>
      <w:pPr>
        <w:ind w:right="60" w:firstLine="8"/>
        <w:spacing w:after="0" w:line="255" w:lineRule="auto"/>
        <w:tabs>
          <w:tab w:leader="none" w:pos="2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performing cost-plus marketing campaigns, which is reported on a net basis, (iii) performing specified actions marketing campaigns (i.e., a CPM, CPC, CPA, CPS, CPL or ROI basis), which is reported on a gross basis. For our enterprise solutions, we derive revenue from the offering of SaaS products, which is reported on a gross basis and a net basis.</w:t>
      </w:r>
    </w:p>
    <w:p>
      <w:pPr>
        <w:spacing w:after="0" w:line="190" w:lineRule="exact"/>
        <w:rPr>
          <w:sz w:val="20"/>
          <w:szCs w:val="20"/>
          <w:color w:val="auto"/>
        </w:rPr>
      </w:pPr>
    </w:p>
    <w:p>
      <w:pPr>
        <w:ind w:right="40" w:firstLine="727"/>
        <w:spacing w:after="0" w:line="257" w:lineRule="auto"/>
        <w:rPr>
          <w:sz w:val="20"/>
          <w:szCs w:val="20"/>
          <w:color w:val="auto"/>
        </w:rPr>
      </w:pPr>
      <w:r>
        <w:rPr>
          <w:rFonts w:ascii="Arial" w:cs="Arial" w:eastAsia="Arial" w:hAnsi="Arial"/>
          <w:sz w:val="18"/>
          <w:szCs w:val="18"/>
          <w:color w:val="auto"/>
        </w:rPr>
        <w:t>We record incentives from the publishers under the sales agency arrangement as net revenues. We consider the publishers to be our customers under the sales agency arrangement. The amount of such incentives is determined based on a variety of factors, including yearly market spending at the publishers’ platforms. Under our sales agency arrangement, we do not receive any rebate from the publishers. Net revenues from our sales agency arrangement, which equal the incentives received from the publishers under the sales agency arrangement were US$8.7 million, US$6.6 million and US$5.8 million in 2018, 2019 and 2020, respectively.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2" w:name="page83"/>
    <w:bookmarkEnd w:id="82"/>
    <w:p>
      <w:pPr>
        <w:ind w:right="40" w:firstLine="727"/>
        <w:spacing w:after="0" w:line="257" w:lineRule="auto"/>
        <w:rPr>
          <w:sz w:val="20"/>
          <w:szCs w:val="20"/>
          <w:color w:val="auto"/>
        </w:rPr>
      </w:pPr>
      <w:r>
        <w:rPr>
          <w:rFonts w:ascii="Arial" w:cs="Arial" w:eastAsia="Arial" w:hAnsi="Arial"/>
          <w:sz w:val="18"/>
          <w:szCs w:val="18"/>
          <w:color w:val="auto"/>
        </w:rPr>
        <w:t>We record service fees, net of media costs and rebates and discounts to clients for cost-plus marketing campaigns, as net revenues. We consider these clients to be our customers for cost-plus marketing campaigns. Service fees are generally calculated as a percentage of media cost. Such percentage is negotiated on a client-by-client, and campaign-by-campaign basis. Rebates received from the publishers for cost-plus marketing campaigns are recorded as net revenues. Net revenues from our cost-plus marketing campaigns were US$12.2 million, US$17.1 million and US$26.7 million in 2018, 2019 and 2020, respectively.</w:t>
      </w:r>
    </w:p>
    <w:p>
      <w:pPr>
        <w:spacing w:after="0" w:line="188" w:lineRule="exact"/>
        <w:rPr>
          <w:sz w:val="20"/>
          <w:szCs w:val="20"/>
          <w:color w:val="auto"/>
        </w:rPr>
      </w:pPr>
    </w:p>
    <w:p>
      <w:pPr>
        <w:ind w:right="240" w:firstLine="727"/>
        <w:spacing w:after="0" w:line="255" w:lineRule="auto"/>
        <w:rPr>
          <w:sz w:val="20"/>
          <w:szCs w:val="20"/>
          <w:color w:val="auto"/>
        </w:rPr>
      </w:pPr>
      <w:r>
        <w:rPr>
          <w:rFonts w:ascii="Arial" w:cs="Arial" w:eastAsia="Arial" w:hAnsi="Arial"/>
          <w:sz w:val="18"/>
          <w:szCs w:val="18"/>
          <w:color w:val="auto"/>
        </w:rPr>
        <w:t>We record the aggregate gross dollar amount that our clients spend through our platform for specified action marketing campaigns, which includes media cost, as net revenues. We consider these clients to be our customers for specified action marketing campaigns. We charge our clients for specified actions, such as when a user clicks on their marketing messages, or a CPC pricing model, or when their marketing messages are displayed, or a CPM pricing model. Rebates received from publishers for specified action marketing campaigns are recorded as deduction of cost of revenues. Net revenues from our specified action marketing campaigns were US$139.2 million, US$165.3 million and US$193.3 million in 2018, 2019 and 2020, respectively.</w:t>
      </w:r>
    </w:p>
    <w:p>
      <w:pPr>
        <w:spacing w:after="0" w:line="192" w:lineRule="exact"/>
        <w:rPr>
          <w:sz w:val="20"/>
          <w:szCs w:val="20"/>
          <w:color w:val="auto"/>
        </w:rPr>
      </w:pPr>
    </w:p>
    <w:p>
      <w:pPr>
        <w:ind w:right="120" w:firstLine="727"/>
        <w:spacing w:after="0" w:line="293" w:lineRule="auto"/>
        <w:rPr>
          <w:sz w:val="20"/>
          <w:szCs w:val="20"/>
          <w:color w:val="auto"/>
        </w:rPr>
      </w:pPr>
      <w:r>
        <w:rPr>
          <w:rFonts w:ascii="Arial" w:cs="Arial" w:eastAsia="Arial" w:hAnsi="Arial"/>
          <w:sz w:val="16"/>
          <w:szCs w:val="16"/>
          <w:color w:val="auto"/>
        </w:rPr>
        <w:t>We grant rebates and discounts to marketers and marketing agencies to incentivize and encourage them to use our solutions. These rebates and discounts are calculated based on certain factors, including yearly market spending of the marketers and marketing agencies that we reasonably estimate that they are able to achieve based on the historical spending patterns of similar clients on our platform. The rebates and discounts we grant are settled when the relevant account receivables from the marketers and marketing agencies are settled, and the timing of settlement is independent of the settlement of the rebates or incentives, as the case may be, from the publishers, which is generally three to six months after the end of the relevant period to which such rebates or incentives, as the case may be, relate. In all other circumstances, rebates and discounts we grant are recorded as reduction of revenue.</w:t>
      </w:r>
    </w:p>
    <w:p>
      <w:pPr>
        <w:spacing w:after="0" w:line="164" w:lineRule="exact"/>
        <w:rPr>
          <w:sz w:val="20"/>
          <w:szCs w:val="20"/>
          <w:color w:val="auto"/>
        </w:rPr>
      </w:pPr>
    </w:p>
    <w:p>
      <w:pPr>
        <w:ind w:right="20" w:firstLine="727"/>
        <w:spacing w:after="0" w:line="296" w:lineRule="auto"/>
        <w:rPr>
          <w:sz w:val="20"/>
          <w:szCs w:val="20"/>
          <w:color w:val="auto"/>
        </w:rPr>
      </w:pPr>
      <w:r>
        <w:rPr>
          <w:rFonts w:ascii="Arial" w:cs="Arial" w:eastAsia="Arial" w:hAnsi="Arial"/>
          <w:sz w:val="16"/>
          <w:szCs w:val="16"/>
          <w:color w:val="auto"/>
        </w:rPr>
        <w:t>Starting from 2019, we also generate revenue from SaaS products which are cloud-hosted software offering enterprise solutions to customers through provision of software licenses and retail and CRM solutions. Revenues under this arrangement primarily consist of fees for (i) licensing to provide customers with access to one or more of the existing cloud applications for e-commerce, marketing and customer management, (ii) the development of new cloud applications customized for individual customer, and (iii) various combinations of technical support and maintenance services provided by us. Net revenues from our SaaS-based enterprise solutions were US$10.4 million and US$28.9 million in 2019 and 2020, respectively.</w:t>
      </w:r>
    </w:p>
    <w:p>
      <w:pPr>
        <w:spacing w:after="0" w:line="16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table below shows our net revenues breakdown for our marketing solutions, and enterprise solutions for the periods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60" w:type="dxa"/>
            <w:vAlign w:val="bottom"/>
          </w:tcPr>
          <w:p>
            <w:pPr>
              <w:spacing w:after="0"/>
              <w:rPr>
                <w:sz w:val="13"/>
                <w:szCs w:val="13"/>
                <w:color w:val="auto"/>
              </w:rPr>
            </w:pPr>
          </w:p>
        </w:tc>
        <w:tc>
          <w:tcPr>
            <w:tcW w:w="1280" w:type="dxa"/>
            <w:vAlign w:val="bottom"/>
            <w:tcBorders>
              <w:bottom w:val="single" w:sz="8" w:color="auto"/>
            </w:tcBorders>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Borders>
              <w:bottom w:val="single" w:sz="8" w:color="auto"/>
            </w:tcBorders>
            <w:gridSpan w:val="4"/>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bottom w:val="single" w:sz="8" w:color="auto"/>
            </w:tcBorders>
            <w:gridSpan w:val="4"/>
          </w:tcPr>
          <w:p>
            <w:pPr>
              <w:jc w:val="right"/>
              <w:ind w:right="80"/>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3"/>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500"/>
              <w:spacing w:after="0" w:line="133" w:lineRule="exact"/>
              <w:rPr>
                <w:sz w:val="20"/>
                <w:szCs w:val="20"/>
                <w:color w:val="auto"/>
              </w:rPr>
            </w:pPr>
            <w:r>
              <w:rPr>
                <w:rFonts w:ascii="Arial" w:cs="Arial" w:eastAsia="Arial" w:hAnsi="Arial"/>
                <w:sz w:val="14"/>
                <w:szCs w:val="14"/>
                <w:b w:val="1"/>
                <w:bCs w:val="1"/>
                <w:color w:val="auto"/>
                <w:w w:val="95"/>
              </w:rPr>
              <w:t>(US$ in</w:t>
            </w:r>
          </w:p>
        </w:tc>
        <w:tc>
          <w:tcPr>
            <w:tcW w:w="78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 of net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jc w:val="center"/>
              <w:ind w:right="480"/>
              <w:spacing w:after="0" w:line="133" w:lineRule="exact"/>
              <w:rPr>
                <w:sz w:val="20"/>
                <w:szCs w:val="20"/>
                <w:color w:val="auto"/>
              </w:rPr>
            </w:pPr>
            <w:r>
              <w:rPr>
                <w:rFonts w:ascii="Arial" w:cs="Arial" w:eastAsia="Arial" w:hAnsi="Arial"/>
                <w:sz w:val="14"/>
                <w:szCs w:val="14"/>
                <w:b w:val="1"/>
                <w:bCs w:val="1"/>
                <w:color w:val="auto"/>
                <w:w w:val="95"/>
              </w:rPr>
              <w:t>(US$ in</w:t>
            </w:r>
          </w:p>
        </w:tc>
        <w:tc>
          <w:tcPr>
            <w:tcW w:w="76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w w:val="98"/>
              </w:rPr>
              <w:t>(% of net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440"/>
              <w:spacing w:after="0" w:line="133" w:lineRule="exact"/>
              <w:rPr>
                <w:sz w:val="20"/>
                <w:szCs w:val="20"/>
                <w:color w:val="auto"/>
              </w:rPr>
            </w:pPr>
            <w:r>
              <w:rPr>
                <w:rFonts w:ascii="Arial" w:cs="Arial" w:eastAsia="Arial" w:hAnsi="Arial"/>
                <w:sz w:val="14"/>
                <w:szCs w:val="14"/>
                <w:b w:val="1"/>
                <w:bCs w:val="1"/>
                <w:color w:val="auto"/>
                <w:w w:val="95"/>
              </w:rPr>
              <w:t>(US$ in</w:t>
            </w:r>
          </w:p>
        </w:tc>
        <w:tc>
          <w:tcPr>
            <w:tcW w:w="78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1"/>
                <w:szCs w:val="11"/>
                <w:color w:val="auto"/>
              </w:rPr>
            </w:pPr>
          </w:p>
        </w:tc>
      </w:tr>
      <w:tr>
        <w:trPr>
          <w:trHeight w:val="171"/>
        </w:trPr>
        <w:tc>
          <w:tcPr>
            <w:tcW w:w="4660" w:type="dxa"/>
            <w:vAlign w:val="bottom"/>
          </w:tcPr>
          <w:p>
            <w:pPr>
              <w:spacing w:after="0"/>
              <w:rPr>
                <w:sz w:val="14"/>
                <w:szCs w:val="14"/>
                <w:color w:val="auto"/>
              </w:rPr>
            </w:pPr>
          </w:p>
        </w:tc>
        <w:tc>
          <w:tcPr>
            <w:tcW w:w="12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7"/>
              </w:rPr>
              <w:t>thousands)</w:t>
            </w: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12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thousands)</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revenues)</w:t>
            </w:r>
          </w:p>
        </w:tc>
        <w:tc>
          <w:tcPr>
            <w:tcW w:w="12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thousands)</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revenues)</w:t>
            </w: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revenues from marketing solutions*</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160,017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188,972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225,852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Net revenues from enterprise solutions</w:t>
            </w:r>
          </w:p>
        </w:tc>
        <w:tc>
          <w:tcPr>
            <w:tcW w:w="120" w:type="dxa"/>
            <w:vAlign w:val="bottom"/>
          </w:tcPr>
          <w:p>
            <w:pPr>
              <w:spacing w:after="0"/>
              <w:rPr>
                <w:sz w:val="19"/>
                <w:szCs w:val="19"/>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10,436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28,893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revenues</w:t>
            </w:r>
          </w:p>
        </w:tc>
        <w:tc>
          <w:tcPr>
            <w:tcW w:w="120" w:type="dxa"/>
            <w:vAlign w:val="bottom"/>
            <w:tcBorders>
              <w:top w:val="single" w:sz="8" w:color="CFF0FC"/>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160,017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199,408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254,745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80" w:firstLine="8"/>
        <w:spacing w:after="0" w:line="308" w:lineRule="auto"/>
        <w:tabs>
          <w:tab w:leader="none" w:pos="738" w:val="left"/>
        </w:tabs>
        <w:numPr>
          <w:ilvl w:val="0"/>
          <w:numId w:val="55"/>
        </w:numPr>
        <w:rPr>
          <w:rFonts w:ascii="Arial" w:cs="Arial" w:eastAsia="Arial" w:hAnsi="Arial"/>
          <w:sz w:val="17"/>
          <w:szCs w:val="17"/>
          <w:color w:val="auto"/>
        </w:rPr>
      </w:pPr>
      <w:r>
        <w:rPr>
          <w:rFonts w:ascii="Arial" w:cs="Arial" w:eastAsia="Arial" w:hAnsi="Arial"/>
          <w:sz w:val="17"/>
          <w:szCs w:val="17"/>
          <w:color w:val="auto"/>
        </w:rPr>
        <w:t>Formerly “mobile marketing solutions” and “other marketing solutions” are combined into marketing solutions effective from January 1, 2020, as management operates and assesses the financial condition and results of the online marketing service business as a whole.</w:t>
      </w:r>
    </w:p>
    <w:p>
      <w:pPr>
        <w:spacing w:after="0" w:line="160" w:lineRule="exact"/>
        <w:rPr>
          <w:sz w:val="20"/>
          <w:szCs w:val="20"/>
          <w:color w:val="auto"/>
        </w:rPr>
      </w:pPr>
    </w:p>
    <w:p>
      <w:pPr>
        <w:ind w:right="60" w:firstLine="727"/>
        <w:spacing w:after="0" w:line="279" w:lineRule="auto"/>
        <w:rPr>
          <w:sz w:val="20"/>
          <w:szCs w:val="20"/>
          <w:color w:val="auto"/>
        </w:rPr>
      </w:pPr>
      <w:r>
        <w:rPr>
          <w:rFonts w:ascii="Arial" w:cs="Arial" w:eastAsia="Arial" w:hAnsi="Arial"/>
          <w:sz w:val="17"/>
          <w:szCs w:val="17"/>
          <w:color w:val="auto"/>
        </w:rPr>
        <w:t>In 2018, 2019 and 2020, US$36.5 million, US$65.7 million and US$61.3 million rebates were received from publishers under cost-plus marketing campaigns, respectively, which were recognized as net revenues for our marketing solutions, representing 22.8%, 32.9% and 24.1% of our net revenues in respective periods. Of these rebates, US$74 thousand, US$31 thousand and US$0.5 million was received under cost-plus marketing campaigns from the publisher for which we acted as its sales agent under our sales agency arrangement in respective periods.</w:t>
      </w:r>
    </w:p>
    <w:p>
      <w:pPr>
        <w:spacing w:after="0" w:line="185" w:lineRule="exact"/>
        <w:rPr>
          <w:sz w:val="20"/>
          <w:szCs w:val="20"/>
          <w:color w:val="auto"/>
        </w:rPr>
      </w:pPr>
    </w:p>
    <w:p>
      <w:pPr>
        <w:ind w:right="100" w:firstLine="727"/>
        <w:spacing w:after="0" w:line="279" w:lineRule="auto"/>
        <w:rPr>
          <w:sz w:val="20"/>
          <w:szCs w:val="20"/>
          <w:color w:val="auto"/>
        </w:rPr>
      </w:pPr>
      <w:r>
        <w:rPr>
          <w:rFonts w:ascii="Arial" w:cs="Arial" w:eastAsia="Arial" w:hAnsi="Arial"/>
          <w:sz w:val="17"/>
          <w:szCs w:val="17"/>
          <w:color w:val="auto"/>
        </w:rPr>
        <w:t>In 2018, 2019 and 2020, US$11.3 million, US$8.7 million and US$7.1 million incentive revenues were received from publishers under our sales agency arrangement, respectively, which were recognized as net revenues for our marketing solutions, representing 7.1%, 4.4% and 2.8% of our net revenues in respective periods. These exclude US$74 thousand, US$31 thousand and US$0.5 million rebates that were received under cost-plus marketing campaigns from the publisher for which we acted as its sales agent under our sales agency arrangement in respective periods.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3" w:name="page84"/>
    <w:bookmarkEnd w:id="83"/>
    <w:p>
      <w:pPr>
        <w:jc w:val="both"/>
        <w:ind w:right="80" w:firstLine="727"/>
        <w:spacing w:after="0" w:line="296" w:lineRule="auto"/>
        <w:rPr>
          <w:sz w:val="20"/>
          <w:szCs w:val="20"/>
          <w:color w:val="auto"/>
        </w:rPr>
      </w:pPr>
      <w:r>
        <w:rPr>
          <w:rFonts w:ascii="Arial" w:cs="Arial" w:eastAsia="Arial" w:hAnsi="Arial"/>
          <w:sz w:val="16"/>
          <w:szCs w:val="16"/>
          <w:color w:val="auto"/>
        </w:rPr>
        <w:t>In 2018, 2019 and 2020, we granted rebates and discounts of US$46.5 million, US$72.4 million and US$48.5 million, respectively, to marketers and marketing agencies under our cost-plus and specified action marketing campaigns for our marketing solutions, which were recognized as reduction of revenue in respective periods, representing 29.1%, 36.3% and 19.0% of our net revenues in respective periods. Of these rebates and discounts we granted, US$15.9 million, US$12.9 million and US$8.6 million was in connection with our specified action (i.e., gross) marketing campaigns in respective periods, and US$30.6 million, US$59.5 million and US$40.0 million, were in connection with our cost-plus (i.e., net) marketing campaigns in respective periods.</w:t>
      </w:r>
    </w:p>
    <w:p>
      <w:pPr>
        <w:spacing w:after="0" w:line="188" w:lineRule="exact"/>
        <w:rPr>
          <w:sz w:val="20"/>
          <w:szCs w:val="20"/>
          <w:color w:val="auto"/>
        </w:rPr>
      </w:pPr>
    </w:p>
    <w:p>
      <w:pPr>
        <w:ind w:right="140" w:firstLine="727"/>
        <w:spacing w:after="0" w:line="288" w:lineRule="auto"/>
        <w:rPr>
          <w:sz w:val="20"/>
          <w:szCs w:val="20"/>
          <w:color w:val="auto"/>
        </w:rPr>
      </w:pPr>
      <w:r>
        <w:rPr>
          <w:rFonts w:ascii="Arial" w:cs="Arial" w:eastAsia="Arial" w:hAnsi="Arial"/>
          <w:sz w:val="16"/>
          <w:szCs w:val="16"/>
          <w:color w:val="auto"/>
        </w:rPr>
        <w:t>We have a diverse client base in terms of the geographic location of our clients’ or marketers’ headquarters as we help them, especially multinational marketers, navigate through the fragmented online marketing landscapes in China to identify and reach their potential audience. In determining the geographic classification of our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the other clients. Our clients are primarily based in China. Our net revenues from clients in China increased significantly from 2018 to 2019 and further to 2020 as a result of (i) the business expansion in OptAim, which used its consolidated subsidiaries in China to execute marketing campaign contracts, (ii) our continuous priority in the execution of our mobile strategy, and (iii) revenue contribution from Changyi which operates enterprise solutions business in China. In 2018, 2019 and 2020, we derived 11.3%, 11.8% and 15.8% of our net revenues from outside China, respectively. The table below shows our net revenues breakdown by geographic region for the periods presented.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60" w:type="dxa"/>
            <w:vAlign w:val="bottom"/>
          </w:tcPr>
          <w:p>
            <w:pPr>
              <w:spacing w:after="0"/>
              <w:rPr>
                <w:sz w:val="13"/>
                <w:szCs w:val="13"/>
                <w:color w:val="auto"/>
              </w:rPr>
            </w:pPr>
          </w:p>
        </w:tc>
        <w:tc>
          <w:tcPr>
            <w:tcW w:w="1240" w:type="dxa"/>
            <w:vAlign w:val="bottom"/>
            <w:tcBorders>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3"/>
        </w:trPr>
        <w:tc>
          <w:tcPr>
            <w:tcW w:w="4660" w:type="dxa"/>
            <w:vAlign w:val="bottom"/>
          </w:tcPr>
          <w:p>
            <w:pPr>
              <w:spacing w:after="0"/>
              <w:rPr>
                <w:sz w:val="11"/>
                <w:szCs w:val="11"/>
                <w:color w:val="auto"/>
              </w:rPr>
            </w:pPr>
          </w:p>
        </w:tc>
        <w:tc>
          <w:tcPr>
            <w:tcW w:w="1240" w:type="dxa"/>
            <w:vAlign w:val="bottom"/>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(US in</w:t>
            </w:r>
          </w:p>
        </w:tc>
        <w:tc>
          <w:tcPr>
            <w:tcW w:w="82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 of net</w:t>
            </w:r>
          </w:p>
        </w:tc>
        <w:tc>
          <w:tcPr>
            <w:tcW w:w="240" w:type="dxa"/>
            <w:vAlign w:val="bottom"/>
          </w:tcPr>
          <w:p>
            <w:pPr>
              <w:spacing w:after="0"/>
              <w:rPr>
                <w:sz w:val="11"/>
                <w:szCs w:val="11"/>
                <w:color w:val="auto"/>
              </w:rPr>
            </w:pPr>
          </w:p>
        </w:tc>
        <w:tc>
          <w:tcPr>
            <w:tcW w:w="118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(US in</w:t>
            </w:r>
          </w:p>
        </w:tc>
        <w:tc>
          <w:tcPr>
            <w:tcW w:w="800" w:type="dxa"/>
            <w:vAlign w:val="bottom"/>
          </w:tcPr>
          <w:p>
            <w:pPr>
              <w:jc w:val="right"/>
              <w:ind w:right="76"/>
              <w:spacing w:after="0" w:line="133" w:lineRule="exact"/>
              <w:rPr>
                <w:sz w:val="20"/>
                <w:szCs w:val="20"/>
                <w:color w:val="auto"/>
              </w:rPr>
            </w:pPr>
            <w:r>
              <w:rPr>
                <w:rFonts w:ascii="Arial" w:cs="Arial" w:eastAsia="Arial" w:hAnsi="Arial"/>
                <w:sz w:val="14"/>
                <w:szCs w:val="14"/>
                <w:b w:val="1"/>
                <w:bCs w:val="1"/>
                <w:color w:val="auto"/>
              </w:rPr>
              <w:t>(% of net</w:t>
            </w:r>
          </w:p>
        </w:tc>
        <w:tc>
          <w:tcPr>
            <w:tcW w:w="220" w:type="dxa"/>
            <w:vAlign w:val="bottom"/>
          </w:tcPr>
          <w:p>
            <w:pPr>
              <w:spacing w:after="0"/>
              <w:rPr>
                <w:sz w:val="11"/>
                <w:szCs w:val="11"/>
                <w:color w:val="auto"/>
              </w:rPr>
            </w:pPr>
          </w:p>
        </w:tc>
        <w:tc>
          <w:tcPr>
            <w:tcW w:w="1180" w:type="dxa"/>
            <w:vAlign w:val="bottom"/>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(US in</w:t>
            </w:r>
          </w:p>
        </w:tc>
        <w:tc>
          <w:tcPr>
            <w:tcW w:w="800" w:type="dxa"/>
            <w:vAlign w:val="bottom"/>
          </w:tcPr>
          <w:p>
            <w:pPr>
              <w:jc w:val="right"/>
              <w:ind w:right="76"/>
              <w:spacing w:after="0" w:line="133"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1"/>
                <w:szCs w:val="11"/>
                <w:color w:val="auto"/>
              </w:rPr>
            </w:pPr>
          </w:p>
        </w:tc>
      </w:tr>
      <w:tr>
        <w:trPr>
          <w:trHeight w:val="171"/>
        </w:trPr>
        <w:tc>
          <w:tcPr>
            <w:tcW w:w="466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thousands)</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revenues)</w:t>
            </w: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revenues)</w:t>
            </w: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thousands)</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revenues)</w:t>
            </w: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PRC</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141,926</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175,970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214,444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Hong Kong</w:t>
            </w:r>
          </w:p>
        </w:tc>
        <w:tc>
          <w:tcPr>
            <w:tcW w:w="900" w:type="dxa"/>
            <w:vAlign w:val="bottom"/>
          </w:tcPr>
          <w:p>
            <w:pPr>
              <w:jc w:val="right"/>
              <w:spacing w:after="0"/>
              <w:rPr>
                <w:sz w:val="20"/>
                <w:szCs w:val="20"/>
                <w:color w:val="auto"/>
              </w:rPr>
            </w:pPr>
            <w:r>
              <w:rPr>
                <w:rFonts w:ascii="Arial" w:cs="Arial" w:eastAsia="Arial" w:hAnsi="Arial"/>
                <w:sz w:val="18"/>
                <w:szCs w:val="18"/>
                <w:color w:val="auto"/>
              </w:rPr>
              <w:t>17,004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22,567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40,197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Others</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 net revenues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160,017</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199,408</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254,745</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Cost of revenues for our marketing solutions primarily consists of:</w:t>
      </w:r>
    </w:p>
    <w:p>
      <w:pPr>
        <w:spacing w:after="0" w:line="117" w:lineRule="exact"/>
        <w:rPr>
          <w:sz w:val="20"/>
          <w:szCs w:val="20"/>
          <w:color w:val="auto"/>
        </w:rPr>
      </w:pPr>
    </w:p>
    <w:p>
      <w:pPr>
        <w:ind w:left="1200" w:right="60" w:hanging="477"/>
        <w:spacing w:after="0" w:line="286" w:lineRule="auto"/>
        <w:tabs>
          <w:tab w:leader="none" w:pos="12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Media cost in connection with specified-action marketing campaigns</w:t>
      </w:r>
      <w:r>
        <w:rPr>
          <w:rFonts w:ascii="Arial" w:cs="Arial" w:eastAsia="Arial" w:hAnsi="Arial"/>
          <w:sz w:val="17"/>
          <w:szCs w:val="17"/>
          <w:color w:val="auto"/>
        </w:rPr>
        <w:t>. Media cost refers to cost we pay to publishers for acquisition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content distribution opportunities, which is partially offset by rebates we receive from publishers in specified-action marketing campaigns. Media cost represented 96.1%, 96.4% and 93.2% of our cost of revenues in 2018, 2019 and 2020, respectively.</w:t>
      </w:r>
    </w:p>
    <w:p>
      <w:pPr>
        <w:spacing w:after="0" w:line="286" w:lineRule="exact"/>
        <w:rPr>
          <w:rFonts w:ascii="Arial" w:cs="Arial" w:eastAsia="Arial" w:hAnsi="Arial"/>
          <w:sz w:val="17"/>
          <w:szCs w:val="17"/>
          <w:color w:val="auto"/>
        </w:rPr>
      </w:pPr>
    </w:p>
    <w:p>
      <w:pPr>
        <w:ind w:left="1200" w:right="240" w:hanging="477"/>
        <w:spacing w:after="0" w:line="263" w:lineRule="auto"/>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Amortization of expenses. This relates to amortization of computer software acquired in the acquisitions of Buzzinate, OptAim, Myhayo, Changyi, Optimal Power Limited and CMRS which represented 3.4%, 3.6% and 2.3% of our cost of revenues in 2018, 2019 and 2020, respectively.</w:t>
      </w:r>
    </w:p>
    <w:p>
      <w:pPr>
        <w:spacing w:after="0" w:line="19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Cost of revenues for our enterprise solutions primarily consists of amortization expenses related to the computer software and systems, salaries and benefits of relevant operations and support personnel, depreciation of relevant property and equipment and other direct services costs. The table below sets forth a breakdown of our cost of revenues for the periods indicated: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660" w:type="dxa"/>
            <w:vAlign w:val="bottom"/>
          </w:tcPr>
          <w:p>
            <w:pPr>
              <w:spacing w:after="0"/>
              <w:rPr>
                <w:sz w:val="13"/>
                <w:szCs w:val="13"/>
                <w:color w:val="auto"/>
              </w:rPr>
            </w:pPr>
          </w:p>
        </w:tc>
        <w:tc>
          <w:tcPr>
            <w:tcW w:w="13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left="59"/>
              <w:spacing w:after="0" w:line="155"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56"/>
        </w:trPr>
        <w:tc>
          <w:tcPr>
            <w:tcW w:w="6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(US$ in thousands)</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revenues:</w:t>
            </w: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Marketing solutions</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(120,897)</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(139,976)</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(172,916)</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Enterprise solutions</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(2,727)</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(8.566)</w:t>
            </w: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(142,703)</w:t>
            </w:r>
          </w:p>
        </w:tc>
        <w:tc>
          <w:tcPr>
            <w:tcW w:w="2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(181,482)</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4" w:name="page85"/>
    <w:bookmarkEnd w:id="84"/>
    <w:p>
      <w:pPr>
        <w:jc w:val="both"/>
        <w:ind w:right="320" w:firstLine="727"/>
        <w:spacing w:after="0" w:line="263" w:lineRule="auto"/>
        <w:rPr>
          <w:sz w:val="20"/>
          <w:szCs w:val="20"/>
          <w:color w:val="auto"/>
        </w:rPr>
      </w:pPr>
      <w:r>
        <w:rPr>
          <w:rFonts w:ascii="Arial" w:cs="Arial" w:eastAsia="Arial" w:hAnsi="Arial"/>
          <w:sz w:val="18"/>
          <w:szCs w:val="18"/>
          <w:color w:val="auto"/>
        </w:rPr>
        <w:t>We classify our operating expenses into three categories: research and development expenses, sales and marketing expenses and general and administrative expenses. The following table sets forth our operating expenses, both in absolute amount and as a percentage of our net revenues, for the periods presented.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9"/>
              </w:rPr>
              <w:t>Year Ended December 31,</w:t>
            </w:r>
          </w:p>
        </w:tc>
        <w:tc>
          <w:tcPr>
            <w:tcW w:w="1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60" w:type="dxa"/>
            <w:vAlign w:val="bottom"/>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3"/>
        </w:trPr>
        <w:tc>
          <w:tcPr>
            <w:tcW w:w="4660" w:type="dxa"/>
            <w:vAlign w:val="bottom"/>
          </w:tcPr>
          <w:p>
            <w:pPr>
              <w:spacing w:after="0"/>
              <w:rPr>
                <w:sz w:val="11"/>
                <w:szCs w:val="11"/>
                <w:color w:val="auto"/>
              </w:rPr>
            </w:pPr>
          </w:p>
        </w:tc>
        <w:tc>
          <w:tcPr>
            <w:tcW w:w="1240" w:type="dxa"/>
            <w:vAlign w:val="bottom"/>
          </w:tcPr>
          <w:p>
            <w:pPr>
              <w:jc w:val="right"/>
              <w:ind w:right="478"/>
              <w:spacing w:after="0" w:line="133" w:lineRule="exact"/>
              <w:rPr>
                <w:sz w:val="20"/>
                <w:szCs w:val="20"/>
                <w:color w:val="auto"/>
              </w:rPr>
            </w:pPr>
            <w:r>
              <w:rPr>
                <w:rFonts w:ascii="Arial" w:cs="Arial" w:eastAsia="Arial" w:hAnsi="Arial"/>
                <w:sz w:val="14"/>
                <w:szCs w:val="14"/>
                <w:b w:val="1"/>
                <w:bCs w:val="1"/>
                <w:color w:val="auto"/>
              </w:rPr>
              <w:t>(US$ in</w:t>
            </w:r>
          </w:p>
        </w:tc>
        <w:tc>
          <w:tcPr>
            <w:tcW w:w="82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 of net</w:t>
            </w:r>
          </w:p>
        </w:tc>
        <w:tc>
          <w:tcPr>
            <w:tcW w:w="240" w:type="dxa"/>
            <w:vAlign w:val="bottom"/>
          </w:tcPr>
          <w:p>
            <w:pPr>
              <w:spacing w:after="0"/>
              <w:rPr>
                <w:sz w:val="11"/>
                <w:szCs w:val="11"/>
                <w:color w:val="auto"/>
              </w:rPr>
            </w:pPr>
          </w:p>
        </w:tc>
        <w:tc>
          <w:tcPr>
            <w:tcW w:w="1180" w:type="dxa"/>
            <w:vAlign w:val="bottom"/>
          </w:tcPr>
          <w:p>
            <w:pPr>
              <w:jc w:val="right"/>
              <w:ind w:right="439"/>
              <w:spacing w:after="0" w:line="133" w:lineRule="exact"/>
              <w:rPr>
                <w:sz w:val="20"/>
                <w:szCs w:val="20"/>
                <w:color w:val="auto"/>
              </w:rPr>
            </w:pPr>
            <w:r>
              <w:rPr>
                <w:rFonts w:ascii="Arial" w:cs="Arial" w:eastAsia="Arial" w:hAnsi="Arial"/>
                <w:sz w:val="14"/>
                <w:szCs w:val="14"/>
                <w:b w:val="1"/>
                <w:bCs w:val="1"/>
                <w:color w:val="auto"/>
              </w:rPr>
              <w:t>(US$ in</w:t>
            </w:r>
          </w:p>
        </w:tc>
        <w:tc>
          <w:tcPr>
            <w:tcW w:w="80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 of net</w:t>
            </w:r>
          </w:p>
        </w:tc>
        <w:tc>
          <w:tcPr>
            <w:tcW w:w="220" w:type="dxa"/>
            <w:vAlign w:val="bottom"/>
          </w:tcPr>
          <w:p>
            <w:pPr>
              <w:spacing w:after="0"/>
              <w:rPr>
                <w:sz w:val="11"/>
                <w:szCs w:val="11"/>
                <w:color w:val="auto"/>
              </w:rPr>
            </w:pPr>
          </w:p>
        </w:tc>
        <w:tc>
          <w:tcPr>
            <w:tcW w:w="1180" w:type="dxa"/>
            <w:vAlign w:val="bottom"/>
          </w:tcPr>
          <w:p>
            <w:pPr>
              <w:jc w:val="right"/>
              <w:ind w:right="438"/>
              <w:spacing w:after="0" w:line="133" w:lineRule="exact"/>
              <w:rPr>
                <w:sz w:val="20"/>
                <w:szCs w:val="20"/>
                <w:color w:val="auto"/>
              </w:rPr>
            </w:pPr>
            <w:r>
              <w:rPr>
                <w:rFonts w:ascii="Arial" w:cs="Arial" w:eastAsia="Arial" w:hAnsi="Arial"/>
                <w:sz w:val="14"/>
                <w:szCs w:val="14"/>
                <w:b w:val="1"/>
                <w:bCs w:val="1"/>
                <w:color w:val="auto"/>
              </w:rPr>
              <w:t>(US$ in</w:t>
            </w:r>
          </w:p>
        </w:tc>
        <w:tc>
          <w:tcPr>
            <w:tcW w:w="80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1"/>
                <w:szCs w:val="11"/>
                <w:color w:val="auto"/>
              </w:rPr>
            </w:pPr>
          </w:p>
        </w:tc>
      </w:tr>
      <w:tr>
        <w:trPr>
          <w:trHeight w:val="171"/>
        </w:trPr>
        <w:tc>
          <w:tcPr>
            <w:tcW w:w="4660" w:type="dxa"/>
            <w:vAlign w:val="bottom"/>
          </w:tcPr>
          <w:p>
            <w:pPr>
              <w:spacing w:after="0"/>
              <w:rPr>
                <w:sz w:val="14"/>
                <w:szCs w:val="14"/>
                <w:color w:val="auto"/>
              </w:rPr>
            </w:pPr>
          </w:p>
        </w:tc>
        <w:tc>
          <w:tcPr>
            <w:tcW w:w="1240" w:type="dxa"/>
            <w:vAlign w:val="bottom"/>
          </w:tcPr>
          <w:p>
            <w:pPr>
              <w:jc w:val="right"/>
              <w:ind w:right="378"/>
              <w:spacing w:after="0"/>
              <w:rPr>
                <w:sz w:val="20"/>
                <w:szCs w:val="20"/>
                <w:color w:val="auto"/>
              </w:rPr>
            </w:pPr>
            <w:r>
              <w:rPr>
                <w:rFonts w:ascii="Arial" w:cs="Arial" w:eastAsia="Arial" w:hAnsi="Arial"/>
                <w:sz w:val="14"/>
                <w:szCs w:val="14"/>
                <w:b w:val="1"/>
                <w:bCs w:val="1"/>
                <w:color w:val="auto"/>
              </w:rPr>
              <w:t>thousands)</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revenues)</w:t>
            </w:r>
          </w:p>
        </w:tc>
        <w:tc>
          <w:tcPr>
            <w:tcW w:w="1180" w:type="dxa"/>
            <w:vAlign w:val="bottom"/>
          </w:tcPr>
          <w:p>
            <w:pPr>
              <w:jc w:val="right"/>
              <w:ind w:right="319"/>
              <w:spacing w:after="0"/>
              <w:rPr>
                <w:sz w:val="20"/>
                <w:szCs w:val="20"/>
                <w:color w:val="auto"/>
              </w:rPr>
            </w:pPr>
            <w:r>
              <w:rPr>
                <w:rFonts w:ascii="Arial" w:cs="Arial" w:eastAsia="Arial" w:hAnsi="Arial"/>
                <w:sz w:val="14"/>
                <w:szCs w:val="14"/>
                <w:b w:val="1"/>
                <w:bCs w:val="1"/>
                <w:color w:val="auto"/>
              </w:rPr>
              <w:t>thousands)</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revenues)</w:t>
            </w:r>
          </w:p>
        </w:tc>
        <w:tc>
          <w:tcPr>
            <w:tcW w:w="1180" w:type="dxa"/>
            <w:vAlign w:val="bottom"/>
          </w:tcPr>
          <w:p>
            <w:pPr>
              <w:jc w:val="right"/>
              <w:ind w:right="338"/>
              <w:spacing w:after="0"/>
              <w:rPr>
                <w:sz w:val="20"/>
                <w:szCs w:val="20"/>
                <w:color w:val="auto"/>
              </w:rPr>
            </w:pPr>
            <w:r>
              <w:rPr>
                <w:rFonts w:ascii="Arial" w:cs="Arial" w:eastAsia="Arial" w:hAnsi="Arial"/>
                <w:sz w:val="14"/>
                <w:szCs w:val="14"/>
                <w:b w:val="1"/>
                <w:bCs w:val="1"/>
                <w:color w:val="auto"/>
                <w:w w:val="98"/>
              </w:rPr>
              <w:t>thousands)</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revenues)</w:t>
            </w: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FF0FC"/>
          </w:tcPr>
          <w:p>
            <w:pPr>
              <w:jc w:val="right"/>
              <w:ind w:right="178"/>
              <w:spacing w:after="0"/>
              <w:rPr>
                <w:sz w:val="20"/>
                <w:szCs w:val="20"/>
                <w:color w:val="auto"/>
              </w:rPr>
            </w:pPr>
            <w:r>
              <w:rPr>
                <w:rFonts w:ascii="Arial" w:cs="Arial" w:eastAsia="Arial" w:hAnsi="Arial"/>
                <w:sz w:val="18"/>
                <w:szCs w:val="18"/>
                <w:color w:val="auto"/>
              </w:rPr>
              <w:t>(66,574)</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(41.6)</w:t>
            </w:r>
          </w:p>
        </w:tc>
        <w:tc>
          <w:tcPr>
            <w:tcW w:w="118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(68,846)</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(34.5)</w:t>
            </w:r>
          </w:p>
        </w:tc>
        <w:tc>
          <w:tcPr>
            <w:tcW w:w="118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(75,025)</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(29.5)</w:t>
            </w: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tcPr>
          <w:p>
            <w:pPr>
              <w:jc w:val="right"/>
              <w:ind w:right="178"/>
              <w:spacing w:after="0"/>
              <w:rPr>
                <w:sz w:val="20"/>
                <w:szCs w:val="20"/>
                <w:color w:val="auto"/>
              </w:rPr>
            </w:pPr>
            <w:r>
              <w:rPr>
                <w:rFonts w:ascii="Arial" w:cs="Arial" w:eastAsia="Arial" w:hAnsi="Arial"/>
                <w:sz w:val="18"/>
                <w:szCs w:val="18"/>
                <w:color w:val="auto"/>
              </w:rPr>
              <w:t>(10,737)</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1180" w:type="dxa"/>
            <w:vAlign w:val="bottom"/>
          </w:tcPr>
          <w:p>
            <w:pPr>
              <w:jc w:val="right"/>
              <w:ind w:right="139"/>
              <w:spacing w:after="0"/>
              <w:rPr>
                <w:sz w:val="20"/>
                <w:szCs w:val="20"/>
                <w:color w:val="auto"/>
              </w:rPr>
            </w:pPr>
            <w:r>
              <w:rPr>
                <w:rFonts w:ascii="Arial" w:cs="Arial" w:eastAsia="Arial" w:hAnsi="Arial"/>
                <w:sz w:val="18"/>
                <w:szCs w:val="18"/>
                <w:color w:val="auto"/>
              </w:rPr>
              <w:t>(5,574)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180" w:type="dxa"/>
            <w:vAlign w:val="bottom"/>
          </w:tcPr>
          <w:p>
            <w:pPr>
              <w:jc w:val="right"/>
              <w:ind w:right="158"/>
              <w:spacing w:after="0"/>
              <w:rPr>
                <w:sz w:val="20"/>
                <w:szCs w:val="20"/>
                <w:color w:val="auto"/>
              </w:rPr>
            </w:pPr>
            <w:r>
              <w:rPr>
                <w:rFonts w:ascii="Arial" w:cs="Arial" w:eastAsia="Arial" w:hAnsi="Arial"/>
                <w:sz w:val="18"/>
                <w:szCs w:val="18"/>
                <w:color w:val="auto"/>
              </w:rPr>
              <w:t>(5,349)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240" w:type="dxa"/>
            <w:vAlign w:val="bottom"/>
            <w:shd w:val="clear" w:color="auto" w:fill="CFF0FC"/>
          </w:tcPr>
          <w:p>
            <w:pPr>
              <w:jc w:val="right"/>
              <w:ind w:right="178"/>
              <w:spacing w:after="0"/>
              <w:rPr>
                <w:sz w:val="20"/>
                <w:szCs w:val="20"/>
                <w:color w:val="auto"/>
              </w:rPr>
            </w:pPr>
            <w:r>
              <w:rPr>
                <w:rFonts w:ascii="Arial" w:cs="Arial" w:eastAsia="Arial" w:hAnsi="Arial"/>
                <w:sz w:val="18"/>
                <w:szCs w:val="18"/>
                <w:color w:val="auto"/>
              </w:rPr>
              <w:t>(32,080)</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(20.0)</w:t>
            </w:r>
          </w:p>
        </w:tc>
        <w:tc>
          <w:tcPr>
            <w:tcW w:w="118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(42,968)</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(21.5)</w:t>
            </w:r>
          </w:p>
        </w:tc>
        <w:tc>
          <w:tcPr>
            <w:tcW w:w="118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(38,028)</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tcPr>
          <w:p>
            <w:pPr>
              <w:jc w:val="right"/>
              <w:ind w:right="178"/>
              <w:spacing w:after="0"/>
              <w:rPr>
                <w:sz w:val="20"/>
                <w:szCs w:val="20"/>
                <w:color w:val="auto"/>
              </w:rPr>
            </w:pPr>
            <w:r>
              <w:rPr>
                <w:rFonts w:ascii="Arial" w:cs="Arial" w:eastAsia="Arial" w:hAnsi="Arial"/>
                <w:sz w:val="18"/>
                <w:szCs w:val="18"/>
                <w:color w:val="auto"/>
              </w:rPr>
              <w:t>(23,757)</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1180" w:type="dxa"/>
            <w:vAlign w:val="bottom"/>
          </w:tcPr>
          <w:p>
            <w:pPr>
              <w:jc w:val="right"/>
              <w:ind w:right="139"/>
              <w:spacing w:after="0"/>
              <w:rPr>
                <w:sz w:val="20"/>
                <w:szCs w:val="20"/>
                <w:color w:val="auto"/>
              </w:rPr>
            </w:pPr>
            <w:r>
              <w:rPr>
                <w:rFonts w:ascii="Arial" w:cs="Arial" w:eastAsia="Arial" w:hAnsi="Arial"/>
                <w:sz w:val="18"/>
                <w:szCs w:val="18"/>
                <w:color w:val="auto"/>
              </w:rPr>
              <w:t>(20,304)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180" w:type="dxa"/>
            <w:vAlign w:val="bottom"/>
          </w:tcPr>
          <w:p>
            <w:pPr>
              <w:jc w:val="right"/>
              <w:ind w:right="158"/>
              <w:spacing w:after="0"/>
              <w:rPr>
                <w:sz w:val="20"/>
                <w:szCs w:val="20"/>
                <w:color w:val="auto"/>
              </w:rPr>
            </w:pPr>
            <w:r>
              <w:rPr>
                <w:rFonts w:ascii="Arial" w:cs="Arial" w:eastAsia="Arial" w:hAnsi="Arial"/>
                <w:sz w:val="18"/>
                <w:szCs w:val="18"/>
                <w:color w:val="auto"/>
              </w:rPr>
              <w:t>(31,648)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r>
    </w:tbl>
    <w:p>
      <w:pPr>
        <w:spacing w:after="0" w:line="214" w:lineRule="exact"/>
        <w:rPr>
          <w:sz w:val="20"/>
          <w:szCs w:val="20"/>
          <w:color w:val="auto"/>
        </w:rPr>
      </w:pPr>
    </w:p>
    <w:p>
      <w:pPr>
        <w:jc w:val="both"/>
        <w:ind w:left="1440" w:right="220" w:hanging="717"/>
        <w:spacing w:after="0" w:line="263" w:lineRule="auto"/>
        <w:tabs>
          <w:tab w:leader="none" w:pos="14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primarily of (i) salary and welfare for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personnel, (ii) rental expenses and (iii) depreciation of office premise and servers utilized by research and development personnel.</w:t>
      </w:r>
    </w:p>
    <w:p>
      <w:pPr>
        <w:spacing w:after="0" w:line="75" w:lineRule="exact"/>
        <w:rPr>
          <w:rFonts w:ascii="Arial" w:cs="Arial" w:eastAsia="Arial" w:hAnsi="Arial"/>
          <w:sz w:val="18"/>
          <w:szCs w:val="18"/>
          <w:color w:val="auto"/>
        </w:rPr>
      </w:pPr>
    </w:p>
    <w:p>
      <w:pPr>
        <w:ind w:left="1440" w:right="100" w:hanging="717"/>
        <w:spacing w:after="0" w:line="277" w:lineRule="auto"/>
        <w:tabs>
          <w:tab w:leader="none" w:pos="14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(i) advertising and marketing expenses, and (ii) salary</w:t>
      </w:r>
      <w:r>
        <w:rPr>
          <w:rFonts w:ascii="Arial" w:cs="Arial" w:eastAsia="Arial" w:hAnsi="Arial"/>
          <w:sz w:val="18"/>
          <w:szCs w:val="18"/>
          <w:i w:val="1"/>
          <w:iCs w:val="1"/>
          <w:color w:val="auto"/>
        </w:rPr>
        <w:t xml:space="preserve"> </w:t>
      </w:r>
      <w:r>
        <w:rPr>
          <w:rFonts w:ascii="Arial" w:cs="Arial" w:eastAsia="Arial" w:hAnsi="Arial"/>
          <w:sz w:val="18"/>
          <w:szCs w:val="18"/>
          <w:color w:val="auto"/>
        </w:rPr>
        <w:t>and welfare for sales and marketing personnel.</w:t>
      </w:r>
    </w:p>
    <w:p>
      <w:pPr>
        <w:spacing w:after="0" w:line="62" w:lineRule="exact"/>
        <w:rPr>
          <w:rFonts w:ascii="Arial" w:cs="Arial" w:eastAsia="Arial" w:hAnsi="Arial"/>
          <w:sz w:val="18"/>
          <w:szCs w:val="18"/>
          <w:color w:val="auto"/>
        </w:rPr>
      </w:pPr>
    </w:p>
    <w:p>
      <w:pPr>
        <w:ind w:left="1440" w:right="240" w:hanging="717"/>
        <w:spacing w:after="0" w:line="275" w:lineRule="auto"/>
        <w:tabs>
          <w:tab w:leader="none" w:pos="144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consist primarily of (i) salary and welfare for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personnel, and (ii) professional service fees. Professional service fees primarily related to legal and audit service in connection with our private placements and acquisitions, preparation for our initial public offering, issuance of convertible notes and merger and acquisitions. We expect to continue to invest in our corporate infrastructure and incur expenses related to being a public company, including accounting and legal fees, and compliance costs.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Cayman Islands</w:t>
      </w:r>
    </w:p>
    <w:p>
      <w:pPr>
        <w:spacing w:after="0" w:line="117" w:lineRule="exact"/>
        <w:rPr>
          <w:sz w:val="20"/>
          <w:szCs w:val="20"/>
          <w:color w:val="auto"/>
        </w:rPr>
      </w:pPr>
    </w:p>
    <w:p>
      <w:pPr>
        <w:jc w:val="both"/>
        <w:ind w:right="100" w:firstLine="727"/>
        <w:spacing w:after="0" w:line="263" w:lineRule="auto"/>
        <w:rPr>
          <w:sz w:val="20"/>
          <w:szCs w:val="20"/>
          <w:color w:val="auto"/>
        </w:rPr>
      </w:pPr>
      <w:r>
        <w:rPr>
          <w:rFonts w:ascii="Arial" w:cs="Arial" w:eastAsia="Arial" w:hAnsi="Arial"/>
          <w:sz w:val="18"/>
          <w:szCs w:val="18"/>
          <w:color w:val="auto"/>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British Virgin Islands</w:t>
      </w:r>
    </w:p>
    <w:p>
      <w:pPr>
        <w:spacing w:after="0" w:line="117" w:lineRule="exact"/>
        <w:rPr>
          <w:sz w:val="20"/>
          <w:szCs w:val="20"/>
          <w:color w:val="auto"/>
        </w:rPr>
      </w:pPr>
    </w:p>
    <w:p>
      <w:pPr>
        <w:ind w:right="120" w:firstLine="727"/>
        <w:spacing w:after="0" w:line="263" w:lineRule="auto"/>
        <w:rPr>
          <w:sz w:val="20"/>
          <w:szCs w:val="20"/>
          <w:color w:val="auto"/>
        </w:rPr>
      </w:pPr>
      <w:r>
        <w:rPr>
          <w:rFonts w:ascii="Arial" w:cs="Arial" w:eastAsia="Arial" w:hAnsi="Arial"/>
          <w:sz w:val="18"/>
          <w:szCs w:val="18"/>
          <w:color w:val="auto"/>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220" w:firstLine="727"/>
        <w:spacing w:after="0" w:line="259" w:lineRule="auto"/>
        <w:rPr>
          <w:sz w:val="20"/>
          <w:szCs w:val="20"/>
          <w:color w:val="auto"/>
        </w:rPr>
      </w:pPr>
      <w:r>
        <w:rPr>
          <w:rFonts w:ascii="Arial" w:cs="Arial" w:eastAsia="Arial" w:hAnsi="Arial"/>
          <w:sz w:val="18"/>
          <w:szCs w:val="18"/>
          <w:color w:val="auto"/>
        </w:rPr>
        <w:t>Our subsidiaries incorporated in Hong Kong are subject to 16.5% Hong Kong profit tax on their taxable income generated from operations in Hong Kong under the current Hong Kong Inland Revenue Ordinance. Under the Hong Kong tax laws, we are exempted from the Hong Kong income tax on our foreign-derived income. In addition, payments of dividends from our Hong Kong subsidiary to us are not subject to any Hong Kong withholding tax.</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right="60" w:firstLine="727"/>
        <w:spacing w:after="0" w:line="296" w:lineRule="auto"/>
        <w:rPr>
          <w:sz w:val="20"/>
          <w:szCs w:val="20"/>
          <w:color w:val="auto"/>
        </w:rPr>
      </w:pPr>
      <w:r>
        <w:rPr>
          <w:rFonts w:ascii="Arial" w:cs="Arial" w:eastAsia="Arial" w:hAnsi="Arial"/>
          <w:sz w:val="16"/>
          <w:szCs w:val="16"/>
          <w:color w:val="auto"/>
        </w:rPr>
        <w:t>Generally, our PRC subsidiaries, our consolidated VIE and its subsidiary, which are considered PRC resident enterprises under PRC tax law, are subject to enterprise income tax on their worldwide taxable income as determined under PRC tax laws and accounting standards at a rate of 25%. High and new technology enterprises (“HNTE”) will enjoy a preferential enterprise income tax rate of 15% under the EIT Law. Our certain subsidiaries in the PRC, which are qualified as a HNTE under the EIT Law, are eligible for a preferential enterprise income tax rate of 15% for the period from 2018 to 2020 and 2017 to 2022, respectively, so long as these subsidiaries obtain approval from relevant tax authority if they are profitable during the period.</w:t>
      </w:r>
    </w:p>
    <w:p>
      <w:pPr>
        <w:spacing w:after="0" w:line="161" w:lineRule="exact"/>
        <w:rPr>
          <w:sz w:val="20"/>
          <w:szCs w:val="20"/>
          <w:color w:val="auto"/>
        </w:rPr>
      </w:pPr>
    </w:p>
    <w:p>
      <w:pPr>
        <w:ind w:right="20" w:firstLine="727"/>
        <w:spacing w:after="0" w:line="311" w:lineRule="auto"/>
        <w:rPr>
          <w:sz w:val="20"/>
          <w:szCs w:val="20"/>
          <w:color w:val="auto"/>
        </w:rPr>
      </w:pPr>
      <w:r>
        <w:rPr>
          <w:rFonts w:ascii="Arial" w:cs="Arial" w:eastAsia="Arial" w:hAnsi="Arial"/>
          <w:sz w:val="16"/>
          <w:szCs w:val="16"/>
          <w:color w:val="auto"/>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5" w:name="page86"/>
    <w:bookmarkEnd w:id="85"/>
    <w:p>
      <w:pPr>
        <w:ind w:right="40" w:firstLine="727"/>
        <w:spacing w:after="0" w:line="271" w:lineRule="auto"/>
        <w:rPr>
          <w:sz w:val="20"/>
          <w:szCs w:val="20"/>
          <w:color w:val="auto"/>
        </w:rPr>
      </w:pPr>
      <w:r>
        <w:rPr>
          <w:rFonts w:ascii="Arial" w:cs="Arial" w:eastAsia="Arial" w:hAnsi="Arial"/>
          <w:sz w:val="17"/>
          <w:szCs w:val="17"/>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See “Item 3. Key Information—D. Risk Factors—Risks Related to Doing Business in China—We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78" w:lineRule="exact"/>
        <w:rPr>
          <w:sz w:val="20"/>
          <w:szCs w:val="20"/>
          <w:color w:val="auto"/>
        </w:rPr>
      </w:pPr>
    </w:p>
    <w:p>
      <w:pPr>
        <w:ind w:firstLine="727"/>
        <w:spacing w:after="0" w:line="279" w:lineRule="auto"/>
        <w:rPr>
          <w:sz w:val="20"/>
          <w:szCs w:val="20"/>
          <w:color w:val="auto"/>
        </w:rPr>
      </w:pPr>
      <w:r>
        <w:rPr>
          <w:rFonts w:ascii="Arial" w:cs="Arial" w:eastAsia="Arial" w:hAnsi="Arial"/>
          <w:sz w:val="17"/>
          <w:szCs w:val="17"/>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Information—D. Risk Factors—Risks Related to Doing Business in China—If we are classified as a PRC resident enterprise for PRC income tax purposes, such classification could result in unfavorable tax consequences to us and our non-PRC shareholders or ADS 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Our net revenues increased by US$55.3 million, or 27.8%, from US$199.4 million in 2019 to US$254.7 million in 2020.</w:t>
      </w:r>
    </w:p>
    <w:p>
      <w:pPr>
        <w:spacing w:after="0" w:line="117" w:lineRule="exact"/>
        <w:rPr>
          <w:sz w:val="20"/>
          <w:szCs w:val="20"/>
          <w:color w:val="auto"/>
        </w:rPr>
      </w:pPr>
    </w:p>
    <w:p>
      <w:pPr>
        <w:ind w:right="420" w:firstLine="727"/>
        <w:spacing w:after="0" w:line="308" w:lineRule="auto"/>
        <w:rPr>
          <w:sz w:val="20"/>
          <w:szCs w:val="20"/>
          <w:color w:val="auto"/>
        </w:rPr>
      </w:pPr>
      <w:r>
        <w:rPr>
          <w:rFonts w:ascii="Arial" w:cs="Arial" w:eastAsia="Arial" w:hAnsi="Arial"/>
          <w:sz w:val="17"/>
          <w:szCs w:val="17"/>
          <w:color w:val="auto"/>
        </w:rPr>
        <w:t>Net revenues from our marketing solutions increased by US$36.9 million, or 19.5% from US$189.0 million in 2019 to US$225.9 million in 2020, primarily as a result of the growing market demand for our marketing solutions, especially in gaming and education sectors.</w:t>
      </w:r>
    </w:p>
    <w:p>
      <w:pPr>
        <w:spacing w:after="0" w:line="38" w:lineRule="exact"/>
        <w:rPr>
          <w:sz w:val="20"/>
          <w:szCs w:val="20"/>
          <w:color w:val="auto"/>
        </w:rPr>
      </w:pPr>
    </w:p>
    <w:p>
      <w:pPr>
        <w:ind w:right="80" w:firstLine="727"/>
        <w:spacing w:after="0" w:line="286" w:lineRule="auto"/>
        <w:rPr>
          <w:sz w:val="20"/>
          <w:szCs w:val="20"/>
          <w:color w:val="auto"/>
        </w:rPr>
      </w:pPr>
      <w:r>
        <w:rPr>
          <w:rFonts w:ascii="Arial" w:cs="Arial" w:eastAsia="Arial" w:hAnsi="Arial"/>
          <w:sz w:val="17"/>
          <w:szCs w:val="17"/>
          <w:color w:val="auto"/>
        </w:rPr>
        <w:t>Net revenues from our enterprise solutions increased by US$18.5 million, or 176.9% from US$10.4 million in 2019 to US$28.9 million in 2020, which was primarily driven by the growing market demand for the collection of information from different consumer online and offline touchpoints, and integration of such information into a single data management platform to facilitate better informed business decisions.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117" w:lineRule="exact"/>
        <w:rPr>
          <w:sz w:val="20"/>
          <w:szCs w:val="20"/>
          <w:color w:val="auto"/>
        </w:rPr>
      </w:pPr>
    </w:p>
    <w:p>
      <w:pPr>
        <w:jc w:val="both"/>
        <w:ind w:right="20" w:firstLine="727"/>
        <w:spacing w:after="0" w:line="263" w:lineRule="auto"/>
        <w:rPr>
          <w:sz w:val="20"/>
          <w:szCs w:val="20"/>
          <w:color w:val="auto"/>
        </w:rPr>
      </w:pPr>
      <w:r>
        <w:rPr>
          <w:rFonts w:ascii="Arial" w:cs="Arial" w:eastAsia="Arial" w:hAnsi="Arial"/>
          <w:sz w:val="18"/>
          <w:szCs w:val="18"/>
          <w:color w:val="auto"/>
        </w:rPr>
        <w:t>Our cost of revenues increased by US$38.8 million, or 27.2%, from US$142.7 million in 2019 to US$181.5 million in 2020, primarily as a result of an increase in media cost, which increased by US$30.9 million, or 22.5%, from US$137.6 million in 2019 to US$168.5 million in 2020 as a result of our sales growth during the year.</w:t>
      </w:r>
    </w:p>
    <w:p>
      <w:pPr>
        <w:spacing w:after="0" w:line="184" w:lineRule="exact"/>
        <w:rPr>
          <w:sz w:val="20"/>
          <w:szCs w:val="20"/>
          <w:color w:val="auto"/>
        </w:rPr>
      </w:pPr>
    </w:p>
    <w:p>
      <w:pPr>
        <w:ind w:right="260" w:firstLine="727"/>
        <w:spacing w:after="0" w:line="342" w:lineRule="auto"/>
        <w:rPr>
          <w:sz w:val="20"/>
          <w:szCs w:val="20"/>
          <w:color w:val="auto"/>
        </w:rPr>
      </w:pPr>
      <w:r>
        <w:rPr>
          <w:rFonts w:ascii="Arial" w:cs="Arial" w:eastAsia="Arial" w:hAnsi="Arial"/>
          <w:sz w:val="16"/>
          <w:szCs w:val="16"/>
          <w:color w:val="auto"/>
        </w:rPr>
        <w:t>Cost of revenues for our marketing solutions increased by US$32.9 million, or 23.5%, from US$140.0 million in 2019 to US$172.9 million in 2020, which was in line with the growth of our marketing solutions business, primarily driven by higher market demand for our marketing solutions.</w:t>
      </w:r>
    </w:p>
    <w:p>
      <w:pPr>
        <w:spacing w:after="0" w:line="124" w:lineRule="exact"/>
        <w:rPr>
          <w:sz w:val="20"/>
          <w:szCs w:val="20"/>
          <w:color w:val="auto"/>
        </w:rPr>
      </w:pPr>
    </w:p>
    <w:p>
      <w:pPr>
        <w:ind w:right="260" w:firstLine="727"/>
        <w:spacing w:after="0" w:line="308" w:lineRule="auto"/>
        <w:rPr>
          <w:sz w:val="20"/>
          <w:szCs w:val="20"/>
          <w:color w:val="auto"/>
        </w:rPr>
      </w:pPr>
      <w:r>
        <w:rPr>
          <w:rFonts w:ascii="Arial" w:cs="Arial" w:eastAsia="Arial" w:hAnsi="Arial"/>
          <w:sz w:val="17"/>
          <w:szCs w:val="17"/>
          <w:color w:val="auto"/>
        </w:rPr>
        <w:t>Cost of revenue for our enterprise solutions increased by US$5.9 million, or 214.1%, from US$2.7 million in 2019 to US$8.6 million in 2020, primarily as a result of increase of staff expenses and development cost to cater the market growth on this business stream.</w:t>
      </w:r>
    </w:p>
    <w:p>
      <w:pPr>
        <w:spacing w:after="0" w:line="146" w:lineRule="exact"/>
        <w:rPr>
          <w:sz w:val="20"/>
          <w:szCs w:val="20"/>
          <w:color w:val="auto"/>
        </w:rPr>
      </w:pPr>
    </w:p>
    <w:p>
      <w:pPr>
        <w:ind w:right="220" w:firstLine="727"/>
        <w:spacing w:after="0" w:line="263" w:lineRule="auto"/>
        <w:rPr>
          <w:sz w:val="20"/>
          <w:szCs w:val="20"/>
          <w:color w:val="auto"/>
        </w:rPr>
      </w:pPr>
      <w:r>
        <w:rPr>
          <w:rFonts w:ascii="Arial" w:cs="Arial" w:eastAsia="Arial" w:hAnsi="Arial"/>
          <w:sz w:val="18"/>
          <w:szCs w:val="18"/>
          <w:color w:val="auto"/>
        </w:rPr>
        <w:t>As a result of the above, our gross profit increased from US$56.7 million in 2019 to US$73.3 million in 2020. Specifically, gross profit for our marketing solutions increased by US$3.9 million, or 8.0%, from US$49.0 million in 2019 to US$52.9 million in 2020. Gross profit for our enterprise solutions increased by US$12.6 million, or 163.7%, from US$7.7 million in 2019 to US$20.3 million in 2020.</w:t>
      </w:r>
    </w:p>
    <w:p>
      <w:pPr>
        <w:spacing w:after="0" w:line="184" w:lineRule="exact"/>
        <w:rPr>
          <w:sz w:val="20"/>
          <w:szCs w:val="20"/>
          <w:color w:val="auto"/>
        </w:rPr>
      </w:pPr>
    </w:p>
    <w:p>
      <w:pPr>
        <w:ind w:right="380" w:firstLine="727"/>
        <w:spacing w:after="0" w:line="277" w:lineRule="auto"/>
        <w:rPr>
          <w:sz w:val="20"/>
          <w:szCs w:val="20"/>
          <w:color w:val="auto"/>
        </w:rPr>
      </w:pPr>
      <w:r>
        <w:rPr>
          <w:rFonts w:ascii="Arial" w:cs="Arial" w:eastAsia="Arial" w:hAnsi="Arial"/>
          <w:sz w:val="18"/>
          <w:szCs w:val="18"/>
          <w:color w:val="auto"/>
        </w:rPr>
        <w:t>Our gross profit margin increased from 28.4% in 2019 to 28.8% in 2020, primarily due to our strong momentum in enterprise solutions with higher margin.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480" w:firstLine="727"/>
        <w:spacing w:after="0" w:line="277" w:lineRule="auto"/>
        <w:rPr>
          <w:sz w:val="20"/>
          <w:szCs w:val="20"/>
          <w:color w:val="auto"/>
        </w:rPr>
      </w:pPr>
      <w:r>
        <w:rPr>
          <w:rFonts w:ascii="Arial" w:cs="Arial" w:eastAsia="Arial" w:hAnsi="Arial"/>
          <w:sz w:val="18"/>
          <w:szCs w:val="18"/>
          <w:color w:val="auto"/>
        </w:rPr>
        <w:t>Our operating expenses increased by US$6.2 million, or 9.0%, from US$68.8 million in 2019 to US$75.0 million in 2020, primarily due to increase of share-based compensation and staff cost. The operating expenses as a percentage of net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revenues decreased from 34.5% in 2019 to 29.5% in 2020.</w:t>
      </w:r>
    </w:p>
    <w:p>
      <w:pPr>
        <w:spacing w:after="0" w:line="117" w:lineRule="exact"/>
        <w:rPr>
          <w:sz w:val="20"/>
          <w:szCs w:val="20"/>
          <w:color w:val="auto"/>
        </w:rPr>
      </w:pPr>
    </w:p>
    <w:p>
      <w:pPr>
        <w:ind w:left="1200" w:hanging="477"/>
        <w:spacing w:after="0" w:line="254" w:lineRule="auto"/>
        <w:tabs>
          <w:tab w:leader="none" w:pos="12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Our sales and marketing expenses decreased by US$5.0 million, or 11.5%, from US$43.0 million in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US$38.0 million in 2020. The decrease was primarily due to the operational efficiency and reduction of promotional expenses during COVID-19 outbreak, partially offset by increase in staff cost and share-based compensation. Sales and marketing expenses as a percentage of net revenues decreased from 21.5% in 2019 to 14.9% in 2020.</w:t>
      </w:r>
    </w:p>
    <w:p>
      <w:pPr>
        <w:spacing w:after="0" w:line="2" w:lineRule="exact"/>
        <w:rPr>
          <w:rFonts w:ascii="Arial" w:cs="Arial" w:eastAsia="Arial" w:hAnsi="Arial"/>
          <w:sz w:val="18"/>
          <w:szCs w:val="18"/>
          <w:color w:val="auto"/>
        </w:rPr>
      </w:pPr>
    </w:p>
    <w:p>
      <w:pPr>
        <w:ind w:left="1200" w:right="40" w:hanging="477"/>
        <w:spacing w:after="0" w:line="281" w:lineRule="auto"/>
        <w:tabs>
          <w:tab w:leader="none" w:pos="120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increased by US$11.3 million, or 55.9%, from US$20.3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2019 to US$31.6 million in 2020, primarily due to increase in staff cost, share based compensation and professional fee for fund raising activities. General and administrative expenses as a percentage of net revenues increased from 10.2% in 2019 to 12.5% in 2020.</w:t>
      </w:r>
    </w:p>
    <w:p>
      <w:pPr>
        <w:spacing w:after="0" w:line="1" w:lineRule="exact"/>
        <w:rPr>
          <w:rFonts w:ascii="Arial" w:cs="Arial" w:eastAsia="Arial" w:hAnsi="Arial"/>
          <w:sz w:val="16"/>
          <w:szCs w:val="16"/>
          <w:color w:val="auto"/>
        </w:rPr>
      </w:pPr>
    </w:p>
    <w:p>
      <w:pPr>
        <w:ind w:left="1200" w:right="40" w:hanging="477"/>
        <w:spacing w:after="0" w:line="253" w:lineRule="auto"/>
        <w:tabs>
          <w:tab w:leader="none" w:pos="12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decreased by US$0.3 million, or 4.0%, from US$5.6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2019 to US$5.3 million in 2020, primarily due to decrease in share-based compensation for research and development personnel, partially offset by increase in staff cost. Research and development expenses as a percentage of net revenues decreased from 2.8% in 2019 to 2.1% in 2020.</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Our interest income was US$0.5 million and US$1.3 million in 2019 and 2020,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560" w:firstLine="727"/>
        <w:spacing w:after="0" w:line="277" w:lineRule="auto"/>
        <w:rPr>
          <w:sz w:val="20"/>
          <w:szCs w:val="20"/>
          <w:color w:val="auto"/>
        </w:rPr>
      </w:pPr>
      <w:r>
        <w:rPr>
          <w:rFonts w:ascii="Arial" w:cs="Arial" w:eastAsia="Arial" w:hAnsi="Arial"/>
          <w:sz w:val="18"/>
          <w:szCs w:val="18"/>
          <w:color w:val="auto"/>
        </w:rPr>
        <w:t>Our interest expense was US$1.9 million and US$2.7 million in 2019 and 2020, respectively. The change was primarily attributable to the increase of available credit facilities during the year.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 Net</w:t>
      </w:r>
    </w:p>
    <w:p>
      <w:pPr>
        <w:spacing w:after="0" w:line="117" w:lineRule="exact"/>
        <w:rPr>
          <w:sz w:val="20"/>
          <w:szCs w:val="20"/>
          <w:color w:val="auto"/>
        </w:rPr>
      </w:pPr>
    </w:p>
    <w:p>
      <w:pPr>
        <w:ind w:right="400" w:firstLine="727"/>
        <w:spacing w:after="0" w:line="277" w:lineRule="auto"/>
        <w:rPr>
          <w:sz w:val="20"/>
          <w:szCs w:val="20"/>
          <w:color w:val="auto"/>
        </w:rPr>
      </w:pPr>
      <w:r>
        <w:rPr>
          <w:rFonts w:ascii="Arial" w:cs="Arial" w:eastAsia="Arial" w:hAnsi="Arial"/>
          <w:sz w:val="18"/>
          <w:szCs w:val="18"/>
          <w:color w:val="auto"/>
        </w:rPr>
        <w:t>Our other gains, net were US$3.0 million in 2019 and US$5.9 million in 2020, respectively. The change was primarily due to the increase of government grants such as wage subsidy from the Hong Kong government in 2020 due to COVID-19 outbreak.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Losses on Convertible Notes</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6"/>
          <w:szCs w:val="16"/>
          <w:color w:val="auto"/>
        </w:rPr>
        <w:t>Our fair value losses on convertible notes was US$4.4 million, compared with fair value gains on convertible notes of US$0.1 million in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amount of our fair value losses on convertible notes was primarily impacted by volatility in the price of our ADSs.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Losses on Derivative Liabilities</w:t>
      </w:r>
    </w:p>
    <w:p>
      <w:pPr>
        <w:spacing w:after="0" w:line="117" w:lineRule="exact"/>
        <w:rPr>
          <w:sz w:val="20"/>
          <w:szCs w:val="20"/>
          <w:color w:val="auto"/>
        </w:rPr>
      </w:pPr>
    </w:p>
    <w:p>
      <w:pPr>
        <w:ind w:right="340" w:firstLine="727"/>
        <w:spacing w:after="0" w:line="277" w:lineRule="auto"/>
        <w:rPr>
          <w:sz w:val="20"/>
          <w:szCs w:val="20"/>
          <w:color w:val="auto"/>
        </w:rPr>
      </w:pPr>
      <w:r>
        <w:rPr>
          <w:rFonts w:ascii="Arial" w:cs="Arial" w:eastAsia="Arial" w:hAnsi="Arial"/>
          <w:sz w:val="18"/>
          <w:szCs w:val="18"/>
          <w:color w:val="auto"/>
        </w:rPr>
        <w:t>Our fair value losses on derivative liabilities were nil and US$11.5 million in 2019 and 2020, respectively. Our fair value losses on derivative liabilities were primarily in relation to a call option for investors to purchase our convertible notes.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Losses from an Equity Investee</w:t>
      </w:r>
    </w:p>
    <w:p>
      <w:pPr>
        <w:spacing w:after="0" w:line="117" w:lineRule="exact"/>
        <w:rPr>
          <w:sz w:val="20"/>
          <w:szCs w:val="20"/>
          <w:color w:val="auto"/>
        </w:rPr>
      </w:pPr>
    </w:p>
    <w:p>
      <w:pPr>
        <w:ind w:right="40" w:firstLine="727"/>
        <w:spacing w:after="0" w:line="308" w:lineRule="auto"/>
        <w:rPr>
          <w:sz w:val="20"/>
          <w:szCs w:val="20"/>
          <w:color w:val="auto"/>
        </w:rPr>
      </w:pPr>
      <w:r>
        <w:rPr>
          <w:rFonts w:ascii="Arial" w:cs="Arial" w:eastAsia="Arial" w:hAnsi="Arial"/>
          <w:sz w:val="17"/>
          <w:szCs w:val="17"/>
          <w:color w:val="auto"/>
        </w:rPr>
        <w:t>Our share of losses of an equity investee was US$0.4 million and US$0.1 million in 2019 and 2020, respectively. Our share of losses of an equity investee is primarily associated with net losses from our joint venture with VGI Global Media Plc in Thailand that was set up in May 2019.</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180" w:firstLine="727"/>
        <w:spacing w:after="0" w:line="277" w:lineRule="auto"/>
        <w:rPr>
          <w:sz w:val="20"/>
          <w:szCs w:val="20"/>
          <w:color w:val="auto"/>
        </w:rPr>
      </w:pPr>
      <w:r>
        <w:rPr>
          <w:rFonts w:ascii="Arial" w:cs="Arial" w:eastAsia="Arial" w:hAnsi="Arial"/>
          <w:sz w:val="18"/>
          <w:szCs w:val="18"/>
          <w:color w:val="auto"/>
        </w:rPr>
        <w:t>We recorded an income tax expenses of US$47 thousands and US$1.6 million in 2019 and 2020, respectively. The change was primarily due to increasing profitability of operating companies.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As a result of the foregoing, our net loss increased by 37.4% from US$10.8 million in 2019 to US$14.9 million in 2020.</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100" w:firstLine="727"/>
        <w:spacing w:after="0" w:line="277" w:lineRule="auto"/>
        <w:rPr>
          <w:sz w:val="20"/>
          <w:szCs w:val="20"/>
          <w:color w:val="auto"/>
        </w:rPr>
      </w:pPr>
      <w:r>
        <w:rPr>
          <w:rFonts w:ascii="Arial" w:cs="Arial" w:eastAsia="Arial" w:hAnsi="Arial"/>
          <w:sz w:val="18"/>
          <w:szCs w:val="18"/>
          <w:color w:val="auto"/>
        </w:rPr>
        <w:t>Our net revenues increased by US$39.4 million, or 24.6%, from US$160.0 million in 2018 to US$199.4 million in 2019, primarily as a result of an increase in our net revenues from our marketing solutions and the launch and development of our enterprise solutions.</w:t>
      </w:r>
    </w:p>
    <w:p>
      <w:pPr>
        <w:spacing w:after="0" w:line="170" w:lineRule="exact"/>
        <w:rPr>
          <w:sz w:val="20"/>
          <w:szCs w:val="20"/>
          <w:color w:val="auto"/>
        </w:rPr>
      </w:pPr>
    </w:p>
    <w:p>
      <w:pPr>
        <w:ind w:right="400" w:firstLine="727"/>
        <w:spacing w:after="0" w:line="277" w:lineRule="auto"/>
        <w:rPr>
          <w:sz w:val="20"/>
          <w:szCs w:val="20"/>
          <w:color w:val="auto"/>
        </w:rPr>
      </w:pPr>
      <w:r>
        <w:rPr>
          <w:rFonts w:ascii="Arial" w:cs="Arial" w:eastAsia="Arial" w:hAnsi="Arial"/>
          <w:sz w:val="18"/>
          <w:szCs w:val="18"/>
          <w:color w:val="auto"/>
        </w:rPr>
        <w:t>Net revenues from our marketing solutions increased by US$29.0 million, or 18.1% from US$160.0 million in 2018 to US$189.0 million in 2019, primarily as a result of the growing market demand for our marketing solutions.</w:t>
      </w:r>
    </w:p>
    <w:p>
      <w:pPr>
        <w:spacing w:after="0" w:line="170" w:lineRule="exact"/>
        <w:rPr>
          <w:sz w:val="20"/>
          <w:szCs w:val="20"/>
          <w:color w:val="auto"/>
        </w:rPr>
      </w:pPr>
    </w:p>
    <w:p>
      <w:pPr>
        <w:ind w:right="280" w:firstLine="727"/>
        <w:spacing w:after="0" w:line="308" w:lineRule="auto"/>
        <w:rPr>
          <w:sz w:val="20"/>
          <w:szCs w:val="20"/>
          <w:color w:val="auto"/>
        </w:rPr>
      </w:pPr>
      <w:r>
        <w:rPr>
          <w:rFonts w:ascii="Arial" w:cs="Arial" w:eastAsia="Arial" w:hAnsi="Arial"/>
          <w:sz w:val="17"/>
          <w:szCs w:val="17"/>
          <w:color w:val="auto"/>
        </w:rPr>
        <w:t>Starting from 2019, we have also generated revenue from enterprise solutions, featured by the offering of cloud-hosted SaaS products and the provision of software licenses and retail and CRM solutions. Net revenues from our enterprise solutions was US$10.4 million in 2019.</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171" w:lineRule="exact"/>
        <w:rPr>
          <w:sz w:val="20"/>
          <w:szCs w:val="20"/>
          <w:color w:val="auto"/>
        </w:rPr>
      </w:pPr>
    </w:p>
    <w:p>
      <w:pPr>
        <w:jc w:val="both"/>
        <w:ind w:firstLine="727"/>
        <w:spacing w:after="0" w:line="263" w:lineRule="auto"/>
        <w:rPr>
          <w:sz w:val="20"/>
          <w:szCs w:val="20"/>
          <w:color w:val="auto"/>
        </w:rPr>
      </w:pPr>
      <w:r>
        <w:rPr>
          <w:rFonts w:ascii="Arial" w:cs="Arial" w:eastAsia="Arial" w:hAnsi="Arial"/>
          <w:sz w:val="18"/>
          <w:szCs w:val="18"/>
          <w:color w:val="auto"/>
        </w:rPr>
        <w:t>Our cost of revenues increased by US$21.8 million, or 18.0%, from US$120.9 million in 2018 to US$142.7 million in 2019, primarily as a result of an increase in media cost, which increased by US$21.4 million, or 18.4%, from US$116.2 million in 2018 to US$137.6 million in 2019 as a result of our sales growth during the year.</w:t>
      </w:r>
    </w:p>
    <w:p>
      <w:pPr>
        <w:spacing w:after="0" w:line="184" w:lineRule="exact"/>
        <w:rPr>
          <w:sz w:val="20"/>
          <w:szCs w:val="20"/>
          <w:color w:val="auto"/>
        </w:rPr>
      </w:pPr>
    </w:p>
    <w:p>
      <w:pPr>
        <w:ind w:right="240" w:firstLine="727"/>
        <w:spacing w:after="0" w:line="342" w:lineRule="auto"/>
        <w:rPr>
          <w:sz w:val="20"/>
          <w:szCs w:val="20"/>
          <w:color w:val="auto"/>
        </w:rPr>
      </w:pPr>
      <w:r>
        <w:rPr>
          <w:rFonts w:ascii="Arial" w:cs="Arial" w:eastAsia="Arial" w:hAnsi="Arial"/>
          <w:sz w:val="16"/>
          <w:szCs w:val="16"/>
          <w:color w:val="auto"/>
        </w:rPr>
        <w:t>Cost of revenues for our marketing solutions increased by US$19.1 million, or 15.8%, from US$120.9 million in 2018 to US$140.0 million in 2019, which was in line with the growth of our marketing solutions business, primarily driven by higher market demand for our marketing solutions.</w:t>
      </w:r>
    </w:p>
    <w:p>
      <w:pPr>
        <w:spacing w:after="0" w:line="12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Cost of revenue for our enterprise solutions was US$2.7 million in 2019.</w:t>
      </w:r>
    </w:p>
    <w:p>
      <w:pPr>
        <w:spacing w:after="0" w:line="225" w:lineRule="exact"/>
        <w:rPr>
          <w:sz w:val="20"/>
          <w:szCs w:val="20"/>
          <w:color w:val="auto"/>
        </w:rPr>
      </w:pPr>
    </w:p>
    <w:p>
      <w:pPr>
        <w:ind w:right="200" w:firstLine="727"/>
        <w:spacing w:after="0" w:line="263" w:lineRule="auto"/>
        <w:rPr>
          <w:sz w:val="20"/>
          <w:szCs w:val="20"/>
          <w:color w:val="auto"/>
        </w:rPr>
      </w:pPr>
      <w:r>
        <w:rPr>
          <w:rFonts w:ascii="Arial" w:cs="Arial" w:eastAsia="Arial" w:hAnsi="Arial"/>
          <w:sz w:val="18"/>
          <w:szCs w:val="18"/>
          <w:color w:val="auto"/>
        </w:rPr>
        <w:t>As a result of the above, our gross profit increased from US$39.1 million in 2018 to US$56.7 million in 2019. Specifically, gross profit for our marketing solutions increased by US$ 9.9 million, or 25.2%, from US$39.1 million in 2018 to US$49.0 million in 2019. Our gross profit for enterprise solutions was US$7.7 million in 2019.</w:t>
      </w:r>
    </w:p>
    <w:p>
      <w:pPr>
        <w:spacing w:after="0" w:line="184" w:lineRule="exact"/>
        <w:rPr>
          <w:sz w:val="20"/>
          <w:szCs w:val="20"/>
          <w:color w:val="auto"/>
        </w:rPr>
      </w:pPr>
    </w:p>
    <w:p>
      <w:pPr>
        <w:ind w:right="400" w:firstLine="727"/>
        <w:spacing w:after="0" w:line="286" w:lineRule="auto"/>
        <w:rPr>
          <w:sz w:val="20"/>
          <w:szCs w:val="20"/>
          <w:color w:val="auto"/>
        </w:rPr>
      </w:pPr>
      <w:r>
        <w:rPr>
          <w:rFonts w:ascii="Arial" w:cs="Arial" w:eastAsia="Arial" w:hAnsi="Arial"/>
          <w:sz w:val="17"/>
          <w:szCs w:val="17"/>
          <w:color w:val="auto"/>
        </w:rPr>
        <w:t>Our gross profit margin increased from 24.4% in 2018 to 28.4% in 2019 primarily due to our continued client base optimization to focus on profitability and liquidity, and contribution from the newly launched enterprise solutions with higher margin. Gross profit margin for our marketing solutions increased from 24.4% in 2018 to 25.9% in 2019. Gross profit margin for our enterprise solutions was 73.9% in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40" w:firstLine="727"/>
        <w:spacing w:after="0" w:line="286" w:lineRule="auto"/>
        <w:rPr>
          <w:sz w:val="20"/>
          <w:szCs w:val="20"/>
          <w:color w:val="auto"/>
        </w:rPr>
      </w:pPr>
      <w:r>
        <w:rPr>
          <w:rFonts w:ascii="Arial" w:cs="Arial" w:eastAsia="Arial" w:hAnsi="Arial"/>
          <w:sz w:val="17"/>
          <w:szCs w:val="17"/>
          <w:color w:val="auto"/>
        </w:rPr>
        <w:t>Our operating expenses increased by US$2.3 million, or 3.4%, in 2019 compared to 2018, primarily due to an increase in our operating expenses incurred for new business, convertible notes issuance cost and professional fees in relation to acquisitions, partially offset by the decrease in our share-based compensation. The operating expenses as a percentage of net revenues decreased from 41.6% in 2018 to 34.5% in 2019.</w:t>
      </w:r>
    </w:p>
    <w:p>
      <w:pPr>
        <w:spacing w:after="0" w:line="57" w:lineRule="exact"/>
        <w:rPr>
          <w:sz w:val="20"/>
          <w:szCs w:val="20"/>
          <w:color w:val="auto"/>
        </w:rPr>
      </w:pPr>
    </w:p>
    <w:p>
      <w:pPr>
        <w:ind w:left="1440" w:right="20" w:hanging="717"/>
        <w:spacing w:after="0" w:line="254" w:lineRule="auto"/>
        <w:tabs>
          <w:tab w:leader="none" w:pos="144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Our sales and marketing expenses increased by US$10.9 million, or 33.9%, from US$32.1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to US$43.0 million in 2019. The increase was primarily due to an increase in staff cost, and marketing and promotion expenses in relation to our new business development and our tenth anniversary. Sales and marketing expenses as a percentage of net revenues increased from 20.0% in 2018 to 21.5% in 2019.</w:t>
      </w:r>
    </w:p>
    <w:p>
      <w:pPr>
        <w:spacing w:after="0" w:line="2" w:lineRule="exact"/>
        <w:rPr>
          <w:rFonts w:ascii="Arial" w:cs="Arial" w:eastAsia="Arial" w:hAnsi="Arial"/>
          <w:sz w:val="18"/>
          <w:szCs w:val="18"/>
          <w:color w:val="auto"/>
        </w:rPr>
      </w:pPr>
    </w:p>
    <w:p>
      <w:pPr>
        <w:ind w:left="1440" w:right="60" w:hanging="717"/>
        <w:spacing w:after="0" w:line="265" w:lineRule="auto"/>
        <w:tabs>
          <w:tab w:leader="none" w:pos="144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decreased by US$3.5 million, or 14.5%, from US$23.8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2018 to US$20.3 million in 2019, primarily due to a decrease in share-based compensation expenses, partially offset by the increase in convertible notes issuance cost and professional fees in relation to acquisitions. General and administrative expenses as a percentage of net revenues decreased from 14.9% in 2018 to 10.2% in 2019.</w:t>
      </w:r>
    </w:p>
    <w:p>
      <w:pPr>
        <w:ind w:left="1440" w:right="40" w:hanging="717"/>
        <w:spacing w:after="0" w:line="253" w:lineRule="auto"/>
        <w:tabs>
          <w:tab w:leader="none" w:pos="144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decreased by US$5.2 million, or 48.1%, from US$10.7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2018 to US$5.6 million in 2019, primarily due to a decrease in share-based compensation for research and development personnel. As a result, research and development expenses as a percentage of our net revenues decreased from 6.7% in 2018 to 2.8% in 2019.</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7" w:right="3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Our interest income was US$0.4 million and US$0.5 million in 2018 and 2019,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540" w:firstLine="727"/>
        <w:spacing w:after="0" w:line="277" w:lineRule="auto"/>
        <w:rPr>
          <w:sz w:val="20"/>
          <w:szCs w:val="20"/>
          <w:color w:val="auto"/>
        </w:rPr>
      </w:pPr>
      <w:r>
        <w:rPr>
          <w:rFonts w:ascii="Arial" w:cs="Arial" w:eastAsia="Arial" w:hAnsi="Arial"/>
          <w:sz w:val="18"/>
          <w:szCs w:val="18"/>
          <w:color w:val="auto"/>
        </w:rPr>
        <w:t>Our interest expense was US$0.8 million and US$1.9 million in 2018 and 2019, respectively. The change was primarily attributable to the increase in banking facilities provided by additional banks in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 Net</w:t>
      </w:r>
    </w:p>
    <w:p>
      <w:pPr>
        <w:spacing w:after="0" w:line="117" w:lineRule="exact"/>
        <w:rPr>
          <w:sz w:val="20"/>
          <w:szCs w:val="20"/>
          <w:color w:val="auto"/>
        </w:rPr>
      </w:pPr>
    </w:p>
    <w:p>
      <w:pPr>
        <w:ind w:right="140" w:firstLine="727"/>
        <w:spacing w:after="0" w:line="277" w:lineRule="auto"/>
        <w:rPr>
          <w:sz w:val="20"/>
          <w:szCs w:val="20"/>
          <w:color w:val="auto"/>
        </w:rPr>
      </w:pPr>
      <w:r>
        <w:rPr>
          <w:rFonts w:ascii="Arial" w:cs="Arial" w:eastAsia="Arial" w:hAnsi="Arial"/>
          <w:sz w:val="18"/>
          <w:szCs w:val="18"/>
          <w:color w:val="auto"/>
        </w:rPr>
        <w:t>Our other gains, net was US$0.7 million in 2018, compared to other gains, net of US$3.0 million in 2019. The change was primarily because of subsidy granted by relevant government authorities in China during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(Losses)/Gains on Convertible Notes</w:t>
      </w:r>
    </w:p>
    <w:p>
      <w:pPr>
        <w:spacing w:after="0" w:line="117" w:lineRule="exact"/>
        <w:rPr>
          <w:sz w:val="20"/>
          <w:szCs w:val="20"/>
          <w:color w:val="auto"/>
        </w:rPr>
      </w:pPr>
    </w:p>
    <w:p>
      <w:pPr>
        <w:ind w:right="260" w:firstLine="727"/>
        <w:spacing w:after="0" w:line="277" w:lineRule="auto"/>
        <w:rPr>
          <w:sz w:val="20"/>
          <w:szCs w:val="20"/>
          <w:color w:val="auto"/>
        </w:rPr>
      </w:pPr>
      <w:r>
        <w:rPr>
          <w:rFonts w:ascii="Arial" w:cs="Arial" w:eastAsia="Arial" w:hAnsi="Arial"/>
          <w:sz w:val="18"/>
          <w:szCs w:val="18"/>
          <w:color w:val="auto"/>
        </w:rPr>
        <w:t>We recorded fair value gains on convertible notes of US$0.1 million for 2019, compared with fair value losses on convertible notes of US$4.8 million for 2018.</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540" w:firstLine="727"/>
        <w:spacing w:after="0" w:line="308" w:lineRule="auto"/>
        <w:rPr>
          <w:sz w:val="20"/>
          <w:szCs w:val="20"/>
          <w:color w:val="auto"/>
        </w:rPr>
      </w:pPr>
      <w:r>
        <w:rPr>
          <w:rFonts w:ascii="Arial" w:cs="Arial" w:eastAsia="Arial" w:hAnsi="Arial"/>
          <w:sz w:val="17"/>
          <w:szCs w:val="17"/>
          <w:color w:val="auto"/>
        </w:rPr>
        <w:t>We recorded an income tax expenses of US$0.7 million and US$47 thousands in 2018 and 2019, respectively. The decrease was primarily because of changes in profit or loss of our subsidiaries with different tax rates and reduction of non-deductible expenses.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As a result of the foregoing, our net loss decreased by 67% from US$32.6 million in 2018 to US$10.8 million in 2019.</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firstLine="727"/>
        <w:spacing w:after="0" w:line="277" w:lineRule="auto"/>
        <w:rPr>
          <w:sz w:val="20"/>
          <w:szCs w:val="20"/>
          <w:color w:val="auto"/>
        </w:rPr>
      </w:pPr>
      <w:r>
        <w:rPr>
          <w:rFonts w:ascii="Arial" w:cs="Arial" w:eastAsia="Arial" w:hAnsi="Arial"/>
          <w:sz w:val="18"/>
          <w:szCs w:val="18"/>
          <w:color w:val="auto"/>
        </w:rPr>
        <w:t>For detailed discussion on recent accounting pronouncements, see Note 2(an) to our consolidated financial statements included elsewhere in this annual report.</w:t>
      </w:r>
    </w:p>
    <w:p>
      <w:pPr>
        <w:spacing w:after="0" w:line="278" w:lineRule="exact"/>
        <w:rPr>
          <w:sz w:val="20"/>
          <w:szCs w:val="20"/>
          <w:color w:val="auto"/>
        </w:rPr>
      </w:pPr>
    </w:p>
    <w:p>
      <w:pPr>
        <w:ind w:left="300" w:hanging="292"/>
        <w:spacing w:after="0"/>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117" w:lineRule="exact"/>
        <w:rPr>
          <w:sz w:val="20"/>
          <w:szCs w:val="20"/>
          <w:color w:val="auto"/>
        </w:rPr>
      </w:pPr>
    </w:p>
    <w:p>
      <w:pPr>
        <w:ind w:firstLine="727"/>
        <w:spacing w:after="0" w:line="270" w:lineRule="auto"/>
        <w:rPr>
          <w:sz w:val="20"/>
          <w:szCs w:val="20"/>
          <w:color w:val="auto"/>
        </w:rPr>
      </w:pPr>
      <w:r>
        <w:rPr>
          <w:rFonts w:ascii="Arial" w:cs="Arial" w:eastAsia="Arial" w:hAnsi="Arial"/>
          <w:sz w:val="17"/>
          <w:szCs w:val="17"/>
          <w:color w:val="auto"/>
        </w:rPr>
        <w:t>Our principal sources of liquidity have been cash generated from our operating activities, proceeds from our equity and debt issuances and proceeds from bank borrowings. As of December 31, 2020, we had US$52.2 million in cash and cash equivalents, time deposits of US$89 thousand, restricted cash of US$42.1 million, and borrowing capacity of US$56.0 million under our revolving credit facilities of a total principal amount of US$121.7 million. As of December 31, 2020, our cash and cash equivalents primarily consisted of cash on hand, cash held at bank, and time deposits placed with banks or other financial institutions, which have original maturities of three months or less. We believe that our current cash and cash equivalents, short-term investments, together with the borrowing capacity under our revolving credit facilities and the term loan facility will be sufficient to meet our anticipated working capital requirements and capital expenditures for the next 12 months. We may, however, need additional capital in the future to fund our continued operations. If we determine that our cash requirements exceed our available financial resources, we may seek to issue equity or debt securities or obtain credit facilities.</w:t>
      </w:r>
    </w:p>
    <w:p>
      <w:pPr>
        <w:spacing w:after="0" w:line="181" w:lineRule="exact"/>
        <w:rPr>
          <w:sz w:val="20"/>
          <w:szCs w:val="20"/>
          <w:color w:val="auto"/>
        </w:rPr>
      </w:pPr>
    </w:p>
    <w:p>
      <w:pPr>
        <w:ind w:firstLine="727"/>
        <w:spacing w:after="0" w:line="263" w:lineRule="auto"/>
        <w:rPr>
          <w:sz w:val="20"/>
          <w:szCs w:val="20"/>
          <w:color w:val="auto"/>
        </w:rPr>
      </w:pPr>
      <w:r>
        <w:rPr>
          <w:rFonts w:ascii="Arial" w:cs="Arial" w:eastAsia="Arial" w:hAnsi="Arial"/>
          <w:sz w:val="18"/>
          <w:szCs w:val="18"/>
          <w:color w:val="auto"/>
        </w:rPr>
        <w:t>The issuance and sale of additional equity would result in further dilution to our shareholders. The incurrence of indebtedness would result in increased fixed obligations and could result in operating and financial covenants that might restrict our operations. We cannot assure you that financing will be available in amounts or on terms acceptable to us, if at all.</w:t>
      </w:r>
    </w:p>
    <w:p>
      <w:pPr>
        <w:spacing w:after="0" w:line="184" w:lineRule="exact"/>
        <w:rPr>
          <w:sz w:val="20"/>
          <w:szCs w:val="20"/>
          <w:color w:val="auto"/>
        </w:rPr>
      </w:pPr>
    </w:p>
    <w:p>
      <w:pPr>
        <w:ind w:right="100" w:firstLine="727"/>
        <w:spacing w:after="0" w:line="257" w:lineRule="auto"/>
        <w:rPr>
          <w:sz w:val="20"/>
          <w:szCs w:val="20"/>
          <w:color w:val="auto"/>
        </w:rPr>
      </w:pPr>
      <w:r>
        <w:rPr>
          <w:rFonts w:ascii="Arial" w:cs="Arial" w:eastAsia="Arial" w:hAnsi="Arial"/>
          <w:sz w:val="18"/>
          <w:szCs w:val="18"/>
          <w:color w:val="auto"/>
        </w:rPr>
        <w:t>In addition, although we consolidate the results of our consolidated VIE and its subsidiary, we only have access to the assets or earnings of our consolidated VIE and its subsidiary through our contractual arrangements with our consolidated VIE and its shareholders. See “Item 4. Information on the Company—C. Organizational Structure—Contractual Arrangements with OptAim Network.” For restrictions and limitations on liquidity and capital resources as a result of our corporate structure, see “—Holding Company Structure.” A substantial amount of our future revenues are likely to be denominated in Renminbi. Under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89" w:name="page90"/>
    <w:bookmarkEnd w:id="89"/>
    <w:p>
      <w:pPr>
        <w:ind w:right="80"/>
        <w:spacing w:after="0" w:line="287" w:lineRule="auto"/>
        <w:rPr>
          <w:sz w:val="20"/>
          <w:szCs w:val="20"/>
          <w:color w:val="auto"/>
        </w:rPr>
      </w:pPr>
      <w:r>
        <w:rPr>
          <w:rFonts w:ascii="Arial" w:cs="Arial" w:eastAsia="Arial" w:hAnsi="Arial"/>
          <w:sz w:val="16"/>
          <w:szCs w:val="16"/>
          <w:color w:val="auto"/>
        </w:rPr>
        <w:t>existing PRC foreign exchange regulations, payments of current account items, including profit distributions, interest payments and trade and service-related foreign exchange transactions, can be made in foreign currencies without prior approval from SAFE as long as certain routine procedural requirements are fulfilled. However, approval from or registration with competent government authorities is required where Renminbi is to be converted into foreign currency and remitted out of China to pay capital expenses such as the repayment of loans denominated in foreign currencies. The PRC government may at its discretion restrict access to foreign currencies for current account transactions or change the foreign exchange control policy in the future. In addition, current PRC regulations permit our PRC subsidiary to pay dividends to us only out of its accumulated profits, if any, determined in accordance with Chinese accounting standards and regulations. Our PRC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SAFE and its local branches. See “Item 3. Key Information—D. Risk Factors—Risks Relating to Doing Business in China—Governmental control of currency conversion may limit our ability to utilize our revenues effectively and affect the value of your investment.”</w:t>
      </w:r>
    </w:p>
    <w:p>
      <w:pPr>
        <w:spacing w:after="0" w:line="17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4"/>
              </w:rPr>
              <w:t>Year Ended December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3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3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56"/>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74"/>
              <w:spacing w:after="0" w:line="155" w:lineRule="exact"/>
              <w:rPr>
                <w:sz w:val="20"/>
                <w:szCs w:val="20"/>
                <w:color w:val="auto"/>
              </w:rPr>
            </w:pPr>
            <w:r>
              <w:rPr>
                <w:rFonts w:ascii="Arial" w:cs="Arial" w:eastAsia="Arial" w:hAnsi="Arial"/>
                <w:sz w:val="14"/>
                <w:szCs w:val="14"/>
                <w:b w:val="1"/>
                <w:bCs w:val="1"/>
                <w:color w:val="auto"/>
                <w:w w:val="90"/>
              </w:rPr>
              <w:t>(US$ in thousands)</w:t>
            </w: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6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560" w:type="dxa"/>
            <w:vAlign w:val="bottom"/>
            <w:gridSpan w:val="2"/>
          </w:tcPr>
          <w:p>
            <w:pPr>
              <w:jc w:val="right"/>
              <w:ind w:right="108"/>
              <w:spacing w:after="0"/>
              <w:rPr>
                <w:sz w:val="20"/>
                <w:szCs w:val="20"/>
                <w:color w:val="auto"/>
              </w:rPr>
            </w:pPr>
            <w:r>
              <w:rPr>
                <w:rFonts w:ascii="Arial" w:cs="Arial" w:eastAsia="Arial" w:hAnsi="Arial"/>
                <w:sz w:val="18"/>
                <w:szCs w:val="18"/>
                <w:color w:val="auto"/>
              </w:rPr>
              <w:t>(15,416)</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(30,294)</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(19,633)</w:t>
            </w:r>
          </w:p>
        </w:tc>
      </w:tr>
      <w:tr>
        <w:trPr>
          <w:trHeight w:val="230"/>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provided by/(used in) investing activities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8,395</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6,762</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(27,693)</w:t>
            </w:r>
          </w:p>
        </w:tc>
      </w:tr>
      <w:tr>
        <w:trPr>
          <w:trHeight w:val="229"/>
        </w:trPr>
        <w:tc>
          <w:tcPr>
            <w:tcW w:w="66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320" w:type="dxa"/>
            <w:vAlign w:val="bottom"/>
          </w:tcPr>
          <w:p>
            <w:pPr>
              <w:jc w:val="right"/>
              <w:spacing w:after="0"/>
              <w:rPr>
                <w:sz w:val="20"/>
                <w:szCs w:val="20"/>
                <w:color w:val="auto"/>
              </w:rPr>
            </w:pPr>
            <w:r>
              <w:rPr>
                <w:rFonts w:ascii="Arial" w:cs="Arial" w:eastAsia="Arial" w:hAnsi="Arial"/>
                <w:sz w:val="18"/>
                <w:szCs w:val="18"/>
                <w:color w:val="auto"/>
              </w:rPr>
              <w:t>27,775</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44,804</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79,983</w:t>
            </w:r>
          </w:p>
        </w:tc>
        <w:tc>
          <w:tcPr>
            <w:tcW w:w="100" w:type="dxa"/>
            <w:vAlign w:val="bottom"/>
          </w:tcPr>
          <w:p>
            <w:pPr>
              <w:spacing w:after="0"/>
              <w:rPr>
                <w:sz w:val="19"/>
                <w:szCs w:val="19"/>
                <w:color w:val="auto"/>
              </w:rPr>
            </w:pPr>
          </w:p>
        </w:tc>
      </w:tr>
      <w:tr>
        <w:trPr>
          <w:trHeight w:val="215"/>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and restricted cash</w:t>
            </w:r>
          </w:p>
        </w:tc>
        <w:tc>
          <w:tcPr>
            <w:tcW w:w="15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(327)</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(394)</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FF0FC"/>
          </w:tcPr>
          <w:p>
            <w:pPr>
              <w:spacing w:after="0"/>
              <w:rPr>
                <w:sz w:val="20"/>
                <w:szCs w:val="20"/>
                <w:color w:val="auto"/>
              </w:rPr>
            </w:pPr>
          </w:p>
        </w:tc>
      </w:tr>
      <w:tr>
        <w:trPr>
          <w:trHeight w:val="229"/>
        </w:trPr>
        <w:tc>
          <w:tcPr>
            <w:tcW w:w="66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 and restricted cash</w:t>
            </w:r>
          </w:p>
        </w:tc>
        <w:tc>
          <w:tcPr>
            <w:tcW w:w="1320" w:type="dxa"/>
            <w:vAlign w:val="bottom"/>
          </w:tcPr>
          <w:p>
            <w:pPr>
              <w:jc w:val="right"/>
              <w:spacing w:after="0"/>
              <w:rPr>
                <w:sz w:val="20"/>
                <w:szCs w:val="20"/>
                <w:color w:val="auto"/>
              </w:rPr>
            </w:pPr>
            <w:r>
              <w:rPr>
                <w:rFonts w:ascii="Arial" w:cs="Arial" w:eastAsia="Arial" w:hAnsi="Arial"/>
                <w:sz w:val="18"/>
                <w:szCs w:val="18"/>
                <w:color w:val="auto"/>
              </w:rPr>
              <w:t>20,754</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21,272</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32,657</w:t>
            </w:r>
          </w:p>
        </w:tc>
        <w:tc>
          <w:tcPr>
            <w:tcW w:w="100" w:type="dxa"/>
            <w:vAlign w:val="bottom"/>
          </w:tcPr>
          <w:p>
            <w:pPr>
              <w:spacing w:after="0"/>
              <w:rPr>
                <w:sz w:val="19"/>
                <w:szCs w:val="19"/>
                <w:color w:val="auto"/>
              </w:rPr>
            </w:pPr>
          </w:p>
        </w:tc>
      </w:tr>
      <w:tr>
        <w:trPr>
          <w:trHeight w:val="229"/>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at the beginning of year</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19,401</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39,828</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60,706</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Cash and cash equivalents and restricted cash at the end of year</w:t>
            </w:r>
          </w:p>
        </w:tc>
        <w:tc>
          <w:tcPr>
            <w:tcW w:w="1320" w:type="dxa"/>
            <w:vAlign w:val="bottom"/>
          </w:tcPr>
          <w:p>
            <w:pPr>
              <w:jc w:val="right"/>
              <w:spacing w:after="0"/>
              <w:rPr>
                <w:sz w:val="20"/>
                <w:szCs w:val="20"/>
                <w:color w:val="auto"/>
              </w:rPr>
            </w:pPr>
            <w:r>
              <w:rPr>
                <w:rFonts w:ascii="Arial" w:cs="Arial" w:eastAsia="Arial" w:hAnsi="Arial"/>
                <w:sz w:val="18"/>
                <w:szCs w:val="18"/>
                <w:color w:val="auto"/>
              </w:rPr>
              <w:t>39,828</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60,706</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94,377</w:t>
            </w:r>
          </w:p>
        </w:tc>
        <w:tc>
          <w:tcPr>
            <w:tcW w:w="100" w:type="dxa"/>
            <w:vAlign w:val="bottom"/>
          </w:tcPr>
          <w:p>
            <w:pPr>
              <w:spacing w:after="0"/>
              <w:rPr>
                <w:sz w:val="20"/>
                <w:szCs w:val="20"/>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right="60" w:firstLine="727"/>
        <w:spacing w:after="0" w:line="255" w:lineRule="auto"/>
        <w:rPr>
          <w:sz w:val="20"/>
          <w:szCs w:val="20"/>
          <w:color w:val="auto"/>
        </w:rPr>
      </w:pPr>
      <w:r>
        <w:rPr>
          <w:rFonts w:ascii="Arial" w:cs="Arial" w:eastAsia="Arial" w:hAnsi="Arial"/>
          <w:sz w:val="18"/>
          <w:szCs w:val="18"/>
          <w:color w:val="auto"/>
        </w:rPr>
        <w:t>Net cash used in operating activities amounted to US$19.6 million in 2020, which was mainly attributable to a net loss of US$14.9 million and a net decrease in working capital of US$34.9 million, partially offset by non-cash items of US$30.2 million. The net decrease in working capital of US$34.9 million was primarily attributable to decrease in accounts payable of US$23.3 million, and increase in prepaid media cost and rebate receivables of US$8.4 million and US$5.0 million, respectively. The non-cash items of US$30.2 million were primarily attributable to fair value loss on derivative liabilities and convertible notes of US$11.5 million and US$4.4 million, respectively, share based compensation of US$6.2 million, and amortization of intangible assets and right-of-use assets of US$6.1 million.</w:t>
      </w:r>
    </w:p>
    <w:p>
      <w:pPr>
        <w:spacing w:after="0" w:line="192" w:lineRule="exact"/>
        <w:rPr>
          <w:sz w:val="20"/>
          <w:szCs w:val="20"/>
          <w:color w:val="auto"/>
        </w:rPr>
      </w:pPr>
    </w:p>
    <w:p>
      <w:pPr>
        <w:ind w:right="60" w:firstLine="727"/>
        <w:spacing w:after="0" w:line="255" w:lineRule="auto"/>
        <w:rPr>
          <w:sz w:val="20"/>
          <w:szCs w:val="20"/>
          <w:color w:val="auto"/>
        </w:rPr>
      </w:pPr>
      <w:r>
        <w:rPr>
          <w:rFonts w:ascii="Arial" w:cs="Arial" w:eastAsia="Arial" w:hAnsi="Arial"/>
          <w:sz w:val="18"/>
          <w:szCs w:val="18"/>
          <w:color w:val="auto"/>
        </w:rPr>
        <w:t>Net cash used in operating activities amounted to US$30.3 million in 2019, which was mainly attributable to a net loss of US$10.8 million and a net decrease in working capital of US$33.9 million, partially offset by non-cash items of US$14.4 million. The net decrease in working capital of US$33.9 million was primarily attributable to increase in accounts receivable and prepaid media cost of US$85.4 million and US$6.7 million, respectively, partially offset by increase in accounts payable of US$61.3 million. The non-cash items of US$14.4 million were primarily attributable to amortization of intangible assets and right-of-use assets of US$6.3 million, convertible notes transaction expenses in form of non-employee warrant award, and share-based compensation of US$2.1 million.</w:t>
      </w:r>
    </w:p>
    <w:p>
      <w:pPr>
        <w:spacing w:after="0" w:line="192" w:lineRule="exact"/>
        <w:rPr>
          <w:sz w:val="20"/>
          <w:szCs w:val="20"/>
          <w:color w:val="auto"/>
        </w:rPr>
      </w:pPr>
    </w:p>
    <w:p>
      <w:pPr>
        <w:ind w:right="40" w:firstLine="727"/>
        <w:spacing w:after="0" w:line="272" w:lineRule="auto"/>
        <w:rPr>
          <w:sz w:val="20"/>
          <w:szCs w:val="20"/>
          <w:color w:val="auto"/>
        </w:rPr>
      </w:pPr>
      <w:r>
        <w:rPr>
          <w:rFonts w:ascii="Arial" w:cs="Arial" w:eastAsia="Arial" w:hAnsi="Arial"/>
          <w:sz w:val="17"/>
          <w:szCs w:val="17"/>
          <w:color w:val="auto"/>
        </w:rPr>
        <w:t>Net cash used in operating activities amounted to US$15.4 million in 2018, which was mainly attributable to a net loss of US$32.6 million and a net decrease in working capital of US$13.7 million, partially offset by non-cash items of US$30.9 million. The net decrease in working capital of US$13.7 million was primarily attributable to decrease in deferred revenue and accrued liabilities and other current liabilities of US$5.9 million and US$5.3 million, respectively, and increase in accounts receivable and rebate receivables of US$25.5 million and US$2.7 million, respectively, partially offset by decrease in prepaid media cost of US$18.5 million as a result of the change of payment terms with our media vendors and decrease in prepayment and other assets of US$4.4 million. The non-cash items of US$30.9 million were primarily attributable to share-based compensation of US$19.7 million, fair value losses on convertible notes of US$4.8 million, and amortization of intangible assets of US$4.2 million.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firstLine="727"/>
        <w:spacing w:after="0" w:line="277" w:lineRule="auto"/>
        <w:rPr>
          <w:sz w:val="20"/>
          <w:szCs w:val="20"/>
          <w:color w:val="auto"/>
        </w:rPr>
      </w:pPr>
      <w:r>
        <w:rPr>
          <w:rFonts w:ascii="Arial" w:cs="Arial" w:eastAsia="Arial" w:hAnsi="Arial"/>
          <w:sz w:val="18"/>
          <w:szCs w:val="18"/>
          <w:color w:val="auto"/>
        </w:rPr>
        <w:t>Net cash used in investing activities in 2020 was US$27.7 million, due to an increase in short-term investments of US$22.3 million, prepaid long-term investment costs and other long-term investments of US$1.9 million and US$7.1 million, respectively.</w:t>
      </w:r>
    </w:p>
    <w:p>
      <w:pPr>
        <w:spacing w:after="0" w:line="170" w:lineRule="exact"/>
        <w:rPr>
          <w:sz w:val="20"/>
          <w:szCs w:val="20"/>
          <w:color w:val="auto"/>
        </w:rPr>
      </w:pPr>
    </w:p>
    <w:p>
      <w:pPr>
        <w:jc w:val="both"/>
        <w:ind w:right="100" w:firstLine="727"/>
        <w:spacing w:after="0" w:line="263" w:lineRule="auto"/>
        <w:rPr>
          <w:sz w:val="20"/>
          <w:szCs w:val="20"/>
          <w:color w:val="auto"/>
        </w:rPr>
      </w:pPr>
      <w:r>
        <w:rPr>
          <w:rFonts w:ascii="Arial" w:cs="Arial" w:eastAsia="Arial" w:hAnsi="Arial"/>
          <w:sz w:val="18"/>
          <w:szCs w:val="18"/>
          <w:color w:val="auto"/>
        </w:rPr>
        <w:t>Net cash provided by investing activities in 2019 was US$6.8 million, due to a decrease in short-term investments of US$17.6 million, related to investment deposit product, partially offset by net of cash paid for acquisition of business of US$7.2 million, prepaid long-term investment costs and other long-term investments of US$1.0 million each.</w:t>
      </w:r>
    </w:p>
    <w:p>
      <w:pPr>
        <w:spacing w:after="0" w:line="184" w:lineRule="exact"/>
        <w:rPr>
          <w:sz w:val="20"/>
          <w:szCs w:val="20"/>
          <w:color w:val="auto"/>
        </w:rPr>
      </w:pPr>
    </w:p>
    <w:p>
      <w:pPr>
        <w:ind w:right="40" w:firstLine="727"/>
        <w:spacing w:after="0" w:line="277" w:lineRule="auto"/>
        <w:rPr>
          <w:sz w:val="20"/>
          <w:szCs w:val="20"/>
          <w:color w:val="auto"/>
        </w:rPr>
      </w:pPr>
      <w:r>
        <w:rPr>
          <w:rFonts w:ascii="Arial" w:cs="Arial" w:eastAsia="Arial" w:hAnsi="Arial"/>
          <w:sz w:val="18"/>
          <w:szCs w:val="18"/>
          <w:color w:val="auto"/>
        </w:rPr>
        <w:t>Net cash provided by investing activities in 2018 was US$8.4 million, due to the maturity of time deposits of US$25.0 million, partially offset by increase in short-term investments of US$17.4 million, related to investment deposit product.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380" w:firstLine="727"/>
        <w:spacing w:after="0" w:line="277" w:lineRule="auto"/>
        <w:rPr>
          <w:sz w:val="20"/>
          <w:szCs w:val="20"/>
          <w:color w:val="auto"/>
        </w:rPr>
      </w:pPr>
      <w:r>
        <w:rPr>
          <w:rFonts w:ascii="Arial" w:cs="Arial" w:eastAsia="Arial" w:hAnsi="Arial"/>
          <w:sz w:val="18"/>
          <w:szCs w:val="18"/>
          <w:color w:val="auto"/>
        </w:rPr>
        <w:t>Net cash provided by financing activities in 2020 was US$80.0 million, which was primarily attributable to net proceeds from follow-on and private placement of US$53.4 million and US$18.5 million respectively.</w:t>
      </w:r>
    </w:p>
    <w:p>
      <w:pPr>
        <w:spacing w:after="0" w:line="170" w:lineRule="exact"/>
        <w:rPr>
          <w:sz w:val="20"/>
          <w:szCs w:val="20"/>
          <w:color w:val="auto"/>
        </w:rPr>
      </w:pPr>
    </w:p>
    <w:p>
      <w:pPr>
        <w:ind w:right="160" w:firstLine="727"/>
        <w:spacing w:after="0" w:line="277" w:lineRule="auto"/>
        <w:rPr>
          <w:sz w:val="20"/>
          <w:szCs w:val="20"/>
          <w:color w:val="auto"/>
        </w:rPr>
      </w:pPr>
      <w:r>
        <w:rPr>
          <w:rFonts w:ascii="Arial" w:cs="Arial" w:eastAsia="Arial" w:hAnsi="Arial"/>
          <w:sz w:val="18"/>
          <w:szCs w:val="18"/>
          <w:color w:val="auto"/>
        </w:rPr>
        <w:t>Net cash provided by financing activities in 2019 was US$44.8 million, which was primarily attributable to net proceeds from convertible notes of US$28.7 million and proceeds from bank borrowings, net of US$28.5 million.</w:t>
      </w:r>
    </w:p>
    <w:p>
      <w:pPr>
        <w:spacing w:after="0" w:line="170" w:lineRule="exact"/>
        <w:rPr>
          <w:sz w:val="20"/>
          <w:szCs w:val="20"/>
          <w:color w:val="auto"/>
        </w:rPr>
      </w:pPr>
    </w:p>
    <w:p>
      <w:pPr>
        <w:ind w:right="580" w:firstLine="727"/>
        <w:spacing w:after="0" w:line="277" w:lineRule="auto"/>
        <w:rPr>
          <w:sz w:val="20"/>
          <w:szCs w:val="20"/>
          <w:color w:val="auto"/>
        </w:rPr>
      </w:pPr>
      <w:r>
        <w:rPr>
          <w:rFonts w:ascii="Arial" w:cs="Arial" w:eastAsia="Arial" w:hAnsi="Arial"/>
          <w:sz w:val="18"/>
          <w:szCs w:val="18"/>
          <w:color w:val="auto"/>
        </w:rPr>
        <w:t>Net cash provided by financing activities in 2018 was US$27.8 million, which was primarily attributable to net proceeds from issuance of convertible notes of US$27.8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ind w:right="80" w:firstLine="727"/>
        <w:spacing w:after="0" w:line="259" w:lineRule="auto"/>
        <w:rPr>
          <w:sz w:val="20"/>
          <w:szCs w:val="20"/>
          <w:color w:val="auto"/>
        </w:rPr>
      </w:pPr>
      <w:r>
        <w:rPr>
          <w:rFonts w:ascii="Arial" w:cs="Arial" w:eastAsia="Arial" w:hAnsi="Arial"/>
          <w:sz w:val="18"/>
          <w:szCs w:val="18"/>
          <w:color w:val="auto"/>
        </w:rPr>
        <w:t>In January and February 2019, we entered into two facility agreements for working capital loans with a commercial bank, which provide for a 6-month revolving loan of an aggregate amount of US$15.0 million. We provide corporate guarantee and deposits as pledge to secure our obligations under this revolving loan. The interest rate of this loan facility was fixed at 5.25% per annum in 2019 and reduced to 4.00% in August 2020. As of December 31, 2020, the total outstanding amount of the revolving loan was US$15.3 million.</w:t>
      </w:r>
    </w:p>
    <w:p>
      <w:pPr>
        <w:spacing w:after="0" w:line="187" w:lineRule="exact"/>
        <w:rPr>
          <w:sz w:val="20"/>
          <w:szCs w:val="20"/>
          <w:color w:val="auto"/>
        </w:rPr>
      </w:pPr>
    </w:p>
    <w:p>
      <w:pPr>
        <w:ind w:firstLine="727"/>
        <w:spacing w:after="0" w:line="275" w:lineRule="auto"/>
        <w:rPr>
          <w:sz w:val="20"/>
          <w:szCs w:val="20"/>
          <w:color w:val="auto"/>
        </w:rPr>
      </w:pPr>
      <w:r>
        <w:rPr>
          <w:rFonts w:ascii="Arial" w:cs="Arial" w:eastAsia="Arial" w:hAnsi="Arial"/>
          <w:sz w:val="17"/>
          <w:szCs w:val="17"/>
          <w:color w:val="auto"/>
        </w:rPr>
        <w:t>In March 2019, we entered into a facility agreement with a commercial bank, which provides for a one-year factoring loans of HK$24.0 million (US$3.1 million). We provide corporate guarantee and accounts receivable as pledge to secure our obligations under this revolving loan. The interest rate of this loan facility was at 4.25% per annum over 1-month Hong Kong Interbank Offered Rate (“HIBOR”) for loan in HKD, 2.00% per annum over 1-month HIBOR for loan in RMB, 4.25% per annum over 1-month London Interbank Offered Rate (“LIBOR”) for loan in US$. As of December 31, 2020, the total outstanding amount of the revolving loan was HK$92.2 thousand (US$11.9 thousand).</w:t>
      </w:r>
    </w:p>
    <w:p>
      <w:pPr>
        <w:spacing w:after="0" w:line="176" w:lineRule="exact"/>
        <w:rPr>
          <w:sz w:val="20"/>
          <w:szCs w:val="20"/>
          <w:color w:val="auto"/>
        </w:rPr>
      </w:pPr>
    </w:p>
    <w:p>
      <w:pPr>
        <w:ind w:right="80" w:firstLine="727"/>
        <w:spacing w:after="0" w:line="255" w:lineRule="auto"/>
        <w:rPr>
          <w:sz w:val="20"/>
          <w:szCs w:val="20"/>
          <w:color w:val="auto"/>
        </w:rPr>
      </w:pPr>
      <w:r>
        <w:rPr>
          <w:rFonts w:ascii="Arial" w:cs="Arial" w:eastAsia="Arial" w:hAnsi="Arial"/>
          <w:sz w:val="18"/>
          <w:szCs w:val="18"/>
          <w:color w:val="auto"/>
        </w:rPr>
        <w:t>In April 2019, we entered into a facility agreement for working capital loans with a commercial bank. The loan facility provides for a one-year revolving loan of US$13.6 million, which is supported by standby documentary credit facilities of US$15.0 million. In September 2019, this loan was subsequently amended. The amended agreement provides for a one-year revolving loan of US$30.0 million. We provide corporate guarantee, deposits and accounts receivable as pledge to secure our obligations under this revolving loan. The interest rate of this loan facility is either (i) 5.22% in RMB, or (ii) 1-month LIBOR plus 3.00% per annum if the loan is drawn down in US$. As of December 31, 2020, the total outstanding amount of the revolving loan was RMB25.7 million (US$3.9 million).</w:t>
      </w:r>
    </w:p>
    <w:p>
      <w:pPr>
        <w:spacing w:after="0" w:line="192" w:lineRule="exact"/>
        <w:rPr>
          <w:sz w:val="20"/>
          <w:szCs w:val="20"/>
          <w:color w:val="auto"/>
        </w:rPr>
      </w:pPr>
    </w:p>
    <w:p>
      <w:pPr>
        <w:ind w:right="180" w:firstLine="727"/>
        <w:spacing w:after="0" w:line="311" w:lineRule="auto"/>
        <w:rPr>
          <w:sz w:val="20"/>
          <w:szCs w:val="20"/>
          <w:color w:val="auto"/>
        </w:rPr>
      </w:pPr>
      <w:r>
        <w:rPr>
          <w:rFonts w:ascii="Arial" w:cs="Arial" w:eastAsia="Arial" w:hAnsi="Arial"/>
          <w:sz w:val="16"/>
          <w:szCs w:val="16"/>
          <w:color w:val="auto"/>
        </w:rPr>
        <w:t>In May 2019, we entered into a facility agreement for working capital loans with a commercial bank, which provides for a one-year revolving loan of US$18.0 million. We provide corporate guarantee and deposits to secure our obligations under this revolving loan. The interest rate of this loan facility is 1.00% per annum over deposit rate on the pledged deposit. As of December 31, 2020, we had no outstanding balance under this revolving loan.</w:t>
      </w:r>
    </w:p>
    <w:p>
      <w:pPr>
        <w:spacing w:after="0" w:line="149" w:lineRule="exact"/>
        <w:rPr>
          <w:sz w:val="20"/>
          <w:szCs w:val="20"/>
          <w:color w:val="auto"/>
        </w:rPr>
      </w:pPr>
    </w:p>
    <w:p>
      <w:pPr>
        <w:ind w:right="100" w:firstLine="727"/>
        <w:spacing w:after="0" w:line="257" w:lineRule="auto"/>
        <w:rPr>
          <w:sz w:val="20"/>
          <w:szCs w:val="20"/>
          <w:color w:val="auto"/>
        </w:rPr>
      </w:pPr>
      <w:r>
        <w:rPr>
          <w:rFonts w:ascii="Arial" w:cs="Arial" w:eastAsia="Arial" w:hAnsi="Arial"/>
          <w:sz w:val="18"/>
          <w:szCs w:val="18"/>
          <w:color w:val="auto"/>
        </w:rPr>
        <w:t>In August 2019, we entered into two facility agreements for working capital loans with a commercial bank, which provide for (i) a one-year revolving loan of RMB18.5 million (US$2.6 million) and (ii) a one-year revolving loan of US$1.6 million, respectively. We provide corporate guarantee and deposits as pledge to secure our obligations under this revolving loan. The interest rate of this loan facility was the benchmark interest rate determined by the People’s Bank of China for loans over one year granted by financial institutions plus 0.97% per annum. This loan was subsequently renewed in September 2019 and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91" w:name="page92"/>
    <w:bookmarkEnd w:id="91"/>
    <w:p>
      <w:pPr>
        <w:ind w:right="40"/>
        <w:spacing w:after="0" w:line="263" w:lineRule="auto"/>
        <w:rPr>
          <w:sz w:val="20"/>
          <w:szCs w:val="20"/>
          <w:color w:val="auto"/>
        </w:rPr>
      </w:pPr>
      <w:r>
        <w:rPr>
          <w:rFonts w:ascii="Arial" w:cs="Arial" w:eastAsia="Arial" w:hAnsi="Arial"/>
          <w:sz w:val="18"/>
          <w:szCs w:val="18"/>
          <w:color w:val="auto"/>
        </w:rPr>
        <w:t>August 2020. The interest rate of these facilities is 3.60% per annum, and the one-year revolving loan of US$1.6 million was replaced by a one-year revolving loan of RMB11.5 million (US$1.8 million). As of December 31, 2020, the total outstanding amount of the revolving loans was RMB30.0 million (US$4.6 million).</w:t>
      </w:r>
    </w:p>
    <w:p>
      <w:pPr>
        <w:spacing w:after="0" w:line="184" w:lineRule="exact"/>
        <w:rPr>
          <w:sz w:val="20"/>
          <w:szCs w:val="20"/>
          <w:color w:val="auto"/>
        </w:rPr>
      </w:pPr>
    </w:p>
    <w:p>
      <w:pPr>
        <w:ind w:firstLine="727"/>
        <w:spacing w:after="0" w:line="272" w:lineRule="auto"/>
        <w:rPr>
          <w:sz w:val="20"/>
          <w:szCs w:val="20"/>
          <w:color w:val="auto"/>
        </w:rPr>
      </w:pPr>
      <w:r>
        <w:rPr>
          <w:rFonts w:ascii="Arial" w:cs="Arial" w:eastAsia="Arial" w:hAnsi="Arial"/>
          <w:sz w:val="17"/>
          <w:szCs w:val="17"/>
          <w:color w:val="auto"/>
        </w:rPr>
        <w:t>In October 2019, we entered into a one-year facility agreement for working capital loans with a commercial bank, which provides for (i) US$15.0 million standby documentary credit facilities, (ii) US$10.0 million combined limit for pre-shipment buyer loan and revolving loan, and (iii) US$1.0 million overdraft facilities. We provide corporate guarantee and bank deposits as pledge to secure our obligations under these loan facilities. For the pre-shipment buyer loan, the interest rate is at either (i) HIBOR plus 3.85% per annum if the loan is drawn down in HK$, or (ii) LIBOR plus 3.85% per annum if the loan is drawn down in US$. For the revolving loan, the interest rate is at either (i) HIBOR plus 4.25% per annum if the loan is drawn down in HK$, or (ii) LIBOR plus 4.25% per annum if the loan is drawn down in US$. For the overdraft facility, the interest rate is at the bank’s US$ best lending rate.The total outstanding amount of these loan facilities was US$5.0 million as of December 31, 2020.</w:t>
      </w:r>
    </w:p>
    <w:p>
      <w:pPr>
        <w:spacing w:after="0" w:line="177" w:lineRule="exact"/>
        <w:rPr>
          <w:sz w:val="20"/>
          <w:szCs w:val="20"/>
          <w:color w:val="auto"/>
        </w:rPr>
      </w:pPr>
    </w:p>
    <w:p>
      <w:pPr>
        <w:ind w:right="280" w:firstLine="727"/>
        <w:spacing w:after="0" w:line="259" w:lineRule="auto"/>
        <w:rPr>
          <w:sz w:val="20"/>
          <w:szCs w:val="20"/>
          <w:color w:val="auto"/>
        </w:rPr>
      </w:pPr>
      <w:r>
        <w:rPr>
          <w:rFonts w:ascii="Arial" w:cs="Arial" w:eastAsia="Arial" w:hAnsi="Arial"/>
          <w:sz w:val="18"/>
          <w:szCs w:val="18"/>
          <w:color w:val="auto"/>
        </w:rPr>
        <w:t>In December 2019, we entered into a facility agreement for working capital loans with a commercial bank, which provide for a half-year revolving loan of RMB50.0 million (US$7.0 million). We provide corporate guarantee and accounts receivable of certain subsidiaries to secure our obligations. It was subsequently renewed and amended in December 2020. The interest rate of this facility is 6.35%. As of December 31, 2020, the total outstanding amount of this revolving loan was RMB50.0 million (US$7.6 million).</w:t>
      </w:r>
    </w:p>
    <w:p>
      <w:pPr>
        <w:spacing w:after="0" w:line="187" w:lineRule="exact"/>
        <w:rPr>
          <w:sz w:val="20"/>
          <w:szCs w:val="20"/>
          <w:color w:val="auto"/>
        </w:rPr>
      </w:pPr>
    </w:p>
    <w:p>
      <w:pPr>
        <w:ind w:right="80" w:firstLine="727"/>
        <w:spacing w:after="0" w:line="279" w:lineRule="auto"/>
        <w:rPr>
          <w:sz w:val="20"/>
          <w:szCs w:val="20"/>
          <w:color w:val="auto"/>
        </w:rPr>
      </w:pPr>
      <w:r>
        <w:rPr>
          <w:rFonts w:ascii="Arial" w:cs="Arial" w:eastAsia="Arial" w:hAnsi="Arial"/>
          <w:sz w:val="17"/>
          <w:szCs w:val="17"/>
          <w:color w:val="auto"/>
        </w:rPr>
        <w:t>In December 2019, we entered into a facility agreement for working capital loans with a commercial bank, which provide for one-year revolving loan of RMB50.0 million (US$7.0 million). We provide corporate guarantee and deposits as pledge to secure our obligations under this revolving loan. It was subsequently renewed and amended in December 2020. The interest rate of this loan facility was subsequently amended to 3.13% per annum. As of December 31, 2020, the total outstanding amount of this revolving loan was RMB50.0 million (US$7.6 million).</w:t>
      </w:r>
    </w:p>
    <w:p>
      <w:pPr>
        <w:spacing w:after="0" w:line="171" w:lineRule="exact"/>
        <w:rPr>
          <w:sz w:val="20"/>
          <w:szCs w:val="20"/>
          <w:color w:val="auto"/>
        </w:rPr>
      </w:pPr>
    </w:p>
    <w:p>
      <w:pPr>
        <w:ind w:right="300" w:firstLine="727"/>
        <w:spacing w:after="0" w:line="263" w:lineRule="auto"/>
        <w:rPr>
          <w:sz w:val="20"/>
          <w:szCs w:val="20"/>
          <w:color w:val="auto"/>
        </w:rPr>
      </w:pPr>
      <w:r>
        <w:rPr>
          <w:rFonts w:ascii="Arial" w:cs="Arial" w:eastAsia="Arial" w:hAnsi="Arial"/>
          <w:sz w:val="18"/>
          <w:szCs w:val="18"/>
          <w:color w:val="auto"/>
        </w:rPr>
        <w:t>In June 2020, we entered into a facility agreement for working capital loans with a commercial bank, which provides for a one-year revolving loan of RMB3.0 million (US$0.5 million). The interest rate of this loan facility is fixed at 4.5025% per annum. As of December 31, 2020, the total outstanding amount of this revolving loan was RMB3.0 million (US$0.5 million).</w:t>
      </w:r>
    </w:p>
    <w:p>
      <w:pPr>
        <w:spacing w:after="0" w:line="184" w:lineRule="exact"/>
        <w:rPr>
          <w:sz w:val="20"/>
          <w:szCs w:val="20"/>
          <w:color w:val="auto"/>
        </w:rPr>
      </w:pPr>
    </w:p>
    <w:p>
      <w:pPr>
        <w:ind w:firstLine="727"/>
        <w:spacing w:after="0" w:line="286" w:lineRule="auto"/>
        <w:rPr>
          <w:sz w:val="20"/>
          <w:szCs w:val="20"/>
          <w:color w:val="auto"/>
        </w:rPr>
      </w:pPr>
      <w:r>
        <w:rPr>
          <w:rFonts w:ascii="Arial" w:cs="Arial" w:eastAsia="Arial" w:hAnsi="Arial"/>
          <w:sz w:val="17"/>
          <w:szCs w:val="17"/>
          <w:color w:val="auto"/>
        </w:rPr>
        <w:t>In August 2020, we entered into a bank acceptance draft discount facility agreement with a commercial bank, which provides for a revolving loan of RMB40.0 million (US$6.1 million). The interest rate of this loan facility is based on cost of funding at the time of discounting plus a risk premium depending on the accepting bank’s credit rating. As of December 31, 2020, we had no outstanding balance under this revolving loan.</w:t>
      </w:r>
    </w:p>
    <w:p>
      <w:pPr>
        <w:spacing w:after="0" w:line="165" w:lineRule="exact"/>
        <w:rPr>
          <w:sz w:val="20"/>
          <w:szCs w:val="20"/>
          <w:color w:val="auto"/>
        </w:rPr>
      </w:pPr>
    </w:p>
    <w:p>
      <w:pPr>
        <w:ind w:right="180" w:firstLine="727"/>
        <w:spacing w:after="0" w:line="259" w:lineRule="auto"/>
        <w:rPr>
          <w:sz w:val="20"/>
          <w:szCs w:val="20"/>
          <w:color w:val="auto"/>
        </w:rPr>
      </w:pPr>
      <w:r>
        <w:rPr>
          <w:rFonts w:ascii="Arial" w:cs="Arial" w:eastAsia="Arial" w:hAnsi="Arial"/>
          <w:sz w:val="18"/>
          <w:szCs w:val="18"/>
          <w:color w:val="auto"/>
        </w:rPr>
        <w:t>In October 2020, we entered into a facility agreement for working capital loans with a commercial bank, which provide for one-year revolving loan of RMB100.0 million (US$15.2 million). We provide corporate guarantee and deposits as pledge to secure our obligations under this revolving loan. The interest rate of this loan facility is fixed at 3.25% per annum. As of December 31, 2020, the total outstanding amount of this revolving loan was RMB68.0 million (US$10.4 million).</w:t>
      </w:r>
    </w:p>
    <w:p>
      <w:pPr>
        <w:spacing w:after="0" w:line="187" w:lineRule="exact"/>
        <w:rPr>
          <w:sz w:val="20"/>
          <w:szCs w:val="20"/>
          <w:color w:val="auto"/>
        </w:rPr>
      </w:pPr>
    </w:p>
    <w:p>
      <w:pPr>
        <w:ind w:right="80" w:firstLine="727"/>
        <w:spacing w:after="0" w:line="279" w:lineRule="auto"/>
        <w:rPr>
          <w:sz w:val="20"/>
          <w:szCs w:val="20"/>
          <w:color w:val="auto"/>
        </w:rPr>
      </w:pPr>
      <w:r>
        <w:rPr>
          <w:rFonts w:ascii="Arial" w:cs="Arial" w:eastAsia="Arial" w:hAnsi="Arial"/>
          <w:sz w:val="17"/>
          <w:szCs w:val="17"/>
          <w:color w:val="auto"/>
        </w:rPr>
        <w:t>As of December 31, 2018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would not demand immediate repayment. As of December 31, 2019 and December 31, 2020, no financial covenants as set out in these loan agreements have been breached.</w:t>
      </w:r>
    </w:p>
    <w:p>
      <w:pPr>
        <w:spacing w:after="0" w:line="171" w:lineRule="exact"/>
        <w:rPr>
          <w:sz w:val="20"/>
          <w:szCs w:val="20"/>
          <w:color w:val="auto"/>
        </w:rPr>
      </w:pPr>
    </w:p>
    <w:p>
      <w:pPr>
        <w:ind w:right="580" w:firstLine="727"/>
        <w:spacing w:after="0" w:line="277" w:lineRule="auto"/>
        <w:rPr>
          <w:sz w:val="20"/>
          <w:szCs w:val="20"/>
          <w:color w:val="auto"/>
        </w:rPr>
      </w:pPr>
      <w:r>
        <w:rPr>
          <w:rFonts w:ascii="Arial" w:cs="Arial" w:eastAsia="Arial" w:hAnsi="Arial"/>
          <w:sz w:val="18"/>
          <w:szCs w:val="18"/>
          <w:color w:val="auto"/>
        </w:rPr>
        <w:t>Other than those shown in “—Credit Facilities,” we did not have any significant capital and other commitments, long-term obligations, or guarantees as of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jc w:val="both"/>
        <w:ind w:right="40" w:firstLine="727"/>
        <w:spacing w:after="0" w:line="263" w:lineRule="auto"/>
        <w:rPr>
          <w:sz w:val="20"/>
          <w:szCs w:val="20"/>
          <w:color w:val="auto"/>
        </w:rPr>
      </w:pPr>
      <w:r>
        <w:rPr>
          <w:rFonts w:ascii="Arial" w:cs="Arial" w:eastAsia="Arial" w:hAnsi="Arial"/>
          <w:sz w:val="18"/>
          <w:szCs w:val="18"/>
          <w:color w:val="auto"/>
        </w:rPr>
        <w:t>We made capital expenditures of US$0.4 million, US$0.7 million and US$1.1 million in 2018, 2019 and 2020, respectively. In these periods, our capital expenditures were mainly used for the purchase of property and equipment and purchase of software. We will continue to make capital expenditures to support our business.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right="20" w:firstLine="727"/>
        <w:spacing w:after="0" w:line="269" w:lineRule="auto"/>
        <w:rPr>
          <w:sz w:val="20"/>
          <w:szCs w:val="20"/>
          <w:color w:val="auto"/>
        </w:rPr>
      </w:pPr>
      <w:r>
        <w:rPr>
          <w:rFonts w:ascii="Arial" w:cs="Arial" w:eastAsia="Arial" w:hAnsi="Arial"/>
          <w:sz w:val="17"/>
          <w:szCs w:val="17"/>
          <w:color w:val="auto"/>
        </w:rPr>
        <w:t>iClick Interactive Asia Group Limited is a Cayman Islands exempted limited liability company, used as a holding company with no material operations of its own. We conduct our operations primarily through our wholly-owned subsidiaries, our consolidated VIE and its subsidiary in China. As a result, our ability to pay dividends depends upon dividends paid by our PRC subsidiaries. If our PRC subsidiaries or any newly formed subsidiaries incur debt on their own behalf in the future, the instruments governing their debt may restrict their ability to pay dividends to us. In addition, our wholly-owned subsidiaries are permitted to pay dividends to us only out of their retained earnings, if any, as determined in accordance with PRC accounting standards and regulations. Under PRC law, each of our wholly-owned PRC subsidiaries and consolidated affiliated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Remittance of dividends by a wholly foreign-owned company out of China is subject to examination by the banks designated by SAFE. We currently plan to reinvest all earnings from our PRC subsidiaries to their business developments and do not plan to request dividend distributions from them.</w:t>
      </w:r>
    </w:p>
    <w:p>
      <w:pPr>
        <w:spacing w:after="0" w:line="290" w:lineRule="exact"/>
        <w:rPr>
          <w:sz w:val="20"/>
          <w:szCs w:val="20"/>
          <w:color w:val="auto"/>
        </w:rPr>
      </w:pPr>
    </w:p>
    <w:p>
      <w:pPr>
        <w:ind w:left="720" w:hanging="712"/>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Research and Development, Patents and Licenses, Etc.</w:t>
      </w:r>
    </w:p>
    <w:p>
      <w:pPr>
        <w:spacing w:after="0" w:line="117"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See “Item 4. Information On the Company—B. Business Overview—Research and Development” and “—Intellectual Property.”</w:t>
      </w:r>
    </w:p>
    <w:p>
      <w:pPr>
        <w:spacing w:after="0" w:line="333" w:lineRule="exact"/>
        <w:rPr>
          <w:rFonts w:ascii="Arial" w:cs="Arial" w:eastAsia="Arial" w:hAnsi="Arial"/>
          <w:sz w:val="18"/>
          <w:szCs w:val="18"/>
          <w:color w:val="auto"/>
        </w:rPr>
      </w:pPr>
    </w:p>
    <w:p>
      <w:pPr>
        <w:ind w:left="720" w:hanging="712"/>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Trend Information</w:t>
      </w:r>
    </w:p>
    <w:p>
      <w:pPr>
        <w:spacing w:after="0" w:line="117" w:lineRule="exact"/>
        <w:rPr>
          <w:sz w:val="20"/>
          <w:szCs w:val="20"/>
          <w:color w:val="auto"/>
        </w:rPr>
      </w:pPr>
    </w:p>
    <w:p>
      <w:pPr>
        <w:ind w:right="240" w:firstLine="727"/>
        <w:spacing w:after="0" w:line="311" w:lineRule="auto"/>
        <w:rPr>
          <w:sz w:val="20"/>
          <w:szCs w:val="20"/>
          <w:color w:val="auto"/>
        </w:rPr>
      </w:pPr>
      <w:r>
        <w:rPr>
          <w:rFonts w:ascii="Arial" w:cs="Arial" w:eastAsia="Arial" w:hAnsi="Arial"/>
          <w:sz w:val="16"/>
          <w:szCs w:val="16"/>
          <w:color w:val="auto"/>
        </w:rPr>
        <w:t>Other than as disclosed elsewhere in this annual report, we are not aware of any trends, uncertainties, demands, commitments or events since January 1, 2020 that are reasonably likely to have a material effect on our net revenues, income, profitability, liquidity or capital resources, or that would cause reported consolidated financial information not necessarily to be indicative of future operating results or financial condition.</w:t>
      </w:r>
    </w:p>
    <w:p>
      <w:pPr>
        <w:spacing w:after="0" w:line="257" w:lineRule="exact"/>
        <w:rPr>
          <w:sz w:val="20"/>
          <w:szCs w:val="20"/>
          <w:color w:val="auto"/>
        </w:rPr>
      </w:pPr>
    </w:p>
    <w:p>
      <w:pPr>
        <w:ind w:left="720" w:hanging="712"/>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Off-balance Sheet Arrangements</w:t>
      </w:r>
    </w:p>
    <w:p>
      <w:pPr>
        <w:spacing w:after="0" w:line="117" w:lineRule="exact"/>
        <w:rPr>
          <w:sz w:val="20"/>
          <w:szCs w:val="20"/>
          <w:color w:val="auto"/>
        </w:rPr>
      </w:pPr>
    </w:p>
    <w:p>
      <w:pPr>
        <w:ind w:right="160" w:firstLine="727"/>
        <w:spacing w:after="0" w:line="275" w:lineRule="auto"/>
        <w:rPr>
          <w:sz w:val="20"/>
          <w:szCs w:val="20"/>
          <w:color w:val="auto"/>
        </w:rPr>
      </w:pPr>
      <w:r>
        <w:rPr>
          <w:rFonts w:ascii="Arial" w:cs="Arial" w:eastAsia="Arial" w:hAnsi="Arial"/>
          <w:sz w:val="17"/>
          <w:szCs w:val="17"/>
          <w:color w:val="auto"/>
        </w:rPr>
        <w:t>We have not entered into any financial guarantees or other commitments to guarantee the payment obligations of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that engages in leasing, hedging or product development services with us.</w:t>
      </w:r>
    </w:p>
    <w:p>
      <w:pPr>
        <w:spacing w:after="0" w:line="284" w:lineRule="exact"/>
        <w:rPr>
          <w:sz w:val="20"/>
          <w:szCs w:val="20"/>
          <w:color w:val="auto"/>
        </w:rPr>
      </w:pPr>
    </w:p>
    <w:p>
      <w:pPr>
        <w:ind w:left="720" w:hanging="712"/>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Tabular Disclosure of Contractual Obligations</w:t>
      </w:r>
    </w:p>
    <w:p>
      <w:pPr>
        <w:spacing w:after="0" w:line="117"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The following table sets forth our contractual obligations and commercial commitments as of December 31,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Payment Due by Period</w:t>
            </w: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jc w:val="right"/>
              <w:ind w:right="115"/>
              <w:spacing w:after="0" w:line="133" w:lineRule="exact"/>
              <w:rPr>
                <w:sz w:val="20"/>
                <w:szCs w:val="20"/>
                <w:color w:val="auto"/>
              </w:rPr>
            </w:pPr>
            <w:r>
              <w:rPr>
                <w:rFonts w:ascii="Arial" w:cs="Arial" w:eastAsia="Arial" w:hAnsi="Arial"/>
                <w:sz w:val="14"/>
                <w:szCs w:val="14"/>
                <w:b w:val="1"/>
                <w:bCs w:val="1"/>
                <w:color w:val="auto"/>
              </w:rPr>
              <w:t>Less than</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1-3 years</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3-5 years</w:t>
            </w:r>
          </w:p>
        </w:tc>
        <w:tc>
          <w:tcPr>
            <w:tcW w:w="92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00" w:type="dxa"/>
            <w:vAlign w:val="bottom"/>
          </w:tcPr>
          <w:p>
            <w:pPr>
              <w:jc w:val="right"/>
              <w:ind w:right="235"/>
              <w:spacing w:after="0"/>
              <w:rPr>
                <w:sz w:val="20"/>
                <w:szCs w:val="20"/>
                <w:color w:val="auto"/>
              </w:rPr>
            </w:pPr>
            <w:r>
              <w:rPr>
                <w:rFonts w:ascii="Arial" w:cs="Arial" w:eastAsia="Arial" w:hAnsi="Arial"/>
                <w:sz w:val="14"/>
                <w:szCs w:val="14"/>
                <w:b w:val="1"/>
                <w:bCs w:val="1"/>
                <w:color w:val="auto"/>
              </w:rPr>
              <w:t>1 year</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(US$ in thousands)</w:t>
            </w:r>
          </w:p>
        </w:tc>
        <w:tc>
          <w:tcPr>
            <w:tcW w:w="9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3,328</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gridSpan w:val="2"/>
          </w:tcPr>
          <w:p>
            <w:pPr>
              <w:spacing w:after="0"/>
              <w:rPr>
                <w:sz w:val="20"/>
                <w:szCs w:val="20"/>
                <w:color w:val="auto"/>
              </w:rPr>
            </w:pPr>
            <w:r>
              <w:rPr>
                <w:rFonts w:ascii="Arial" w:cs="Arial" w:eastAsia="Arial" w:hAnsi="Arial"/>
                <w:sz w:val="18"/>
                <w:szCs w:val="18"/>
                <w:color w:val="auto"/>
              </w:rPr>
              <w:t>Debt obligation, including interest</w:t>
            </w:r>
          </w:p>
        </w:tc>
        <w:tc>
          <w:tcPr>
            <w:tcW w:w="880" w:type="dxa"/>
            <w:vAlign w:val="bottom"/>
          </w:tcPr>
          <w:p>
            <w:pPr>
              <w:jc w:val="right"/>
              <w:spacing w:after="0"/>
              <w:rPr>
                <w:sz w:val="20"/>
                <w:szCs w:val="20"/>
                <w:color w:val="auto"/>
              </w:rPr>
            </w:pPr>
            <w:r>
              <w:rPr>
                <w:rFonts w:ascii="Arial" w:cs="Arial" w:eastAsia="Arial" w:hAnsi="Arial"/>
                <w:sz w:val="18"/>
                <w:szCs w:val="18"/>
                <w:color w:val="auto"/>
              </w:rPr>
              <w:t>56,562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56,562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20" w:type="dxa"/>
            <w:vAlign w:val="bottom"/>
            <w:gridSpan w:val="2"/>
          </w:tcPr>
          <w:p>
            <w:pPr>
              <w:spacing w:after="0"/>
              <w:rPr>
                <w:sz w:val="20"/>
                <w:szCs w:val="20"/>
                <w:color w:val="auto"/>
              </w:rPr>
            </w:pPr>
            <w:r>
              <w:rPr>
                <w:rFonts w:ascii="Arial" w:cs="Arial" w:eastAsia="Arial" w:hAnsi="Arial"/>
                <w:sz w:val="18"/>
                <w:szCs w:val="18"/>
                <w:color w:val="auto"/>
              </w:rPr>
              <w:t>Contingent consideration payable</w:t>
            </w:r>
          </w:p>
        </w:tc>
        <w:tc>
          <w:tcPr>
            <w:tcW w:w="880" w:type="dxa"/>
            <w:vAlign w:val="bottom"/>
          </w:tcPr>
          <w:p>
            <w:pPr>
              <w:jc w:val="right"/>
              <w:spacing w:after="0"/>
              <w:rPr>
                <w:sz w:val="20"/>
                <w:szCs w:val="20"/>
                <w:color w:val="auto"/>
              </w:rPr>
            </w:pPr>
            <w:r>
              <w:rPr>
                <w:rFonts w:ascii="Arial" w:cs="Arial" w:eastAsia="Arial" w:hAnsi="Arial"/>
                <w:sz w:val="18"/>
                <w:szCs w:val="18"/>
                <w:color w:val="auto"/>
              </w:rPr>
              <w:t>7,755</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7,755</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20" w:type="dxa"/>
            <w:vAlign w:val="bottom"/>
            <w:gridSpan w:val="2"/>
          </w:tcPr>
          <w:p>
            <w:pPr>
              <w:spacing w:after="0"/>
              <w:rPr>
                <w:sz w:val="20"/>
                <w:szCs w:val="20"/>
                <w:color w:val="auto"/>
              </w:rPr>
            </w:pPr>
            <w:r>
              <w:rPr>
                <w:rFonts w:ascii="Arial" w:cs="Arial" w:eastAsia="Arial" w:hAnsi="Arial"/>
                <w:sz w:val="18"/>
                <w:szCs w:val="18"/>
                <w:color w:val="auto"/>
              </w:rPr>
              <w:t>Advance from a former non-controlling interest</w:t>
            </w:r>
          </w:p>
        </w:tc>
        <w:tc>
          <w:tcPr>
            <w:tcW w:w="880" w:type="dxa"/>
            <w:vAlign w:val="bottom"/>
          </w:tcPr>
          <w:p>
            <w:pPr>
              <w:jc w:val="right"/>
              <w:spacing w:after="0"/>
              <w:rPr>
                <w:sz w:val="20"/>
                <w:szCs w:val="20"/>
                <w:color w:val="auto"/>
              </w:rPr>
            </w:pPr>
            <w:r>
              <w:rPr>
                <w:rFonts w:ascii="Arial" w:cs="Arial" w:eastAsia="Arial" w:hAnsi="Arial"/>
                <w:sz w:val="18"/>
                <w:szCs w:val="18"/>
                <w:color w:val="auto"/>
              </w:rPr>
              <w:t>4,521</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4,521</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72,166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58,670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720" w:hanging="712"/>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Safe Harbor</w:t>
      </w:r>
    </w:p>
    <w:p>
      <w:pPr>
        <w:spacing w:after="0" w:line="117"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See “Forward-Looking Statements” in this annual report.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6.DIRECTORS, SENIOR MANAGEMENT AND EMPLOYEES</w:t>
      </w:r>
    </w:p>
    <w:p>
      <w:pPr>
        <w:spacing w:after="0" w:line="121"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Directors and Senior Management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annual report.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Age</w:t>
            </w:r>
          </w:p>
        </w:tc>
        <w:tc>
          <w:tcPr>
            <w:tcW w:w="5920" w:type="dxa"/>
            <w:vAlign w:val="bottom"/>
          </w:tcPr>
          <w:p>
            <w:pPr>
              <w:ind w:left="2540"/>
              <w:spacing w:after="0"/>
              <w:rPr>
                <w:sz w:val="20"/>
                <w:szCs w:val="20"/>
                <w:color w:val="auto"/>
              </w:rPr>
            </w:pPr>
            <w:r>
              <w:rPr>
                <w:rFonts w:ascii="Arial" w:cs="Arial" w:eastAsia="Arial" w:hAnsi="Arial"/>
                <w:sz w:val="14"/>
                <w:szCs w:val="14"/>
                <w:b w:val="1"/>
                <w:bCs w:val="1"/>
                <w:color w:val="auto"/>
              </w:rPr>
              <w:t>Position/Title</w:t>
            </w:r>
          </w:p>
        </w:tc>
      </w:tr>
      <w:tr>
        <w:trPr>
          <w:trHeight w:val="223"/>
        </w:trPr>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Wing Hong Sammy Hsieh</w:t>
            </w:r>
          </w:p>
        </w:tc>
        <w:tc>
          <w:tcPr>
            <w:tcW w:w="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232"/>
              <w:spacing w:after="0"/>
              <w:rPr>
                <w:sz w:val="20"/>
                <w:szCs w:val="20"/>
                <w:color w:val="auto"/>
              </w:rPr>
            </w:pPr>
            <w:r>
              <w:rPr>
                <w:rFonts w:ascii="Arial" w:cs="Arial" w:eastAsia="Arial" w:hAnsi="Arial"/>
                <w:sz w:val="18"/>
                <w:szCs w:val="18"/>
                <w:color w:val="auto"/>
              </w:rPr>
              <w:t>48</w:t>
            </w:r>
          </w:p>
        </w:tc>
        <w:tc>
          <w:tcPr>
            <w:tcW w:w="260" w:type="dxa"/>
            <w:vAlign w:val="bottom"/>
            <w:tcBorders>
              <w:top w:val="single" w:sz="8" w:color="CFF0FC"/>
            </w:tcBorders>
            <w:shd w:val="clear" w:color="auto" w:fill="CFF0FC"/>
          </w:tcPr>
          <w:p>
            <w:pPr>
              <w:spacing w:after="0"/>
              <w:rPr>
                <w:sz w:val="19"/>
                <w:szCs w:val="19"/>
                <w:color w:val="auto"/>
              </w:rPr>
            </w:pPr>
          </w:p>
        </w:tc>
        <w:tc>
          <w:tcPr>
            <w:tcW w:w="5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Chairman of the Board and Co-Founder</w:t>
            </w: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Jian Tang</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Director and Chief Executive Officer and Co-Founder</w:t>
            </w:r>
          </w:p>
        </w:tc>
      </w:tr>
      <w:tr>
        <w:trPr>
          <w:trHeight w:val="229"/>
        </w:trPr>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Lub Bun Chong</w:t>
            </w:r>
          </w:p>
        </w:tc>
        <w:tc>
          <w:tcPr>
            <w:tcW w:w="920" w:type="dxa"/>
            <w:vAlign w:val="bottom"/>
            <w:shd w:val="clear" w:color="auto" w:fill="CFF0FC"/>
          </w:tcPr>
          <w:p>
            <w:pPr>
              <w:jc w:val="right"/>
              <w:ind w:right="232"/>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29"/>
        </w:trPr>
        <w:tc>
          <w:tcPr>
            <w:tcW w:w="4140" w:type="dxa"/>
            <w:vAlign w:val="bottom"/>
            <w:gridSpan w:val="2"/>
          </w:tcPr>
          <w:p>
            <w:pPr>
              <w:spacing w:after="0"/>
              <w:rPr>
                <w:sz w:val="20"/>
                <w:szCs w:val="20"/>
                <w:color w:val="auto"/>
              </w:rPr>
            </w:pPr>
            <w:r>
              <w:rPr>
                <w:rFonts w:ascii="Arial" w:cs="Arial" w:eastAsia="Arial" w:hAnsi="Arial"/>
                <w:sz w:val="18"/>
                <w:szCs w:val="18"/>
                <w:color w:val="auto"/>
              </w:rPr>
              <w:t>Matthew Chu Pong Fong</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Dylan Huang</w:t>
            </w:r>
          </w:p>
        </w:tc>
        <w:tc>
          <w:tcPr>
            <w:tcW w:w="920" w:type="dxa"/>
            <w:vAlign w:val="bottom"/>
            <w:shd w:val="clear" w:color="auto" w:fill="CFF0FC"/>
          </w:tcPr>
          <w:p>
            <w:pPr>
              <w:jc w:val="right"/>
              <w:ind w:right="232"/>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29"/>
        </w:trPr>
        <w:tc>
          <w:tcPr>
            <w:tcW w:w="4140" w:type="dxa"/>
            <w:vAlign w:val="bottom"/>
            <w:gridSpan w:val="2"/>
          </w:tcPr>
          <w:p>
            <w:pPr>
              <w:spacing w:after="0"/>
              <w:rPr>
                <w:sz w:val="20"/>
                <w:szCs w:val="20"/>
                <w:color w:val="auto"/>
              </w:rPr>
            </w:pPr>
            <w:r>
              <w:rPr>
                <w:rFonts w:ascii="Arial" w:cs="Arial" w:eastAsia="Arial" w:hAnsi="Arial"/>
                <w:sz w:val="18"/>
                <w:szCs w:val="18"/>
                <w:color w:val="auto"/>
              </w:rPr>
              <w:t>Philip Kan</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Director</w:t>
            </w:r>
          </w:p>
        </w:tc>
      </w:tr>
      <w:tr>
        <w:trPr>
          <w:trHeight w:val="229"/>
        </w:trPr>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Terence Li</w:t>
            </w:r>
          </w:p>
        </w:tc>
        <w:tc>
          <w:tcPr>
            <w:tcW w:w="920" w:type="dxa"/>
            <w:vAlign w:val="bottom"/>
            <w:shd w:val="clear" w:color="auto" w:fill="CFF0FC"/>
          </w:tcPr>
          <w:p>
            <w:pPr>
              <w:jc w:val="right"/>
              <w:ind w:right="232"/>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Director and Chief Financial Officer</w:t>
            </w:r>
          </w:p>
        </w:tc>
      </w:tr>
    </w:tbl>
    <w:p>
      <w:pPr>
        <w:spacing w:after="0" w:line="215" w:lineRule="exact"/>
        <w:rPr>
          <w:sz w:val="20"/>
          <w:szCs w:val="20"/>
          <w:color w:val="auto"/>
        </w:rPr>
      </w:pPr>
    </w:p>
    <w:p>
      <w:pPr>
        <w:ind w:right="120" w:firstLine="495"/>
        <w:spacing w:after="0" w:line="293" w:lineRule="auto"/>
        <w:rPr>
          <w:sz w:val="20"/>
          <w:szCs w:val="20"/>
          <w:color w:val="auto"/>
        </w:rPr>
      </w:pPr>
      <w:r>
        <w:rPr>
          <w:rFonts w:ascii="Arial" w:cs="Arial" w:eastAsia="Arial" w:hAnsi="Arial"/>
          <w:sz w:val="16"/>
          <w:szCs w:val="16"/>
          <w:i w:val="1"/>
          <w:iCs w:val="1"/>
          <w:color w:val="auto"/>
        </w:rPr>
        <w:t xml:space="preserve">Mr. Wing Hong Sammy Hsieh </w:t>
      </w:r>
      <w:r>
        <w:rPr>
          <w:rFonts w:ascii="Arial" w:cs="Arial" w:eastAsia="Arial" w:hAnsi="Arial"/>
          <w:sz w:val="16"/>
          <w:szCs w:val="16"/>
          <w:color w:val="auto"/>
        </w:rPr>
        <w:t>is our chairman of the board and co-founder and has served as our chief executive officer since 2009.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founding our company, Mr. Hsieh held senior positions in a number of prominent technology companies. Mr. Hsieh was general manager for Asia Pacific at Efficient Frontier (now an Adobe company), a leading digital performance marketing company in 2008. Prior to that, Mr. Hsieh was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spacing w:after="0" w:line="164" w:lineRule="exact"/>
        <w:rPr>
          <w:sz w:val="20"/>
          <w:szCs w:val="20"/>
          <w:color w:val="auto"/>
        </w:rPr>
      </w:pPr>
    </w:p>
    <w:p>
      <w:pPr>
        <w:ind w:right="20" w:firstLine="495"/>
        <w:spacing w:after="0" w:line="254" w:lineRule="auto"/>
        <w:rPr>
          <w:sz w:val="20"/>
          <w:szCs w:val="20"/>
          <w:color w:val="auto"/>
        </w:rPr>
      </w:pPr>
      <w:r>
        <w:rPr>
          <w:rFonts w:ascii="Arial" w:cs="Arial" w:eastAsia="Arial" w:hAnsi="Arial"/>
          <w:sz w:val="18"/>
          <w:szCs w:val="18"/>
          <w:i w:val="1"/>
          <w:iCs w:val="1"/>
          <w:color w:val="auto"/>
        </w:rPr>
        <w:t xml:space="preserve">Mr. Jian Tang </w:t>
      </w:r>
      <w:r>
        <w:rPr>
          <w:rFonts w:ascii="Arial" w:cs="Arial" w:eastAsia="Arial" w:hAnsi="Arial"/>
          <w:sz w:val="18"/>
          <w:szCs w:val="18"/>
          <w:color w:val="auto"/>
        </w:rPr>
        <w:t>is our director, chief executive officer and co-founder and has served as our chief operating officer since January 2016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officer since November 2016. Mr. Tang has approximately 20 years of experience in digital advertising and is well-known in the area of advertising technologies and big data in China. Prior to joining us, Mr. Tang founded OptAim in 2012, which was later acquired by us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spacing w:after="0" w:line="192" w:lineRule="exact"/>
        <w:rPr>
          <w:sz w:val="20"/>
          <w:szCs w:val="20"/>
          <w:color w:val="auto"/>
        </w:rPr>
      </w:pPr>
    </w:p>
    <w:p>
      <w:pPr>
        <w:ind w:right="80" w:firstLine="495"/>
        <w:spacing w:after="0" w:line="272" w:lineRule="auto"/>
        <w:rPr>
          <w:sz w:val="20"/>
          <w:szCs w:val="20"/>
          <w:color w:val="auto"/>
        </w:rPr>
      </w:pPr>
      <w:r>
        <w:rPr>
          <w:rFonts w:ascii="Arial" w:cs="Arial" w:eastAsia="Arial" w:hAnsi="Arial"/>
          <w:sz w:val="17"/>
          <w:szCs w:val="17"/>
          <w:i w:val="1"/>
          <w:iCs w:val="1"/>
          <w:color w:val="auto"/>
        </w:rPr>
        <w:t xml:space="preserve">Mr. Lub Bun Chong </w:t>
      </w:r>
      <w:r>
        <w:rPr>
          <w:rFonts w:ascii="Arial" w:cs="Arial" w:eastAsia="Arial" w:hAnsi="Arial"/>
          <w:sz w:val="17"/>
          <w:szCs w:val="17"/>
          <w:color w:val="auto"/>
        </w:rPr>
        <w:t>has served as our director since July 2019. Mr. Chong is currently a partner of C Consultancy Limited, a Hong Kong-based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and financial advisory firm which specializes in the advertising, digital and media sectors of China and Southeast Asia. Prior to founding C Consultancy Limited, he was the chief financial officer and the director of mergers and acquisitions of Clear Media (00100.HK), and the chief financial officer of Focus Media (002027.SZ). Mr. Chong previously worked at PricewaterhouseCoopers in China, Hong Kong and Singapore during the 1990s. Mr. Chong is the author of “Managing a Chinese Partner” (published by Palgrave Macmillan) and a contributor of China articles to reputable publications. Mr. Chong received his bachelor’s degree of accountancy from National University of Singapore and his MBA degree with merit from Manchester Business School. Mr. Chong is a chartered accountant in Singapore.</w:t>
      </w:r>
    </w:p>
    <w:p>
      <w:pPr>
        <w:spacing w:after="0" w:line="177" w:lineRule="exact"/>
        <w:rPr>
          <w:sz w:val="20"/>
          <w:szCs w:val="20"/>
          <w:color w:val="auto"/>
        </w:rPr>
      </w:pPr>
    </w:p>
    <w:p>
      <w:pPr>
        <w:ind w:right="40" w:firstLine="495"/>
        <w:spacing w:after="0" w:line="273" w:lineRule="auto"/>
        <w:rPr>
          <w:sz w:val="20"/>
          <w:szCs w:val="20"/>
          <w:color w:val="auto"/>
        </w:rPr>
      </w:pPr>
      <w:r>
        <w:rPr>
          <w:rFonts w:ascii="Arial" w:cs="Arial" w:eastAsia="Arial" w:hAnsi="Arial"/>
          <w:sz w:val="17"/>
          <w:szCs w:val="17"/>
          <w:i w:val="1"/>
          <w:iCs w:val="1"/>
          <w:color w:val="auto"/>
        </w:rPr>
        <w:t xml:space="preserve">Mr. Matthew Chu Pong Fong </w:t>
      </w:r>
      <w:r>
        <w:rPr>
          <w:rFonts w:ascii="Arial" w:cs="Arial" w:eastAsia="Arial" w:hAnsi="Arial"/>
          <w:sz w:val="17"/>
          <w:szCs w:val="17"/>
          <w:color w:val="auto"/>
        </w:rPr>
        <w:t>has served as our director since January 2020. Mr. Fong has more than 10 years of professional experience in auditing,</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finance and financial management for both private and listed corporations. He held multiple financial leadership positions, including as a manager at a Hong Kong-based multi-strategy private investment fund, from 2015 to 2017, and the chief financial officer of Fornton Group Limited, a knitwear manufacturer, from 2011 to 2014. Mr. Fong also led teams in performing financial audit-related engagements including initial public offering and acquisition at Ernst &amp; Young from 2007 to 2009. Mr. Fong obtained his bachelor degree in accountancy from The Hong Kong Polytechnic University in 2003 and is currently a fellow member of the Association of Chartered Certified Accountants.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4" w:name="page95"/>
    <w:bookmarkEnd w:id="94"/>
    <w:p>
      <w:pPr>
        <w:ind w:firstLine="495"/>
        <w:spacing w:after="0" w:line="257" w:lineRule="auto"/>
        <w:rPr>
          <w:sz w:val="20"/>
          <w:szCs w:val="20"/>
          <w:color w:val="auto"/>
        </w:rPr>
      </w:pPr>
      <w:r>
        <w:rPr>
          <w:rFonts w:ascii="Arial" w:cs="Arial" w:eastAsia="Arial" w:hAnsi="Arial"/>
          <w:sz w:val="18"/>
          <w:szCs w:val="18"/>
          <w:i w:val="1"/>
          <w:iCs w:val="1"/>
          <w:color w:val="auto"/>
        </w:rPr>
        <w:t xml:space="preserve">Mr. Dylan Huang </w:t>
      </w:r>
      <w:r>
        <w:rPr>
          <w:rFonts w:ascii="Arial" w:cs="Arial" w:eastAsia="Arial" w:hAnsi="Arial"/>
          <w:sz w:val="18"/>
          <w:szCs w:val="18"/>
          <w:color w:val="auto"/>
        </w:rPr>
        <w:t>has served as our director since December 2017. Mr. Huang has served as senior vice president of Meituan-Dianping since 2017.</w:t>
      </w:r>
      <w:r>
        <w:rPr>
          <w:rFonts w:ascii="Arial" w:cs="Arial" w:eastAsia="Arial" w:hAnsi="Arial"/>
          <w:sz w:val="18"/>
          <w:szCs w:val="18"/>
          <w:i w:val="1"/>
          <w:iCs w:val="1"/>
          <w:color w:val="auto"/>
        </w:rPr>
        <w:t xml:space="preserve"> </w:t>
      </w:r>
      <w:r>
        <w:rPr>
          <w:rFonts w:ascii="Arial" w:cs="Arial" w:eastAsia="Arial" w:hAnsi="Arial"/>
          <w:sz w:val="18"/>
          <w:szCs w:val="18"/>
          <w:color w:val="auto"/>
        </w:rPr>
        <w:t>Mr. Huang served as the corporate vice president, group chief technology officer and general manager at Tencent Online Media Group from 2008 to 2017, leading its media’s mobile initiative. He was the senior lead program manager, program manager, software design engineer and software design engineer in test at Microsoft Corporation from 2001 to 2008. Mr. Huang received his bachelor’s degree in electrical engineering from Zhejiang University and his MBA degree from Washington Business School.</w:t>
      </w:r>
    </w:p>
    <w:p>
      <w:pPr>
        <w:spacing w:after="0" w:line="188" w:lineRule="exact"/>
        <w:rPr>
          <w:sz w:val="20"/>
          <w:szCs w:val="20"/>
          <w:color w:val="auto"/>
        </w:rPr>
      </w:pPr>
    </w:p>
    <w:p>
      <w:pPr>
        <w:ind w:right="200" w:firstLine="495"/>
        <w:spacing w:after="0" w:line="263" w:lineRule="auto"/>
        <w:rPr>
          <w:sz w:val="20"/>
          <w:szCs w:val="20"/>
          <w:color w:val="auto"/>
        </w:rPr>
      </w:pPr>
      <w:r>
        <w:rPr>
          <w:rFonts w:ascii="Arial" w:cs="Arial" w:eastAsia="Arial" w:hAnsi="Arial"/>
          <w:sz w:val="18"/>
          <w:szCs w:val="18"/>
          <w:i w:val="1"/>
          <w:iCs w:val="1"/>
          <w:color w:val="auto"/>
        </w:rPr>
        <w:t xml:space="preserve">Mr. Philip Kan </w:t>
      </w:r>
      <w:r>
        <w:rPr>
          <w:rFonts w:ascii="Arial" w:cs="Arial" w:eastAsia="Arial" w:hAnsi="Arial"/>
          <w:sz w:val="18"/>
          <w:szCs w:val="18"/>
          <w:color w:val="auto"/>
        </w:rPr>
        <w:t>has served as our director since January 2021. Mr. Kan has extensive experience in management, finance, banking, capital market,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risk management, corporate governance and corporate development. Mr. Kan has been the responsible officer, director and the senior management of several financial institutions regulated by SFC since 2003. Mr.</w:t>
      </w:r>
    </w:p>
    <w:p>
      <w:pPr>
        <w:spacing w:after="0" w:line="184" w:lineRule="exact"/>
        <w:rPr>
          <w:sz w:val="20"/>
          <w:szCs w:val="20"/>
          <w:color w:val="auto"/>
        </w:rPr>
      </w:pPr>
    </w:p>
    <w:p>
      <w:pPr>
        <w:ind w:firstLine="495"/>
        <w:spacing w:after="0" w:line="290" w:lineRule="auto"/>
        <w:rPr>
          <w:sz w:val="20"/>
          <w:szCs w:val="20"/>
          <w:color w:val="auto"/>
        </w:rPr>
      </w:pPr>
      <w:r>
        <w:rPr>
          <w:rFonts w:ascii="Arial" w:cs="Arial" w:eastAsia="Arial" w:hAnsi="Arial"/>
          <w:sz w:val="16"/>
          <w:szCs w:val="16"/>
          <w:color w:val="auto"/>
        </w:rPr>
        <w:t>Kan was the founder and a director of Galileo Capital Group Ltd (HKEX:8029) from July 2000 to October 2008, a boutique corporate finance house providing services in co-sponsoring IPOs, shares placement, M&amp;A, assets management and financial advisory. Prior to founding Galileo Capital Group Ltd, Mr. Kan held senior positions in a number of prominent companies. Mr. Kan was the senior vice president for First Pacific Bank Limited, oversees the centralized banking services units (i.e. processing support units) and the Information Technology Division of the Bank. Prior to that, Mr. Kan was the manager of Systems &amp; Operations at HSBC from 1987 to 1992. Mr. Kan also held various management positions at the AIG Finance (HK) Ltd, General Electric Co and Bank of America earlier in his career. Mr. Kan received his MBA degree from Henley Management College, Brunel University in the United Kingdom. Mr. Kan also held a Fellow Membership of the Chartered Institute of Management (FCIM) and the Institute of Management Services (FMS) in the United Kingdom. Mr. Kan is currently a member of the Disciplinary Panel of the Hong Kong Institute of Certified Public Accountants.</w:t>
      </w:r>
    </w:p>
    <w:p>
      <w:pPr>
        <w:spacing w:after="0" w:line="165" w:lineRule="exact"/>
        <w:rPr>
          <w:sz w:val="20"/>
          <w:szCs w:val="20"/>
          <w:color w:val="auto"/>
        </w:rPr>
      </w:pPr>
    </w:p>
    <w:p>
      <w:pPr>
        <w:ind w:right="20" w:firstLine="495"/>
        <w:spacing w:after="0" w:line="272" w:lineRule="auto"/>
        <w:rPr>
          <w:sz w:val="20"/>
          <w:szCs w:val="20"/>
          <w:color w:val="auto"/>
        </w:rPr>
      </w:pPr>
      <w:r>
        <w:rPr>
          <w:rFonts w:ascii="Arial" w:cs="Arial" w:eastAsia="Arial" w:hAnsi="Arial"/>
          <w:sz w:val="17"/>
          <w:szCs w:val="17"/>
          <w:i w:val="1"/>
          <w:iCs w:val="1"/>
          <w:color w:val="auto"/>
        </w:rPr>
        <w:t xml:space="preserve">Mr. Terence Li </w:t>
      </w:r>
      <w:r>
        <w:rPr>
          <w:rFonts w:ascii="Arial" w:cs="Arial" w:eastAsia="Arial" w:hAnsi="Arial"/>
          <w:sz w:val="17"/>
          <w:szCs w:val="17"/>
          <w:color w:val="auto"/>
        </w:rPr>
        <w:t>has served as our director since July 2019 and our chief financial officer since January 1, 2019 and has served as our head of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since 2018. Mr. Li has approximately 18 years of experience in financial management, investment, and business operations. Prior to joining us, Mr. Li served in management roles and advisory capacities at several start-ups, in addition to financial management and fundraising roles. Mr. Li was a Vice President with our Series A investor, Sumitomo Corporation Equity Asia, and served on our board of directors between 2009 and 2013. Mr. Li also worked at PricewaterhouseCoopers, specializing in M&amp;A due diligence and cross border tax and deal structuring projects. Mr. Li received his bachelor’s degree in accounting from the HK Polytechnic University and an MBA with Distinction and Dean’s List honors from Oxford University’s Saïd Business School. Mr. Li is a Fellow Member of ACCA, a Member of HKICPA, and a Chartered Financial Analyst.</w:t>
      </w:r>
    </w:p>
    <w:p>
      <w:pPr>
        <w:spacing w:after="0" w:line="281" w:lineRule="exact"/>
        <w:rPr>
          <w:sz w:val="20"/>
          <w:szCs w:val="20"/>
          <w:color w:val="auto"/>
        </w:rPr>
      </w:pPr>
    </w:p>
    <w:p>
      <w:pPr>
        <w:jc w:val="right"/>
        <w:ind w:right="4780"/>
        <w:spacing w:after="0" w:line="488" w:lineRule="auto"/>
        <w:rPr>
          <w:sz w:val="20"/>
          <w:szCs w:val="20"/>
          <w:color w:val="auto"/>
        </w:rPr>
      </w:pPr>
      <w:r>
        <w:rPr>
          <w:rFonts w:ascii="Arial" w:cs="Arial" w:eastAsia="Arial" w:hAnsi="Arial"/>
          <w:sz w:val="16"/>
          <w:szCs w:val="16"/>
          <w:b w:val="1"/>
          <w:bCs w:val="1"/>
          <w:color w:val="auto"/>
        </w:rPr>
        <w:t xml:space="preserve">Employment Agreements and Indemnification Agreements with Executive Officers </w:t>
      </w:r>
      <w:r>
        <w:rPr>
          <w:rFonts w:ascii="Arial" w:cs="Arial" w:eastAsia="Arial" w:hAnsi="Arial"/>
          <w:sz w:val="16"/>
          <w:szCs w:val="16"/>
          <w:color w:val="auto"/>
        </w:rPr>
        <w:t>We have entered into employment agreements with each of our executive officers.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17" w:lineRule="exact"/>
        <w:rPr>
          <w:sz w:val="20"/>
          <w:szCs w:val="20"/>
          <w:color w:val="auto"/>
        </w:rPr>
      </w:pPr>
    </w:p>
    <w:p>
      <w:pPr>
        <w:ind w:right="60" w:firstLine="495"/>
        <w:spacing w:after="0" w:line="275" w:lineRule="auto"/>
        <w:rPr>
          <w:sz w:val="20"/>
          <w:szCs w:val="20"/>
          <w:color w:val="auto"/>
        </w:rPr>
      </w:pPr>
      <w:r>
        <w:rPr>
          <w:rFonts w:ascii="Arial" w:cs="Arial" w:eastAsia="Arial" w:hAnsi="Arial"/>
          <w:sz w:val="17"/>
          <w:szCs w:val="17"/>
          <w:color w:val="auto"/>
        </w:rPr>
        <w:t>Pursuant to these agreements, we will be entitled to terminate a senior executive officer’s employment for cause at any time without remuneration for certain act of dishonesty, serious misconduct or any other act that justifies immediate dismissal of the officer, or if that officer is precluded by law from performing his duty as an officer. We may also terminate a senior executive officer’s employment by giving three months’ prior written notice or three months’ salary if the senior executive officer is not qualified for his position after we provide relevant training to him. A senior executive officer may terminate his or her employment at any time by giving three months’ prior written notice.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IP</w:t>
      </w:r>
    </w:p>
    <w:p>
      <w:pPr>
        <w:spacing w:after="0" w:line="117" w:lineRule="exact"/>
        <w:rPr>
          <w:sz w:val="20"/>
          <w:szCs w:val="20"/>
          <w:color w:val="auto"/>
        </w:rPr>
      </w:pPr>
    </w:p>
    <w:p>
      <w:pPr>
        <w:ind w:right="160" w:firstLine="495"/>
        <w:spacing w:after="0" w:line="293" w:lineRule="auto"/>
        <w:rPr>
          <w:sz w:val="20"/>
          <w:szCs w:val="20"/>
          <w:color w:val="auto"/>
        </w:rPr>
      </w:pPr>
      <w:r>
        <w:rPr>
          <w:rFonts w:ascii="Arial" w:cs="Arial" w:eastAsia="Arial" w:hAnsi="Arial"/>
          <w:sz w:val="16"/>
          <w:szCs w:val="16"/>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including but not limited to, trade secrets, any information concerning the process, system, data, financials, dealings or other confidential business information. The executive officers have also agreed that all intellectual property rights which they conceive, develop, write or otherwise created in the course of their employment, whether during or outside normal working hours, will be vested solely in us, and the officers will, at our request and expense, execute such assignments and assurances as may be reasonably necessary to perfect our ownership of those rights.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Non-Competition and Non-Solicitation</w:t>
      </w:r>
    </w:p>
    <w:p>
      <w:pPr>
        <w:spacing w:after="0" w:line="117" w:lineRule="exact"/>
        <w:rPr>
          <w:sz w:val="20"/>
          <w:szCs w:val="20"/>
          <w:color w:val="auto"/>
        </w:rPr>
      </w:pPr>
    </w:p>
    <w:p>
      <w:pPr>
        <w:ind w:right="260" w:firstLine="495"/>
        <w:spacing w:after="0" w:line="301" w:lineRule="auto"/>
        <w:rPr>
          <w:sz w:val="20"/>
          <w:szCs w:val="20"/>
          <w:color w:val="auto"/>
        </w:rPr>
      </w:pPr>
      <w:r>
        <w:rPr>
          <w:rFonts w:ascii="Arial" w:cs="Arial" w:eastAsia="Arial" w:hAnsi="Arial"/>
          <w:sz w:val="16"/>
          <w:szCs w:val="16"/>
          <w:color w:val="auto"/>
        </w:rPr>
        <w:t>In addition, each executive officer has agreed to be bound by non-competition and non-solicitation restrictions during the term of his or her employment and typically for six months following the last date of employment, unless otherwise agreed. Specifically, during such term each executive officer has agreed not to (i) directly or indirectly engage or involve in any business which is in competition with us; (ii) directly or indirectly canvass or solicit from our clients any goods or services similar to ours; and (iii) entice, endeavor to entice, persuade or procure away any of our employees.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60" w:firstLine="495"/>
        <w:spacing w:after="0" w:line="263" w:lineRule="auto"/>
        <w:rPr>
          <w:sz w:val="20"/>
          <w:szCs w:val="20"/>
          <w:color w:val="auto"/>
        </w:rPr>
      </w:pPr>
      <w:r>
        <w:rPr>
          <w:rFonts w:ascii="Arial" w:cs="Arial" w:eastAsia="Arial" w:hAnsi="Arial"/>
          <w:sz w:val="18"/>
          <w:szCs w:val="18"/>
          <w:color w:val="auto"/>
        </w:rPr>
        <w:t>We have entered into indemnification agreements with each of our directors and executive officers. Under these agreements, we agree to indemnify our directors and executive officers against certain liabilities and expenses incurred by them in connection with claims made by reason of their being a director or officer of our company.</w:t>
      </w:r>
    </w:p>
    <w:p>
      <w:pPr>
        <w:spacing w:after="0" w:line="292"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Compensation of Directors and Executive Officers</w:t>
      </w:r>
    </w:p>
    <w:p>
      <w:pPr>
        <w:spacing w:after="0" w:line="117" w:lineRule="exact"/>
        <w:rPr>
          <w:sz w:val="20"/>
          <w:szCs w:val="20"/>
          <w:color w:val="auto"/>
        </w:rPr>
      </w:pPr>
    </w:p>
    <w:p>
      <w:pPr>
        <w:ind w:right="40" w:firstLine="495"/>
        <w:spacing w:after="0" w:line="254" w:lineRule="auto"/>
        <w:rPr>
          <w:sz w:val="20"/>
          <w:szCs w:val="20"/>
          <w:color w:val="auto"/>
        </w:rPr>
      </w:pPr>
      <w:r>
        <w:rPr>
          <w:rFonts w:ascii="Arial" w:cs="Arial" w:eastAsia="Arial" w:hAnsi="Arial"/>
          <w:sz w:val="18"/>
          <w:szCs w:val="18"/>
          <w:color w:val="auto"/>
        </w:rPr>
        <w:t>For the year ended December 31, 2020 we paid an aggregate of approximately US$0.3 million in cash to our executive officers, and we paid an aggregate of approximately US$0.2 million to our non-executive directors. Subject to the requirements under the applicable laws, we have not set aside or accrued any amount to provide pension, retirement or other similar benefits to our executive officers and directors. Our PRC subsidiaries and variable interest entity are required by law to make contributions based on the insurance scales set forth by the local government for employees’ pension insurance, medical insurance, unemployment insurance and other statutory benefits and a housing provident fund. Our Hong Kong subsidiaries are required by the Hong Kong Mandatory Provident Fund Schemes Ordinance to make monthly contributions to the mandatory provident fund scheme in an amount equal to at least 5% of an employee’s salary.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Plan</w:t>
      </w:r>
    </w:p>
    <w:p>
      <w:pPr>
        <w:spacing w:after="0" w:line="117" w:lineRule="exact"/>
        <w:rPr>
          <w:sz w:val="20"/>
          <w:szCs w:val="20"/>
          <w:color w:val="auto"/>
        </w:rPr>
      </w:pPr>
    </w:p>
    <w:p>
      <w:pPr>
        <w:ind w:right="60" w:firstLine="495"/>
        <w:spacing w:after="0" w:line="286" w:lineRule="auto"/>
        <w:rPr>
          <w:sz w:val="20"/>
          <w:szCs w:val="20"/>
          <w:color w:val="auto"/>
        </w:rPr>
      </w:pPr>
      <w:r>
        <w:rPr>
          <w:rFonts w:ascii="Arial" w:cs="Arial" w:eastAsia="Arial" w:hAnsi="Arial"/>
          <w:sz w:val="17"/>
          <w:szCs w:val="17"/>
          <w:color w:val="auto"/>
        </w:rPr>
        <w:t>Under the 2018 Plan, the maximum number of ordinary shares that may be issued to the beneficiaries is 2,398,137, which have been issued to Arda as trustee to the beneficiaries of the 2018 Plan. As of March 31, 2021, options to purchase 375,597 ordinary shares are outstanding, including unvested options to purchase 110 ordinary shares, and vested and unexercised options to purchase 375,487 ordinary shares.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paragraphs describe the principal terms of the 2018 Plan.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Type of Awards. </w:t>
      </w:r>
      <w:r>
        <w:rPr>
          <w:rFonts w:ascii="Arial" w:cs="Arial" w:eastAsia="Arial" w:hAnsi="Arial"/>
          <w:sz w:val="18"/>
          <w:szCs w:val="18"/>
          <w:color w:val="auto"/>
        </w:rPr>
        <w:t>The 2018 Plan permits the award of options to purchase our ordinary shares.</w:t>
      </w:r>
    </w:p>
    <w:p>
      <w:pPr>
        <w:spacing w:after="0" w:line="225" w:lineRule="exact"/>
        <w:rPr>
          <w:sz w:val="20"/>
          <w:szCs w:val="20"/>
          <w:color w:val="auto"/>
        </w:rPr>
      </w:pPr>
    </w:p>
    <w:p>
      <w:pPr>
        <w:ind w:firstLine="495"/>
        <w:spacing w:after="0" w:line="257" w:lineRule="auto"/>
        <w:rPr>
          <w:sz w:val="20"/>
          <w:szCs w:val="20"/>
          <w:color w:val="auto"/>
        </w:rPr>
      </w:pPr>
      <w:r>
        <w:rPr>
          <w:rFonts w:ascii="Arial" w:cs="Arial" w:eastAsia="Arial" w:hAnsi="Arial"/>
          <w:sz w:val="18"/>
          <w:szCs w:val="18"/>
          <w:b w:val="1"/>
          <w:bCs w:val="1"/>
          <w:i w:val="1"/>
          <w:iCs w:val="1"/>
          <w:color w:val="auto"/>
        </w:rPr>
        <w:t xml:space="preserve">Trustee. </w:t>
      </w:r>
      <w:r>
        <w:rPr>
          <w:rFonts w:ascii="Arial" w:cs="Arial" w:eastAsia="Arial" w:hAnsi="Arial"/>
          <w:sz w:val="18"/>
          <w:szCs w:val="18"/>
          <w:color w:val="auto"/>
        </w:rPr>
        <w:t>Mr. Wing Hong Sammy Hsieh through Arda upon trust serves as the trustee to the beneficiaries of the 2018 Plan. Upon a grantee’s exercise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any options awarded under the 2010 Plan, the trustee shall hold the resulting ordinary shares until a public offering of our ordinary shares on a stock exchange or if our board of directors decides to transfer the ordinary shares to the grantee, and until either of such transfer events, the trustee shall pay cash or other dividend payments on these ordinary shares to the grantee. The trustee shall only deal with the trust properties in such manner as our board of directors from time to time directs in writing.</w:t>
      </w:r>
    </w:p>
    <w:p>
      <w:pPr>
        <w:spacing w:after="0" w:line="188" w:lineRule="exact"/>
        <w:rPr>
          <w:sz w:val="20"/>
          <w:szCs w:val="20"/>
          <w:color w:val="auto"/>
        </w:rPr>
      </w:pPr>
    </w:p>
    <w:p>
      <w:pPr>
        <w:ind w:right="80" w:firstLine="495"/>
        <w:spacing w:after="0" w:line="259"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Any award granted under the 2018 Plan is evidenced by an award agreement that sets forth terms, conditions and limitations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award, 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employees of our company or any of our subsidiaries.</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79" w:right="399" w:bottom="1440" w:gutter="0" w:footer="0" w:header="0"/>
        </w:sectPr>
      </w:pPr>
    </w:p>
    <w:bookmarkStart w:id="96" w:name="page97"/>
    <w:bookmarkEnd w:id="96"/>
    <w:p>
      <w:pPr>
        <w:ind w:right="80" w:firstLine="495"/>
        <w:spacing w:after="0" w:line="279" w:lineRule="auto"/>
        <w:rPr>
          <w:sz w:val="20"/>
          <w:szCs w:val="20"/>
          <w:color w:val="auto"/>
        </w:rPr>
      </w:pPr>
      <w:r>
        <w:rPr>
          <w:rFonts w:ascii="Arial" w:cs="Arial" w:eastAsia="Arial" w:hAnsi="Arial"/>
          <w:sz w:val="17"/>
          <w:szCs w:val="17"/>
          <w:b w:val="1"/>
          <w:bCs w:val="1"/>
          <w:i w:val="1"/>
          <w:iCs w:val="1"/>
          <w:color w:val="auto"/>
        </w:rPr>
        <w:t xml:space="preserve">Vesting Schedule. </w:t>
      </w:r>
      <w:r>
        <w:rPr>
          <w:rFonts w:ascii="Arial" w:cs="Arial" w:eastAsia="Arial" w:hAnsi="Arial"/>
          <w:sz w:val="17"/>
          <w:szCs w:val="17"/>
          <w:color w:val="auto"/>
        </w:rPr>
        <w:t>Unless otherwise stated in respective grants, subject to forfeiture and arrangement on termination of employment or service, 25%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share options shall be vested at the one-year anniversary of the grant date and 1/36 of the remaining 75% of the shares options shall be vested per month thereafter. In the event a take-over offer is made to our ordinary shares, we will use our best endeavors to procure that such take-over offer be extended to any ordinary shares that may be allotted pursuant to the exercise of unexercised share options.</w:t>
      </w:r>
    </w:p>
    <w:p>
      <w:pPr>
        <w:spacing w:after="0" w:line="171" w:lineRule="exact"/>
        <w:rPr>
          <w:sz w:val="20"/>
          <w:szCs w:val="20"/>
          <w:color w:val="auto"/>
        </w:rPr>
      </w:pPr>
    </w:p>
    <w:p>
      <w:pPr>
        <w:ind w:right="240" w:firstLine="495"/>
        <w:spacing w:after="0" w:line="259" w:lineRule="auto"/>
        <w:rPr>
          <w:sz w:val="20"/>
          <w:szCs w:val="20"/>
          <w:color w:val="auto"/>
        </w:rPr>
      </w:pPr>
      <w:r>
        <w:rPr>
          <w:rFonts w:ascii="Arial" w:cs="Arial" w:eastAsia="Arial" w:hAnsi="Arial"/>
          <w:sz w:val="18"/>
          <w:szCs w:val="18"/>
          <w:b w:val="1"/>
          <w:bCs w:val="1"/>
          <w:i w:val="1"/>
          <w:iCs w:val="1"/>
          <w:color w:val="auto"/>
        </w:rPr>
        <w:t xml:space="preserve">Exercise of Options. </w:t>
      </w:r>
      <w:r>
        <w:rPr>
          <w:rFonts w:ascii="Arial" w:cs="Arial" w:eastAsia="Arial" w:hAnsi="Arial"/>
          <w:sz w:val="18"/>
          <w:szCs w:val="18"/>
          <w:color w:val="auto"/>
        </w:rPr>
        <w:t>Vested options will become exercisable during the first five business days of January, April, July and October until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date of the 2018 Plan, subject to other terms and conditions provided in the relevant award agreements. Once all the preconditions are met, a participant may exercise options in whole or in part by giving written notice of exercise to us specifying information such as the number of shares to be purchased.</w:t>
      </w:r>
    </w:p>
    <w:p>
      <w:pPr>
        <w:spacing w:after="0" w:line="187" w:lineRule="exact"/>
        <w:rPr>
          <w:sz w:val="20"/>
          <w:szCs w:val="20"/>
          <w:color w:val="auto"/>
        </w:rPr>
      </w:pPr>
    </w:p>
    <w:p>
      <w:pPr>
        <w:ind w:right="100" w:firstLine="495"/>
        <w:spacing w:after="0" w:line="263"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The participant will not be permitted to transfer, assign, dispose of, or create or purport to create any encumbrances over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In principle, all options shall be exercisable only by the participants. Any such transfer, assignment, disposal or encumbrance or purported encumbrance shall result in the automatic cancellation of the option.</w:t>
      </w:r>
    </w:p>
    <w:p>
      <w:pPr>
        <w:spacing w:after="0" w:line="184" w:lineRule="exact"/>
        <w:rPr>
          <w:sz w:val="20"/>
          <w:szCs w:val="20"/>
          <w:color w:val="auto"/>
        </w:rPr>
      </w:pPr>
    </w:p>
    <w:p>
      <w:pPr>
        <w:ind w:right="140" w:firstLine="495"/>
        <w:spacing w:after="0" w:line="277" w:lineRule="auto"/>
        <w:rPr>
          <w:sz w:val="20"/>
          <w:szCs w:val="20"/>
          <w:color w:val="auto"/>
        </w:rPr>
      </w:pPr>
      <w:r>
        <w:rPr>
          <w:rFonts w:ascii="Arial" w:cs="Arial" w:eastAsia="Arial" w:hAnsi="Arial"/>
          <w:sz w:val="18"/>
          <w:szCs w:val="18"/>
          <w:b w:val="1"/>
          <w:bCs w:val="1"/>
          <w:i w:val="1"/>
          <w:iCs w:val="1"/>
          <w:color w:val="auto"/>
        </w:rPr>
        <w:t xml:space="preserve">Termination and amendment of the 2018 Plan. </w:t>
      </w:r>
      <w:r>
        <w:rPr>
          <w:rFonts w:ascii="Arial" w:cs="Arial" w:eastAsia="Arial" w:hAnsi="Arial"/>
          <w:sz w:val="18"/>
          <w:szCs w:val="18"/>
          <w:color w:val="auto"/>
        </w:rPr>
        <w:t>Our board of directors may amend or discontinue the 2018 Plan, provided that such amendment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shall not impair the rights of a participant under any award without such participant’s consent.</w:t>
      </w:r>
    </w:p>
    <w:p>
      <w:pPr>
        <w:spacing w:after="0" w:line="170" w:lineRule="exact"/>
        <w:rPr>
          <w:sz w:val="20"/>
          <w:szCs w:val="20"/>
          <w:color w:val="auto"/>
        </w:rPr>
      </w:pPr>
    </w:p>
    <w:p>
      <w:pPr>
        <w:ind w:right="120" w:firstLine="495"/>
        <w:spacing w:after="0" w:line="277" w:lineRule="auto"/>
        <w:rPr>
          <w:sz w:val="20"/>
          <w:szCs w:val="20"/>
          <w:color w:val="auto"/>
        </w:rPr>
      </w:pPr>
      <w:r>
        <w:rPr>
          <w:rFonts w:ascii="Arial" w:cs="Arial" w:eastAsia="Arial" w:hAnsi="Arial"/>
          <w:sz w:val="18"/>
          <w:szCs w:val="18"/>
          <w:color w:val="auto"/>
        </w:rPr>
        <w:t>The following table summarizes, as of March 31, 2021, the outstanding options granted under the 2018 Plan to our directors, executive officers and other grantees.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Ordinary Shares</w:t>
            </w: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Exercise Price</w:t>
            </w: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880" w:type="dxa"/>
            <w:vAlign w:val="bottom"/>
            <w:gridSpan w:val="2"/>
            <w:vMerge w:val="continue"/>
          </w:tcPr>
          <w:p>
            <w:pPr>
              <w:spacing w:after="0"/>
              <w:rPr>
                <w:sz w:val="12"/>
                <w:szCs w:val="12"/>
                <w:color w:val="auto"/>
              </w:rPr>
            </w:pPr>
          </w:p>
        </w:tc>
        <w:tc>
          <w:tcPr>
            <w:tcW w:w="1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Grant Date</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(US$/Share)</w:t>
            </w:r>
          </w:p>
        </w:tc>
        <w:tc>
          <w:tcPr>
            <w:tcW w:w="1880" w:type="dxa"/>
            <w:vAlign w:val="bottom"/>
            <w:gridSpan w:val="2"/>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Jian Tang</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0.2687—4.0304</w:t>
            </w:r>
          </w:p>
        </w:tc>
        <w:tc>
          <w:tcPr>
            <w:tcW w:w="16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August 1, 2015</w:t>
            </w:r>
          </w:p>
        </w:tc>
        <w:tc>
          <w:tcPr>
            <w:tcW w:w="16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August 1, 2025</w:t>
            </w: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Other grantees</w:t>
            </w:r>
          </w:p>
        </w:tc>
        <w:tc>
          <w:tcPr>
            <w:tcW w:w="1600" w:type="dxa"/>
            <w:vAlign w:val="bottom"/>
          </w:tcPr>
          <w:p>
            <w:pPr>
              <w:jc w:val="right"/>
              <w:spacing w:after="0"/>
              <w:rPr>
                <w:sz w:val="20"/>
                <w:szCs w:val="20"/>
                <w:color w:val="auto"/>
              </w:rPr>
            </w:pPr>
            <w:r>
              <w:rPr>
                <w:rFonts w:ascii="Arial" w:cs="Arial" w:eastAsia="Arial" w:hAnsi="Arial"/>
                <w:sz w:val="18"/>
                <w:szCs w:val="18"/>
                <w:color w:val="auto"/>
              </w:rPr>
              <w:t>375,597</w:t>
            </w:r>
          </w:p>
        </w:tc>
        <w:tc>
          <w:tcPr>
            <w:tcW w:w="26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0.2687—20.0000</w:t>
            </w: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April 1, 2011 to</w:t>
            </w: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April 1, 2023 to</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July 1, 2017</w:t>
            </w:r>
          </w:p>
        </w:tc>
        <w:tc>
          <w:tcPr>
            <w:tcW w:w="1720" w:type="dxa"/>
            <w:vAlign w:val="bottom"/>
          </w:tcPr>
          <w:p>
            <w:pPr>
              <w:jc w:val="center"/>
              <w:spacing w:after="0"/>
              <w:rPr>
                <w:sz w:val="20"/>
                <w:szCs w:val="20"/>
                <w:color w:val="auto"/>
              </w:rPr>
            </w:pPr>
            <w:r>
              <w:rPr>
                <w:rFonts w:ascii="Arial" w:cs="Arial" w:eastAsia="Arial" w:hAnsi="Arial"/>
                <w:sz w:val="18"/>
                <w:szCs w:val="18"/>
                <w:color w:val="auto"/>
                <w:w w:val="96"/>
              </w:rPr>
              <w:t>April 1,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0485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Less than 1% of our total outstanding ordinary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and 2018 Performance-Based Incentive Shares</w:t>
      </w:r>
    </w:p>
    <w:p>
      <w:pPr>
        <w:spacing w:after="0" w:line="117" w:lineRule="exact"/>
        <w:rPr>
          <w:sz w:val="20"/>
          <w:szCs w:val="20"/>
          <w:color w:val="auto"/>
        </w:rPr>
      </w:pPr>
    </w:p>
    <w:p>
      <w:pPr>
        <w:ind w:right="180" w:firstLine="495"/>
        <w:spacing w:after="0" w:line="263" w:lineRule="auto"/>
        <w:rPr>
          <w:sz w:val="20"/>
          <w:szCs w:val="20"/>
          <w:color w:val="auto"/>
        </w:rPr>
      </w:pPr>
      <w:r>
        <w:rPr>
          <w:rFonts w:ascii="Arial" w:cs="Arial" w:eastAsia="Arial" w:hAnsi="Arial"/>
          <w:sz w:val="18"/>
          <w:szCs w:val="18"/>
          <w:color w:val="auto"/>
        </w:rPr>
        <w:t>In December 2016, our board of directors and shareholders authorized the issuance of 1,068,114 ordinary shares to Mr. Jian Tang and certain other employees in China upon the fulfillment of certain performance conditions in 2017, and the issuance of 801,086 ordinary shares to Mr. Jian Tang and certain other employees in China upon the fulfillment of certain performance conditions in 2018.</w:t>
      </w:r>
    </w:p>
    <w:p>
      <w:pPr>
        <w:spacing w:after="0" w:line="184" w:lineRule="exact"/>
        <w:rPr>
          <w:sz w:val="20"/>
          <w:szCs w:val="20"/>
          <w:color w:val="auto"/>
        </w:rPr>
      </w:pPr>
    </w:p>
    <w:p>
      <w:pPr>
        <w:ind w:right="200" w:firstLine="495"/>
        <w:spacing w:after="0" w:line="277" w:lineRule="auto"/>
        <w:rPr>
          <w:sz w:val="20"/>
          <w:szCs w:val="20"/>
          <w:color w:val="auto"/>
        </w:rPr>
      </w:pPr>
      <w:r>
        <w:rPr>
          <w:rFonts w:ascii="Arial" w:cs="Arial" w:eastAsia="Arial" w:hAnsi="Arial"/>
          <w:sz w:val="18"/>
          <w:szCs w:val="18"/>
          <w:color w:val="auto"/>
        </w:rPr>
        <w:t>Since the performance conditions were not fulfilled in 2017 and 2018, the 1,068,114 and 801,086 ordinary shares were not issued to Mr. Jian Tang and certain other employees.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Post-IPO Plan</w:t>
      </w:r>
    </w:p>
    <w:p>
      <w:pPr>
        <w:spacing w:after="0" w:line="117" w:lineRule="exact"/>
        <w:rPr>
          <w:sz w:val="20"/>
          <w:szCs w:val="20"/>
          <w:color w:val="auto"/>
        </w:rPr>
      </w:pPr>
    </w:p>
    <w:p>
      <w:pPr>
        <w:ind w:right="20" w:firstLine="495"/>
        <w:spacing w:after="0" w:line="288" w:lineRule="auto"/>
        <w:rPr>
          <w:sz w:val="20"/>
          <w:szCs w:val="20"/>
          <w:color w:val="auto"/>
        </w:rPr>
      </w:pPr>
      <w:r>
        <w:rPr>
          <w:rFonts w:ascii="Arial" w:cs="Arial" w:eastAsia="Arial" w:hAnsi="Arial"/>
          <w:sz w:val="16"/>
          <w:szCs w:val="16"/>
          <w:color w:val="auto"/>
        </w:rPr>
        <w:t>Under our Post-IPO Plan, previously named as 2017 Share Incentive Plan, which became effective in December 2017, directors and consultants and promote the success of our business. On September 22, 2018, August 31, 2020 and February 26, 2021, our board of directors approved an increase of 1,500,000 Class A ordinary shares, 1,000,000 Class A ordinary shares, and 1,000,000 Class A ordinary shares, respectively, to the award pool under the Post-IPO Plan. As a result, the maximum number of ordinary shares which may be issued pursuant to all awards under the Post-IPO Plan will initially be 4,500,000 Class A ordinary shares, plus an annual increase on the first day of each of our fiscal year during the term of the Post-IPO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 As of March 31, 2021, the award pool under the Post-IPO Plan is 4,991,374 Class A ordinary shares. As of March 31, 2021, 1,336,233 Class A ordinary shares are outstanding under our Post-IPO Plan, representing the shares underlying the unvested 1,336,233 restricted Class A ordinary shares units.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7" w:name="page98"/>
    <w:bookmarkEnd w:id="97"/>
    <w:p>
      <w:pPr>
        <w:ind w:left="500"/>
        <w:spacing w:after="0"/>
        <w:rPr>
          <w:sz w:val="20"/>
          <w:szCs w:val="20"/>
          <w:color w:val="auto"/>
        </w:rPr>
      </w:pPr>
      <w:r>
        <w:rPr>
          <w:rFonts w:ascii="Arial" w:cs="Arial" w:eastAsia="Arial" w:hAnsi="Arial"/>
          <w:sz w:val="18"/>
          <w:szCs w:val="18"/>
          <w:color w:val="auto"/>
        </w:rPr>
        <w:t>The following paragraphs describe the principal terms of the Post-IPO Plan.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Types of Awards. </w:t>
      </w:r>
      <w:r>
        <w:rPr>
          <w:rFonts w:ascii="Arial" w:cs="Arial" w:eastAsia="Arial" w:hAnsi="Arial"/>
          <w:sz w:val="18"/>
          <w:szCs w:val="18"/>
          <w:color w:val="auto"/>
        </w:rPr>
        <w:t>The Post-IPO Plan permits the awards of options, restricted shares and restricted share units.</w:t>
      </w:r>
    </w:p>
    <w:p>
      <w:pPr>
        <w:spacing w:after="0" w:line="225" w:lineRule="exact"/>
        <w:rPr>
          <w:sz w:val="20"/>
          <w:szCs w:val="20"/>
          <w:color w:val="auto"/>
        </w:rPr>
      </w:pPr>
    </w:p>
    <w:p>
      <w:pPr>
        <w:ind w:right="80" w:firstLine="495"/>
        <w:spacing w:after="0" w:line="263"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Our board of directors or a committee of one or more members of the board of directors will administer the Post-IPO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or the full board of directors, as applicable, will determine the participants to receive awards, the type and number of awards to be granted to each participant, and the terms and conditions of each award grant.</w:t>
      </w:r>
    </w:p>
    <w:p>
      <w:pPr>
        <w:spacing w:after="0" w:line="184" w:lineRule="exact"/>
        <w:rPr>
          <w:sz w:val="20"/>
          <w:szCs w:val="20"/>
          <w:color w:val="auto"/>
        </w:rPr>
      </w:pPr>
    </w:p>
    <w:p>
      <w:pPr>
        <w:ind w:firstLine="495"/>
        <w:spacing w:after="0" w:line="263"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Awards granted under the Post-IPO Plan are evidenced by an award agreement that sets forth terms, conditions and limitations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each award, which may include the term of the award, the provisions applicable in the event of the grantee’s employment or service terminates, and our authority to unilaterally or bilaterally amend, modify, suspend, cancel or rescind the award.</w:t>
      </w:r>
    </w:p>
    <w:p>
      <w:pPr>
        <w:spacing w:after="0" w:line="184" w:lineRule="exact"/>
        <w:rPr>
          <w:sz w:val="20"/>
          <w:szCs w:val="20"/>
          <w:color w:val="auto"/>
        </w:rPr>
      </w:pPr>
    </w:p>
    <w:p>
      <w:pPr>
        <w:ind w:right="140" w:firstLine="495"/>
        <w:spacing w:after="0" w:line="277"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our employees, directors and consultants of our company. However, we may grant options that are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qualify as incentive share options only to our employees and employees of our parent companies and subsidiaries.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 xml:space="preserve">Vesting Schedule. </w:t>
      </w:r>
      <w:r>
        <w:rPr>
          <w:rFonts w:ascii="Arial" w:cs="Arial" w:eastAsia="Arial" w:hAnsi="Arial"/>
          <w:sz w:val="17"/>
          <w:szCs w:val="17"/>
          <w:color w:val="auto"/>
        </w:rPr>
        <w:t>In general, the plan administrator determines the vesting schedule, which is specified in the relevant award agreement.</w:t>
      </w:r>
    </w:p>
    <w:p>
      <w:pPr>
        <w:spacing w:after="0" w:line="237" w:lineRule="exact"/>
        <w:rPr>
          <w:sz w:val="20"/>
          <w:szCs w:val="20"/>
          <w:color w:val="auto"/>
        </w:rPr>
      </w:pPr>
    </w:p>
    <w:p>
      <w:pPr>
        <w:ind w:right="460" w:firstLine="495"/>
        <w:spacing w:after="0" w:line="263" w:lineRule="auto"/>
        <w:rPr>
          <w:sz w:val="20"/>
          <w:szCs w:val="20"/>
          <w:color w:val="auto"/>
        </w:rPr>
      </w:pPr>
      <w:r>
        <w:rPr>
          <w:rFonts w:ascii="Arial" w:cs="Arial" w:eastAsia="Arial" w:hAnsi="Arial"/>
          <w:sz w:val="18"/>
          <w:szCs w:val="18"/>
          <w:b w:val="1"/>
          <w:bCs w:val="1"/>
          <w:i w:val="1"/>
          <w:iCs w:val="1"/>
          <w:color w:val="auto"/>
        </w:rPr>
        <w:t xml:space="preserve">Exercise of Options. </w:t>
      </w:r>
      <w:r>
        <w:rPr>
          <w:rFonts w:ascii="Arial" w:cs="Arial" w:eastAsia="Arial" w:hAnsi="Arial"/>
          <w:sz w:val="18"/>
          <w:szCs w:val="18"/>
          <w:color w:val="auto"/>
        </w:rPr>
        <w:t>The plan administrator determines the exercise price for each award, which is stated in the award agreement. The 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option will expire if not exercised prior to the time as the plan administrator determines at the time of its grant. However, the maximum exercisable term is ten years from the date of a grant.</w:t>
      </w:r>
    </w:p>
    <w:p>
      <w:pPr>
        <w:spacing w:after="0" w:line="184" w:lineRule="exact"/>
        <w:rPr>
          <w:sz w:val="20"/>
          <w:szCs w:val="20"/>
          <w:color w:val="auto"/>
        </w:rPr>
      </w:pPr>
    </w:p>
    <w:p>
      <w:pPr>
        <w:ind w:right="400" w:firstLine="495"/>
        <w:spacing w:after="0" w:line="277"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Awards may not be transferred in any manner by the recipient other than by will or the laws of descent and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otherwise provided by the plan administrator.</w:t>
      </w:r>
    </w:p>
    <w:p>
      <w:pPr>
        <w:spacing w:after="0" w:line="170" w:lineRule="exact"/>
        <w:rPr>
          <w:sz w:val="20"/>
          <w:szCs w:val="20"/>
          <w:color w:val="auto"/>
        </w:rPr>
      </w:pPr>
    </w:p>
    <w:p>
      <w:pPr>
        <w:ind w:firstLine="495"/>
        <w:spacing w:after="0" w:line="301" w:lineRule="auto"/>
        <w:rPr>
          <w:sz w:val="20"/>
          <w:szCs w:val="20"/>
          <w:color w:val="auto"/>
        </w:rPr>
      </w:pPr>
      <w:r>
        <w:rPr>
          <w:rFonts w:ascii="Arial" w:cs="Arial" w:eastAsia="Arial" w:hAnsi="Arial"/>
          <w:sz w:val="16"/>
          <w:szCs w:val="16"/>
          <w:b w:val="1"/>
          <w:bCs w:val="1"/>
          <w:i w:val="1"/>
          <w:iCs w:val="1"/>
          <w:color w:val="auto"/>
        </w:rPr>
        <w:t xml:space="preserve">Termination and amendment of the Post-IPO Plan. </w:t>
      </w:r>
      <w:r>
        <w:rPr>
          <w:rFonts w:ascii="Arial" w:cs="Arial" w:eastAsia="Arial" w:hAnsi="Arial"/>
          <w:sz w:val="16"/>
          <w:szCs w:val="16"/>
          <w:color w:val="auto"/>
        </w:rPr>
        <w:t>Unless terminated earlier, the Post-IPO Plan has a term often years. Our board of directors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authority to amend or terminate the plan subject to shareholder approval to the extent necessary to comply with applicable law. Shareholder approval is required for any amendment to the Post-IPO Plan that (i) increases the number of shares available under the Post-IPO Plan, or (ii) permits the plan administrator to extend the term of the Post-IPO Plan or the exercise period for an option beyond ten years from the date of grant.</w:t>
      </w:r>
    </w:p>
    <w:p>
      <w:pPr>
        <w:spacing w:after="0" w:line="265"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Board Practices</w:t>
      </w:r>
    </w:p>
    <w:p>
      <w:pPr>
        <w:spacing w:after="0" w:line="117" w:lineRule="exact"/>
        <w:rPr>
          <w:sz w:val="20"/>
          <w:szCs w:val="20"/>
          <w:color w:val="auto"/>
        </w:rPr>
      </w:pPr>
    </w:p>
    <w:p>
      <w:pPr>
        <w:ind w:firstLine="495"/>
        <w:spacing w:after="0" w:line="287" w:lineRule="auto"/>
        <w:rPr>
          <w:sz w:val="20"/>
          <w:szCs w:val="20"/>
          <w:color w:val="auto"/>
        </w:rPr>
      </w:pPr>
      <w:r>
        <w:rPr>
          <w:rFonts w:ascii="Arial" w:cs="Arial" w:eastAsia="Arial" w:hAnsi="Arial"/>
          <w:sz w:val="16"/>
          <w:szCs w:val="16"/>
          <w:color w:val="auto"/>
        </w:rPr>
        <w:t>Our board of directors consists of eight directors, including executive directors and non-executive directors. Pursuant to our ninth amended and restated memorandum and articles of association, the size of our board of directors shall be limited to nine. Please refer to “Item 3. Key Information—D. Risk Factors—Risks Related to Our American Depositary Shares—As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 executive directors has a service contract with us that provides for benefits upon termination of service.</w:t>
      </w:r>
    </w:p>
    <w:p>
      <w:pPr>
        <w:spacing w:after="0" w:line="172" w:lineRule="exact"/>
        <w:rPr>
          <w:sz w:val="20"/>
          <w:szCs w:val="20"/>
          <w:color w:val="auto"/>
        </w:rPr>
      </w:pPr>
    </w:p>
    <w:p>
      <w:pPr>
        <w:ind w:right="40" w:firstLine="495"/>
        <w:spacing w:after="0" w:line="291" w:lineRule="auto"/>
        <w:rPr>
          <w:sz w:val="20"/>
          <w:szCs w:val="20"/>
          <w:color w:val="auto"/>
        </w:rPr>
      </w:pPr>
      <w:r>
        <w:rPr>
          <w:rFonts w:ascii="Arial" w:cs="Arial" w:eastAsia="Arial" w:hAnsi="Arial"/>
          <w:sz w:val="16"/>
          <w:szCs w:val="16"/>
          <w:color w:val="auto"/>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 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71" w:right="41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100" w:firstLine="495"/>
        <w:spacing w:after="0" w:line="290" w:lineRule="auto"/>
        <w:rPr>
          <w:sz w:val="20"/>
          <w:szCs w:val="20"/>
          <w:color w:val="auto"/>
        </w:rPr>
      </w:pPr>
      <w:r>
        <w:rPr>
          <w:rFonts w:ascii="Arial" w:cs="Arial" w:eastAsia="Arial" w:hAnsi="Arial"/>
          <w:sz w:val="16"/>
          <w:szCs w:val="16"/>
          <w:color w:val="auto"/>
        </w:rPr>
        <w:t>We are a foreign private issuer (as such term is defined in Rule 3b-4 under the Exchange Act), and our ADSs are listed on the NASDAQ Global Market. Under Section 5615 of the NASDAQ Stock Market Rules, NASDAQ-listed companies that are foreign private issuers are permitted to follow home country practice in lieu of the corporate governance provisions specified by NASDAQ with limited exceptions. Please refer to “Item 3. Key Information—D. Risk Factors—Risks Related to Our American Depositary Shares—As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We have established an audit committee, a compensation committee, and a nominating and corporate governance committee under the board of directors. We have adopted a charter for each of the three committees. Each committee’s members and functions are described below.</w:t>
      </w:r>
    </w:p>
    <w:p>
      <w:pPr>
        <w:spacing w:after="0" w:line="165" w:lineRule="exact"/>
        <w:rPr>
          <w:sz w:val="20"/>
          <w:szCs w:val="20"/>
          <w:color w:val="auto"/>
        </w:rPr>
      </w:pPr>
    </w:p>
    <w:p>
      <w:pPr>
        <w:ind w:right="20" w:firstLine="495"/>
        <w:spacing w:after="0" w:line="296"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Our audit committee consists of Matthew Chu Pong Fong, Lub Bun Chong, and Dylan Huang, and is chaired by Matthew Chu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Pong Fong. Lub Bun Chong, Matthew Chu Pong Fong and Dylan Huang each satisfy the “independence” requirements of the Rule 5605(a)(2) of the Listing Rules of the NASDAQ Stock Market and meet the independence standards under Rule 10A-3 under the Exchange Act. We have determined that each of Matthew Chu Pong Fong, and Lub Bun Chong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53" w:lineRule="exact"/>
        <w:rPr>
          <w:sz w:val="20"/>
          <w:szCs w:val="20"/>
          <w:color w:val="auto"/>
        </w:rPr>
      </w:pPr>
    </w:p>
    <w:p>
      <w:pPr>
        <w:ind w:left="980" w:right="60" w:hanging="486"/>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and pre-screening all auditing and non-auditing services permitted to be performed by the independent registered public accounting firm;</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reviewing with the independent registered public accounting firm any audit problems or difficulties and management’s response;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reviewing and approving all proposed related party transactions, as defined in Item 404 of Regulation S-K under the Securities Act;</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reporting regularly to the board of directors.</w:t>
      </w:r>
    </w:p>
    <w:p>
      <w:pPr>
        <w:spacing w:after="0" w:line="225" w:lineRule="exact"/>
        <w:rPr>
          <w:sz w:val="20"/>
          <w:szCs w:val="20"/>
          <w:color w:val="auto"/>
        </w:rPr>
      </w:pPr>
    </w:p>
    <w:p>
      <w:pPr>
        <w:ind w:firstLine="495"/>
        <w:spacing w:after="0" w:line="257"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consists of Dylan Huang, Wing Hong Sammy Hsieh and Jian Tang, and is chaired by Dylan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Huang. Dylan Huang satisfies the “independence” requirements of the Listing Rules of the NASDAQ Stock Market.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80" w:lineRule="exact"/>
        <w:rPr>
          <w:sz w:val="20"/>
          <w:szCs w:val="20"/>
          <w:color w:val="auto"/>
        </w:rPr>
      </w:pPr>
    </w:p>
    <w:p>
      <w:pPr>
        <w:ind w:left="980" w:hanging="486"/>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the total compensation package for our executive officers and making recommendations to the board with respect to it;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the compensation of our directors and making recommendations to the board with respect to it; and</w:t>
      </w:r>
    </w:p>
    <w:p>
      <w:pPr>
        <w:spacing w:after="0" w:line="117" w:lineRule="exact"/>
        <w:rPr>
          <w:rFonts w:ascii="Arial" w:cs="Arial" w:eastAsia="Arial" w:hAnsi="Arial"/>
          <w:sz w:val="18"/>
          <w:szCs w:val="18"/>
          <w:color w:val="auto"/>
        </w:rPr>
      </w:pPr>
    </w:p>
    <w:p>
      <w:pPr>
        <w:ind w:left="980" w:right="540" w:hanging="486"/>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periodically reviewing and approving any long-term incentive compensation or equity plans, programs or similar arrangements, annual bonuses, and employee pension and welfare benefit plans.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99" w:name="page100"/>
    <w:bookmarkEnd w:id="99"/>
    <w:p>
      <w:pPr>
        <w:ind w:right="180" w:firstLine="495"/>
        <w:spacing w:after="0" w:line="257"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Our nominating and corporate governance committee consists of Philip Kan, Wing Hong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Sammy Hsieh and Jian Tang, and is chaired by Philip Kan. Philip Kan satisfies the “independence” requirements of the Listing Rules of the NASDAQ Stock Market. The nominating and corporate governance committee will assist the board in selecting individuals qualified to become our directors and in determining the composition of the board and its committees. The nominating and corporate governance committee will be responsible for, among other things:</w:t>
      </w:r>
    </w:p>
    <w:p>
      <w:pPr>
        <w:spacing w:after="0" w:line="80" w:lineRule="exact"/>
        <w:rPr>
          <w:sz w:val="20"/>
          <w:szCs w:val="20"/>
          <w:color w:val="auto"/>
        </w:rPr>
      </w:pPr>
    </w:p>
    <w:p>
      <w:pPr>
        <w:ind w:left="980" w:hanging="486"/>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recommending nominees to the board for election or re-election to the board, or for appointment to fill any vacancy on the board;</w:t>
      </w:r>
    </w:p>
    <w:p>
      <w:pPr>
        <w:spacing w:after="0" w:line="117" w:lineRule="exact"/>
        <w:rPr>
          <w:rFonts w:ascii="Arial" w:cs="Arial" w:eastAsia="Arial" w:hAnsi="Arial"/>
          <w:sz w:val="18"/>
          <w:szCs w:val="18"/>
          <w:color w:val="auto"/>
        </w:rPr>
      </w:pPr>
    </w:p>
    <w:p>
      <w:pPr>
        <w:ind w:left="980" w:right="460" w:hanging="486"/>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age, skills, experience and availability of service to us; and</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right="180" w:firstLine="495"/>
        <w:spacing w:after="0" w:line="275" w:lineRule="auto"/>
        <w:rPr>
          <w:sz w:val="20"/>
          <w:szCs w:val="20"/>
          <w:color w:val="auto"/>
        </w:rPr>
      </w:pPr>
      <w:r>
        <w:rPr>
          <w:rFonts w:ascii="Arial" w:cs="Arial" w:eastAsia="Arial" w:hAnsi="Arial"/>
          <w:sz w:val="17"/>
          <w:szCs w:val="17"/>
          <w:color w:val="auto"/>
        </w:rPr>
        <w:t>Under Cayman Islands law, our directors have a common law duty to act honestly in good faith with a view to our best interests and for a proper purpose. Our directors also have a duty to exercise the skill they actually possess with the care and diligence that a reasonably prudent person would exercise in comparable circumstances.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w:t>
      </w:r>
    </w:p>
    <w:p>
      <w:pPr>
        <w:spacing w:after="0" w:line="176" w:lineRule="exact"/>
        <w:rPr>
          <w:sz w:val="20"/>
          <w:szCs w:val="20"/>
          <w:color w:val="auto"/>
        </w:rPr>
      </w:pPr>
    </w:p>
    <w:p>
      <w:pPr>
        <w:ind w:right="120" w:firstLine="495"/>
        <w:spacing w:after="0" w:line="277" w:lineRule="auto"/>
        <w:rPr>
          <w:sz w:val="20"/>
          <w:szCs w:val="20"/>
          <w:color w:val="auto"/>
        </w:rPr>
      </w:pPr>
      <w:r>
        <w:rPr>
          <w:rFonts w:ascii="Arial" w:cs="Arial" w:eastAsia="Arial" w:hAnsi="Arial"/>
          <w:sz w:val="18"/>
          <w:szCs w:val="18"/>
          <w:color w:val="auto"/>
        </w:rPr>
        <w:t>Our board of directors has all the powers necessary for managing, and for directing and supervising, our business affairs. The functions and powers of our board of directors include, among others:</w:t>
      </w:r>
    </w:p>
    <w:p>
      <w:pPr>
        <w:spacing w:after="0" w:line="62" w:lineRule="exact"/>
        <w:rPr>
          <w:sz w:val="20"/>
          <w:szCs w:val="20"/>
          <w:color w:val="auto"/>
        </w:rPr>
      </w:pPr>
    </w:p>
    <w:p>
      <w:pPr>
        <w:ind w:left="980" w:hanging="486"/>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convening general meetings and reporting our board’s work at our shareholders’ meetings;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determining our business and investment plans;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preparing our annual financial budgets and financial reports;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formulating proposals for the increase or reduction of our authorized capital;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exercising other powers, functions and duties as conferred by our articles of association.</w:t>
      </w:r>
    </w:p>
    <w:p>
      <w:pPr>
        <w:spacing w:after="0" w:line="225" w:lineRule="exact"/>
        <w:rPr>
          <w:sz w:val="20"/>
          <w:szCs w:val="20"/>
          <w:color w:val="auto"/>
        </w:rPr>
      </w:pPr>
    </w:p>
    <w:p>
      <w:pPr>
        <w:ind w:right="740" w:firstLine="495"/>
        <w:spacing w:after="0" w:line="308" w:lineRule="auto"/>
        <w:rPr>
          <w:sz w:val="20"/>
          <w:szCs w:val="20"/>
          <w:color w:val="auto"/>
        </w:rPr>
      </w:pPr>
      <w:r>
        <w:rPr>
          <w:rFonts w:ascii="Arial" w:cs="Arial" w:eastAsia="Arial" w:hAnsi="Arial"/>
          <w:sz w:val="17"/>
          <w:szCs w:val="17"/>
          <w:color w:val="auto"/>
        </w:rPr>
        <w:t>Our directors may exercise all the powers of our company to borrow money, mortgage its business, property and uncalled capital and issue debentures or other securities whenever money is borrowed or as security for any obligation of our company or of any third party.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firstLine="495"/>
        <w:spacing w:after="0" w:line="269" w:lineRule="auto"/>
        <w:rPr>
          <w:sz w:val="20"/>
          <w:szCs w:val="20"/>
          <w:color w:val="auto"/>
        </w:rPr>
      </w:pPr>
      <w:r>
        <w:rPr>
          <w:rFonts w:ascii="Arial" w:cs="Arial" w:eastAsia="Arial" w:hAnsi="Arial"/>
          <w:sz w:val="17"/>
          <w:szCs w:val="17"/>
          <w:color w:val="auto"/>
        </w:rPr>
        <w:t>Pursuant to our ninth amended and restated memorandum and articles of association, our board of directors shall have the power from time to time and at any time to appoint any person as a director to fill a casual vacancy on the board or as an addition to the existing board (subject to the maximum size limit). Any director so appointed by the board shall hold office only until the next following annual general meeting and shall then be eligible for re-election. Our directors will not be subject to a term of office and will hold their offices until such time as they are removed from office by an ordinary resolution of our shareholders with or without cause, or by the board of directors for cause. “Cause” shall mean a conviction for a criminal offence involving dishonesty or engaging in conduct which brings the director or us into disrepute or which results in material financial detriment to the us. In addition, the office of any of our directors shall be vacated if the director (a) resigns his office by notice in writing to our company; (b) becomes of unsound mind or dies; (c) without special leave of absence from our board of directors, is absent from meetings of the board for six consecutive months and the board of directors resolves that his office be vacates; (d) becomes bankrupt or has a receiving order made against him or suspends payment or compounds with his creditors; (e) is prohibited by law from being a director; or (f) ceases to be a director by virtue of any provision of the Statutes or is removed from office pursuant to our memorandum and articles of association.</w:t>
      </w:r>
    </w:p>
    <w:p>
      <w:pPr>
        <w:spacing w:after="0" w:line="182" w:lineRule="exact"/>
        <w:rPr>
          <w:sz w:val="20"/>
          <w:szCs w:val="20"/>
          <w:color w:val="auto"/>
        </w:rPr>
      </w:pPr>
    </w:p>
    <w:p>
      <w:pPr>
        <w:ind w:right="540" w:firstLine="495"/>
        <w:spacing w:after="0" w:line="277" w:lineRule="auto"/>
        <w:rPr>
          <w:sz w:val="20"/>
          <w:szCs w:val="20"/>
          <w:color w:val="auto"/>
        </w:rPr>
      </w:pPr>
      <w:r>
        <w:rPr>
          <w:rFonts w:ascii="Arial" w:cs="Arial" w:eastAsia="Arial" w:hAnsi="Arial"/>
          <w:sz w:val="18"/>
          <w:szCs w:val="18"/>
          <w:color w:val="auto"/>
        </w:rPr>
        <w:t>Pursuant to our ninth amended and restated memorandum and articles of association, any removal or appointment of chairman of the board is subject to shareholder approval by ordinary resolution.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00" w:name="page101"/>
    <w:bookmarkEnd w:id="100"/>
    <w:p>
      <w:pPr>
        <w:ind w:left="500" w:hanging="492"/>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Employees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20" w:firstLine="495"/>
        <w:spacing w:after="0" w:line="277" w:lineRule="auto"/>
        <w:rPr>
          <w:sz w:val="20"/>
          <w:szCs w:val="20"/>
          <w:color w:val="auto"/>
        </w:rPr>
      </w:pPr>
      <w:r>
        <w:rPr>
          <w:rFonts w:ascii="Arial" w:cs="Arial" w:eastAsia="Arial" w:hAnsi="Arial"/>
          <w:sz w:val="18"/>
          <w:szCs w:val="18"/>
          <w:color w:val="auto"/>
        </w:rPr>
        <w:t>As of December 31, 2018, 2019 and 2020 we had a total of 508, 884 and 1,145 employees, respectively. The table below provides a breakdown of our employees by function as of December 31,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120" w:type="dxa"/>
            <w:vAlign w:val="bottom"/>
          </w:tcPr>
          <w:p>
            <w:pPr>
              <w:ind w:left="440"/>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120" w:type="dxa"/>
            <w:vAlign w:val="bottom"/>
          </w:tcPr>
          <w:p>
            <w:pPr>
              <w:ind w:left="460"/>
              <w:spacing w:after="0"/>
              <w:rPr>
                <w:sz w:val="20"/>
                <w:szCs w:val="20"/>
                <w:color w:val="auto"/>
              </w:rPr>
            </w:pPr>
            <w:r>
              <w:rPr>
                <w:rFonts w:ascii="Arial" w:cs="Arial" w:eastAsia="Arial" w:hAnsi="Arial"/>
                <w:sz w:val="14"/>
                <w:szCs w:val="14"/>
                <w:b w:val="1"/>
                <w:bCs w:val="1"/>
                <w:color w:val="auto"/>
                <w:w w:val="88"/>
              </w:rPr>
              <w:t>employees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 technology and data engineering</w:t>
            </w:r>
          </w:p>
        </w:tc>
        <w:tc>
          <w:tcPr>
            <w:tcW w:w="11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gridSpan w:val="2"/>
          </w:tcPr>
          <w:p>
            <w:pPr>
              <w:spacing w:after="0"/>
              <w:rPr>
                <w:sz w:val="20"/>
                <w:szCs w:val="20"/>
                <w:color w:val="auto"/>
              </w:rPr>
            </w:pPr>
            <w:r>
              <w:rPr>
                <w:rFonts w:ascii="Arial" w:cs="Arial" w:eastAsia="Arial" w:hAnsi="Arial"/>
                <w:sz w:val="18"/>
                <w:szCs w:val="18"/>
                <w:color w:val="auto"/>
              </w:rPr>
              <w:t>Sales, business development and account management</w:t>
            </w:r>
          </w:p>
        </w:tc>
        <w:tc>
          <w:tcPr>
            <w:tcW w:w="440" w:type="dxa"/>
            <w:vAlign w:val="bottom"/>
          </w:tcPr>
          <w:p>
            <w:pPr>
              <w:jc w:val="right"/>
              <w:spacing w:after="0"/>
              <w:rPr>
                <w:sz w:val="20"/>
                <w:szCs w:val="20"/>
                <w:color w:val="auto"/>
              </w:rPr>
            </w:pPr>
            <w:r>
              <w:rPr>
                <w:rFonts w:ascii="Arial" w:cs="Arial" w:eastAsia="Arial" w:hAnsi="Arial"/>
                <w:sz w:val="18"/>
                <w:szCs w:val="18"/>
                <w:color w:val="auto"/>
              </w:rPr>
              <w:t>644</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1,145</w:t>
            </w:r>
          </w:p>
        </w:tc>
        <w:tc>
          <w:tcPr>
            <w:tcW w:w="2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60" w:firstLine="495"/>
        <w:spacing w:after="0" w:line="263" w:lineRule="auto"/>
        <w:rPr>
          <w:sz w:val="20"/>
          <w:szCs w:val="20"/>
          <w:color w:val="auto"/>
        </w:rPr>
      </w:pPr>
      <w:r>
        <w:rPr>
          <w:rFonts w:ascii="Arial" w:cs="Arial" w:eastAsia="Arial" w:hAnsi="Arial"/>
          <w:sz w:val="18"/>
          <w:szCs w:val="18"/>
          <w:color w:val="auto"/>
        </w:rPr>
        <w:t>As of December 31, 2020, we had a total of 1,145 employees, increased by 29.5% from 884 as of the end of December 31, 2019. The increase primarily resulted from the increase in headcount for product, technology and data engineering function, as we acquire new subsidiaries and continuously expand and develop our solutions.</w:t>
      </w:r>
    </w:p>
    <w:p>
      <w:pPr>
        <w:spacing w:after="0" w:line="184" w:lineRule="exact"/>
        <w:rPr>
          <w:sz w:val="20"/>
          <w:szCs w:val="20"/>
          <w:color w:val="auto"/>
        </w:rPr>
      </w:pPr>
    </w:p>
    <w:p>
      <w:pPr>
        <w:ind w:firstLine="495"/>
        <w:spacing w:after="0" w:line="296" w:lineRule="auto"/>
        <w:rPr>
          <w:sz w:val="20"/>
          <w:szCs w:val="20"/>
          <w:color w:val="auto"/>
        </w:rPr>
      </w:pPr>
      <w:r>
        <w:rPr>
          <w:rFonts w:ascii="Arial" w:cs="Arial" w:eastAsia="Arial" w:hAnsi="Arial"/>
          <w:sz w:val="16"/>
          <w:szCs w:val="16"/>
          <w:color w:val="auto"/>
        </w:rPr>
        <w:t>We enter into standard labor contracts and confidentiality agreements with our management and employees. Our success depends on our ability to attract, retain and motivate qualified personnel. We believe we offer our employees competitive compensation packages and an environment that encourages initiative and self-development.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spacing w:after="0" w:line="161" w:lineRule="exact"/>
        <w:rPr>
          <w:sz w:val="20"/>
          <w:szCs w:val="20"/>
          <w:color w:val="auto"/>
        </w:rPr>
      </w:pPr>
    </w:p>
    <w:p>
      <w:pPr>
        <w:ind w:right="520" w:firstLine="495"/>
        <w:spacing w:after="0" w:line="273" w:lineRule="auto"/>
        <w:rPr>
          <w:sz w:val="20"/>
          <w:szCs w:val="20"/>
          <w:color w:val="auto"/>
        </w:rPr>
      </w:pPr>
      <w:r>
        <w:rPr>
          <w:rFonts w:ascii="Arial" w:cs="Arial" w:eastAsia="Arial" w:hAnsi="Arial"/>
          <w:sz w:val="17"/>
          <w:szCs w:val="17"/>
          <w:color w:val="auto"/>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 As required by regulations in China, we participate in various employee social security plans that are administered by municipal and provincial governments, including housing, pension, medical insurance and unemployment insurance plans. We are required under PRC law to make contributions to employee benefit plans at specified percentages of the salaries, bonuses and certain allowances of our employees, up to a maximum amount specified by the local governments from time to time.</w:t>
      </w:r>
    </w:p>
    <w:p>
      <w:pPr>
        <w:spacing w:after="0" w:line="178" w:lineRule="exact"/>
        <w:rPr>
          <w:sz w:val="20"/>
          <w:szCs w:val="20"/>
          <w:color w:val="auto"/>
        </w:rPr>
      </w:pPr>
    </w:p>
    <w:p>
      <w:pPr>
        <w:ind w:right="300" w:firstLine="495"/>
        <w:spacing w:after="0" w:line="277" w:lineRule="auto"/>
        <w:rPr>
          <w:sz w:val="20"/>
          <w:szCs w:val="20"/>
          <w:color w:val="auto"/>
        </w:rPr>
      </w:pPr>
      <w:r>
        <w:rPr>
          <w:rFonts w:ascii="Arial" w:cs="Arial" w:eastAsia="Arial" w:hAnsi="Arial"/>
          <w:sz w:val="18"/>
          <w:szCs w:val="18"/>
          <w:color w:val="auto"/>
        </w:rPr>
        <w:t>We believe that our working environment and the support and benefits provided to our employees have contributed to maintaining good working relationships with our employees. None of our employees are represented by labor unions.</w:t>
      </w:r>
    </w:p>
    <w:p>
      <w:pPr>
        <w:spacing w:after="0" w:line="278"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Share Ownership</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The following table sets forth information with respect to the beneficial ownership of our ordinary shares as of March 31, 2021 by: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 of our total outstanding shares.</w:t>
      </w:r>
    </w:p>
    <w:p>
      <w:pPr>
        <w:spacing w:after="0" w:line="225" w:lineRule="exact"/>
        <w:rPr>
          <w:sz w:val="20"/>
          <w:szCs w:val="20"/>
          <w:color w:val="auto"/>
        </w:rPr>
      </w:pPr>
    </w:p>
    <w:p>
      <w:pPr>
        <w:ind w:right="20" w:firstLine="495"/>
        <w:spacing w:after="0" w:line="273" w:lineRule="auto"/>
        <w:rPr>
          <w:sz w:val="20"/>
          <w:szCs w:val="20"/>
          <w:color w:val="auto"/>
        </w:rPr>
      </w:pPr>
      <w:r>
        <w:rPr>
          <w:rFonts w:ascii="Arial" w:cs="Arial" w:eastAsia="Arial" w:hAnsi="Arial"/>
          <w:sz w:val="17"/>
          <w:szCs w:val="17"/>
          <w:color w:val="auto"/>
        </w:rPr>
        <w:t>As of March 31, 2021, there were 48,558,000 ordinary shares outstanding, par value $0.001 per share, being the sum of 43,523,573 Class A ordinary shares and 5,034,427 Class B ordinary shares. The calculations in the table below are based on 46,687,201 ordinary shares outstanding as of March 31, 2021, comprising (i) 41,652,774 Class A ordinary shares, excluding (x) the 1,180,209.5 Class A ordinary shares held by Arda Holdings Limited underlying the options granted but not yet exercised (whether or not they are vested) and the options reserved for issuance under our 2018 Plan, and (y) the 690,589.5 Class A ordinary shares held by JPMorgan Chase Bank N.A., our depositary, underlying the unvested restricted Class A ordinary shares units under our Post-IPO Plan, and (ii) 5,034,427 Class B ordinary shares outstanding.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01" w:name="page102"/>
    <w:bookmarkEnd w:id="101"/>
    <w:p>
      <w:pPr>
        <w:ind w:right="120" w:firstLine="495"/>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as of March 31, 2021, including through the exercise of any option, warrant or other right or the conversion of any other security. These shares, however, are not included in the computation of the percentage ownership of any other person.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Ordinary Shares Beneficially Owned</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12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Class A</w:t>
            </w:r>
          </w:p>
        </w:tc>
        <w:tc>
          <w:tcPr>
            <w:tcW w:w="12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9"/>
              </w:rPr>
              <w:t>Class B</w:t>
            </w:r>
          </w:p>
        </w:tc>
        <w:tc>
          <w:tcPr>
            <w:tcW w:w="18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7"/>
              </w:rPr>
              <w:t>Total Ordinary Shares</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Ordinary</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Ordinary</w:t>
            </w:r>
          </w:p>
        </w:tc>
        <w:tc>
          <w:tcPr>
            <w:tcW w:w="186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12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Shares</w:t>
            </w:r>
          </w:p>
        </w:tc>
        <w:tc>
          <w:tcPr>
            <w:tcW w:w="12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9"/>
              </w:rPr>
              <w:t>Shares</w:t>
            </w: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w:t>
            </w:r>
          </w:p>
        </w:tc>
        <w:tc>
          <w:tcPr>
            <w:tcW w:w="6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 †</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12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Power % † †</w:t>
            </w: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Wing Hong Sammy Hsieh</w:t>
            </w:r>
            <w:r>
              <w:rPr>
                <w:rFonts w:ascii="Arial" w:cs="Arial" w:eastAsia="Arial" w:hAnsi="Arial"/>
                <w:sz w:val="15"/>
                <w:szCs w:val="15"/>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rPr>
              <w:t>246,631</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2,282,815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2,529,446</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Jian Tang</w:t>
            </w:r>
            <w:r>
              <w:rPr>
                <w:rFonts w:ascii="Arial" w:cs="Arial" w:eastAsia="Arial" w:hAnsi="Arial"/>
                <w:sz w:val="15"/>
                <w:szCs w:val="15"/>
                <w:color w:val="auto"/>
              </w:rPr>
              <w:t>(2)</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394,197</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2,102,263</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2,496,460</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Lub Bun Chong</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(i)</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(i)</w:t>
            </w:r>
          </w:p>
        </w:tc>
        <w:tc>
          <w:tcPr>
            <w:tcW w:w="640" w:type="dxa"/>
            <w:vAlign w:val="bottom"/>
          </w:tcPr>
          <w:p>
            <w:pPr>
              <w:spacing w:after="0"/>
              <w:rPr>
                <w:sz w:val="19"/>
                <w:szCs w:val="19"/>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(i)%</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Matthew Chu Pong Fong</w:t>
            </w:r>
          </w:p>
        </w:tc>
        <w:tc>
          <w:tcPr>
            <w:tcW w:w="12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(i)</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(i)</w:t>
            </w:r>
          </w:p>
        </w:tc>
        <w:tc>
          <w:tcPr>
            <w:tcW w:w="6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w w:val="99"/>
              </w:rPr>
              <w:t>(i)%</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Dylan Huang</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(i)</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(i)</w:t>
            </w:r>
          </w:p>
        </w:tc>
        <w:tc>
          <w:tcPr>
            <w:tcW w:w="640" w:type="dxa"/>
            <w:vAlign w:val="bottom"/>
          </w:tcPr>
          <w:p>
            <w:pPr>
              <w:spacing w:after="0"/>
              <w:rPr>
                <w:sz w:val="19"/>
                <w:szCs w:val="19"/>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(i)%</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Philip Kan</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Terence Li</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(i)</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(i)</w:t>
            </w:r>
          </w:p>
        </w:tc>
        <w:tc>
          <w:tcPr>
            <w:tcW w:w="640" w:type="dxa"/>
            <w:vAlign w:val="bottom"/>
          </w:tcPr>
          <w:p>
            <w:pPr>
              <w:spacing w:after="0"/>
              <w:rPr>
                <w:sz w:val="19"/>
                <w:szCs w:val="19"/>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(i)%</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All directors and executive officers as a group</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826,093</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4,385,078</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5,211,171</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7"/>
              </w:rPr>
              <w:t>11.1%</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Shareholders: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Bubinga Holdings Limited</w:t>
            </w:r>
            <w:r>
              <w:rPr>
                <w:rFonts w:ascii="Arial" w:cs="Arial" w:eastAsia="Arial" w:hAnsi="Arial"/>
                <w:sz w:val="15"/>
                <w:szCs w:val="15"/>
                <w:color w:val="auto"/>
              </w:rPr>
              <w:t>(1)</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2,282,815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2,282,815</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Igomax Inc.</w:t>
            </w:r>
            <w:r>
              <w:rPr>
                <w:rFonts w:ascii="Arial" w:cs="Arial" w:eastAsia="Arial" w:hAnsi="Arial"/>
                <w:sz w:val="15"/>
                <w:szCs w:val="15"/>
                <w:color w:val="auto"/>
              </w:rPr>
              <w:t>(3)</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366,284</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2,102,263</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2,468,547</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Baozun Inc.</w:t>
            </w:r>
            <w:r>
              <w:rPr>
                <w:rFonts w:ascii="Arial" w:cs="Arial" w:eastAsia="Arial" w:hAnsi="Arial"/>
                <w:sz w:val="15"/>
                <w:szCs w:val="15"/>
                <w:color w:val="auto"/>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1,235,734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649,349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1,885,083</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Baillie Gifford &amp; Co</w:t>
            </w:r>
            <w:r>
              <w:rPr>
                <w:rFonts w:ascii="Arial" w:cs="Arial" w:eastAsia="Arial" w:hAnsi="Arial"/>
                <w:sz w:val="15"/>
                <w:szCs w:val="15"/>
                <w:color w:val="auto"/>
              </w:rPr>
              <w:t>(5)</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2,491,480</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2,491,480</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Creative Big Limited</w:t>
            </w:r>
            <w:r>
              <w:rPr>
                <w:rFonts w:ascii="Arial" w:cs="Arial" w:eastAsia="Arial" w:hAnsi="Arial"/>
                <w:sz w:val="15"/>
                <w:szCs w:val="15"/>
                <w:color w:val="auto"/>
              </w:rPr>
              <w:t>(6)</w:t>
            </w:r>
          </w:p>
        </w:tc>
        <w:tc>
          <w:tcPr>
            <w:tcW w:w="1000" w:type="dxa"/>
            <w:vAlign w:val="bottom"/>
          </w:tcPr>
          <w:p>
            <w:pPr>
              <w:jc w:val="right"/>
              <w:spacing w:after="0"/>
              <w:rPr>
                <w:sz w:val="20"/>
                <w:szCs w:val="20"/>
                <w:color w:val="auto"/>
              </w:rPr>
            </w:pPr>
            <w:r>
              <w:rPr>
                <w:rFonts w:ascii="Arial" w:cs="Arial" w:eastAsia="Arial" w:hAnsi="Arial"/>
                <w:sz w:val="18"/>
                <w:szCs w:val="18"/>
                <w:color w:val="auto"/>
              </w:rPr>
              <w:t>3,589,744</w:t>
            </w: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3,589,744</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FIL Limited</w:t>
            </w:r>
            <w:r>
              <w:rPr>
                <w:rFonts w:ascii="Arial" w:cs="Arial" w:eastAsia="Arial" w:hAnsi="Arial"/>
                <w:sz w:val="15"/>
                <w:szCs w:val="15"/>
                <w:color w:val="auto"/>
              </w:rPr>
              <w:t>(7)</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2,592,745</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2,592,745</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5.6%</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Marine Central Limited</w:t>
            </w:r>
            <w:r>
              <w:rPr>
                <w:rFonts w:ascii="Arial" w:cs="Arial" w:eastAsia="Arial" w:hAnsi="Arial"/>
                <w:sz w:val="15"/>
                <w:szCs w:val="15"/>
                <w:color w:val="auto"/>
              </w:rPr>
              <w:t>(8)</w:t>
            </w:r>
          </w:p>
        </w:tc>
        <w:tc>
          <w:tcPr>
            <w:tcW w:w="1000" w:type="dxa"/>
            <w:vAlign w:val="bottom"/>
          </w:tcPr>
          <w:p>
            <w:pPr>
              <w:jc w:val="right"/>
              <w:spacing w:after="0"/>
              <w:rPr>
                <w:sz w:val="20"/>
                <w:szCs w:val="20"/>
                <w:color w:val="auto"/>
              </w:rPr>
            </w:pPr>
            <w:r>
              <w:rPr>
                <w:rFonts w:ascii="Arial" w:cs="Arial" w:eastAsia="Arial" w:hAnsi="Arial"/>
                <w:sz w:val="18"/>
                <w:szCs w:val="18"/>
                <w:color w:val="auto"/>
              </w:rPr>
              <w:t>2,564,103</w:t>
            </w:r>
          </w:p>
        </w:tc>
        <w:tc>
          <w:tcPr>
            <w:tcW w:w="2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2,564,103</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20485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54" w:lineRule="exact"/>
        <w:rPr>
          <w:sz w:val="20"/>
          <w:szCs w:val="20"/>
          <w:color w:val="auto"/>
        </w:rPr>
      </w:pPr>
    </w:p>
    <w:p>
      <w:pPr>
        <w:ind w:left="500" w:hanging="492"/>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Less than 1% of our total outstanding shares.</w:t>
      </w:r>
    </w:p>
    <w:p>
      <w:pPr>
        <w:spacing w:after="0" w:line="117" w:lineRule="exact"/>
        <w:rPr>
          <w:sz w:val="20"/>
          <w:szCs w:val="20"/>
          <w:color w:val="auto"/>
        </w:rPr>
      </w:pPr>
    </w:p>
    <w:p>
      <w:pPr>
        <w:ind w:left="500" w:right="20" w:hanging="492"/>
        <w:spacing w:after="0" w:line="259" w:lineRule="auto"/>
        <w:tabs>
          <w:tab w:leader="none" w:pos="50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For each person and group included in this column, percentage ownership is calculated by dividing the number of ordinary shares beneficially owned by such person or group, including shares that such person or group has the right to acquire within 60 days of March 31, 2021, by the sum of (1) 46,687,201, which is the total number of ordinary shares outstanding as of March 31, 2021; and (2) the number of ordinary shares that such person or group has the right to acquire within 60 days of March 31, 2021.</w:t>
      </w:r>
    </w:p>
    <w:p>
      <w:pPr>
        <w:spacing w:after="0" w:line="75" w:lineRule="exact"/>
        <w:rPr>
          <w:sz w:val="20"/>
          <w:szCs w:val="20"/>
          <w:color w:val="auto"/>
        </w:rPr>
      </w:pPr>
    </w:p>
    <w:p>
      <w:pPr>
        <w:ind w:left="500" w:right="60" w:hanging="485"/>
        <w:spacing w:after="0" w:line="255" w:lineRule="auto"/>
        <w:tabs>
          <w:tab w:leader="none" w:pos="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 entitled to one vote per share and each holder of our Class B ordinary shares is entitled to 20 votes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p>
      <w:pPr>
        <w:spacing w:after="0" w:line="88" w:lineRule="exact"/>
        <w:rPr>
          <w:sz w:val="20"/>
          <w:szCs w:val="20"/>
          <w:color w:val="auto"/>
        </w:rPr>
      </w:pPr>
    </w:p>
    <w:p>
      <w:pPr>
        <w:ind w:left="500" w:right="320" w:hanging="492"/>
        <w:spacing w:after="0" w:line="301" w:lineRule="auto"/>
        <w:tabs>
          <w:tab w:leader="none" w:pos="5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(a) 2,282,815 Class B ordinary shares held by Bubinga Holdings Limited, a British Virgin Islands company wholly owned by Mr. Wing Hong Sammy Hsieh, (b) 241,422 Class A ordinary shares held by Mr. Hsieh, and (c) 5,209 Class A ordinary shares that Mr. Hsieh has the right to obtain upon conversion of certain restricted share units he holds within 60 days as of March 31, 2021. The registered office address of Bubinga Holdings Limited is Vistra Corporate Services Centre, Wickhams Cay II, Road Town, Tortola, VG1110, British Virgin Islands.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2" w:name="page103"/>
    <w:bookmarkEnd w:id="102"/>
    <w:p>
      <w:pPr>
        <w:ind w:left="500" w:right="120" w:hanging="492"/>
        <w:spacing w:after="0" w:line="259"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(a) 2,102,263 Class B ordinary shares held by Igomax Inc., a British Virgin Islands company wholly owned by Mr. Jian Tang, (b) 27,913 Class A ordinary shares that are issuable upon exercise of options held in trust by Mr. Tang on behalf of certain consultants of OptAim, (c) 362,534.5 Class A ordinary shares held by Igomax Inc., and (d) 3,749.5 Class A ordinary shares that Igomax Inc. has the right to obtain upon conversion of certain restricted share units it holds within 60 days as of March 31, 2021.</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Represents (a) 2,102,263 Class B ordinary shares held by Igomax Inc., a British Virgin Islands company wholly owned by Mr. Jian Tang, (b)</w:t>
      </w:r>
    </w:p>
    <w:p>
      <w:pPr>
        <w:spacing w:after="0" w:line="34" w:lineRule="exact"/>
        <w:rPr>
          <w:rFonts w:ascii="Arial" w:cs="Arial" w:eastAsia="Arial" w:hAnsi="Arial"/>
          <w:sz w:val="17"/>
          <w:szCs w:val="17"/>
          <w:color w:val="auto"/>
        </w:rPr>
      </w:pPr>
    </w:p>
    <w:p>
      <w:pPr>
        <w:ind w:left="500" w:right="740"/>
        <w:spacing w:after="0" w:line="260" w:lineRule="auto"/>
        <w:rPr>
          <w:rFonts w:ascii="Arial" w:cs="Arial" w:eastAsia="Arial" w:hAnsi="Arial"/>
          <w:sz w:val="17"/>
          <w:szCs w:val="17"/>
          <w:color w:val="auto"/>
        </w:rPr>
      </w:pPr>
      <w:r>
        <w:rPr>
          <w:rFonts w:ascii="Arial" w:cs="Arial" w:eastAsia="Arial" w:hAnsi="Arial"/>
          <w:sz w:val="18"/>
          <w:szCs w:val="18"/>
          <w:color w:val="auto"/>
        </w:rPr>
        <w:t>362,534.5 Class A ordinary shares held by Igomax Inc. and (c) 3,749.5 Class A ordinary shares that Igomax Inc. has the right to obtain upon conversion of certain restricted share units it holds within 60 days as of March 31, 2021.</w:t>
      </w:r>
    </w:p>
    <w:p>
      <w:pPr>
        <w:spacing w:after="0" w:line="77" w:lineRule="exact"/>
        <w:rPr>
          <w:rFonts w:ascii="Arial" w:cs="Arial" w:eastAsia="Arial" w:hAnsi="Arial"/>
          <w:sz w:val="17"/>
          <w:szCs w:val="17"/>
          <w:color w:val="auto"/>
        </w:rPr>
      </w:pPr>
    </w:p>
    <w:p>
      <w:pPr>
        <w:ind w:left="500" w:right="340" w:hanging="492"/>
        <w:spacing w:after="0" w:line="277"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(a) 1,235,734 Class A ordinary shares in the form of 2,471,468 ADSs and (b) 649,349 Class B ordinary shares, as reported in the press release contained in the Form 6-K, which was furnished by us to the SEC on January 26, 2020.</w:t>
      </w:r>
    </w:p>
    <w:p>
      <w:pPr>
        <w:spacing w:after="0" w:line="62" w:lineRule="exact"/>
        <w:rPr>
          <w:rFonts w:ascii="Arial" w:cs="Arial" w:eastAsia="Arial" w:hAnsi="Arial"/>
          <w:sz w:val="18"/>
          <w:szCs w:val="18"/>
          <w:color w:val="auto"/>
        </w:rPr>
      </w:pPr>
    </w:p>
    <w:p>
      <w:pPr>
        <w:ind w:left="500" w:hanging="492"/>
        <w:spacing w:after="0" w:line="263"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2,491,480 Class A ordinary shares beneficially owned by Baillie Gifford &amp; Co and/or one or more of its investment adviser subsidiaries, as reported in the Schedule 13G filed by Baillie Gifford &amp; Co on January 28, 2021. The address of Baillie Gifford &amp; Co is Calton Square, 1 Greenside Row, Edinburgh EH1 3AN, Scotland, UK.</w:t>
      </w:r>
    </w:p>
    <w:p>
      <w:pPr>
        <w:spacing w:after="0" w:line="75" w:lineRule="exact"/>
        <w:rPr>
          <w:rFonts w:ascii="Arial" w:cs="Arial" w:eastAsia="Arial" w:hAnsi="Arial"/>
          <w:sz w:val="18"/>
          <w:szCs w:val="18"/>
          <w:color w:val="auto"/>
        </w:rPr>
      </w:pPr>
    </w:p>
    <w:p>
      <w:pPr>
        <w:ind w:left="500" w:right="80" w:hanging="492"/>
        <w:spacing w:after="0" w:line="269" w:lineRule="auto"/>
        <w:tabs>
          <w:tab w:leader="none" w:pos="5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Represents 3,589,744 Class A ordinary shares held by Creative Big Limited, as reported in the Schedule 13G filed by Creative Big Limited on March 5, 2020. Creative Big Limited is a company incorporated in the British Virgin Islands. These ordinary shares were issued for acquisition of Optimal Power Limited. Mr. Kenny Sin Nang Chiu is the sole shareholder and the sole director of Creative Big Limited. The principal business office of Creative Big Limited is Flat 23B, Block 6, Hanley Villa, 22 Yau Lai Road, Yau Kom Tau, Tsuen Wan, Hong Kong S.A.R.</w:t>
      </w:r>
    </w:p>
    <w:p>
      <w:pPr>
        <w:spacing w:after="0" w:line="1" w:lineRule="exact"/>
        <w:rPr>
          <w:rFonts w:ascii="Arial" w:cs="Arial" w:eastAsia="Arial" w:hAnsi="Arial"/>
          <w:sz w:val="17"/>
          <w:szCs w:val="17"/>
          <w:color w:val="auto"/>
        </w:rPr>
      </w:pPr>
    </w:p>
    <w:p>
      <w:pPr>
        <w:ind w:left="580" w:right="40" w:hanging="572"/>
        <w:spacing w:after="0" w:line="253" w:lineRule="auto"/>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2,592,745 Class A ordinary shares beneficially owned by FIL Limited, as reported in the Schedule 13G filed jointly by FIL Limited, Pandanus Partners, L.P. and Pandanus Associates, Inc. on February 8, 2021. As set forth in the Schedule 13G, FIL Limited has sole power to vote 2,460,576 Class A ordinary shares and sole power to dispose of 2,592,745 Class A ordinary shares. The address of FIL Limited is Pembroke Hall, 42 Crow Lane, Hamilton, Bermuda.</w:t>
      </w:r>
    </w:p>
    <w:p>
      <w:pPr>
        <w:spacing w:after="0" w:line="206" w:lineRule="exact"/>
        <w:rPr>
          <w:rFonts w:ascii="Arial" w:cs="Arial" w:eastAsia="Arial" w:hAnsi="Arial"/>
          <w:sz w:val="18"/>
          <w:szCs w:val="18"/>
          <w:color w:val="auto"/>
        </w:rPr>
      </w:pPr>
    </w:p>
    <w:p>
      <w:pPr>
        <w:ind w:left="500" w:right="100" w:hanging="492"/>
        <w:spacing w:after="0" w:line="263"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2,564,103 Class A ordinary shares held by Marine Central Limited, as reported in the Schedule 13G filed by Marine Central Limited on May 6, 2020. Mr. Jianjun Huang is the majority shareholder and the sole director of Marine Central Limited, who possesses power to direct the voting and disposition of the shares beneficially owned by Marine Central Limited.</w:t>
      </w:r>
    </w:p>
    <w:p>
      <w:pPr>
        <w:spacing w:after="0" w:line="197" w:lineRule="exact"/>
        <w:rPr>
          <w:sz w:val="20"/>
          <w:szCs w:val="20"/>
          <w:color w:val="auto"/>
        </w:rPr>
      </w:pPr>
    </w:p>
    <w:p>
      <w:pPr>
        <w:jc w:val="both"/>
        <w:ind w:left="580" w:right="80"/>
        <w:spacing w:after="0" w:line="263" w:lineRule="auto"/>
        <w:rPr>
          <w:sz w:val="20"/>
          <w:szCs w:val="20"/>
          <w:color w:val="auto"/>
        </w:rPr>
      </w:pPr>
      <w:r>
        <w:rPr>
          <w:rFonts w:ascii="Arial" w:cs="Arial" w:eastAsia="Arial" w:hAnsi="Arial"/>
          <w:sz w:val="18"/>
          <w:szCs w:val="18"/>
          <w:color w:val="auto"/>
        </w:rPr>
        <w:t>To our knowledge, as of March 31, 2021, 34,738,296, or 74.4% of our ordinary shares were held by one record holder in the United States, which was JPMorgan Chase Bank, N.A., the depositary of our ADS program. The number of beneficial owners of our ADSs in the United States is likely to be much larger than the number of record holders of our ordinary shares in the United States.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not aware of any arrangement that may, at a subsequent date, result in a change of control of our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7.MAJOR SHAREHOLDERS AND RELATED PARTY TRANSACTIONS</w:t>
      </w:r>
    </w:p>
    <w:p>
      <w:pPr>
        <w:spacing w:after="0" w:line="121"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Major Shareholders</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Please refer to “Item 6. Directors, Senior Management and Employees—E. Share Ownership.”</w:t>
      </w:r>
    </w:p>
    <w:p>
      <w:pPr>
        <w:spacing w:after="0" w:line="333" w:lineRule="exact"/>
        <w:rPr>
          <w:rFonts w:ascii="Arial" w:cs="Arial" w:eastAsia="Arial" w:hAnsi="Arial"/>
          <w:sz w:val="18"/>
          <w:szCs w:val="18"/>
          <w:color w:val="auto"/>
        </w:rPr>
      </w:pPr>
    </w:p>
    <w:p>
      <w:pPr>
        <w:ind w:left="500" w:hanging="492"/>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p>
    <w:p>
      <w:pPr>
        <w:spacing w:after="0" w:line="113" w:lineRule="exact"/>
        <w:rPr>
          <w:sz w:val="20"/>
          <w:szCs w:val="20"/>
          <w:color w:val="auto"/>
        </w:rPr>
      </w:pPr>
    </w:p>
    <w:p>
      <w:pPr>
        <w:jc w:val="center"/>
        <w:ind w:right="4940"/>
        <w:spacing w:after="0"/>
        <w:rPr>
          <w:sz w:val="20"/>
          <w:szCs w:val="20"/>
          <w:color w:val="auto"/>
        </w:rPr>
      </w:pPr>
      <w:r>
        <w:rPr>
          <w:rFonts w:ascii="Arial" w:cs="Arial" w:eastAsia="Arial" w:hAnsi="Arial"/>
          <w:sz w:val="16"/>
          <w:szCs w:val="16"/>
          <w:b w:val="1"/>
          <w:bCs w:val="1"/>
          <w:color w:val="auto"/>
        </w:rPr>
        <w:t>Contractual Arrangements with our Variable Interest Entity and its Shareholders</w:t>
      </w:r>
    </w:p>
    <w:p>
      <w:pPr>
        <w:spacing w:after="0" w:line="144"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See “Item 4. Information on the Company—C. Organizational Structure.”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firstLine="495"/>
        <w:spacing w:after="0" w:line="342" w:lineRule="auto"/>
        <w:rPr>
          <w:sz w:val="20"/>
          <w:szCs w:val="20"/>
          <w:color w:val="auto"/>
        </w:rPr>
      </w:pPr>
      <w:r>
        <w:rPr>
          <w:rFonts w:ascii="Arial" w:cs="Arial" w:eastAsia="Arial" w:hAnsi="Arial"/>
          <w:sz w:val="16"/>
          <w:szCs w:val="16"/>
          <w:color w:val="auto"/>
        </w:rPr>
        <w:t>We entered into a fourth amended and restated shareholders agreement on December 28, 2016 with our shareholders, which consist of holders of our ordinary shares, series A preferred shares, series B preferred shares, series C preferred shares, series D preferred shares and series E preferred shares.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03" w:name="page104"/>
    <w:bookmarkEnd w:id="103"/>
    <w:p>
      <w:pPr>
        <w:ind w:right="200" w:firstLine="495"/>
        <w:spacing w:after="0" w:line="277" w:lineRule="auto"/>
        <w:rPr>
          <w:sz w:val="20"/>
          <w:szCs w:val="20"/>
          <w:color w:val="auto"/>
        </w:rPr>
      </w:pPr>
      <w:r>
        <w:rPr>
          <w:rFonts w:ascii="Arial" w:cs="Arial" w:eastAsia="Arial" w:hAnsi="Arial"/>
          <w:sz w:val="18"/>
          <w:szCs w:val="18"/>
          <w:color w:val="auto"/>
        </w:rPr>
        <w:t>The shareholders agreement provides for certain shareholders rights. Except for the registration rights described below, all the shareholders’ rights under the shareholders agreement automatically terminated upon completion of our initial public offering.</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description of the registration rights granted under the agreement.</w:t>
      </w:r>
    </w:p>
    <w:p>
      <w:pPr>
        <w:spacing w:after="0" w:line="225" w:lineRule="exact"/>
        <w:rPr>
          <w:sz w:val="20"/>
          <w:szCs w:val="20"/>
          <w:color w:val="auto"/>
        </w:rPr>
      </w:pPr>
    </w:p>
    <w:p>
      <w:pPr>
        <w:ind w:firstLine="495"/>
        <w:spacing w:after="0" w:line="287" w:lineRule="auto"/>
        <w:rPr>
          <w:sz w:val="20"/>
          <w:szCs w:val="20"/>
          <w:color w:val="auto"/>
        </w:rPr>
      </w:pPr>
      <w:r>
        <w:rPr>
          <w:rFonts w:ascii="Arial" w:cs="Arial" w:eastAsia="Arial" w:hAnsi="Arial"/>
          <w:sz w:val="16"/>
          <w:szCs w:val="16"/>
          <w:color w:val="auto"/>
        </w:rPr>
        <w:t>Demand Registration Rights. Holders of at least 25% of the registrable securities, which include our ordinary shares issued or issuable to certain ordinary shareholders, ordinary shares issued or to be issued upon conversion of our preferred shares, ordinary shares issued as a dividend of our preferred shares, or ordinary shares owned or acquired by purchasers of our preferred shares, may, at any time, request registration of their shares and we will use our reasonable best efforts to cause such shares to be registered. We, however, are not obligated to effect a demand registration if we have already effected three demand registrations. We also have the 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spacing w:after="0" w:line="172" w:lineRule="exact"/>
        <w:rPr>
          <w:sz w:val="20"/>
          <w:szCs w:val="20"/>
          <w:color w:val="auto"/>
        </w:rPr>
      </w:pPr>
    </w:p>
    <w:p>
      <w:pPr>
        <w:ind w:right="20" w:firstLine="495"/>
        <w:spacing w:after="0" w:line="279" w:lineRule="auto"/>
        <w:rPr>
          <w:sz w:val="20"/>
          <w:szCs w:val="20"/>
          <w:color w:val="auto"/>
        </w:rPr>
      </w:pPr>
      <w:r>
        <w:rPr>
          <w:rFonts w:ascii="Arial" w:cs="Arial" w:eastAsia="Arial" w:hAnsi="Arial"/>
          <w:sz w:val="17"/>
          <w:szCs w:val="17"/>
          <w:color w:val="auto"/>
        </w:rPr>
        <w:t>Form F-3 Registration Rights. When we are eligible for registration on Form F-3, upon a written request from any holder of the registrable securities then outstanding, we must promptly file a registration statement on 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spacing w:after="0" w:line="171" w:lineRule="exact"/>
        <w:rPr>
          <w:sz w:val="20"/>
          <w:szCs w:val="20"/>
          <w:color w:val="auto"/>
        </w:rPr>
      </w:pPr>
    </w:p>
    <w:p>
      <w:pPr>
        <w:ind w:right="60" w:firstLine="495"/>
        <w:spacing w:after="0" w:line="293" w:lineRule="auto"/>
        <w:rPr>
          <w:sz w:val="20"/>
          <w:szCs w:val="20"/>
          <w:color w:val="auto"/>
        </w:rPr>
      </w:pPr>
      <w:r>
        <w:rPr>
          <w:rFonts w:ascii="Arial" w:cs="Arial" w:eastAsia="Arial" w:hAnsi="Arial"/>
          <w:sz w:val="16"/>
          <w:szCs w:val="16"/>
          <w:color w:val="auto"/>
        </w:rPr>
        <w:t>Piggyback Registration Rights. If we propose to file a registration statement for a public offering for our own account or for the account of holder of equity 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then we must offer holders of our registrable securities an opportunity to include in this registration all or any part of their registrable securities.</w:t>
      </w:r>
    </w:p>
    <w:p>
      <w:pPr>
        <w:spacing w:after="0" w:line="164" w:lineRule="exact"/>
        <w:rPr>
          <w:sz w:val="20"/>
          <w:szCs w:val="20"/>
          <w:color w:val="auto"/>
        </w:rPr>
      </w:pPr>
    </w:p>
    <w:p>
      <w:pPr>
        <w:ind w:right="60" w:firstLine="495"/>
        <w:spacing w:after="0" w:line="293" w:lineRule="auto"/>
        <w:rPr>
          <w:sz w:val="20"/>
          <w:szCs w:val="20"/>
          <w:color w:val="auto"/>
        </w:rPr>
      </w:pPr>
      <w:r>
        <w:rPr>
          <w:rFonts w:ascii="Arial" w:cs="Arial" w:eastAsia="Arial" w:hAnsi="Arial"/>
          <w:sz w:val="16"/>
          <w:szCs w:val="16"/>
          <w:color w:val="auto"/>
        </w:rPr>
        <w:t>Underwritten Offering. The underwriters of any underwritten offering may in good faith request a reduction in the number of shares offered by reducing the number to be satisfactory to the underwriter in the following order: (i) if the offering is our IPO, exclude from the underwritten offering all of the registrable securities (so long as the only securities included in such offering are those sold for our own account) or (ii) otherwise exclude up to twenty-five percent (25%) of the registrable securities requested to be registered but only after first excluding all other equity securities from the registration and underwritten offering and so long as the number of shares to be included in the registration on behalf of the non-excluded holders is allocated among all holders in proportion, as nearly as practicable, to the respective amounts of registrable securities requested by such holders to be included.</w:t>
      </w:r>
    </w:p>
    <w:p>
      <w:pPr>
        <w:spacing w:after="0" w:line="164" w:lineRule="exact"/>
        <w:rPr>
          <w:sz w:val="20"/>
          <w:szCs w:val="20"/>
          <w:color w:val="auto"/>
        </w:rPr>
      </w:pPr>
    </w:p>
    <w:p>
      <w:pPr>
        <w:ind w:right="180" w:firstLine="495"/>
        <w:spacing w:after="0" w:line="296" w:lineRule="auto"/>
        <w:rPr>
          <w:sz w:val="20"/>
          <w:szCs w:val="20"/>
          <w:color w:val="auto"/>
        </w:rPr>
      </w:pPr>
      <w:r>
        <w:rPr>
          <w:rFonts w:ascii="Arial" w:cs="Arial" w:eastAsia="Arial" w:hAnsi="Arial"/>
          <w:sz w:val="16"/>
          <w:szCs w:val="16"/>
          <w:color w:val="auto"/>
        </w:rPr>
        <w:t>Expenses of Registration. We will pay all expenses incurred in complying with the terms of the registration rights provisions, other than the underwriting discounts 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spacing w:after="0" w:line="16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Termination of Obligations. The registration rights set forth above shall terminate on the later of (i) the date that is five years from the date of closing of a qualified initial public offering and (ii) with respect to any holder, the date on which such holder may sell all of their registrable securities under Rule 144 of the Securities Act in any ninety-day period.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Share Issuance to Baozun Inc. and Strategic Business Cooperation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Subscription Agreement</w:t>
      </w:r>
    </w:p>
    <w:p>
      <w:pPr>
        <w:spacing w:after="0" w:line="117" w:lineRule="exact"/>
        <w:rPr>
          <w:sz w:val="20"/>
          <w:szCs w:val="20"/>
          <w:color w:val="auto"/>
        </w:rPr>
      </w:pPr>
    </w:p>
    <w:p>
      <w:pPr>
        <w:ind w:right="640" w:firstLine="495"/>
        <w:spacing w:after="0" w:line="308" w:lineRule="auto"/>
        <w:rPr>
          <w:sz w:val="20"/>
          <w:szCs w:val="20"/>
          <w:color w:val="auto"/>
        </w:rPr>
      </w:pPr>
      <w:r>
        <w:rPr>
          <w:rFonts w:ascii="Arial" w:cs="Arial" w:eastAsia="Arial" w:hAnsi="Arial"/>
          <w:sz w:val="17"/>
          <w:szCs w:val="17"/>
          <w:color w:val="auto"/>
        </w:rPr>
        <w:t>In January 2021, we issued 649,349 Class B ordinary shares to Baozun at an aggregate subscription price of approximately US$17.2 million pursuant to an share subscription agreement. Baozun is subject to a 180-day lock-up period on the above shares subscribed from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Cooperation Framework Agreement</w:t>
      </w:r>
    </w:p>
    <w:p>
      <w:pPr>
        <w:spacing w:after="0" w:line="117" w:lineRule="exact"/>
        <w:rPr>
          <w:sz w:val="20"/>
          <w:szCs w:val="20"/>
          <w:color w:val="auto"/>
        </w:rPr>
      </w:pPr>
    </w:p>
    <w:p>
      <w:pPr>
        <w:jc w:val="both"/>
        <w:ind w:right="20" w:firstLine="495"/>
        <w:spacing w:after="0" w:line="263" w:lineRule="auto"/>
        <w:rPr>
          <w:sz w:val="20"/>
          <w:szCs w:val="20"/>
          <w:color w:val="auto"/>
        </w:rPr>
      </w:pPr>
      <w:r>
        <w:rPr>
          <w:rFonts w:ascii="Arial" w:cs="Arial" w:eastAsia="Arial" w:hAnsi="Arial"/>
          <w:sz w:val="18"/>
          <w:szCs w:val="18"/>
          <w:color w:val="auto"/>
        </w:rPr>
        <w:t>In January 2021, we have entered into a strategic cooperation framework agreement with Baozun, pursuant to which both parties will collaborate in developing a full-cycle, closed-loop e-commerce service model, covering areas such as system development, IT services, digital marketing, store operation, customer services and warehousing and fulfillment services to better serve potential brand partners.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right="340" w:firstLine="495"/>
        <w:spacing w:after="0" w:line="277" w:lineRule="auto"/>
        <w:rPr>
          <w:sz w:val="20"/>
          <w:szCs w:val="20"/>
          <w:color w:val="auto"/>
        </w:rPr>
      </w:pPr>
      <w:r>
        <w:rPr>
          <w:rFonts w:ascii="Arial" w:cs="Arial" w:eastAsia="Arial" w:hAnsi="Arial"/>
          <w:sz w:val="18"/>
          <w:szCs w:val="18"/>
          <w:color w:val="auto"/>
        </w:rPr>
        <w:t>In January 2021, we have also entered into a registration rights agreement with Baozun. Set forth below is a description of the registration rights granted under the registration rights agreement.</w:t>
      </w:r>
    </w:p>
    <w:p>
      <w:pPr>
        <w:spacing w:after="0" w:line="62" w:lineRule="exact"/>
        <w:rPr>
          <w:sz w:val="20"/>
          <w:szCs w:val="20"/>
          <w:color w:val="auto"/>
        </w:rPr>
      </w:pPr>
    </w:p>
    <w:p>
      <w:pPr>
        <w:ind w:right="20" w:firstLine="495"/>
        <w:spacing w:after="0" w:line="289" w:lineRule="auto"/>
        <w:rPr>
          <w:sz w:val="20"/>
          <w:szCs w:val="20"/>
          <w:color w:val="auto"/>
        </w:rPr>
      </w:pPr>
      <w:r>
        <w:rPr>
          <w:rFonts w:ascii="Arial" w:cs="Arial" w:eastAsia="Arial" w:hAnsi="Arial"/>
          <w:sz w:val="16"/>
          <w:szCs w:val="16"/>
          <w:i w:val="1"/>
          <w:iCs w:val="1"/>
          <w:color w:val="auto"/>
        </w:rPr>
        <w:t>Demand registration</w:t>
      </w:r>
      <w:r>
        <w:rPr>
          <w:rFonts w:ascii="Arial" w:cs="Arial" w:eastAsia="Arial" w:hAnsi="Arial"/>
          <w:sz w:val="16"/>
          <w:szCs w:val="16"/>
          <w:color w:val="auto"/>
        </w:rPr>
        <w:t>. Holders of at least 5% of the voting power of the then outstanding shares, may, at any time, request registration of their shares</w:t>
      </w:r>
      <w:r>
        <w:rPr>
          <w:rFonts w:ascii="Arial" w:cs="Arial" w:eastAsia="Arial" w:hAnsi="Arial"/>
          <w:sz w:val="16"/>
          <w:szCs w:val="16"/>
          <w:i w:val="1"/>
          <w:iCs w:val="1"/>
          <w:color w:val="auto"/>
        </w:rPr>
        <w:t xml:space="preserve"> </w:t>
      </w:r>
      <w:r>
        <w:rPr>
          <w:rFonts w:ascii="Arial" w:cs="Arial" w:eastAsia="Arial" w:hAnsi="Arial"/>
          <w:sz w:val="16"/>
          <w:szCs w:val="16"/>
          <w:color w:val="auto"/>
        </w:rPr>
        <w:t>and we will use our reasonable best efforts to cause such shares to be registered. We, however, are not obligated to effect a demand registration if we have already effected two demand registrations. We also have the 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spacing w:after="0" w:line="166" w:lineRule="exact"/>
        <w:rPr>
          <w:sz w:val="20"/>
          <w:szCs w:val="20"/>
          <w:color w:val="auto"/>
        </w:rPr>
      </w:pPr>
    </w:p>
    <w:p>
      <w:pPr>
        <w:ind w:firstLine="495"/>
        <w:spacing w:after="0" w:line="279" w:lineRule="auto"/>
        <w:rPr>
          <w:sz w:val="20"/>
          <w:szCs w:val="20"/>
          <w:color w:val="auto"/>
        </w:rPr>
      </w:pPr>
      <w:r>
        <w:rPr>
          <w:rFonts w:ascii="Arial" w:cs="Arial" w:eastAsia="Arial" w:hAnsi="Arial"/>
          <w:sz w:val="17"/>
          <w:szCs w:val="17"/>
          <w:i w:val="1"/>
          <w:iCs w:val="1"/>
          <w:color w:val="auto"/>
        </w:rPr>
        <w:t>Form F-3 Registration Rights</w:t>
      </w:r>
      <w:r>
        <w:rPr>
          <w:rFonts w:ascii="Arial" w:cs="Arial" w:eastAsia="Arial" w:hAnsi="Arial"/>
          <w:sz w:val="17"/>
          <w:szCs w:val="17"/>
          <w:color w:val="auto"/>
        </w:rPr>
        <w:t>. When we are eligible for registration on Form F-3, upon a written request from any holder of the registrable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then outstanding, we must promptly file a registration statement on 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spacing w:after="0" w:line="63" w:lineRule="exact"/>
        <w:rPr>
          <w:sz w:val="20"/>
          <w:szCs w:val="20"/>
          <w:color w:val="auto"/>
        </w:rPr>
      </w:pPr>
    </w:p>
    <w:p>
      <w:pPr>
        <w:ind w:right="60" w:firstLine="495"/>
        <w:spacing w:after="0" w:line="293" w:lineRule="auto"/>
        <w:rPr>
          <w:sz w:val="20"/>
          <w:szCs w:val="20"/>
          <w:color w:val="auto"/>
        </w:rPr>
      </w:pPr>
      <w:r>
        <w:rPr>
          <w:rFonts w:ascii="Arial" w:cs="Arial" w:eastAsia="Arial" w:hAnsi="Arial"/>
          <w:sz w:val="16"/>
          <w:szCs w:val="16"/>
          <w:i w:val="1"/>
          <w:iCs w:val="1"/>
          <w:color w:val="auto"/>
        </w:rPr>
        <w:t>Piggyback Registration Rights</w:t>
      </w:r>
      <w:r>
        <w:rPr>
          <w:rFonts w:ascii="Arial" w:cs="Arial" w:eastAsia="Arial" w:hAnsi="Arial"/>
          <w:sz w:val="16"/>
          <w:szCs w:val="16"/>
          <w:color w:val="auto"/>
        </w:rPr>
        <w:t>. If we propose to file a registration statement for a public offering for our own account or for the account of holder of</w:t>
      </w:r>
      <w:r>
        <w:rPr>
          <w:rFonts w:ascii="Arial" w:cs="Arial" w:eastAsia="Arial" w:hAnsi="Arial"/>
          <w:sz w:val="16"/>
          <w:szCs w:val="16"/>
          <w:i w:val="1"/>
          <w:iCs w:val="1"/>
          <w:color w:val="auto"/>
        </w:rPr>
        <w:t xml:space="preserve"> </w:t>
      </w:r>
      <w:r>
        <w:rPr>
          <w:rFonts w:ascii="Arial" w:cs="Arial" w:eastAsia="Arial" w:hAnsi="Arial"/>
          <w:sz w:val="16"/>
          <w:szCs w:val="16"/>
          <w:color w:val="auto"/>
        </w:rPr>
        <w:t>equity 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then we must offer holders of our registrable securities an opportunity to include in this registration all or any part of their registrable securities.</w:t>
      </w:r>
    </w:p>
    <w:p>
      <w:pPr>
        <w:spacing w:after="0" w:line="164" w:lineRule="exact"/>
        <w:rPr>
          <w:sz w:val="20"/>
          <w:szCs w:val="20"/>
          <w:color w:val="auto"/>
        </w:rPr>
      </w:pPr>
    </w:p>
    <w:p>
      <w:pPr>
        <w:ind w:firstLine="495"/>
        <w:spacing w:after="0" w:line="269" w:lineRule="auto"/>
        <w:rPr>
          <w:sz w:val="20"/>
          <w:szCs w:val="20"/>
          <w:color w:val="auto"/>
        </w:rPr>
      </w:pPr>
      <w:r>
        <w:rPr>
          <w:rFonts w:ascii="Arial" w:cs="Arial" w:eastAsia="Arial" w:hAnsi="Arial"/>
          <w:sz w:val="17"/>
          <w:szCs w:val="17"/>
          <w:i w:val="1"/>
          <w:iCs w:val="1"/>
          <w:color w:val="auto"/>
        </w:rPr>
        <w:t>Underwritten Offering</w:t>
      </w:r>
      <w:r>
        <w:rPr>
          <w:rFonts w:ascii="Arial" w:cs="Arial" w:eastAsia="Arial" w:hAnsi="Arial"/>
          <w:sz w:val="17"/>
          <w:szCs w:val="17"/>
          <w:color w:val="auto"/>
        </w:rPr>
        <w:t>. If the managing underwriters of any underwritten offering advises us in writing that, in its opinion, the number of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to be included in such offering is greater than the total number of securities which can be sold therein without having a material adverse effect on the distribution of such securities or otherwise having a material adverse effect on the marketability thereof, or the “Maximum Number of Securities,” then we shall include in such registration the registrable securities that the participating holders have requested to be registered thereunder only to the extent the number of such registrable securities does not exceed the Maximum Number of Securities. If such amount exceeds the Maximum Number of Securities, the number of registrable securities included in such Registration shall be allocated among all the participating holders on a pro rata basis (based on the number of registrable securities held by each participating holder). If the amount of such registrable securities does not exceed the Maximum Number of Securities, we may include in such Registration any ordinary shares of our company and other ordinary shares held by other security holders of us, as we may in our discretion determine or be obligated to allow, in an amount which together with the registrable securities included in such Registration shall not exceed the Maximum Number of Securities.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05" w:name="page106"/>
    <w:bookmarkEnd w:id="105"/>
    <w:p>
      <w:pPr>
        <w:ind w:right="180" w:firstLine="495"/>
        <w:spacing w:after="0" w:line="296" w:lineRule="auto"/>
        <w:rPr>
          <w:sz w:val="20"/>
          <w:szCs w:val="20"/>
          <w:color w:val="auto"/>
        </w:rPr>
      </w:pPr>
      <w:r>
        <w:rPr>
          <w:rFonts w:ascii="Arial" w:cs="Arial" w:eastAsia="Arial" w:hAnsi="Arial"/>
          <w:sz w:val="16"/>
          <w:szCs w:val="16"/>
          <w:i w:val="1"/>
          <w:iCs w:val="1"/>
          <w:color w:val="auto"/>
        </w:rPr>
        <w:t>Expenses of Registration</w:t>
      </w:r>
      <w:r>
        <w:rPr>
          <w:rFonts w:ascii="Arial" w:cs="Arial" w:eastAsia="Arial" w:hAnsi="Arial"/>
          <w:sz w:val="16"/>
          <w:szCs w:val="16"/>
          <w:color w:val="auto"/>
        </w:rPr>
        <w:t>. We will pay all expenses incurred in complying with the terms of the registration rights provisions, other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underwriting discounts 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spacing w:after="0" w:line="161" w:lineRule="exact"/>
        <w:rPr>
          <w:sz w:val="20"/>
          <w:szCs w:val="20"/>
          <w:color w:val="auto"/>
        </w:rPr>
      </w:pPr>
    </w:p>
    <w:p>
      <w:pPr>
        <w:ind w:right="200" w:firstLine="495"/>
        <w:spacing w:after="0" w:line="277" w:lineRule="auto"/>
        <w:rPr>
          <w:sz w:val="20"/>
          <w:szCs w:val="20"/>
          <w:color w:val="auto"/>
        </w:rPr>
      </w:pPr>
      <w:r>
        <w:rPr>
          <w:rFonts w:ascii="Arial" w:cs="Arial" w:eastAsia="Arial" w:hAnsi="Arial"/>
          <w:sz w:val="18"/>
          <w:szCs w:val="18"/>
          <w:i w:val="1"/>
          <w:iCs w:val="1"/>
          <w:color w:val="auto"/>
        </w:rPr>
        <w:t>Termination of Obligations</w:t>
      </w:r>
      <w:r>
        <w:rPr>
          <w:rFonts w:ascii="Arial" w:cs="Arial" w:eastAsia="Arial" w:hAnsi="Arial"/>
          <w:sz w:val="18"/>
          <w:szCs w:val="18"/>
          <w:color w:val="auto"/>
        </w:rPr>
        <w:t>. The registration rights set forth above shall terminate with respect to any holder, the date on which such holder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transferee hold less than 5% of the voting power of the then outstanding shares of our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right="40" w:firstLine="495"/>
        <w:spacing w:after="0" w:line="277" w:lineRule="auto"/>
        <w:rPr>
          <w:sz w:val="20"/>
          <w:szCs w:val="20"/>
          <w:color w:val="auto"/>
        </w:rPr>
      </w:pPr>
      <w:r>
        <w:rPr>
          <w:rFonts w:ascii="Arial" w:cs="Arial" w:eastAsia="Arial" w:hAnsi="Arial"/>
          <w:sz w:val="18"/>
          <w:szCs w:val="18"/>
          <w:color w:val="auto"/>
        </w:rPr>
        <w:t>See “Item 6. Directors, Senior Management and Employees—A. Directors and Senior Management—Employment Agreements and Indemnification Agreements with Executive Officers.”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See “Item 6. Directors, Senior Management and Employees—B. Compensation of Directors and Executive Officers—Share Incentive Plans.”</w:t>
      </w:r>
    </w:p>
    <w:p>
      <w:pPr>
        <w:spacing w:after="0" w:line="345" w:lineRule="exact"/>
        <w:rPr>
          <w:sz w:val="20"/>
          <w:szCs w:val="20"/>
          <w:color w:val="auto"/>
        </w:rPr>
      </w:pPr>
    </w:p>
    <w:p>
      <w:pPr>
        <w:ind w:left="500" w:right="8440" w:hanging="492"/>
        <w:spacing w:after="0" w:line="402" w:lineRule="auto"/>
        <w:tabs>
          <w:tab w:leader="none" w:pos="49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 xml:space="preserve">Interests of Experts and Counsel </w:t>
      </w: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8.FINANCIAL INFORMATION</w:t>
      </w:r>
    </w:p>
    <w:p>
      <w:pPr>
        <w:spacing w:after="0" w:line="121" w:lineRule="exact"/>
        <w:rPr>
          <w:sz w:val="20"/>
          <w:szCs w:val="20"/>
          <w:color w:val="auto"/>
        </w:rPr>
      </w:pPr>
    </w:p>
    <w:p>
      <w:pPr>
        <w:ind w:left="500" w:hanging="492"/>
        <w:spacing w:after="0"/>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Consolidated Statements and Other Financial Information</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We have appended consolidated financial statements filed as part of this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right="40" w:firstLine="495"/>
        <w:spacing w:after="0" w:line="259" w:lineRule="auto"/>
        <w:rPr>
          <w:sz w:val="20"/>
          <w:szCs w:val="20"/>
          <w:color w:val="auto"/>
        </w:rPr>
      </w:pPr>
      <w:r>
        <w:rPr>
          <w:rFonts w:ascii="Arial" w:cs="Arial" w:eastAsia="Arial" w:hAnsi="Arial"/>
          <w:sz w:val="18"/>
          <w:szCs w:val="18"/>
          <w:color w:val="auto"/>
        </w:rPr>
        <w:t>Other than as disclosed in this annual report, 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 and Dividend Distribution</w:t>
      </w:r>
    </w:p>
    <w:p>
      <w:pPr>
        <w:spacing w:after="0" w:line="121" w:lineRule="exact"/>
        <w:rPr>
          <w:sz w:val="20"/>
          <w:szCs w:val="20"/>
          <w:color w:val="auto"/>
        </w:rPr>
      </w:pPr>
    </w:p>
    <w:p>
      <w:pPr>
        <w:ind w:right="60" w:firstLine="495"/>
        <w:spacing w:after="0" w:line="273" w:lineRule="auto"/>
        <w:rPr>
          <w:sz w:val="20"/>
          <w:szCs w:val="20"/>
          <w:color w:val="auto"/>
        </w:rPr>
      </w:pPr>
      <w:r>
        <w:rPr>
          <w:rFonts w:ascii="Arial" w:cs="Arial" w:eastAsia="Arial" w:hAnsi="Arial"/>
          <w:sz w:val="17"/>
          <w:szCs w:val="17"/>
          <w:color w:val="auto"/>
        </w:rPr>
        <w:t>Our board of directors has discretion as to whether to distribute dividends, subject to applicable laws.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78" w:lineRule="exact"/>
        <w:rPr>
          <w:sz w:val="20"/>
          <w:szCs w:val="20"/>
          <w:color w:val="auto"/>
        </w:rPr>
      </w:pPr>
    </w:p>
    <w:p>
      <w:pPr>
        <w:ind w:right="40" w:firstLine="495"/>
        <w:spacing w:after="0" w:line="308" w:lineRule="auto"/>
        <w:rPr>
          <w:sz w:val="20"/>
          <w:szCs w:val="20"/>
          <w:color w:val="auto"/>
        </w:rPr>
      </w:pPr>
      <w:r>
        <w:rPr>
          <w:rFonts w:ascii="Arial" w:cs="Arial" w:eastAsia="Arial" w:hAnsi="Arial"/>
          <w:sz w:val="17"/>
          <w:szCs w:val="17"/>
          <w:color w:val="auto"/>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w:t>
      </w:r>
    </w:p>
    <w:p>
      <w:pPr>
        <w:spacing w:after="0" w:line="146" w:lineRule="exact"/>
        <w:rPr>
          <w:sz w:val="20"/>
          <w:szCs w:val="20"/>
          <w:color w:val="auto"/>
        </w:rPr>
      </w:pPr>
    </w:p>
    <w:p>
      <w:pPr>
        <w:ind w:firstLine="495"/>
        <w:spacing w:after="0" w:line="259" w:lineRule="auto"/>
        <w:rPr>
          <w:sz w:val="20"/>
          <w:szCs w:val="20"/>
          <w:color w:val="auto"/>
        </w:rPr>
      </w:pPr>
      <w:r>
        <w:rPr>
          <w:rFonts w:ascii="Arial" w:cs="Arial" w:eastAsia="Arial" w:hAnsi="Arial"/>
          <w:sz w:val="18"/>
          <w:szCs w:val="18"/>
          <w:color w:val="auto"/>
        </w:rPr>
        <w:t>We are an exempted limited liability company, used as a holding company incorporated in the Cayman Islands. We rely principally on dividends from our PRC subsidiaries, VIE and its subsidiary for our cash requirements, including any payment of dividends to our shareholders. PRC regulations may restrict the ability of our PRC subsidiaries to pay dividends to us. See “Item 4. Information on the Company—B. Business Overview—Regulation— Regulations on Dividend Distribution.”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6" w:name="page107"/>
    <w:bookmarkEnd w:id="106"/>
    <w:p>
      <w:pPr>
        <w:ind w:right="300" w:firstLine="495"/>
        <w:spacing w:after="0" w:line="342" w:lineRule="auto"/>
        <w:rPr>
          <w:sz w:val="20"/>
          <w:szCs w:val="20"/>
          <w:color w:val="auto"/>
        </w:rPr>
      </w:pPr>
      <w:r>
        <w:rPr>
          <w:rFonts w:ascii="Arial" w:cs="Arial" w:eastAsia="Arial" w:hAnsi="Arial"/>
          <w:sz w:val="16"/>
          <w:szCs w:val="16"/>
          <w:color w:val="auto"/>
        </w:rPr>
        <w:t>If we pay any dividends, we will pay our ADS holders to the same extent as holders of our ordinary shares, subject to the terms of the deposit agreement, including the fees and expenses payable thereunder. Cash dividends on our ordinary shares, if any, will be paid in U.S. dollars.</w:t>
      </w:r>
    </w:p>
    <w:p>
      <w:pPr>
        <w:spacing w:after="0" w:line="232"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Significant Changes</w:t>
      </w:r>
    </w:p>
    <w:p>
      <w:pPr>
        <w:spacing w:after="0" w:line="117" w:lineRule="exact"/>
        <w:rPr>
          <w:sz w:val="20"/>
          <w:szCs w:val="20"/>
          <w:color w:val="auto"/>
        </w:rPr>
      </w:pPr>
    </w:p>
    <w:p>
      <w:pPr>
        <w:ind w:right="200" w:firstLine="495"/>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9.THE OFFER AND LISTING</w:t>
      </w:r>
    </w:p>
    <w:p>
      <w:pPr>
        <w:spacing w:after="0" w:line="121" w:lineRule="exact"/>
        <w:rPr>
          <w:sz w:val="20"/>
          <w:szCs w:val="20"/>
          <w:color w:val="auto"/>
        </w:rPr>
      </w:pPr>
    </w:p>
    <w:p>
      <w:pPr>
        <w:ind w:left="500" w:right="8520" w:hanging="492"/>
        <w:spacing w:after="0" w:line="402" w:lineRule="auto"/>
        <w:tabs>
          <w:tab w:leader="none" w:pos="49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 xml:space="preserve">Offering and Listing Details </w:t>
      </w:r>
      <w:r>
        <w:rPr>
          <w:rFonts w:ascii="Arial" w:cs="Arial" w:eastAsia="Arial" w:hAnsi="Arial"/>
          <w:sz w:val="18"/>
          <w:szCs w:val="18"/>
          <w:color w:val="auto"/>
        </w:rPr>
        <w:t>Not Applicable.</w:t>
      </w:r>
    </w:p>
    <w:p>
      <w:pPr>
        <w:spacing w:after="0" w:line="170" w:lineRule="exact"/>
        <w:rPr>
          <w:rFonts w:ascii="Arial" w:cs="Arial" w:eastAsia="Arial" w:hAnsi="Arial"/>
          <w:sz w:val="18"/>
          <w:szCs w:val="18"/>
          <w:color w:val="auto"/>
        </w:rPr>
      </w:pPr>
    </w:p>
    <w:p>
      <w:pPr>
        <w:ind w:left="500" w:right="9100" w:hanging="492"/>
        <w:spacing w:after="0" w:line="483" w:lineRule="auto"/>
        <w:tabs>
          <w:tab w:leader="none" w:pos="491"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 xml:space="preserve">Plan of Distribution </w:t>
      </w:r>
      <w:r>
        <w:rPr>
          <w:rFonts w:ascii="Arial" w:cs="Arial" w:eastAsia="Arial" w:hAnsi="Arial"/>
          <w:sz w:val="16"/>
          <w:szCs w:val="16"/>
          <w:color w:val="auto"/>
        </w:rPr>
        <w:t>Not Applicable.</w:t>
      </w:r>
    </w:p>
    <w:p>
      <w:pPr>
        <w:spacing w:after="0" w:line="123" w:lineRule="exact"/>
        <w:rPr>
          <w:rFonts w:ascii="Arial" w:cs="Arial" w:eastAsia="Arial" w:hAnsi="Arial"/>
          <w:sz w:val="16"/>
          <w:szCs w:val="16"/>
          <w:color w:val="auto"/>
        </w:rPr>
      </w:pPr>
    </w:p>
    <w:p>
      <w:pPr>
        <w:ind w:left="500" w:hanging="492"/>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Markets</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7"/>
          <w:szCs w:val="17"/>
          <w:color w:val="auto"/>
        </w:rPr>
        <w:t>Our ADSs, two ADSs representing one Class A ordinary share, have been listed on the Nasdaq Global Market since December 21, 2017.</w:t>
      </w:r>
    </w:p>
    <w:p>
      <w:pPr>
        <w:spacing w:after="0" w:line="344" w:lineRule="exact"/>
        <w:rPr>
          <w:rFonts w:ascii="Arial" w:cs="Arial" w:eastAsia="Arial" w:hAnsi="Arial"/>
          <w:sz w:val="18"/>
          <w:szCs w:val="18"/>
          <w:color w:val="auto"/>
        </w:rPr>
      </w:pPr>
    </w:p>
    <w:p>
      <w:pPr>
        <w:ind w:left="500" w:right="9040" w:hanging="492"/>
        <w:spacing w:after="0" w:line="531" w:lineRule="auto"/>
        <w:tabs>
          <w:tab w:leader="none" w:pos="491" w:val="left"/>
        </w:tabs>
        <w:numPr>
          <w:ilvl w:val="0"/>
          <w:numId w:val="83"/>
        </w:numPr>
        <w:rPr>
          <w:rFonts w:ascii="Arial" w:cs="Arial" w:eastAsia="Arial" w:hAnsi="Arial"/>
          <w:sz w:val="15"/>
          <w:szCs w:val="15"/>
          <w:color w:val="auto"/>
        </w:rPr>
      </w:pPr>
      <w:r>
        <w:rPr>
          <w:rFonts w:ascii="Arial" w:cs="Arial" w:eastAsia="Arial" w:hAnsi="Arial"/>
          <w:sz w:val="15"/>
          <w:szCs w:val="15"/>
          <w:u w:val="single" w:color="auto"/>
          <w:color w:val="auto"/>
        </w:rPr>
        <w:t xml:space="preserve">Selling Shareholders </w:t>
      </w:r>
      <w:r>
        <w:rPr>
          <w:rFonts w:ascii="Arial" w:cs="Arial" w:eastAsia="Arial" w:hAnsi="Arial"/>
          <w:sz w:val="15"/>
          <w:szCs w:val="15"/>
          <w:color w:val="auto"/>
        </w:rPr>
        <w:t>Not Applicable.</w:t>
      </w:r>
    </w:p>
    <w:p>
      <w:pPr>
        <w:spacing w:after="0" w:line="100" w:lineRule="exact"/>
        <w:rPr>
          <w:rFonts w:ascii="Arial" w:cs="Arial" w:eastAsia="Arial" w:hAnsi="Arial"/>
          <w:sz w:val="15"/>
          <w:szCs w:val="15"/>
          <w:color w:val="auto"/>
        </w:rPr>
      </w:pPr>
    </w:p>
    <w:p>
      <w:pPr>
        <w:ind w:left="500" w:hanging="492"/>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Dilution</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Not Applicable.</w:t>
      </w:r>
    </w:p>
    <w:p>
      <w:pPr>
        <w:spacing w:after="0" w:line="333" w:lineRule="exact"/>
        <w:rPr>
          <w:rFonts w:ascii="Arial" w:cs="Arial" w:eastAsia="Arial" w:hAnsi="Arial"/>
          <w:sz w:val="18"/>
          <w:szCs w:val="18"/>
          <w:color w:val="auto"/>
        </w:rPr>
      </w:pPr>
    </w:p>
    <w:p>
      <w:pPr>
        <w:ind w:left="500" w:right="8980" w:hanging="492"/>
        <w:spacing w:after="0" w:line="483" w:lineRule="auto"/>
        <w:tabs>
          <w:tab w:leader="none" w:pos="491"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 xml:space="preserve">Expenses of the Issue </w:t>
      </w:r>
      <w:r>
        <w:rPr>
          <w:rFonts w:ascii="Arial" w:cs="Arial" w:eastAsia="Arial" w:hAnsi="Arial"/>
          <w:sz w:val="16"/>
          <w:szCs w:val="16"/>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10.ADDITIONAL INFORMATION</w:t>
      </w:r>
    </w:p>
    <w:p>
      <w:pPr>
        <w:spacing w:after="0" w:line="121" w:lineRule="exact"/>
        <w:rPr>
          <w:sz w:val="20"/>
          <w:szCs w:val="20"/>
          <w:color w:val="auto"/>
        </w:rPr>
      </w:pPr>
    </w:p>
    <w:p>
      <w:pPr>
        <w:ind w:left="500" w:right="9340" w:hanging="492"/>
        <w:spacing w:after="0" w:line="440" w:lineRule="auto"/>
        <w:tabs>
          <w:tab w:leader="none" w:pos="491"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 xml:space="preserve">Share Capital </w:t>
      </w:r>
      <w:r>
        <w:rPr>
          <w:rFonts w:ascii="Arial" w:cs="Arial" w:eastAsia="Arial" w:hAnsi="Arial"/>
          <w:sz w:val="17"/>
          <w:szCs w:val="17"/>
          <w:color w:val="auto"/>
        </w:rPr>
        <w:t>Not Applicable.</w:t>
      </w:r>
    </w:p>
    <w:p>
      <w:pPr>
        <w:spacing w:after="0" w:line="147" w:lineRule="exact"/>
        <w:rPr>
          <w:rFonts w:ascii="Arial" w:cs="Arial" w:eastAsia="Arial" w:hAnsi="Arial"/>
          <w:sz w:val="17"/>
          <w:szCs w:val="17"/>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Memorandum and Articles of Association</w:t>
      </w:r>
    </w:p>
    <w:p>
      <w:pPr>
        <w:spacing w:after="0" w:line="117" w:lineRule="exact"/>
        <w:rPr>
          <w:sz w:val="20"/>
          <w:szCs w:val="20"/>
          <w:color w:val="auto"/>
        </w:rPr>
      </w:pPr>
    </w:p>
    <w:p>
      <w:pPr>
        <w:ind w:firstLine="495"/>
        <w:spacing w:after="0" w:line="301" w:lineRule="auto"/>
        <w:rPr>
          <w:sz w:val="20"/>
          <w:szCs w:val="20"/>
          <w:color w:val="auto"/>
        </w:rPr>
      </w:pPr>
      <w:r>
        <w:rPr>
          <w:rFonts w:ascii="Arial" w:cs="Arial" w:eastAsia="Arial" w:hAnsi="Arial"/>
          <w:sz w:val="16"/>
          <w:szCs w:val="16"/>
          <w:color w:val="auto"/>
        </w:rPr>
        <w:t>In December 2018, the shareholders of our company approved a special resolution to delete certain provisions of our articles of association which can be more efficiently dealt with through our website and with public filings, and to adopt the ninth amended and restated memorandum an articles of association reflecting such changes. The following are summaries of material provisions of our ninth amended and restated memorandum and articles of association, as well as the Companies Law (2020 Revision) insofar as they relate to the material terms of our ordinary shares.</w:t>
      </w:r>
    </w:p>
    <w:p>
      <w:pPr>
        <w:spacing w:after="0" w:line="157" w:lineRule="exact"/>
        <w:rPr>
          <w:sz w:val="20"/>
          <w:szCs w:val="20"/>
          <w:color w:val="auto"/>
        </w:rPr>
      </w:pPr>
    </w:p>
    <w:p>
      <w:pPr>
        <w:ind w:right="580" w:firstLine="495"/>
        <w:spacing w:after="0" w:line="342" w:lineRule="auto"/>
        <w:rPr>
          <w:sz w:val="20"/>
          <w:szCs w:val="20"/>
          <w:color w:val="auto"/>
        </w:rPr>
      </w:pPr>
      <w:r>
        <w:rPr>
          <w:rFonts w:ascii="Arial" w:cs="Arial" w:eastAsia="Arial" w:hAnsi="Arial"/>
          <w:sz w:val="16"/>
          <w:szCs w:val="16"/>
          <w:i w:val="1"/>
          <w:iCs w:val="1"/>
          <w:color w:val="auto"/>
        </w:rPr>
        <w:t>Objects of Our Company</w:t>
      </w:r>
      <w:r>
        <w:rPr>
          <w:rFonts w:ascii="Arial" w:cs="Arial" w:eastAsia="Arial" w:hAnsi="Arial"/>
          <w:sz w:val="16"/>
          <w:szCs w:val="16"/>
          <w:color w:val="auto"/>
        </w:rPr>
        <w:t>. Under our ninth amended and restated memorandum and articles of association, the objects of our company are</w:t>
      </w:r>
      <w:r>
        <w:rPr>
          <w:rFonts w:ascii="Arial" w:cs="Arial" w:eastAsia="Arial" w:hAnsi="Arial"/>
          <w:sz w:val="16"/>
          <w:szCs w:val="16"/>
          <w:i w:val="1"/>
          <w:iCs w:val="1"/>
          <w:color w:val="auto"/>
        </w:rPr>
        <w:t xml:space="preserve"> </w:t>
      </w:r>
      <w:r>
        <w:rPr>
          <w:rFonts w:ascii="Arial" w:cs="Arial" w:eastAsia="Arial" w:hAnsi="Arial"/>
          <w:sz w:val="16"/>
          <w:szCs w:val="16"/>
          <w:color w:val="auto"/>
        </w:rPr>
        <w:t>unrestricted and we have the full power and authority to carry out any object not prohibited by the laws of the Cayman Islands.</w:t>
      </w:r>
    </w:p>
    <w:p>
      <w:pPr>
        <w:spacing w:after="0" w:line="124" w:lineRule="exact"/>
        <w:rPr>
          <w:sz w:val="20"/>
          <w:szCs w:val="20"/>
          <w:color w:val="auto"/>
        </w:rPr>
      </w:pPr>
    </w:p>
    <w:p>
      <w:pPr>
        <w:ind w:right="60" w:firstLine="495"/>
        <w:spacing w:after="0" w:line="277" w:lineRule="auto"/>
        <w:rPr>
          <w:sz w:val="20"/>
          <w:szCs w:val="20"/>
          <w:color w:val="auto"/>
        </w:rPr>
      </w:pPr>
      <w:r>
        <w:rPr>
          <w:rFonts w:ascii="Arial" w:cs="Arial" w:eastAsia="Arial" w:hAnsi="Arial"/>
          <w:sz w:val="18"/>
          <w:szCs w:val="18"/>
          <w:i w:val="1"/>
          <w:iCs w:val="1"/>
          <w:color w:val="auto"/>
        </w:rPr>
        <w:t>Ordinary Shares. Our ordinary shares are issued in registered form and are issued when registered in our register of members. Our shareholders who are non-residents of the Cayman Islands may freely hold and vote their shares.</w:t>
      </w:r>
    </w:p>
    <w:p>
      <w:pPr>
        <w:spacing w:after="0" w:line="4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571" w:right="579" w:bottom="1440" w:gutter="0" w:footer="0" w:header="0"/>
        </w:sectPr>
      </w:pPr>
    </w:p>
    <w:bookmarkStart w:id="107" w:name="page108"/>
    <w:bookmarkEnd w:id="107"/>
    <w:p>
      <w:pPr>
        <w:ind w:left="500"/>
        <w:spacing w:after="0"/>
        <w:rPr>
          <w:sz w:val="20"/>
          <w:szCs w:val="20"/>
          <w:color w:val="auto"/>
        </w:rPr>
      </w:pPr>
      <w:r>
        <w:rPr>
          <w:rFonts w:ascii="Arial" w:cs="Arial" w:eastAsia="Arial" w:hAnsi="Arial"/>
          <w:sz w:val="18"/>
          <w:szCs w:val="18"/>
          <w:i w:val="1"/>
          <w:iCs w:val="1"/>
          <w:color w:val="auto"/>
        </w:rPr>
        <w:t>Register of Members. Under Cayman Islands law, we must keep a register of members and there should be entered therein:</w:t>
      </w:r>
    </w:p>
    <w:p>
      <w:pPr>
        <w:spacing w:after="0" w:line="117" w:lineRule="exact"/>
        <w:rPr>
          <w:sz w:val="20"/>
          <w:szCs w:val="20"/>
          <w:color w:val="auto"/>
        </w:rPr>
      </w:pPr>
    </w:p>
    <w:p>
      <w:pPr>
        <w:ind w:left="980" w:hanging="486"/>
        <w:spacing w:after="0" w:line="277"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firstLine="495"/>
        <w:spacing w:after="0" w:line="255"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our initial public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92" w:lineRule="exact"/>
        <w:rPr>
          <w:sz w:val="20"/>
          <w:szCs w:val="20"/>
          <w:color w:val="auto"/>
        </w:rPr>
      </w:pPr>
    </w:p>
    <w:p>
      <w:pPr>
        <w:ind w:firstLine="495"/>
        <w:spacing w:after="0" w:line="279" w:lineRule="auto"/>
        <w:rPr>
          <w:sz w:val="20"/>
          <w:szCs w:val="20"/>
          <w:color w:val="auto"/>
        </w:rPr>
      </w:pPr>
      <w:r>
        <w:rPr>
          <w:rFonts w:ascii="Arial" w:cs="Arial" w:eastAsia="Arial" w:hAnsi="Arial"/>
          <w:sz w:val="17"/>
          <w:szCs w:val="17"/>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71" w:lineRule="exact"/>
        <w:rPr>
          <w:sz w:val="20"/>
          <w:szCs w:val="20"/>
          <w:color w:val="auto"/>
        </w:rPr>
      </w:pPr>
    </w:p>
    <w:p>
      <w:pPr>
        <w:ind w:firstLine="495"/>
        <w:spacing w:after="0" w:line="257" w:lineRule="auto"/>
        <w:rPr>
          <w:sz w:val="20"/>
          <w:szCs w:val="20"/>
          <w:color w:val="auto"/>
        </w:rPr>
      </w:pPr>
      <w:r>
        <w:rPr>
          <w:rFonts w:ascii="Arial" w:cs="Arial" w:eastAsia="Arial" w:hAnsi="Arial"/>
          <w:sz w:val="18"/>
          <w:szCs w:val="18"/>
          <w:color w:val="auto"/>
        </w:rPr>
        <w:t>Dividends. The holders of our ordinary shares are entitled to such dividends as may be declared by our board of directors. In addition, our shareholders 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88" w:lineRule="exact"/>
        <w:rPr>
          <w:sz w:val="20"/>
          <w:szCs w:val="20"/>
          <w:color w:val="auto"/>
        </w:rPr>
      </w:pPr>
    </w:p>
    <w:p>
      <w:pPr>
        <w:ind w:right="60" w:firstLine="495"/>
        <w:spacing w:after="0" w:line="301" w:lineRule="auto"/>
        <w:rPr>
          <w:sz w:val="20"/>
          <w:szCs w:val="20"/>
          <w:color w:val="auto"/>
        </w:rPr>
      </w:pPr>
      <w:r>
        <w:rPr>
          <w:rFonts w:ascii="Arial" w:cs="Arial" w:eastAsia="Arial" w:hAnsi="Arial"/>
          <w:sz w:val="16"/>
          <w:szCs w:val="16"/>
          <w:color w:val="auto"/>
        </w:rPr>
        <w:t>Voting Rights. Our share capital is currently divided into Class A ordinary shares and Class B ordinary shares. On a show of hands each shareholder is 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157" w:lineRule="exact"/>
        <w:rPr>
          <w:sz w:val="20"/>
          <w:szCs w:val="20"/>
          <w:color w:val="auto"/>
        </w:rPr>
      </w:pPr>
    </w:p>
    <w:p>
      <w:pPr>
        <w:ind w:firstLine="495"/>
        <w:spacing w:after="0" w:line="259" w:lineRule="auto"/>
        <w:rPr>
          <w:sz w:val="20"/>
          <w:szCs w:val="20"/>
          <w:color w:val="auto"/>
        </w:rPr>
      </w:pPr>
      <w:r>
        <w:rPr>
          <w:rFonts w:ascii="Arial" w:cs="Arial" w:eastAsia="Arial" w:hAnsi="Arial"/>
          <w:sz w:val="18"/>
          <w:szCs w:val="18"/>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87" w:lineRule="exact"/>
        <w:rPr>
          <w:sz w:val="20"/>
          <w:szCs w:val="20"/>
          <w:color w:val="auto"/>
        </w:rPr>
      </w:pPr>
    </w:p>
    <w:p>
      <w:pPr>
        <w:ind w:right="20" w:firstLine="495"/>
        <w:spacing w:after="0" w:line="301" w:lineRule="auto"/>
        <w:rPr>
          <w:sz w:val="20"/>
          <w:szCs w:val="20"/>
          <w:color w:val="auto"/>
        </w:rPr>
      </w:pPr>
      <w:r>
        <w:rPr>
          <w:rFonts w:ascii="Arial" w:cs="Arial" w:eastAsia="Arial" w:hAnsi="Arial"/>
          <w:sz w:val="16"/>
          <w:szCs w:val="16"/>
          <w:color w:val="auto"/>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57" w:lineRule="exact"/>
        <w:rPr>
          <w:sz w:val="20"/>
          <w:szCs w:val="20"/>
          <w:color w:val="auto"/>
        </w:rPr>
      </w:pPr>
    </w:p>
    <w:p>
      <w:pPr>
        <w:ind w:right="100" w:firstLine="495"/>
        <w:spacing w:after="0" w:line="291" w:lineRule="auto"/>
        <w:rPr>
          <w:sz w:val="20"/>
          <w:szCs w:val="20"/>
          <w:color w:val="auto"/>
        </w:rPr>
      </w:pPr>
      <w:r>
        <w:rPr>
          <w:rFonts w:ascii="Arial" w:cs="Arial" w:eastAsia="Arial" w:hAnsi="Arial"/>
          <w:sz w:val="16"/>
          <w:szCs w:val="16"/>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Law and our ninth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8" w:name="page109"/>
    <w:bookmarkEnd w:id="108"/>
    <w:p>
      <w:pPr>
        <w:ind w:right="20" w:firstLine="495"/>
        <w:spacing w:after="0" w:line="296" w:lineRule="auto"/>
        <w:rPr>
          <w:sz w:val="20"/>
          <w:szCs w:val="20"/>
          <w:color w:val="auto"/>
        </w:rPr>
      </w:pPr>
      <w:r>
        <w:rPr>
          <w:rFonts w:ascii="Arial" w:cs="Arial" w:eastAsia="Arial" w:hAnsi="Arial"/>
          <w:sz w:val="16"/>
          <w:szCs w:val="16"/>
          <w:color w:val="auto"/>
        </w:rPr>
        <w:t>Conversion. Class B ordinary shares are convertible into Class A ordinary shares. All Class B ordinary shares are subject to automatic conversion into 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161" w:lineRule="exact"/>
        <w:rPr>
          <w:sz w:val="20"/>
          <w:szCs w:val="20"/>
          <w:color w:val="auto"/>
        </w:rPr>
      </w:pPr>
    </w:p>
    <w:p>
      <w:pPr>
        <w:ind w:right="60" w:firstLine="495"/>
        <w:spacing w:after="0" w:line="277" w:lineRule="auto"/>
        <w:rPr>
          <w:sz w:val="20"/>
          <w:szCs w:val="20"/>
          <w:color w:val="auto"/>
        </w:rPr>
      </w:pPr>
      <w:r>
        <w:rPr>
          <w:rFonts w:ascii="Arial" w:cs="Arial" w:eastAsia="Arial" w:hAnsi="Arial"/>
          <w:sz w:val="18"/>
          <w:szCs w:val="18"/>
          <w:color w:val="auto"/>
        </w:rPr>
        <w:t>Transfer of Ordinary Shares. Subject to the restrictions set out below, any of our shareholders may transfer all or any of his or her ordinary shares by an instrument of transfer in the usual or common form or any other form approved by our board of directors.</w:t>
      </w:r>
    </w:p>
    <w:p>
      <w:pPr>
        <w:spacing w:after="0" w:line="170" w:lineRule="exact"/>
        <w:rPr>
          <w:sz w:val="20"/>
          <w:szCs w:val="20"/>
          <w:color w:val="auto"/>
        </w:rPr>
      </w:pPr>
    </w:p>
    <w:p>
      <w:pPr>
        <w:ind w:right="40" w:firstLine="495"/>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2" w:lineRule="exact"/>
        <w:rPr>
          <w:sz w:val="20"/>
          <w:szCs w:val="20"/>
          <w:color w:val="auto"/>
        </w:rPr>
      </w:pPr>
    </w:p>
    <w:p>
      <w:pPr>
        <w:ind w:left="980" w:right="100" w:hanging="486"/>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140" w:lineRule="exact"/>
        <w:rPr>
          <w:rFonts w:ascii="Arial" w:cs="Arial" w:eastAsia="Arial" w:hAnsi="Arial"/>
          <w:sz w:val="16"/>
          <w:szCs w:val="16"/>
          <w:color w:val="auto"/>
        </w:rPr>
      </w:pPr>
    </w:p>
    <w:p>
      <w:pPr>
        <w:ind w:left="980" w:right="120" w:hanging="486"/>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fee of such maximum sum as the NASDAQ may determine to be payable or such lesser sum as our directors may from time to time require is paid to us in respect thereof.</w:t>
      </w:r>
    </w:p>
    <w:p>
      <w:pPr>
        <w:spacing w:after="0" w:line="170"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jc w:val="both"/>
        <w:ind w:right="40" w:firstLine="495"/>
        <w:spacing w:after="0" w:line="263" w:lineRule="auto"/>
        <w:rPr>
          <w:sz w:val="20"/>
          <w:szCs w:val="20"/>
          <w:color w:val="auto"/>
        </w:rPr>
      </w:pPr>
      <w:r>
        <w:rPr>
          <w:rFonts w:ascii="Arial" w:cs="Arial" w:eastAsia="Arial" w:hAnsi="Arial"/>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4" w:lineRule="exact"/>
        <w:rPr>
          <w:sz w:val="20"/>
          <w:szCs w:val="20"/>
          <w:color w:val="auto"/>
        </w:rPr>
      </w:pPr>
    </w:p>
    <w:p>
      <w:pPr>
        <w:ind w:firstLine="495"/>
        <w:spacing w:after="0" w:line="311" w:lineRule="auto"/>
        <w:rPr>
          <w:sz w:val="20"/>
          <w:szCs w:val="20"/>
          <w:color w:val="auto"/>
        </w:rPr>
      </w:pPr>
      <w:r>
        <w:rPr>
          <w:rFonts w:ascii="Arial" w:cs="Arial" w:eastAsia="Arial" w:hAnsi="Arial"/>
          <w:sz w:val="16"/>
          <w:szCs w:val="16"/>
          <w:color w:val="auto"/>
        </w:rPr>
        <w:t>Liquidation. On a return of capital on winding up or otherwise (other than on conversion, redemption or purchase of shares), assets available for 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49" w:lineRule="exact"/>
        <w:rPr>
          <w:sz w:val="20"/>
          <w:szCs w:val="20"/>
          <w:color w:val="auto"/>
        </w:rPr>
      </w:pPr>
    </w:p>
    <w:p>
      <w:pPr>
        <w:ind w:right="120" w:firstLine="495"/>
        <w:spacing w:after="0" w:line="263" w:lineRule="auto"/>
        <w:rPr>
          <w:sz w:val="20"/>
          <w:szCs w:val="20"/>
          <w:color w:val="auto"/>
        </w:rPr>
      </w:pPr>
      <w:r>
        <w:rPr>
          <w:rFonts w:ascii="Arial" w:cs="Arial" w:eastAsia="Arial" w:hAnsi="Arial"/>
          <w:sz w:val="18"/>
          <w:szCs w:val="18"/>
          <w:color w:val="auto"/>
        </w:rPr>
        <w:t>Calls on Shares and Forfeiture of Shares. 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184" w:lineRule="exact"/>
        <w:rPr>
          <w:sz w:val="20"/>
          <w:szCs w:val="20"/>
          <w:color w:val="auto"/>
        </w:rPr>
      </w:pPr>
    </w:p>
    <w:p>
      <w:pPr>
        <w:ind w:right="20" w:firstLine="495"/>
        <w:spacing w:after="0" w:line="269" w:lineRule="auto"/>
        <w:rPr>
          <w:sz w:val="20"/>
          <w:szCs w:val="20"/>
          <w:color w:val="auto"/>
        </w:rPr>
      </w:pPr>
      <w:r>
        <w:rPr>
          <w:rFonts w:ascii="Arial" w:cs="Arial" w:eastAsia="Arial" w:hAnsi="Arial"/>
          <w:sz w:val="17"/>
          <w:szCs w:val="17"/>
          <w:color w:val="auto"/>
        </w:rPr>
        <w:t>Redemption, Repurchase and Surrender of Ordinary Shares. We may issue shares on terms that such shares are subject to redemption, at our option or 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9" w:name="page110"/>
    <w:bookmarkEnd w:id="109"/>
    <w:p>
      <w:pPr>
        <w:ind w:right="180" w:firstLine="495"/>
        <w:spacing w:after="0" w:line="275" w:lineRule="auto"/>
        <w:rPr>
          <w:sz w:val="20"/>
          <w:szCs w:val="20"/>
          <w:color w:val="auto"/>
        </w:rPr>
      </w:pPr>
      <w:r>
        <w:rPr>
          <w:rFonts w:ascii="Arial" w:cs="Arial" w:eastAsia="Arial" w:hAnsi="Arial"/>
          <w:sz w:val="17"/>
          <w:szCs w:val="17"/>
          <w:color w:val="auto"/>
        </w:rPr>
        <w:t>Variations of Rights of Shares. The rights attached to any class or series of shares (unless otherwise provided by the terms of issue of the shares of that 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176" w:lineRule="exact"/>
        <w:rPr>
          <w:sz w:val="20"/>
          <w:szCs w:val="20"/>
          <w:color w:val="auto"/>
        </w:rPr>
      </w:pPr>
    </w:p>
    <w:p>
      <w:pPr>
        <w:ind w:right="220" w:firstLine="495"/>
        <w:spacing w:after="0" w:line="342" w:lineRule="auto"/>
        <w:rPr>
          <w:sz w:val="20"/>
          <w:szCs w:val="20"/>
          <w:color w:val="auto"/>
        </w:rPr>
      </w:pPr>
      <w:r>
        <w:rPr>
          <w:rFonts w:ascii="Arial" w:cs="Arial" w:eastAsia="Arial" w:hAnsi="Arial"/>
          <w:sz w:val="16"/>
          <w:szCs w:val="16"/>
          <w:color w:val="auto"/>
        </w:rPr>
        <w:t>Issuance of Additional Shares. Our ninth amended and restated memorandum and articles of association authorizes our board of directors to issue additional ordinary shares from time to time as our board of directors shall determine, to the extent of available authorized but unissued shares.</w:t>
      </w:r>
    </w:p>
    <w:p>
      <w:pPr>
        <w:spacing w:after="0" w:line="124" w:lineRule="exact"/>
        <w:rPr>
          <w:sz w:val="20"/>
          <w:szCs w:val="20"/>
          <w:color w:val="auto"/>
        </w:rPr>
      </w:pPr>
    </w:p>
    <w:p>
      <w:pPr>
        <w:ind w:right="40" w:firstLine="495"/>
        <w:spacing w:after="0" w:line="342" w:lineRule="auto"/>
        <w:rPr>
          <w:sz w:val="20"/>
          <w:szCs w:val="20"/>
          <w:color w:val="auto"/>
        </w:rPr>
      </w:pPr>
      <w:r>
        <w:rPr>
          <w:rFonts w:ascii="Arial" w:cs="Arial" w:eastAsia="Arial" w:hAnsi="Arial"/>
          <w:sz w:val="16"/>
          <w:szCs w:val="16"/>
          <w:color w:val="auto"/>
        </w:rPr>
        <w:t>Our ninth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16" w:lineRule="exact"/>
        <w:rPr>
          <w:sz w:val="20"/>
          <w:szCs w:val="20"/>
          <w:color w:val="auto"/>
        </w:rPr>
      </w:pPr>
    </w:p>
    <w:p>
      <w:pPr>
        <w:ind w:left="980" w:hanging="486"/>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Issuance of these shares may dilute the voting power of holders of ordinary shares.</w:t>
      </w:r>
    </w:p>
    <w:p>
      <w:pPr>
        <w:spacing w:after="0" w:line="225" w:lineRule="exact"/>
        <w:rPr>
          <w:sz w:val="20"/>
          <w:szCs w:val="20"/>
          <w:color w:val="auto"/>
        </w:rPr>
      </w:pPr>
    </w:p>
    <w:p>
      <w:pPr>
        <w:ind w:right="40" w:firstLine="495"/>
        <w:spacing w:after="0" w:line="308" w:lineRule="auto"/>
        <w:rPr>
          <w:sz w:val="20"/>
          <w:szCs w:val="20"/>
          <w:color w:val="auto"/>
        </w:rPr>
      </w:pPr>
      <w:r>
        <w:rPr>
          <w:rFonts w:ascii="Arial" w:cs="Arial" w:eastAsia="Arial" w:hAnsi="Arial"/>
          <w:sz w:val="17"/>
          <w:szCs w:val="17"/>
          <w:color w:val="auto"/>
        </w:rPr>
        <w:t>Inspection of Books and Records. Holders of our ordinary shares will have no general right under Cayman Islands law to inspect or obtain copies of our list of shareholders or our corporate records. However, we will provide our shareholders with annual audited financial statements.</w:t>
      </w:r>
    </w:p>
    <w:p>
      <w:pPr>
        <w:spacing w:after="0" w:line="146" w:lineRule="exact"/>
        <w:rPr>
          <w:sz w:val="20"/>
          <w:szCs w:val="20"/>
          <w:color w:val="auto"/>
        </w:rPr>
      </w:pPr>
    </w:p>
    <w:p>
      <w:pPr>
        <w:ind w:right="240" w:firstLine="495"/>
        <w:spacing w:after="0" w:line="308" w:lineRule="auto"/>
        <w:rPr>
          <w:sz w:val="20"/>
          <w:szCs w:val="20"/>
          <w:color w:val="auto"/>
        </w:rPr>
      </w:pPr>
      <w:r>
        <w:rPr>
          <w:rFonts w:ascii="Arial" w:cs="Arial" w:eastAsia="Arial" w:hAnsi="Arial"/>
          <w:sz w:val="17"/>
          <w:szCs w:val="17"/>
          <w:color w:val="auto"/>
        </w:rPr>
        <w:t>Anti-Takeover Provisions. Some provisions of our ninth amended and restated memorandum and articles of association may discourage, delay or prevent a change of control of our company or management that shareholders may consider favorable, including provisions that:</w:t>
      </w:r>
    </w:p>
    <w:p>
      <w:pPr>
        <w:spacing w:after="0" w:line="38" w:lineRule="exact"/>
        <w:rPr>
          <w:sz w:val="20"/>
          <w:szCs w:val="20"/>
          <w:color w:val="auto"/>
        </w:rPr>
      </w:pPr>
    </w:p>
    <w:p>
      <w:pPr>
        <w:ind w:left="980" w:right="100" w:hanging="486"/>
        <w:spacing w:after="0" w:line="277"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ind w:right="180" w:firstLine="495"/>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ninth amended and restated memorandum and articles of association for a proper purpose and for what they believe in good faith to be in the best interests of our company.</w:t>
      </w:r>
    </w:p>
    <w:p>
      <w:pPr>
        <w:spacing w:after="0" w:line="124" w:lineRule="exact"/>
        <w:rPr>
          <w:sz w:val="20"/>
          <w:szCs w:val="20"/>
          <w:color w:val="auto"/>
        </w:rPr>
      </w:pPr>
    </w:p>
    <w:p>
      <w:pPr>
        <w:ind w:right="180" w:firstLine="495"/>
        <w:spacing w:after="0" w:line="277" w:lineRule="auto"/>
        <w:rPr>
          <w:sz w:val="20"/>
          <w:szCs w:val="20"/>
          <w:color w:val="auto"/>
        </w:rPr>
      </w:pPr>
      <w:r>
        <w:rPr>
          <w:rFonts w:ascii="Arial" w:cs="Arial" w:eastAsia="Arial" w:hAnsi="Arial"/>
          <w:sz w:val="18"/>
          <w:szCs w:val="18"/>
          <w:color w:val="auto"/>
        </w:rPr>
        <w:t>General Meetings of Shareholders and Shareholder Proposals. Our shareholders’ general meetings may be held in such place within or outside the Cayman Islands as our board of directors considers appropriate.</w:t>
      </w:r>
    </w:p>
    <w:p>
      <w:pPr>
        <w:spacing w:after="0" w:line="170" w:lineRule="exact"/>
        <w:rPr>
          <w:sz w:val="20"/>
          <w:szCs w:val="20"/>
          <w:color w:val="auto"/>
        </w:rPr>
      </w:pPr>
    </w:p>
    <w:p>
      <w:pPr>
        <w:ind w:firstLine="495"/>
        <w:spacing w:after="0" w:line="308" w:lineRule="auto"/>
        <w:rPr>
          <w:sz w:val="20"/>
          <w:szCs w:val="20"/>
          <w:color w:val="auto"/>
        </w:rPr>
      </w:pPr>
      <w:r>
        <w:rPr>
          <w:rFonts w:ascii="Arial" w:cs="Arial" w:eastAsia="Arial" w:hAnsi="Arial"/>
          <w:sz w:val="17"/>
          <w:szCs w:val="17"/>
          <w:color w:val="auto"/>
        </w:rPr>
        <w:t>As an exempted Cayman Islands company, we are not obliged by law to call shareholders’ annual general meetings. Our ninth amended and restated memorandum and articles of association provide that we shall in each year hold a general meeting as our annual general meeting.</w:t>
      </w:r>
    </w:p>
    <w:p>
      <w:pPr>
        <w:spacing w:after="0" w:line="146" w:lineRule="exact"/>
        <w:rPr>
          <w:sz w:val="20"/>
          <w:szCs w:val="20"/>
          <w:color w:val="auto"/>
        </w:rPr>
      </w:pPr>
    </w:p>
    <w:p>
      <w:pPr>
        <w:ind w:right="60" w:firstLine="495"/>
        <w:spacing w:after="0" w:line="259"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10" w:name="page111"/>
    <w:bookmarkEnd w:id="110"/>
    <w:p>
      <w:pPr>
        <w:ind w:right="120" w:firstLine="495"/>
        <w:spacing w:after="0" w:line="259" w:lineRule="auto"/>
        <w:rPr>
          <w:sz w:val="20"/>
          <w:szCs w:val="20"/>
          <w:color w:val="auto"/>
        </w:rPr>
      </w:pPr>
      <w:r>
        <w:rPr>
          <w:rFonts w:ascii="Arial" w:cs="Arial" w:eastAsia="Arial" w:hAnsi="Arial"/>
          <w:sz w:val="18"/>
          <w:szCs w:val="18"/>
          <w:color w:val="auto"/>
        </w:rPr>
        <w:t>Exempted Company. We are an exempted company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79" w:lineRule="exact"/>
        <w:rPr>
          <w:sz w:val="20"/>
          <w:szCs w:val="20"/>
          <w:color w:val="auto"/>
        </w:rPr>
      </w:pPr>
    </w:p>
    <w:p>
      <w:pPr>
        <w:ind w:left="980" w:hanging="486"/>
        <w:spacing w:after="0"/>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17" w:lineRule="exact"/>
        <w:rPr>
          <w:rFonts w:ascii="Arial" w:cs="Arial" w:eastAsia="Arial" w:hAnsi="Arial"/>
          <w:sz w:val="18"/>
          <w:szCs w:val="18"/>
          <w:color w:val="auto"/>
        </w:rPr>
      </w:pPr>
    </w:p>
    <w:p>
      <w:pPr>
        <w:ind w:left="980" w:right="700" w:hanging="486"/>
        <w:spacing w:after="0" w:line="277" w:lineRule="auto"/>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333" w:lineRule="exact"/>
        <w:rPr>
          <w:rFonts w:ascii="Arial" w:cs="Arial" w:eastAsia="Arial" w:hAnsi="Arial"/>
          <w:sz w:val="18"/>
          <w:szCs w:val="18"/>
          <w:color w:val="auto"/>
        </w:rPr>
      </w:pPr>
    </w:p>
    <w:p>
      <w:pPr>
        <w:ind w:left="500" w:hanging="492"/>
        <w:spacing w:after="0"/>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Material Contracts</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6"/>
          <w:szCs w:val="16"/>
          <w:color w:val="auto"/>
        </w:rPr>
        <w:t>We have not entered into any material contracts other than in the ordinary course of business and other than those described in “Item 4.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the Company,” “Item 7. Major Shareholders and Related Party Transactions—B. Related Party Transactions” and “Item 10. Additional Information—C.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 Contracts” or elsewhere in this annual report.</w:t>
      </w:r>
    </w:p>
    <w:p>
      <w:pPr>
        <w:spacing w:after="0" w:line="319" w:lineRule="exact"/>
        <w:rPr>
          <w:sz w:val="20"/>
          <w:szCs w:val="20"/>
          <w:color w:val="auto"/>
        </w:rPr>
      </w:pPr>
    </w:p>
    <w:p>
      <w:pPr>
        <w:ind w:left="500" w:hanging="492"/>
        <w:spacing w:after="0"/>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Exchange Controls</w:t>
      </w:r>
    </w:p>
    <w:p>
      <w:pPr>
        <w:spacing w:after="0" w:line="117" w:lineRule="exact"/>
        <w:rPr>
          <w:sz w:val="20"/>
          <w:szCs w:val="20"/>
          <w:color w:val="auto"/>
        </w:rPr>
      </w:pPr>
    </w:p>
    <w:p>
      <w:pPr>
        <w:ind w:right="520" w:firstLine="495"/>
        <w:spacing w:after="0" w:line="277" w:lineRule="auto"/>
        <w:rPr>
          <w:sz w:val="20"/>
          <w:szCs w:val="20"/>
          <w:color w:val="auto"/>
        </w:rPr>
      </w:pPr>
      <w:r>
        <w:rPr>
          <w:rFonts w:ascii="Arial" w:cs="Arial" w:eastAsia="Arial" w:hAnsi="Arial"/>
          <w:sz w:val="18"/>
          <w:szCs w:val="18"/>
          <w:color w:val="auto"/>
        </w:rPr>
        <w:t>See “Item 4. Information on the Company—B. Business Overview—Regulation—Regulations on Foreign Exchange” and “—Regulations on Dividend Distribution.”</w:t>
      </w:r>
    </w:p>
    <w:p>
      <w:pPr>
        <w:spacing w:after="0" w:line="278" w:lineRule="exact"/>
        <w:rPr>
          <w:sz w:val="20"/>
          <w:szCs w:val="20"/>
          <w:color w:val="auto"/>
        </w:rPr>
      </w:pPr>
    </w:p>
    <w:p>
      <w:pPr>
        <w:ind w:left="500" w:hanging="492"/>
        <w:spacing w:after="0"/>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Taxation</w:t>
      </w:r>
    </w:p>
    <w:p>
      <w:pPr>
        <w:spacing w:after="0" w:line="225" w:lineRule="exact"/>
        <w:rPr>
          <w:sz w:val="20"/>
          <w:szCs w:val="20"/>
          <w:color w:val="auto"/>
        </w:rPr>
      </w:pPr>
    </w:p>
    <w:p>
      <w:pPr>
        <w:ind w:right="60" w:firstLine="495"/>
        <w:spacing w:after="0" w:line="257" w:lineRule="auto"/>
        <w:rPr>
          <w:sz w:val="20"/>
          <w:szCs w:val="20"/>
          <w:color w:val="auto"/>
        </w:rPr>
      </w:pPr>
      <w:r>
        <w:rPr>
          <w:rFonts w:ascii="Arial" w:cs="Arial" w:eastAsia="Arial" w:hAnsi="Arial"/>
          <w:sz w:val="18"/>
          <w:szCs w:val="18"/>
          <w:color w:val="auto"/>
        </w:rPr>
        <w:t>The following summary of the material Cayman Islands, Hong Kong, the PRC and United States federal income tax consequences of an investment in our ADSs or ordinary shares is based upon laws and relevant interpretations thereof in effect as of the date of this annual report, all of which are subject to change. This summary does not deal with all possible tax consequences relating to an investment in our ADSs or ordinary shares, such as the tax consequences under United States state or local tax laws, or tax laws of jurisdictions other than the Cayman Islands, Hong Kong, the PRC and the United States.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Cayman Islands Taxation</w:t>
      </w:r>
    </w:p>
    <w:p>
      <w:pPr>
        <w:spacing w:after="0" w:line="117" w:lineRule="exact"/>
        <w:rPr>
          <w:sz w:val="20"/>
          <w:szCs w:val="20"/>
          <w:color w:val="auto"/>
        </w:rPr>
      </w:pPr>
    </w:p>
    <w:p>
      <w:pPr>
        <w:ind w:right="80" w:firstLine="495"/>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People’s Republic of China Taxation</w:t>
      </w:r>
    </w:p>
    <w:p>
      <w:pPr>
        <w:spacing w:after="0" w:line="117" w:lineRule="exact"/>
        <w:rPr>
          <w:sz w:val="20"/>
          <w:szCs w:val="20"/>
          <w:color w:val="auto"/>
        </w:rPr>
      </w:pPr>
    </w:p>
    <w:p>
      <w:pPr>
        <w:ind w:firstLine="495"/>
        <w:spacing w:after="0" w:line="272"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SAT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SAT’s general position on how the term “de facto management body” should be applied in determining the tax</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11" w:name="page112"/>
    <w:bookmarkEnd w:id="111"/>
    <w:p>
      <w:pPr>
        <w:ind w:right="80"/>
        <w:spacing w:after="0" w:line="291" w:lineRule="auto"/>
        <w:rPr>
          <w:sz w:val="20"/>
          <w:szCs w:val="20"/>
          <w:color w:val="auto"/>
        </w:rPr>
      </w:pPr>
      <w:r>
        <w:rPr>
          <w:rFonts w:ascii="Arial" w:cs="Arial" w:eastAsia="Arial" w:hAnsi="Arial"/>
          <w:sz w:val="16"/>
          <w:szCs w:val="16"/>
          <w:color w:val="auto"/>
        </w:rPr>
        <w:t>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w:t>
      </w:r>
    </w:p>
    <w:p>
      <w:pPr>
        <w:ind w:right="240" w:firstLine="8"/>
        <w:spacing w:after="0" w:line="253" w:lineRule="auto"/>
        <w:tabs>
          <w:tab w:leader="none" w:pos="21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93" w:lineRule="exact"/>
        <w:rPr>
          <w:sz w:val="20"/>
          <w:szCs w:val="20"/>
          <w:color w:val="auto"/>
        </w:rPr>
      </w:pPr>
    </w:p>
    <w:p>
      <w:pPr>
        <w:ind w:right="60" w:firstLine="495"/>
        <w:spacing w:after="0" w:line="273" w:lineRule="auto"/>
        <w:rPr>
          <w:sz w:val="20"/>
          <w:szCs w:val="20"/>
          <w:color w:val="auto"/>
        </w:rPr>
      </w:pPr>
      <w:r>
        <w:rPr>
          <w:rFonts w:ascii="Arial" w:cs="Arial" w:eastAsia="Arial" w:hAnsi="Arial"/>
          <w:sz w:val="17"/>
          <w:szCs w:val="17"/>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pacing w:after="0" w:line="178" w:lineRule="exact"/>
        <w:rPr>
          <w:sz w:val="20"/>
          <w:szCs w:val="20"/>
          <w:color w:val="auto"/>
        </w:rPr>
      </w:pPr>
    </w:p>
    <w:p>
      <w:pPr>
        <w:ind w:firstLine="495"/>
        <w:spacing w:after="0" w:line="289" w:lineRule="auto"/>
        <w:rPr>
          <w:sz w:val="20"/>
          <w:szCs w:val="20"/>
          <w:color w:val="auto"/>
        </w:rPr>
      </w:pPr>
      <w:r>
        <w:rPr>
          <w:rFonts w:ascii="Arial" w:cs="Arial" w:eastAsia="Arial" w:hAnsi="Arial"/>
          <w:sz w:val="16"/>
          <w:szCs w:val="16"/>
          <w:color w:val="auto"/>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 including the holders of our ADSs. In addition, non- 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 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166" w:lineRule="exact"/>
        <w:rPr>
          <w:sz w:val="20"/>
          <w:szCs w:val="20"/>
          <w:color w:val="auto"/>
        </w:rPr>
      </w:pPr>
    </w:p>
    <w:p>
      <w:pPr>
        <w:ind w:right="100" w:firstLine="495"/>
        <w:spacing w:after="0" w:line="296" w:lineRule="auto"/>
        <w:rPr>
          <w:sz w:val="20"/>
          <w:szCs w:val="20"/>
          <w:color w:val="auto"/>
        </w:rPr>
      </w:pPr>
      <w:r>
        <w:rPr>
          <w:rFonts w:ascii="Arial" w:cs="Arial" w:eastAsia="Arial" w:hAnsi="Arial"/>
          <w:sz w:val="16"/>
          <w:szCs w:val="16"/>
          <w:color w:val="auto"/>
        </w:rPr>
        <w:t>According to the PRC Enterprise Income Tax Law, Law of the People’s Republic of China on the Administration of Tax Collection promulgated on April 24, 2015, and the SAT’s Announcement on Matters Concerning Withholding of Income Tax of Non-resident Enterprises at Source promulgated on October 17, 2017, entities that have the direct obligation to make certain payments to a non-resident enterprise should act as withholding agents for the non-resident enterprise, and such payments include: income from equity investments (including dividends and other return on investment), interest, rents, royalties and income from assignment of property as well as other incomes subject to enterprise income tax received by non-resident enterprises in China.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Federal Income Tax Considerations</w:t>
      </w:r>
    </w:p>
    <w:p>
      <w:pPr>
        <w:spacing w:after="0" w:line="117" w:lineRule="exact"/>
        <w:rPr>
          <w:sz w:val="20"/>
          <w:szCs w:val="20"/>
          <w:color w:val="auto"/>
        </w:rPr>
      </w:pPr>
    </w:p>
    <w:p>
      <w:pPr>
        <w:ind w:right="680" w:firstLine="495"/>
        <w:spacing w:after="0" w:line="277" w:lineRule="auto"/>
        <w:rPr>
          <w:sz w:val="20"/>
          <w:szCs w:val="20"/>
          <w:color w:val="auto"/>
        </w:rPr>
      </w:pPr>
      <w:r>
        <w:rPr>
          <w:rFonts w:ascii="Arial" w:cs="Arial" w:eastAsia="Arial" w:hAnsi="Arial"/>
          <w:sz w:val="18"/>
          <w:szCs w:val="18"/>
          <w:color w:val="auto"/>
        </w:rPr>
        <w:t>The following is a summary of material U.S. federal income tax considerations that are likely to be relevant to the purchase, ownership and disposition of our ordinary shares or ADSs by a U.S. Holder (as defined below).</w:t>
      </w:r>
    </w:p>
    <w:p>
      <w:pPr>
        <w:spacing w:after="0" w:line="170" w:lineRule="exact"/>
        <w:rPr>
          <w:sz w:val="20"/>
          <w:szCs w:val="20"/>
          <w:color w:val="auto"/>
        </w:rPr>
      </w:pPr>
    </w:p>
    <w:p>
      <w:pPr>
        <w:ind w:right="320" w:firstLine="495"/>
        <w:spacing w:after="0" w:line="263" w:lineRule="auto"/>
        <w:rPr>
          <w:sz w:val="20"/>
          <w:szCs w:val="20"/>
          <w:color w:val="auto"/>
        </w:rPr>
      </w:pPr>
      <w:r>
        <w:rPr>
          <w:rFonts w:ascii="Arial" w:cs="Arial" w:eastAsia="Arial" w:hAnsi="Arial"/>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84" w:lineRule="exact"/>
        <w:rPr>
          <w:sz w:val="20"/>
          <w:szCs w:val="20"/>
          <w:color w:val="auto"/>
        </w:rPr>
      </w:pPr>
    </w:p>
    <w:p>
      <w:pPr>
        <w:ind w:right="20" w:firstLine="495"/>
        <w:spacing w:after="0" w:line="270" w:lineRule="auto"/>
        <w:rPr>
          <w:sz w:val="20"/>
          <w:szCs w:val="20"/>
          <w:color w:val="auto"/>
        </w:rPr>
      </w:pPr>
      <w:r>
        <w:rPr>
          <w:rFonts w:ascii="Arial" w:cs="Arial" w:eastAsia="Arial" w:hAnsi="Arial"/>
          <w:sz w:val="17"/>
          <w:szCs w:val="17"/>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shares (measured by voting power or value),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12" w:name="page113"/>
    <w:bookmarkEnd w:id="112"/>
    <w:p>
      <w:pPr>
        <w:ind w:right="80" w:firstLine="495"/>
        <w:spacing w:after="0" w:line="342" w:lineRule="auto"/>
        <w:rPr>
          <w:sz w:val="20"/>
          <w:szCs w:val="20"/>
          <w:color w:val="auto"/>
        </w:rPr>
      </w:pPr>
      <w:r>
        <w:rPr>
          <w:rFonts w:ascii="Arial" w:cs="Arial" w:eastAsia="Arial" w:hAnsi="Arial"/>
          <w:sz w:val="16"/>
          <w:szCs w:val="16"/>
          <w:color w:val="auto"/>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spacing w:after="0" w:line="23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right="320" w:firstLine="495"/>
        <w:spacing w:after="0" w:line="277" w:lineRule="auto"/>
        <w:rPr>
          <w:sz w:val="20"/>
          <w:szCs w:val="20"/>
          <w:color w:val="auto"/>
        </w:rPr>
      </w:pPr>
      <w:r>
        <w:rPr>
          <w:rFonts w:ascii="Arial" w:cs="Arial" w:eastAsia="Arial" w:hAnsi="Arial"/>
          <w:sz w:val="18"/>
          <w:szCs w:val="18"/>
          <w:color w:val="auto"/>
        </w:rPr>
        <w:t>In general, if you are a U.S. Holder of ADSs, you will be treated, for U.S. federal income tax purposes, as the beneficial owner of the underlying ordinary shares that are represented by those ADSs.</w:t>
      </w:r>
    </w:p>
    <w:p>
      <w:pPr>
        <w:spacing w:after="0" w:line="170" w:lineRule="exact"/>
        <w:rPr>
          <w:sz w:val="20"/>
          <w:szCs w:val="20"/>
          <w:color w:val="auto"/>
        </w:rPr>
      </w:pPr>
    </w:p>
    <w:p>
      <w:pPr>
        <w:ind w:right="20" w:firstLine="495"/>
        <w:spacing w:after="0" w:line="255" w:lineRule="auto"/>
        <w:rPr>
          <w:sz w:val="20"/>
          <w:szCs w:val="20"/>
          <w:color w:val="auto"/>
        </w:rPr>
      </w:pPr>
      <w:r>
        <w:rPr>
          <w:rFonts w:ascii="Arial" w:cs="Arial" w:eastAsia="Arial" w:hAnsi="Arial"/>
          <w:sz w:val="18"/>
          <w:szCs w:val="18"/>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expect to maintain calculations of our earnings and profits in accordance with U.S. federal income tax principles.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U.S. Holders therefore should expect that distributions generally will be treated as dividends for U.S. federal income tax purposes.</w:t>
      </w:r>
    </w:p>
    <w:p>
      <w:pPr>
        <w:spacing w:after="0" w:line="225" w:lineRule="exact"/>
        <w:rPr>
          <w:sz w:val="20"/>
          <w:szCs w:val="20"/>
          <w:color w:val="auto"/>
        </w:rPr>
      </w:pPr>
    </w:p>
    <w:p>
      <w:pPr>
        <w:ind w:right="260" w:firstLine="495"/>
        <w:spacing w:after="0" w:line="263" w:lineRule="auto"/>
        <w:rPr>
          <w:sz w:val="20"/>
          <w:szCs w:val="20"/>
          <w:color w:val="auto"/>
        </w:rPr>
      </w:pPr>
      <w:r>
        <w:rPr>
          <w:rFonts w:ascii="Arial" w:cs="Arial" w:eastAsia="Arial" w:hAnsi="Arial"/>
          <w:sz w:val="18"/>
          <w:szCs w:val="18"/>
          <w:color w:val="auto"/>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76" w:lineRule="exact"/>
        <w:rPr>
          <w:sz w:val="20"/>
          <w:szCs w:val="20"/>
          <w:color w:val="auto"/>
        </w:rPr>
      </w:pPr>
    </w:p>
    <w:p>
      <w:pPr>
        <w:ind w:left="980" w:right="20" w:hanging="486"/>
        <w:spacing w:after="0" w:line="263" w:lineRule="auto"/>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75" w:lineRule="exact"/>
        <w:rPr>
          <w:rFonts w:ascii="Arial" w:cs="Arial" w:eastAsia="Arial" w:hAnsi="Arial"/>
          <w:sz w:val="18"/>
          <w:szCs w:val="18"/>
          <w:color w:val="auto"/>
        </w:rPr>
      </w:pPr>
    </w:p>
    <w:p>
      <w:pPr>
        <w:ind w:left="980" w:hanging="486"/>
        <w:spacing w:after="0"/>
        <w:tabs>
          <w:tab w:leader="none" w:pos="9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we were not, in the year prior to the year in which the dividend was paid, and are not, in the year in which the dividend is paid, a PFIC.</w:t>
      </w:r>
    </w:p>
    <w:p>
      <w:pPr>
        <w:spacing w:after="0" w:line="237" w:lineRule="exact"/>
        <w:rPr>
          <w:sz w:val="20"/>
          <w:szCs w:val="20"/>
          <w:color w:val="auto"/>
        </w:rPr>
      </w:pPr>
    </w:p>
    <w:p>
      <w:pPr>
        <w:ind w:right="20" w:firstLine="495"/>
        <w:spacing w:after="0" w:line="275" w:lineRule="auto"/>
        <w:rPr>
          <w:sz w:val="20"/>
          <w:szCs w:val="20"/>
          <w:color w:val="auto"/>
        </w:rPr>
      </w:pPr>
      <w:r>
        <w:rPr>
          <w:rFonts w:ascii="Arial" w:cs="Arial" w:eastAsia="Arial" w:hAnsi="Arial"/>
          <w:sz w:val="17"/>
          <w:szCs w:val="17"/>
          <w:color w:val="auto"/>
        </w:rPr>
        <w:t>The ADSs are listed on the NASDAQ Global Market, and will qualify as readily tradable on an established securities market in the United States so long as they are so listed. Based on our audited financial statements, we believe that we were not treated as a PFIC for U.S. federal income tax purposes with respect to our 2019 and 2020 taxable years. In addition, based on our audited financial statements and our current expectations regarding the value and nature of our assets, the sources and nature of our income, and our market capitalization, we do not anticipate becoming a PFIC for our current taxable year or in the foreseeable future, as discussed under “Passive Foreign Investment Company Rules.”.</w:t>
      </w:r>
    </w:p>
    <w:p>
      <w:pPr>
        <w:spacing w:after="0" w:line="176" w:lineRule="exact"/>
        <w:rPr>
          <w:sz w:val="20"/>
          <w:szCs w:val="20"/>
          <w:color w:val="auto"/>
        </w:rPr>
      </w:pPr>
    </w:p>
    <w:p>
      <w:pPr>
        <w:ind w:right="200" w:firstLine="495"/>
        <w:spacing w:after="0" w:line="286" w:lineRule="auto"/>
        <w:rPr>
          <w:sz w:val="20"/>
          <w:szCs w:val="20"/>
          <w:color w:val="auto"/>
        </w:rPr>
      </w:pPr>
      <w:r>
        <w:rPr>
          <w:rFonts w:ascii="Arial" w:cs="Arial" w:eastAsia="Arial" w:hAnsi="Arial"/>
          <w:sz w:val="17"/>
          <w:szCs w:val="17"/>
          <w:color w:val="auto"/>
        </w:rPr>
        <w:t>Because the ordinary shares are not themselves listed on a U.S. exchange, dividends received with respect to the ordinary shares that are not represented by ADSs may not be treated as qualified dividends. U.S. Holders of ordinary shares or ADSs should consult their own tax advisors regarding the potential availability of the reduced dividend tax rate on shares in the light of their own particular circumstances.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3" w:name="page114"/>
    <w:bookmarkEnd w:id="113"/>
    <w:p>
      <w:pPr>
        <w:ind w:firstLine="495"/>
        <w:spacing w:after="0" w:line="286" w:lineRule="auto"/>
        <w:rPr>
          <w:sz w:val="20"/>
          <w:szCs w:val="20"/>
          <w:color w:val="auto"/>
        </w:rPr>
      </w:pPr>
      <w:r>
        <w:rPr>
          <w:rFonts w:ascii="Arial" w:cs="Arial" w:eastAsia="Arial" w:hAnsi="Arial"/>
          <w:sz w:val="16"/>
          <w:szCs w:val="16"/>
          <w:color w:val="auto"/>
        </w:rPr>
        <w:t>In the event that we are deemed to be a PRC resident enterprise under the PRC Enterprise Income Tax Law (see “Item 10. Additional Information— E. Taxation—People’s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Dividend distributions with respect to our ordinary shares or ADSs generally will be treated as “passive category” income from sources outside the United States for purposes of determining a U.S. Holder’s U.S. foreign tax credit limitation. Subject to the limitations and conditions provided in the Code and the applicable U.S. Treasury Regulations, a Holder may be able to claim a foreign tax credit against its U.S. federal income tax liability in respect of any PRC income taxes withheld at the appropriate rate applicable to the U.S. Holder from a dividend paid to such U.S. Holder. Alternatively, the U.S. Holder may deduct such PRC income taxes from its U.S. federal taxable income, provided that the U.S. Holder elects to deduct rather than credit all foreign income taxes for the relevant taxable year. The rules with respect to foreign tax credits are complex and involve the application of rules that depend on a U.S. Holder’s particular circumstances. Accordingly, U.S. Holders are urged to consult their tax advisors regarding the availability of the foreign tax credit or the deductibility of foreign taxes under their particular circumstances.</w:t>
      </w:r>
    </w:p>
    <w:p>
      <w:pPr>
        <w:spacing w:after="0" w:line="174" w:lineRule="exact"/>
        <w:rPr>
          <w:sz w:val="20"/>
          <w:szCs w:val="20"/>
          <w:color w:val="auto"/>
        </w:rPr>
      </w:pPr>
    </w:p>
    <w:p>
      <w:pPr>
        <w:ind w:right="120" w:firstLine="495"/>
        <w:spacing w:after="0" w:line="277" w:lineRule="auto"/>
        <w:rPr>
          <w:sz w:val="20"/>
          <w:szCs w:val="20"/>
          <w:color w:val="auto"/>
        </w:rPr>
      </w:pPr>
      <w:r>
        <w:rPr>
          <w:rFonts w:ascii="Arial" w:cs="Arial" w:eastAsia="Arial" w:hAnsi="Arial"/>
          <w:sz w:val="18"/>
          <w:szCs w:val="18"/>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Dispositions of ADSs or Ordinary Shares</w:t>
      </w:r>
    </w:p>
    <w:p>
      <w:pPr>
        <w:spacing w:after="0" w:line="117" w:lineRule="exact"/>
        <w:rPr>
          <w:sz w:val="20"/>
          <w:szCs w:val="20"/>
          <w:color w:val="auto"/>
        </w:rPr>
      </w:pPr>
    </w:p>
    <w:p>
      <w:pPr>
        <w:ind w:firstLine="495"/>
        <w:spacing w:after="0" w:line="259" w:lineRule="auto"/>
        <w:rPr>
          <w:sz w:val="20"/>
          <w:szCs w:val="20"/>
          <w:color w:val="auto"/>
        </w:rPr>
      </w:pPr>
      <w:r>
        <w:rPr>
          <w:rFonts w:ascii="Arial" w:cs="Arial" w:eastAsia="Arial" w:hAnsi="Arial"/>
          <w:sz w:val="18"/>
          <w:szCs w:val="18"/>
          <w:color w:val="auto"/>
        </w:rPr>
        <w:t>Subject to the discussion below under “Passive Foreign Investment Company Rules,” if a U.S. Holder realizes gain or loss on the sale, exchange or other disposition of ADSs or ordinary shares, that gain or loss will be capital gain or loss and generally will be long-term capital gain or loss if the ADS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87" w:lineRule="exact"/>
        <w:rPr>
          <w:sz w:val="20"/>
          <w:szCs w:val="20"/>
          <w:color w:val="auto"/>
        </w:rPr>
      </w:pPr>
    </w:p>
    <w:p>
      <w:pPr>
        <w:ind w:firstLine="495"/>
        <w:spacing w:after="0" w:line="273" w:lineRule="auto"/>
        <w:rPr>
          <w:sz w:val="20"/>
          <w:szCs w:val="20"/>
          <w:color w:val="auto"/>
        </w:rPr>
      </w:pPr>
      <w:r>
        <w:rPr>
          <w:rFonts w:ascii="Arial" w:cs="Arial" w:eastAsia="Arial" w:hAnsi="Arial"/>
          <w:sz w:val="17"/>
          <w:szCs w:val="17"/>
          <w:color w:val="auto"/>
        </w:rPr>
        <w:t>Gain, if any, realized by a U.S. Holder on the sale or other disposition of the ADSs or ordinary shares generally will be treated as U.S. source income for U.S. foreign tax credit purposes. Consequently, if a PRC withholding tax is imposed on the sale or disposition of the shares, a U.S. Holder that does not receive significant foreign source income from other sources may not be able to derive effective U.S. foreign tax credit benefits in respect of such PRC taxes. However, in the event that gain from the disposition of the ADSs or ordinary shares is subject to tax in the PRC, we may be eligible for the benefits of the Treaty, in which case, such gain may be treated as PRC source gain under Treaty. U.S. Holders should consult their own tax advisors regarding the application of the foreign tax credit rules to their investment in, and disposition of, the ADSs or ordinary shares.</w:t>
      </w:r>
    </w:p>
    <w:p>
      <w:pPr>
        <w:spacing w:after="0" w:line="178" w:lineRule="exact"/>
        <w:rPr>
          <w:sz w:val="20"/>
          <w:szCs w:val="20"/>
          <w:color w:val="auto"/>
        </w:rPr>
      </w:pPr>
    </w:p>
    <w:p>
      <w:pPr>
        <w:ind w:right="160" w:firstLine="495"/>
        <w:spacing w:after="0" w:line="277" w:lineRule="auto"/>
        <w:rPr>
          <w:sz w:val="20"/>
          <w:szCs w:val="20"/>
          <w:color w:val="auto"/>
        </w:rPr>
      </w:pPr>
      <w:r>
        <w:rPr>
          <w:rFonts w:ascii="Arial" w:cs="Arial" w:eastAsia="Arial" w:hAnsi="Arial"/>
          <w:sz w:val="18"/>
          <w:szCs w:val="18"/>
          <w:color w:val="auto"/>
        </w:rPr>
        <w:t>Deposits and withdrawals of ordinary shares by U.S. Holders in exchange for ADSs will not result in the realization of gain or loss for U.S. federal income tax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Special U.S. tax rules apply to companies that are considered to be PFICs. We will be classified as a PFIC in a particular taxable year if either</w:t>
      </w:r>
    </w:p>
    <w:p>
      <w:pPr>
        <w:spacing w:after="0" w:line="129" w:lineRule="exact"/>
        <w:rPr>
          <w:sz w:val="20"/>
          <w:szCs w:val="20"/>
          <w:color w:val="auto"/>
        </w:rPr>
      </w:pPr>
    </w:p>
    <w:p>
      <w:pPr>
        <w:ind w:left="980" w:hanging="486"/>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75 percent or more of our gross income for the taxable year is passive income; or</w:t>
      </w:r>
    </w:p>
    <w:p>
      <w:pPr>
        <w:spacing w:after="0" w:line="117" w:lineRule="exact"/>
        <w:rPr>
          <w:rFonts w:ascii="Arial" w:cs="Arial" w:eastAsia="Arial" w:hAnsi="Arial"/>
          <w:sz w:val="18"/>
          <w:szCs w:val="18"/>
          <w:color w:val="auto"/>
        </w:rPr>
      </w:pPr>
    </w:p>
    <w:p>
      <w:pPr>
        <w:ind w:left="980" w:right="240" w:hanging="486"/>
        <w:spacing w:after="0" w:line="279" w:lineRule="auto"/>
        <w:tabs>
          <w:tab w:leader="none" w:pos="9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average percentage of the value of our assets (including assets of subsidiaries in which we own at least 25 percent of the stock) that produce or are held for the production of passive income is at least 50 percent. Although the law in this regard is not entirely clear, we treat our consolidated variable interest entities as being owned by us for U.S. federal income tax purposes because we control their management decisions and are entitled to substantially all of the economic benefits associated with these entities.</w:t>
      </w:r>
    </w:p>
    <w:p>
      <w:pPr>
        <w:spacing w:after="0" w:line="171" w:lineRule="exact"/>
        <w:rPr>
          <w:sz w:val="20"/>
          <w:szCs w:val="20"/>
          <w:color w:val="auto"/>
        </w:rPr>
      </w:pPr>
    </w:p>
    <w:p>
      <w:pPr>
        <w:ind w:right="160" w:firstLine="495"/>
        <w:spacing w:after="0" w:line="257" w:lineRule="auto"/>
        <w:rPr>
          <w:sz w:val="20"/>
          <w:szCs w:val="20"/>
          <w:color w:val="auto"/>
        </w:rPr>
      </w:pPr>
      <w:r>
        <w:rPr>
          <w:rFonts w:ascii="Arial" w:cs="Arial" w:eastAsia="Arial" w:hAnsi="Arial"/>
          <w:sz w:val="18"/>
          <w:szCs w:val="18"/>
          <w:color w:val="auto"/>
        </w:rPr>
        <w:t>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 In the event that, contrary to our expectation, we are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4" w:name="page115"/>
    <w:bookmarkEnd w:id="114"/>
    <w:p>
      <w:pPr>
        <w:spacing w:after="0" w:line="255" w:lineRule="auto"/>
        <w:rPr>
          <w:sz w:val="20"/>
          <w:szCs w:val="20"/>
          <w:color w:val="auto"/>
        </w:rPr>
      </w:pPr>
      <w:r>
        <w:rPr>
          <w:rFonts w:ascii="Arial" w:cs="Arial" w:eastAsia="Arial" w:hAnsi="Arial"/>
          <w:sz w:val="18"/>
          <w:szCs w:val="18"/>
          <w:color w:val="auto"/>
        </w:rPr>
        <w:t>classified as a PFIC in any year and a U.S. Holder does not make a mark-to-market election, as described in the following paragraph,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Classification as a PFIC may also have other adverse tax consequences, including, in the case of individuals, the denial of a step-up in the basis of his or her ordinary shares or ADSs at death.</w:t>
      </w:r>
    </w:p>
    <w:p>
      <w:pPr>
        <w:spacing w:after="0" w:line="192" w:lineRule="exact"/>
        <w:rPr>
          <w:sz w:val="20"/>
          <w:szCs w:val="20"/>
          <w:color w:val="auto"/>
        </w:rPr>
      </w:pPr>
    </w:p>
    <w:p>
      <w:pPr>
        <w:ind w:firstLine="495"/>
        <w:spacing w:after="0" w:line="259" w:lineRule="auto"/>
        <w:rPr>
          <w:sz w:val="20"/>
          <w:szCs w:val="20"/>
          <w:color w:val="auto"/>
        </w:rPr>
      </w:pPr>
      <w:r>
        <w:rPr>
          <w:rFonts w:ascii="Arial" w:cs="Arial" w:eastAsia="Arial" w:hAnsi="Arial"/>
          <w:sz w:val="18"/>
          <w:szCs w:val="18"/>
          <w:color w:val="auto"/>
        </w:rPr>
        <w:t>A U.S. Holder can avoid the unfavorable rules described in the preceding paragraph by electing to mark its ordinary shares or ADSs to market. If the U.S. Holder makes this mark-to-market election, the holder will be required in any year in which we are a PFIC to include as ordinary income the excess of the fair market value of the shares at year-end over the holder’s basis in those shares. In addition, any gain the U.S. Holder recognizes upon the sale of the holder’s ADSs or ordinary shares will be taxed as ordinary income in the year of sale.</w:t>
      </w:r>
    </w:p>
    <w:p>
      <w:pPr>
        <w:spacing w:after="0" w:line="187" w:lineRule="exact"/>
        <w:rPr>
          <w:sz w:val="20"/>
          <w:szCs w:val="20"/>
          <w:color w:val="auto"/>
        </w:rPr>
      </w:pPr>
    </w:p>
    <w:p>
      <w:pPr>
        <w:jc w:val="both"/>
        <w:ind w:right="20" w:firstLine="495"/>
        <w:spacing w:after="0" w:line="311" w:lineRule="auto"/>
        <w:rPr>
          <w:sz w:val="20"/>
          <w:szCs w:val="20"/>
          <w:color w:val="auto"/>
        </w:rPr>
      </w:pPr>
      <w:r>
        <w:rPr>
          <w:rFonts w:ascii="Arial" w:cs="Arial" w:eastAsia="Arial" w:hAnsi="Arial"/>
          <w:sz w:val="16"/>
          <w:szCs w:val="16"/>
          <w:color w:val="auto"/>
        </w:rPr>
        <w:t>A U.S. Holder that owns an equity interest in a PFIC must annually file IRS Form 8621.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149" w:lineRule="exact"/>
        <w:rPr>
          <w:sz w:val="20"/>
          <w:szCs w:val="20"/>
          <w:color w:val="auto"/>
        </w:rPr>
      </w:pPr>
    </w:p>
    <w:p>
      <w:pPr>
        <w:ind w:right="400" w:firstLine="495"/>
        <w:spacing w:after="0" w:line="277" w:lineRule="auto"/>
        <w:rPr>
          <w:sz w:val="20"/>
          <w:szCs w:val="20"/>
          <w:color w:val="auto"/>
        </w:rPr>
      </w:pPr>
      <w:r>
        <w:rPr>
          <w:rFonts w:ascii="Arial" w:cs="Arial" w:eastAsia="Arial" w:hAnsi="Arial"/>
          <w:sz w:val="18"/>
          <w:szCs w:val="18"/>
          <w:color w:val="auto"/>
        </w:rPr>
        <w:t>U.S. Holders should consult their own tax advisors regarding the U.S. federal income tax considerations discussed above and the desirability of making a mark-to-market election.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Financial Asset Reporting</w:t>
      </w:r>
    </w:p>
    <w:p>
      <w:pPr>
        <w:spacing w:after="0" w:line="117" w:lineRule="exact"/>
        <w:rPr>
          <w:sz w:val="20"/>
          <w:szCs w:val="20"/>
          <w:color w:val="auto"/>
        </w:rPr>
      </w:pPr>
    </w:p>
    <w:p>
      <w:pPr>
        <w:ind w:right="140" w:firstLine="495"/>
        <w:spacing w:after="0" w:line="289" w:lineRule="auto"/>
        <w:rPr>
          <w:sz w:val="20"/>
          <w:szCs w:val="20"/>
          <w:color w:val="auto"/>
        </w:rPr>
      </w:pPr>
      <w:r>
        <w:rPr>
          <w:rFonts w:ascii="Arial" w:cs="Arial" w:eastAsia="Arial" w:hAnsi="Arial"/>
          <w:sz w:val="16"/>
          <w:szCs w:val="16"/>
          <w:color w:val="auto"/>
        </w:rPr>
        <w:t>Certain U.S. Holders who are individuals that own “specified foreign financial assets” with an aggregate value in excess of US$50,000 on the last day of the taxable year or $75,000 at any time during the taxable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40" w:firstLine="495"/>
        <w:spacing w:after="0" w:line="275" w:lineRule="auto"/>
        <w:rPr>
          <w:sz w:val="20"/>
          <w:szCs w:val="20"/>
          <w:color w:val="auto"/>
        </w:rPr>
      </w:pPr>
      <w:r>
        <w:rPr>
          <w:rFonts w:ascii="Arial" w:cs="Arial" w:eastAsia="Arial" w:hAnsi="Arial"/>
          <w:sz w:val="17"/>
          <w:szCs w:val="17"/>
          <w:color w:val="auto"/>
        </w:rPr>
        <w:t>Dividends paid on, and proceeds from the sale or other disposition of, the ADSs or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76"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278" w:lineRule="exact"/>
        <w:rPr>
          <w:sz w:val="20"/>
          <w:szCs w:val="20"/>
          <w:color w:val="auto"/>
        </w:rPr>
      </w:pPr>
    </w:p>
    <w:p>
      <w:pPr>
        <w:ind w:left="500" w:right="8620" w:hanging="492"/>
        <w:spacing w:after="0" w:line="402" w:lineRule="auto"/>
        <w:tabs>
          <w:tab w:leader="none" w:pos="491"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 xml:space="preserve">Dividends and Paying Agents </w:t>
      </w:r>
      <w:r>
        <w:rPr>
          <w:rFonts w:ascii="Arial" w:cs="Arial" w:eastAsia="Arial" w:hAnsi="Arial"/>
          <w:sz w:val="18"/>
          <w:szCs w:val="18"/>
          <w:color w:val="auto"/>
        </w:rPr>
        <w:t>Not applicable.</w:t>
      </w:r>
    </w:p>
    <w:p>
      <w:pPr>
        <w:spacing w:after="0" w:line="170" w:lineRule="exact"/>
        <w:rPr>
          <w:rFonts w:ascii="Arial" w:cs="Arial" w:eastAsia="Arial" w:hAnsi="Arial"/>
          <w:sz w:val="18"/>
          <w:szCs w:val="18"/>
          <w:color w:val="auto"/>
        </w:rPr>
      </w:pPr>
    </w:p>
    <w:p>
      <w:pPr>
        <w:ind w:left="500" w:right="9220" w:hanging="492"/>
        <w:spacing w:after="0" w:line="531" w:lineRule="auto"/>
        <w:tabs>
          <w:tab w:leader="none" w:pos="491"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 xml:space="preserve">Statement by Experts </w:t>
      </w:r>
      <w:r>
        <w:rPr>
          <w:rFonts w:ascii="Arial" w:cs="Arial" w:eastAsia="Arial" w:hAnsi="Arial"/>
          <w:sz w:val="15"/>
          <w:szCs w:val="15"/>
          <w:color w:val="auto"/>
        </w:rPr>
        <w:t>Not applicable.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15" w:name="page116"/>
    <w:bookmarkEnd w:id="115"/>
    <w:p>
      <w:pPr>
        <w:ind w:left="500" w:hanging="492"/>
        <w:spacing w:after="0"/>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Documents on Display</w:t>
      </w:r>
    </w:p>
    <w:p>
      <w:pPr>
        <w:spacing w:after="0" w:line="117" w:lineRule="exact"/>
        <w:rPr>
          <w:sz w:val="20"/>
          <w:szCs w:val="20"/>
          <w:color w:val="auto"/>
        </w:rPr>
      </w:pPr>
    </w:p>
    <w:p>
      <w:pPr>
        <w:ind w:firstLine="495"/>
        <w:spacing w:after="0" w:line="253" w:lineRule="auto"/>
        <w:rPr>
          <w:sz w:val="20"/>
          <w:szCs w:val="20"/>
          <w:color w:val="auto"/>
        </w:rPr>
      </w:pPr>
      <w:r>
        <w:rPr>
          <w:rFonts w:ascii="Arial" w:cs="Arial" w:eastAsia="Arial" w:hAnsi="Arial"/>
          <w:sz w:val="18"/>
          <w:szCs w:val="18"/>
          <w:color w:val="auto"/>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Copies of reports and other information, when so filed, may be inspected without charge and may be obtained at prescribed rates at the public reference facilities maintained by the SEC at 100 F Street, N.E., Room 1580,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96" w:lineRule="exact"/>
        <w:rPr>
          <w:sz w:val="20"/>
          <w:szCs w:val="20"/>
          <w:color w:val="auto"/>
        </w:rPr>
      </w:pPr>
    </w:p>
    <w:p>
      <w:pPr>
        <w:ind w:right="40" w:firstLine="495"/>
        <w:spacing w:after="0" w:line="257" w:lineRule="auto"/>
        <w:rPr>
          <w:sz w:val="20"/>
          <w:szCs w:val="20"/>
          <w:color w:val="auto"/>
        </w:rPr>
      </w:pPr>
      <w:r>
        <w:rPr>
          <w:rFonts w:ascii="Arial" w:cs="Arial" w:eastAsia="Arial" w:hAnsi="Arial"/>
          <w:sz w:val="18"/>
          <w:szCs w:val="18"/>
          <w:color w:val="auto"/>
        </w:rPr>
        <w:t>We will furnish JPMorgan Chase Bank, N.A.,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296" w:lineRule="exact"/>
        <w:rPr>
          <w:sz w:val="20"/>
          <w:szCs w:val="20"/>
          <w:color w:val="auto"/>
        </w:rPr>
      </w:pPr>
    </w:p>
    <w:p>
      <w:pPr>
        <w:ind w:left="500" w:right="9100" w:hanging="492"/>
        <w:spacing w:after="0" w:line="483" w:lineRule="auto"/>
        <w:tabs>
          <w:tab w:leader="none" w:pos="491"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 xml:space="preserve">Subsidiary Information </w:t>
      </w:r>
      <w:r>
        <w:rPr>
          <w:rFonts w:ascii="Arial" w:cs="Arial" w:eastAsia="Arial" w:hAnsi="Arial"/>
          <w:sz w:val="16"/>
          <w:szCs w:val="16"/>
          <w:color w:val="auto"/>
        </w:rPr>
        <w:t>Not applicable.</w:t>
      </w:r>
    </w:p>
    <w:p>
      <w:pPr>
        <w:spacing w:after="0" w:line="119" w:lineRule="exact"/>
        <w:rPr>
          <w:sz w:val="20"/>
          <w:szCs w:val="20"/>
          <w:color w:val="auto"/>
        </w:rPr>
      </w:pPr>
    </w:p>
    <w:p>
      <w:pPr>
        <w:ind w:right="4060"/>
        <w:spacing w:after="0" w:line="377" w:lineRule="auto"/>
        <w:rPr>
          <w:sz w:val="20"/>
          <w:szCs w:val="20"/>
          <w:color w:val="auto"/>
        </w:rPr>
      </w:pPr>
      <w:r>
        <w:rPr>
          <w:rFonts w:ascii="Arial" w:cs="Arial" w:eastAsia="Arial" w:hAnsi="Arial"/>
          <w:sz w:val="18"/>
          <w:szCs w:val="18"/>
          <w:b w:val="1"/>
          <w:bCs w:val="1"/>
          <w:color w:val="auto"/>
        </w:rPr>
        <w:t>ITEM 11.QUANTITATIVE AND QUALITATIVE DISCLOSURES ABOUT MARKET RISK Inflation</w:t>
      </w:r>
    </w:p>
    <w:p>
      <w:pPr>
        <w:spacing w:after="0" w:line="2" w:lineRule="exact"/>
        <w:rPr>
          <w:sz w:val="20"/>
          <w:szCs w:val="20"/>
          <w:color w:val="auto"/>
        </w:rPr>
      </w:pPr>
    </w:p>
    <w:p>
      <w:pPr>
        <w:ind w:right="20" w:firstLine="495"/>
        <w:spacing w:after="0" w:line="342" w:lineRule="auto"/>
        <w:rPr>
          <w:sz w:val="20"/>
          <w:szCs w:val="20"/>
          <w:color w:val="auto"/>
        </w:rPr>
      </w:pPr>
      <w:r>
        <w:rPr>
          <w:rFonts w:ascii="Arial" w:cs="Arial" w:eastAsia="Arial" w:hAnsi="Arial"/>
          <w:sz w:val="16"/>
          <w:szCs w:val="16"/>
          <w:color w:val="auto"/>
        </w:rPr>
        <w:t>Since our inception, inflation in China has not materially impacted our results of operations. According to the National Bureau of Statistics of China, the year over year percent change in the consumer price index for 2018, 2019 and 2020 were increases of 2.1%, 2.9% and 2.5%,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right="200" w:firstLine="495"/>
        <w:spacing w:after="0" w:line="259" w:lineRule="auto"/>
        <w:rPr>
          <w:sz w:val="20"/>
          <w:szCs w:val="20"/>
          <w:color w:val="auto"/>
        </w:rPr>
      </w:pPr>
      <w:r>
        <w:rPr>
          <w:rFonts w:ascii="Arial" w:cs="Arial" w:eastAsia="Arial" w:hAnsi="Arial"/>
          <w:sz w:val="18"/>
          <w:szCs w:val="18"/>
          <w:color w:val="auto"/>
        </w:rPr>
        <w:t>Foreign currency risk arises from future commercial transactions and recognized assets and liabilities. A significant portion of our revenue-generating transactions and expense-related transactions are denominated in Renminbi, which is the functional currency of our subsidiaries, VIE and its subsidiaries in China. Our commercial transactions outside China are primarily denominated in U.S. dollars and Hong Kong dollars, which are pegged to U.S. dollars. We do not hedge against currency risk.</w:t>
      </w:r>
    </w:p>
    <w:p>
      <w:pPr>
        <w:spacing w:after="0" w:line="187" w:lineRule="exact"/>
        <w:rPr>
          <w:sz w:val="20"/>
          <w:szCs w:val="20"/>
          <w:color w:val="auto"/>
        </w:rPr>
      </w:pPr>
    </w:p>
    <w:p>
      <w:pPr>
        <w:ind w:right="40" w:firstLine="495"/>
        <w:spacing w:after="0" w:line="301" w:lineRule="auto"/>
        <w:rPr>
          <w:sz w:val="20"/>
          <w:szCs w:val="20"/>
          <w:color w:val="auto"/>
        </w:rPr>
      </w:pPr>
      <w:r>
        <w:rPr>
          <w:rFonts w:ascii="Arial" w:cs="Arial" w:eastAsia="Arial" w:hAnsi="Arial"/>
          <w:sz w:val="16"/>
          <w:szCs w:val="16"/>
          <w:color w:val="auto"/>
        </w:rPr>
        <w:t>The value of the Renminbi against the U.S. dollar and other currencies may fluctuate and is affected by, among other things, changes in political and economic conditions in China and by China’s foreign exchange policies. Accordingly, it is difficult to predict how market forces or PRC or U.S. government policy may impact the exchange rate between the Renminbi and the U.S. dollar in the future. In addition, the PBOC may, from time to time, release policies and measures concerning the foreign exchange market to limit fluctuations in Renminbi exchange rates and for other policy considerations.</w:t>
      </w:r>
    </w:p>
    <w:p>
      <w:pPr>
        <w:spacing w:after="0" w:line="157" w:lineRule="exact"/>
        <w:rPr>
          <w:sz w:val="20"/>
          <w:szCs w:val="20"/>
          <w:color w:val="auto"/>
        </w:rPr>
      </w:pPr>
    </w:p>
    <w:p>
      <w:pPr>
        <w:ind w:right="100" w:firstLine="495"/>
        <w:spacing w:after="0" w:line="275" w:lineRule="auto"/>
        <w:rPr>
          <w:sz w:val="20"/>
          <w:szCs w:val="20"/>
          <w:color w:val="auto"/>
        </w:rPr>
      </w:pPr>
      <w:r>
        <w:rPr>
          <w:rFonts w:ascii="Arial" w:cs="Arial" w:eastAsia="Arial" w:hAnsi="Arial"/>
          <w:sz w:val="17"/>
          <w:szCs w:val="17"/>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 For U.S. dollars against Renminbi, there was appreciation of approximately 5.7%, appreciation of approximately 5.0% and appreciation of approximately 0.5% in 2018, 2019 and 2020, respectively.</w:t>
      </w:r>
    </w:p>
    <w:p>
      <w:pPr>
        <w:spacing w:after="0" w:line="176" w:lineRule="exact"/>
        <w:rPr>
          <w:sz w:val="20"/>
          <w:szCs w:val="20"/>
          <w:color w:val="auto"/>
        </w:rPr>
      </w:pPr>
    </w:p>
    <w:p>
      <w:pPr>
        <w:ind w:right="60" w:firstLine="495"/>
        <w:spacing w:after="0" w:line="255" w:lineRule="auto"/>
        <w:rPr>
          <w:sz w:val="20"/>
          <w:szCs w:val="20"/>
          <w:color w:val="auto"/>
        </w:rPr>
      </w:pPr>
      <w:r>
        <w:rPr>
          <w:rFonts w:ascii="Arial" w:cs="Arial" w:eastAsia="Arial" w:hAnsi="Arial"/>
          <w:sz w:val="18"/>
          <w:szCs w:val="18"/>
          <w:color w:val="auto"/>
        </w:rPr>
        <w:t>As of December 31, 2020, we had Renminbi-denominated cash and cash equivalents, accounts receivable, prepaid cost and deferred revenue of RMB105.8 million, RMB938.7 million, RMB212.4 million and RMB161.4 million, respectively. We estimate that a 10% depreciation of Renminbi against the U.S. dollar based on the foreign exchange rate on December 31, 2020 would result in a change of our holding U.S. dollar equivalents of US$1.5 million, US$13.0 million, US$2.9 million and US$2.2 million for cash and cash equivalents, accounts receivable, prepaid cost and deferred revenue, respectively. In addition, we estimate that a 10% depreciation of Renminbi against the U.S. dollar based on the foreign exchange rate on December 31, 2020</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would result in a decrease of US$22.7 million and US$18.7 million in our net revenues and cost of revenues in 2020.</w:t>
      </w:r>
    </w:p>
    <w:p>
      <w:pPr>
        <w:spacing w:after="0" w:line="225"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color w:val="auto"/>
        </w:rPr>
        <w:t>Certain of our operating activities are transacted in HK dollars. We consider the foreign exchange risk in relation to transactions denominated in HK dollars with respect to U.S. dollars is not significant as HK dollar is pegged to U.S. dollar.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 w:firstLine="495"/>
        <w:spacing w:after="0" w:line="311" w:lineRule="auto"/>
        <w:rPr>
          <w:sz w:val="20"/>
          <w:szCs w:val="20"/>
          <w:color w:val="auto"/>
        </w:rPr>
      </w:pPr>
      <w:r>
        <w:rPr>
          <w:rFonts w:ascii="Arial" w:cs="Arial" w:eastAsia="Arial" w:hAnsi="Arial"/>
          <w:sz w:val="16"/>
          <w:szCs w:val="16"/>
          <w:color w:val="auto"/>
        </w:rPr>
        <w:t>Our main interest rate exposure relates to bank borrowings. We also have interest-bearing assets, including cash and cash equivalents, short-term investments and restricted cash. We manage our interest rate exposure with a focus on reducing our overall cost of debt and exposure to changes in interest rates. 8.9% of the aggregate principal outstanding amount of our bank borrowings as of December 31, 2020 was at floating rates.</w:t>
      </w:r>
    </w:p>
    <w:p>
      <w:pPr>
        <w:spacing w:after="0" w:line="149" w:lineRule="exact"/>
        <w:rPr>
          <w:sz w:val="20"/>
          <w:szCs w:val="20"/>
          <w:color w:val="auto"/>
        </w:rPr>
      </w:pPr>
    </w:p>
    <w:p>
      <w:pPr>
        <w:ind w:right="120" w:firstLine="495"/>
        <w:spacing w:after="0" w:line="286" w:lineRule="auto"/>
        <w:rPr>
          <w:sz w:val="20"/>
          <w:szCs w:val="20"/>
          <w:color w:val="auto"/>
        </w:rPr>
      </w:pPr>
      <w:r>
        <w:rPr>
          <w:rFonts w:ascii="Arial" w:cs="Arial" w:eastAsia="Arial" w:hAnsi="Arial"/>
          <w:sz w:val="17"/>
          <w:szCs w:val="17"/>
          <w:color w:val="auto"/>
        </w:rPr>
        <w:t>As of December 31, 2020, if interest rates increased/decreased by 1%, with all other variables having remained constant, and assuming the amount of bank borrowings outstanding at the end of the year was outstanding for the entire year, our net loss would have been US$0.05 million higher/lower, respectively. These were mainly as a result of higher/lower interest expense for our bank borrowings at floating rates.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12.DESCRIPTION OF SECURITIES OTHER THAN EQUITY SECURITIES</w:t>
      </w:r>
    </w:p>
    <w:p>
      <w:pPr>
        <w:spacing w:after="0" w:line="121" w:lineRule="exact"/>
        <w:rPr>
          <w:sz w:val="20"/>
          <w:szCs w:val="20"/>
          <w:color w:val="auto"/>
        </w:rPr>
      </w:pPr>
    </w:p>
    <w:p>
      <w:pPr>
        <w:jc w:val="both"/>
        <w:ind w:left="500" w:right="9600" w:hanging="492"/>
        <w:spacing w:after="0" w:line="483" w:lineRule="auto"/>
        <w:tabs>
          <w:tab w:leader="none" w:pos="491"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 xml:space="preserve">Debt Securities </w:t>
      </w:r>
      <w:r>
        <w:rPr>
          <w:rFonts w:ascii="Arial" w:cs="Arial" w:eastAsia="Arial" w:hAnsi="Arial"/>
          <w:sz w:val="16"/>
          <w:szCs w:val="16"/>
          <w:color w:val="auto"/>
        </w:rPr>
        <w:t>Not applicable.</w:t>
      </w:r>
    </w:p>
    <w:p>
      <w:pPr>
        <w:spacing w:after="0" w:line="123" w:lineRule="exact"/>
        <w:rPr>
          <w:rFonts w:ascii="Arial" w:cs="Arial" w:eastAsia="Arial" w:hAnsi="Arial"/>
          <w:sz w:val="16"/>
          <w:szCs w:val="16"/>
          <w:color w:val="auto"/>
        </w:rPr>
      </w:pPr>
    </w:p>
    <w:p>
      <w:pPr>
        <w:ind w:left="500" w:right="9260" w:hanging="492"/>
        <w:spacing w:after="0" w:line="531" w:lineRule="auto"/>
        <w:tabs>
          <w:tab w:leader="none" w:pos="491"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 xml:space="preserve">Warrants and Rights </w:t>
      </w:r>
      <w:r>
        <w:rPr>
          <w:rFonts w:ascii="Arial" w:cs="Arial" w:eastAsia="Arial" w:hAnsi="Arial"/>
          <w:sz w:val="15"/>
          <w:szCs w:val="15"/>
          <w:color w:val="auto"/>
        </w:rPr>
        <w:t>Not applicable.</w:t>
      </w:r>
    </w:p>
    <w:p>
      <w:pPr>
        <w:spacing w:after="0" w:line="100" w:lineRule="exact"/>
        <w:rPr>
          <w:rFonts w:ascii="Arial" w:cs="Arial" w:eastAsia="Arial" w:hAnsi="Arial"/>
          <w:sz w:val="15"/>
          <w:szCs w:val="15"/>
          <w:color w:val="auto"/>
        </w:rPr>
      </w:pPr>
    </w:p>
    <w:p>
      <w:pPr>
        <w:jc w:val="both"/>
        <w:ind w:left="500" w:right="9560" w:hanging="492"/>
        <w:spacing w:after="0" w:line="483" w:lineRule="auto"/>
        <w:tabs>
          <w:tab w:leader="none" w:pos="491"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 xml:space="preserve">Other Securities </w:t>
      </w:r>
      <w:r>
        <w:rPr>
          <w:rFonts w:ascii="Arial" w:cs="Arial" w:eastAsia="Arial" w:hAnsi="Arial"/>
          <w:sz w:val="16"/>
          <w:szCs w:val="16"/>
          <w:color w:val="auto"/>
        </w:rPr>
        <w:t>Not applicable.</w:t>
      </w:r>
    </w:p>
    <w:p>
      <w:pPr>
        <w:spacing w:after="0" w:line="123" w:lineRule="exact"/>
        <w:rPr>
          <w:rFonts w:ascii="Arial" w:cs="Arial" w:eastAsia="Arial" w:hAnsi="Arial"/>
          <w:sz w:val="16"/>
          <w:szCs w:val="16"/>
          <w:color w:val="auto"/>
        </w:rPr>
      </w:pPr>
    </w:p>
    <w:p>
      <w:pPr>
        <w:ind w:left="500" w:hanging="492"/>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American Depositary Shares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 Our ADS Holders May Have to Pay</w:t>
      </w:r>
    </w:p>
    <w:p>
      <w:pPr>
        <w:spacing w:after="0" w:line="121" w:lineRule="exact"/>
        <w:rPr>
          <w:sz w:val="20"/>
          <w:szCs w:val="20"/>
          <w:color w:val="auto"/>
        </w:rPr>
      </w:pPr>
    </w:p>
    <w:p>
      <w:pPr>
        <w:ind w:right="60" w:firstLine="495"/>
        <w:spacing w:after="0" w:line="293" w:lineRule="auto"/>
        <w:rPr>
          <w:sz w:val="20"/>
          <w:szCs w:val="20"/>
          <w:color w:val="auto"/>
        </w:rPr>
      </w:pPr>
      <w:r>
        <w:rPr>
          <w:rFonts w:ascii="Arial" w:cs="Arial" w:eastAsia="Arial" w:hAnsi="Arial"/>
          <w:sz w:val="16"/>
          <w:szCs w:val="16"/>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64" w:lineRule="exact"/>
        <w:rPr>
          <w:sz w:val="20"/>
          <w:szCs w:val="20"/>
          <w:color w:val="auto"/>
        </w:rPr>
      </w:pPr>
    </w:p>
    <w:p>
      <w:pPr>
        <w:jc w:val="both"/>
        <w:ind w:right="20" w:firstLine="495"/>
        <w:spacing w:after="0" w:line="263"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76" w:lineRule="exact"/>
        <w:rPr>
          <w:sz w:val="20"/>
          <w:szCs w:val="20"/>
          <w:color w:val="auto"/>
        </w:rPr>
      </w:pPr>
    </w:p>
    <w:p>
      <w:pPr>
        <w:ind w:left="980" w:hanging="486"/>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fee of US$1.50 per ADR or ADRs for transfers of certificated or direct registration ADRs;</w:t>
      </w:r>
    </w:p>
    <w:p>
      <w:pPr>
        <w:spacing w:after="0" w:line="117" w:lineRule="exact"/>
        <w:rPr>
          <w:rFonts w:ascii="Arial" w:cs="Arial" w:eastAsia="Arial" w:hAnsi="Arial"/>
          <w:sz w:val="18"/>
          <w:szCs w:val="18"/>
          <w:color w:val="auto"/>
        </w:rPr>
      </w:pPr>
    </w:p>
    <w:p>
      <w:pPr>
        <w:ind w:left="980" w:hanging="486"/>
        <w:spacing w:after="0" w:line="259" w:lineRule="auto"/>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17" w:name="page118"/>
    <w:bookmarkEnd w:id="117"/>
    <w:p>
      <w:pPr>
        <w:ind w:left="980" w:right="40" w:hanging="486"/>
        <w:spacing w:after="0" w:line="291" w:lineRule="auto"/>
        <w:tabs>
          <w:tab w:leader="none" w:pos="9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58" w:lineRule="exact"/>
        <w:rPr>
          <w:rFonts w:ascii="Arial" w:cs="Arial" w:eastAsia="Arial" w:hAnsi="Arial"/>
          <w:sz w:val="16"/>
          <w:szCs w:val="16"/>
          <w:color w:val="auto"/>
        </w:rPr>
      </w:pPr>
    </w:p>
    <w:p>
      <w:pPr>
        <w:ind w:left="980" w:right="320" w:hanging="486"/>
        <w:spacing w:after="0" w:line="259"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78" w:lineRule="exact"/>
        <w:rPr>
          <w:rFonts w:ascii="Arial" w:cs="Arial" w:eastAsia="Arial" w:hAnsi="Arial"/>
          <w:sz w:val="18"/>
          <w:szCs w:val="18"/>
          <w:color w:val="auto"/>
        </w:rPr>
      </w:pPr>
    </w:p>
    <w:p>
      <w:pPr>
        <w:ind w:left="980" w:hanging="486"/>
        <w:spacing w:after="0"/>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117" w:lineRule="exact"/>
        <w:rPr>
          <w:rFonts w:ascii="Arial" w:cs="Arial" w:eastAsia="Arial" w:hAnsi="Arial"/>
          <w:sz w:val="18"/>
          <w:szCs w:val="18"/>
          <w:color w:val="auto"/>
        </w:rPr>
      </w:pPr>
    </w:p>
    <w:p>
      <w:pPr>
        <w:ind w:left="980" w:right="380" w:hanging="486"/>
        <w:spacing w:after="0" w:line="277"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 ADRs or deposited securities;</w:t>
      </w:r>
    </w:p>
    <w:p>
      <w:pPr>
        <w:spacing w:after="0" w:line="62" w:lineRule="exact"/>
        <w:rPr>
          <w:rFonts w:ascii="Arial" w:cs="Arial" w:eastAsia="Arial" w:hAnsi="Arial"/>
          <w:sz w:val="18"/>
          <w:szCs w:val="18"/>
          <w:color w:val="auto"/>
        </w:rPr>
      </w:pPr>
    </w:p>
    <w:p>
      <w:pPr>
        <w:ind w:left="980" w:right="140" w:hanging="486"/>
        <w:spacing w:after="0" w:line="277"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62" w:lineRule="exact"/>
        <w:rPr>
          <w:rFonts w:ascii="Arial" w:cs="Arial" w:eastAsia="Arial" w:hAnsi="Arial"/>
          <w:sz w:val="18"/>
          <w:szCs w:val="18"/>
          <w:color w:val="auto"/>
        </w:rPr>
      </w:pPr>
    </w:p>
    <w:p>
      <w:pPr>
        <w:ind w:left="980" w:hanging="486"/>
        <w:spacing w:after="0" w:line="263"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JPMorgan and/or its agent may act as principal for such conversion of foreign currency.</w:t>
      </w:r>
    </w:p>
    <w:p>
      <w:pPr>
        <w:spacing w:after="0" w:line="225" w:lineRule="exact"/>
        <w:rPr>
          <w:sz w:val="20"/>
          <w:szCs w:val="20"/>
          <w:color w:val="auto"/>
        </w:rPr>
      </w:pPr>
    </w:p>
    <w:p>
      <w:pPr>
        <w:ind w:right="120" w:firstLine="495"/>
        <w:spacing w:after="0" w:line="342" w:lineRule="auto"/>
        <w:rPr>
          <w:sz w:val="20"/>
          <w:szCs w:val="20"/>
          <w:color w:val="auto"/>
        </w:rPr>
      </w:pPr>
      <w:r>
        <w:rPr>
          <w:rFonts w:ascii="Arial" w:cs="Arial" w:eastAsia="Arial" w:hAnsi="Arial"/>
          <w:sz w:val="16"/>
          <w:szCs w:val="16"/>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121" w:lineRule="exact"/>
        <w:rPr>
          <w:sz w:val="20"/>
          <w:szCs w:val="20"/>
          <w:color w:val="auto"/>
        </w:rPr>
      </w:pPr>
    </w:p>
    <w:p>
      <w:pPr>
        <w:ind w:right="80" w:firstLine="495"/>
        <w:spacing w:after="0" w:line="288" w:lineRule="auto"/>
        <w:rPr>
          <w:sz w:val="20"/>
          <w:szCs w:val="20"/>
          <w:color w:val="auto"/>
        </w:rPr>
      </w:pPr>
      <w:r>
        <w:rPr>
          <w:rFonts w:ascii="Arial" w:cs="Arial" w:eastAsia="Arial" w:hAnsi="Arial"/>
          <w:sz w:val="16"/>
          <w:szCs w:val="16"/>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 For the year ended December 31, 2020, we received US$0.3 million reimbursement, after deduction of applicable U.S. taxes, from the depositary.</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118" w:name="page119"/>
    <w:bookmarkEnd w:id="118"/>
    <w:p>
      <w:pPr>
        <w:ind w:left="53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13.DEFAULTS, DIVIDEND ARREARAGES AND DELINQUENCIES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14.MATERIAL MODIFICATIONS TO THE RIGHTS OF SECURITY HOLDERS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A-D. </w:t>
      </w:r>
      <w:r>
        <w:rPr>
          <w:rFonts w:ascii="Arial" w:cs="Arial" w:eastAsia="Arial" w:hAnsi="Arial"/>
          <w:sz w:val="18"/>
          <w:szCs w:val="18"/>
          <w:u w:val="single" w:color="auto"/>
          <w:color w:val="auto"/>
        </w:rPr>
        <w:t>Material Modifications to the Rights of Security Holders</w:t>
      </w:r>
    </w:p>
    <w:p>
      <w:pPr>
        <w:spacing w:after="0" w:line="225" w:lineRule="exact"/>
        <w:rPr>
          <w:sz w:val="20"/>
          <w:szCs w:val="20"/>
          <w:color w:val="auto"/>
        </w:rPr>
      </w:pPr>
    </w:p>
    <w:p>
      <w:pPr>
        <w:ind w:right="80" w:firstLine="495"/>
        <w:spacing w:after="0" w:line="277" w:lineRule="auto"/>
        <w:rPr>
          <w:sz w:val="20"/>
          <w:szCs w:val="20"/>
          <w:color w:val="auto"/>
        </w:rPr>
      </w:pPr>
      <w:r>
        <w:rPr>
          <w:rFonts w:ascii="Arial" w:cs="Arial" w:eastAsia="Arial" w:hAnsi="Arial"/>
          <w:sz w:val="18"/>
          <w:szCs w:val="18"/>
          <w:color w:val="auto"/>
        </w:rPr>
        <w:t>See “Item 10. Additional Information—B. Memorandum and Articles of Association—Ordinary Shares” for a description of the rights of securities holders, which remain unchanged.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Use of Proceeds</w:t>
      </w:r>
    </w:p>
    <w:p>
      <w:pPr>
        <w:spacing w:after="0" w:line="225"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The following “Use of Proceeds” information relates to the registration statement on Form F-1, as amended (File No. 333-221034) in relation to our initial public offering, which was declared effective by the SEC on December 21, 2017 and to the registration statement on Form F-3, as amended (File No. 333-232435) in relation to our follow-on offering, which was declared effective by the SEC on July 15, 2019.</w:t>
      </w:r>
    </w:p>
    <w:p>
      <w:pPr>
        <w:spacing w:after="0" w:line="184" w:lineRule="exact"/>
        <w:rPr>
          <w:sz w:val="20"/>
          <w:szCs w:val="20"/>
          <w:color w:val="auto"/>
        </w:rPr>
      </w:pPr>
    </w:p>
    <w:p>
      <w:pPr>
        <w:ind w:right="100" w:firstLine="495"/>
        <w:spacing w:after="0" w:line="293" w:lineRule="auto"/>
        <w:rPr>
          <w:sz w:val="20"/>
          <w:szCs w:val="20"/>
          <w:color w:val="auto"/>
        </w:rPr>
      </w:pPr>
      <w:r>
        <w:rPr>
          <w:rFonts w:ascii="Arial" w:cs="Arial" w:eastAsia="Arial" w:hAnsi="Arial"/>
          <w:sz w:val="16"/>
          <w:szCs w:val="16"/>
          <w:color w:val="auto"/>
        </w:rPr>
        <w:t>In December 2017, we completed our initial public offering, in which we issued and sold an aggregate of 3,750,000 ADSs (excluding ADSs issued upon the exercise of the over-allotment options), representing 1,875,000 Class A ordinary shares, at an initial offering price of US$8.00 per ADS. In the same month, the underwriters of our initial public offering exercised their over-allotment options to purchase an additional 562,500 ADSs in full. The net proceeds we received from the initial public offering and the exercise of the over-allotment options in full totaled approximately US$27.5 million. Roth Capital Partners, LLC was the representative of the underwriters for our initial public offering. None of the transaction expenses included payments to directors or officers of our company or their associates, persons owning more than 10% or more of our equity securities or our affiliates.</w:t>
      </w:r>
    </w:p>
    <w:p>
      <w:pPr>
        <w:spacing w:after="0" w:line="164" w:lineRule="exact"/>
        <w:rPr>
          <w:sz w:val="20"/>
          <w:szCs w:val="20"/>
          <w:color w:val="auto"/>
        </w:rPr>
      </w:pPr>
    </w:p>
    <w:p>
      <w:pPr>
        <w:ind w:right="140" w:firstLine="495"/>
        <w:spacing w:after="0" w:line="277" w:lineRule="auto"/>
        <w:rPr>
          <w:sz w:val="20"/>
          <w:szCs w:val="20"/>
          <w:color w:val="auto"/>
        </w:rPr>
      </w:pPr>
      <w:r>
        <w:rPr>
          <w:rFonts w:ascii="Arial" w:cs="Arial" w:eastAsia="Arial" w:hAnsi="Arial"/>
          <w:sz w:val="18"/>
          <w:szCs w:val="18"/>
          <w:color w:val="auto"/>
        </w:rPr>
        <w:t>For the period from December 21, 2017, the date that the Form F-1 was declared effective by the SEC, to December 31, 2020, we had used the net proceeds from our initial public offering as follows:</w:t>
      </w:r>
    </w:p>
    <w:p>
      <w:pPr>
        <w:spacing w:after="0" w:line="62" w:lineRule="exact"/>
        <w:rPr>
          <w:sz w:val="20"/>
          <w:szCs w:val="20"/>
          <w:color w:val="auto"/>
        </w:rPr>
      </w:pPr>
    </w:p>
    <w:p>
      <w:pPr>
        <w:ind w:left="980" w:right="40" w:hanging="486"/>
        <w:spacing w:after="0" w:line="277" w:lineRule="auto"/>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approximately US$12 million of the net proceeds for research and development and expansion of our suite of solutions and service offerings;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approximately US$16 million of the net proceeds for sales and marketing.</w:t>
      </w:r>
    </w:p>
    <w:p>
      <w:pPr>
        <w:spacing w:after="0" w:line="225" w:lineRule="exact"/>
        <w:rPr>
          <w:sz w:val="20"/>
          <w:szCs w:val="20"/>
          <w:color w:val="auto"/>
        </w:rPr>
      </w:pPr>
    </w:p>
    <w:p>
      <w:pPr>
        <w:ind w:right="240" w:firstLine="487"/>
        <w:spacing w:after="0" w:line="259" w:lineRule="auto"/>
        <w:rPr>
          <w:sz w:val="20"/>
          <w:szCs w:val="20"/>
          <w:color w:val="auto"/>
        </w:rPr>
      </w:pPr>
      <w:r>
        <w:rPr>
          <w:rFonts w:ascii="Arial" w:cs="Arial" w:eastAsia="Arial" w:hAnsi="Arial"/>
          <w:sz w:val="18"/>
          <w:szCs w:val="18"/>
          <w:color w:val="auto"/>
        </w:rPr>
        <w:t>We intend to use the remainder of the proceeds from our initial public offering, as disclosed in our registration statement on Form F-1, for (i) research and development and expansion of our suite of solutions and service offerings, and (ii) funding our working capital and other general corporate purposes. None of the net proceeds from the initial public offering have been paid, directly or indirectly, to any of our directors or officers or their associates, persons owning 10% or more of our equity securities or our affiliates.</w:t>
      </w:r>
    </w:p>
    <w:p>
      <w:pPr>
        <w:spacing w:after="0" w:line="187" w:lineRule="exact"/>
        <w:rPr>
          <w:sz w:val="20"/>
          <w:szCs w:val="20"/>
          <w:color w:val="auto"/>
        </w:rPr>
      </w:pPr>
    </w:p>
    <w:p>
      <w:pPr>
        <w:ind w:right="200" w:firstLine="487"/>
        <w:spacing w:after="0" w:line="296" w:lineRule="auto"/>
        <w:rPr>
          <w:sz w:val="20"/>
          <w:szCs w:val="20"/>
          <w:color w:val="auto"/>
        </w:rPr>
      </w:pPr>
      <w:r>
        <w:rPr>
          <w:rFonts w:ascii="Arial" w:cs="Arial" w:eastAsia="Arial" w:hAnsi="Arial"/>
          <w:sz w:val="16"/>
          <w:szCs w:val="16"/>
          <w:color w:val="auto"/>
        </w:rPr>
        <w:t>In September 2020, we completed the follow-on offering of 8,500,001 ADSs, of which 6,877,214 ADSs (excluding ADSs issued upon the exercise of the over-allotment options), representing an aggregate of 3,438,607 Class A ordinary shares were sold by us. The net proceeds we raised from the follow-on public offering were approximately US$53.0 million, after deducting underwriting discounts and commissions and offering expenses payable by us. BofA Securities, Inc. was the representative of the underwriters for our follow-on offering. None of the transaction expenses included payments to directors or officers of our company or their associates, persons owning more than 10% or more of our equity securities or our affiliates.</w:t>
      </w:r>
    </w:p>
    <w:p>
      <w:pPr>
        <w:spacing w:after="0" w:line="161" w:lineRule="exact"/>
        <w:rPr>
          <w:sz w:val="20"/>
          <w:szCs w:val="20"/>
          <w:color w:val="auto"/>
        </w:rPr>
      </w:pPr>
    </w:p>
    <w:p>
      <w:pPr>
        <w:ind w:right="240" w:firstLine="487"/>
        <w:spacing w:after="0" w:line="277" w:lineRule="auto"/>
        <w:rPr>
          <w:sz w:val="20"/>
          <w:szCs w:val="20"/>
          <w:color w:val="auto"/>
        </w:rPr>
      </w:pPr>
      <w:r>
        <w:rPr>
          <w:rFonts w:ascii="Arial" w:cs="Arial" w:eastAsia="Arial" w:hAnsi="Arial"/>
          <w:sz w:val="18"/>
          <w:szCs w:val="18"/>
          <w:color w:val="auto"/>
        </w:rPr>
        <w:t>For the period from July 15, 2019, the date that the registration statement on Form F-3 was declared effective by the SEC, to December 31, 2020, we had used the net proceeds from our follow-on offering as follows:</w:t>
      </w:r>
    </w:p>
    <w:p>
      <w:pPr>
        <w:spacing w:after="0" w:line="62" w:lineRule="exact"/>
        <w:rPr>
          <w:sz w:val="20"/>
          <w:szCs w:val="20"/>
          <w:color w:val="auto"/>
        </w:rPr>
      </w:pPr>
    </w:p>
    <w:p>
      <w:pPr>
        <w:ind w:left="980" w:right="560" w:hanging="486"/>
        <w:spacing w:after="0" w:line="342" w:lineRule="auto"/>
        <w:tabs>
          <w:tab w:leader="none" w:pos="9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approximately US$11 million for working capital and other general corporate purpose and for investment, acquisition and business collaboration opportunities that complement or enhance our existing operations and are strategically beneficial to our long-term goals.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119" w:name="page120"/>
    <w:bookmarkEnd w:id="119"/>
    <w:p>
      <w:pPr>
        <w:ind w:right="240" w:firstLine="487"/>
        <w:spacing w:after="0" w:line="286" w:lineRule="auto"/>
        <w:rPr>
          <w:sz w:val="20"/>
          <w:szCs w:val="20"/>
          <w:color w:val="auto"/>
        </w:rPr>
      </w:pPr>
      <w:r>
        <w:rPr>
          <w:rFonts w:ascii="Arial" w:cs="Arial" w:eastAsia="Arial" w:hAnsi="Arial"/>
          <w:sz w:val="17"/>
          <w:szCs w:val="17"/>
          <w:color w:val="auto"/>
        </w:rPr>
        <w:t>None of the net proceeds from the initial public offering have been paid, directly or indirectly, to any of our directors or officers or their associates, persons owning 10% or more of our equity securities or our affiliates. We still intend to use the remainder of the proceeds from our follow-on offering as disclosed in our prospectus dated September 2, 2020 on Form 424B5 filed with the SEC on September 4,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80" w:firstLine="495"/>
        <w:spacing w:after="0" w:line="271"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carried out an evaluation of the effectiveness of our disclosure controls and procedures, which is defined in Rules 13a-15(e) of the Exchange Act, as of December 31, 2020. Based upon that evaluation, our management, with the participation of our chief executive officer and chief financial officer, has concluded that, as of the end of the period covered by this annual report, our disclosure controls and procedures were not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140" w:firstLine="495"/>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of 1934. Our internal control over financial reporting is a process designed to provide reasonable assurance regarding the reliability of financial reporting and the preparation of consolidated financial statements in accordance with U.S. GAAP. Because of its inherent limitations, a system of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92" w:lineRule="exact"/>
        <w:rPr>
          <w:sz w:val="20"/>
          <w:szCs w:val="20"/>
          <w:color w:val="auto"/>
        </w:rPr>
      </w:pPr>
    </w:p>
    <w:p>
      <w:pPr>
        <w:ind w:firstLine="495"/>
        <w:spacing w:after="0" w:line="285" w:lineRule="auto"/>
        <w:rPr>
          <w:sz w:val="20"/>
          <w:szCs w:val="20"/>
          <w:color w:val="auto"/>
        </w:rPr>
      </w:pPr>
      <w:r>
        <w:rPr>
          <w:rFonts w:ascii="Arial" w:cs="Arial" w:eastAsia="Arial" w:hAnsi="Arial"/>
          <w:sz w:val="16"/>
          <w:szCs w:val="16"/>
          <w:color w:val="auto"/>
        </w:rPr>
        <w:t>Our management conducted an assessment of the effectiveness of our internal control over financial reporting as of December 31, 2020. In making this assessment, it used the criteria established within the Internal Control—Integrated Framework issued by the Committee of Sponsoring Organizations of the Treadway Commission (COSO) (2013 framework). Based on this assessment, our management has concluded that, as of December 31, 2020, our internal control over financial reporting was not effective. We and our independent registered public accounting firm identified two material weaknesses in our internal control over financial reporting. These two material weaknesses identified relate to (1) the lack of sufficient accounting personnel with appropriate understanding of U.S. GAAP and SEC reporting requirements, and (2) the lack of an up-to-date manual of accounting policies and procedures to facilitate preparation of US GAAP financial statements, which could result in adjustments to US GAAP not identified in a timely and complete manner, causing material misstatements in the Company's financial reporting. To remediate these two weaknesses, we have adopted a few measures to improve our internal control over financial reporting. In particular, we continue to put effort in hiring additional accounting staff with an appropriate understanding of U.S. GAAP and SEC reporting requirements. Furthermore, we request our existing accounting personnel to complete external courses relating to U.S. GAAP and SEC reporting such that the accounting personnel can earn the necessary credentials to be qualified as certified public accountants in the U.S. We will also continue to require our existing accounting personnel to regularly attend U.S. GAAP and SEC reporting requirement training and workshops hosted by external organizations at least on an annual basis. In addition, we have amended our accounting manual to include U.S. GAAP and SEC financial reporting requirements and also implemented a regular review process to ensure timely update with the new accounting pronouncements and SEC reporting requirements. However, we still lacked sufficient financial reporting and accounting personnel to formalize key control over financial reporting and to timely and properly prepare and review financial statements and related footnote disclosures based on U.S. GAAP and SEC reporting requirements. We are fully committed to continue to implement measures to remediate our material weaknesses in our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121" w:lineRule="exact"/>
        <w:rPr>
          <w:sz w:val="20"/>
          <w:szCs w:val="20"/>
          <w:color w:val="auto"/>
        </w:rPr>
      </w:pPr>
    </w:p>
    <w:p>
      <w:pPr>
        <w:ind w:right="100" w:firstLine="495"/>
        <w:spacing w:after="0" w:line="259" w:lineRule="auto"/>
        <w:rPr>
          <w:sz w:val="20"/>
          <w:szCs w:val="20"/>
          <w:color w:val="auto"/>
        </w:rPr>
      </w:pPr>
      <w:r>
        <w:rPr>
          <w:rFonts w:ascii="Arial" w:cs="Arial" w:eastAsia="Arial" w:hAnsi="Arial"/>
          <w:sz w:val="18"/>
          <w:szCs w:val="18"/>
          <w:color w:val="auto"/>
        </w:rPr>
        <w:t>Since we are an “emerging growth company” as defined under the JOBS Act, our independent registered public accounting firm has not conducted an audit of our internal control over financial reporting as we are exempt from the requirement to comply with the auditor attestation requirements that our independent registered public accounting firm attest to and report on the effectiveness of our internal control structure and procedures for financial reporting.</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80" w:firstLine="495"/>
        <w:spacing w:after="0" w:line="277" w:lineRule="auto"/>
        <w:rPr>
          <w:sz w:val="20"/>
          <w:szCs w:val="20"/>
          <w:color w:val="auto"/>
        </w:rPr>
      </w:pPr>
      <w:r>
        <w:rPr>
          <w:rFonts w:ascii="Arial" w:cs="Arial" w:eastAsia="Arial" w:hAnsi="Arial"/>
          <w:sz w:val="18"/>
          <w:szCs w:val="18"/>
          <w:color w:val="auto"/>
        </w:rPr>
        <w:t>Other than the above, there have not been any changes in our internal control over financial reporting in the year ended December 31, 2020, which have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16A.AUDIT COMMITTEE FINANCIAL EXPERT</w:t>
      </w:r>
    </w:p>
    <w:p>
      <w:pPr>
        <w:spacing w:after="0" w:line="121" w:lineRule="exact"/>
        <w:rPr>
          <w:sz w:val="20"/>
          <w:szCs w:val="20"/>
          <w:color w:val="auto"/>
        </w:rPr>
      </w:pPr>
    </w:p>
    <w:p>
      <w:pPr>
        <w:ind w:right="280" w:firstLine="495"/>
        <w:spacing w:after="0" w:line="263" w:lineRule="auto"/>
        <w:rPr>
          <w:sz w:val="20"/>
          <w:szCs w:val="20"/>
          <w:color w:val="auto"/>
        </w:rPr>
      </w:pPr>
      <w:r>
        <w:rPr>
          <w:rFonts w:ascii="Arial" w:cs="Arial" w:eastAsia="Arial" w:hAnsi="Arial"/>
          <w:sz w:val="18"/>
          <w:szCs w:val="18"/>
          <w:color w:val="auto"/>
        </w:rPr>
        <w:t>Our board of directors has determined that Matthew Chu Pong Fong and Lub Bun Chong are our audit committee financial experts. Each of Matthew Chu Pong Fong and Lub Bun Chong satisfies the independent requirements of the Rule 5605(c)(2) of the Listing Rules of the NASDAQ Stock Market and meet the independence standards under Rule 10A-3 under the Exchange Act.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16B.CODE OF ETHICS</w:t>
      </w:r>
    </w:p>
    <w:p>
      <w:pPr>
        <w:spacing w:after="0" w:line="121" w:lineRule="exact"/>
        <w:rPr>
          <w:sz w:val="20"/>
          <w:szCs w:val="20"/>
          <w:color w:val="auto"/>
        </w:rPr>
      </w:pPr>
    </w:p>
    <w:p>
      <w:pPr>
        <w:ind w:right="20" w:firstLine="495"/>
        <w:spacing w:after="0" w:line="286" w:lineRule="auto"/>
        <w:rPr>
          <w:sz w:val="20"/>
          <w:szCs w:val="20"/>
          <w:color w:val="auto"/>
        </w:rPr>
      </w:pPr>
      <w:r>
        <w:rPr>
          <w:rFonts w:ascii="Arial" w:cs="Arial" w:eastAsia="Arial" w:hAnsi="Arial"/>
          <w:sz w:val="17"/>
          <w:szCs w:val="17"/>
          <w:color w:val="auto"/>
        </w:rPr>
        <w:t>Our board of directors adopted a code of business conduct and ethics that applies to our directors, officers and employees. We have filed our code of business conduct and ethics as an exhibit to our registration statement on Form F-1 (file No. 333-221034), as amended, initially filed with the SEC on October 20, 2017. We have posted a copy of our code of business conduct and ethics on our website at http://ir.i-click.com.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16C.PRINCIPAL ACCOUNTANT FEES AND SERVICES</w:t>
      </w:r>
    </w:p>
    <w:p>
      <w:pPr>
        <w:spacing w:after="0" w:line="121" w:lineRule="exact"/>
        <w:rPr>
          <w:sz w:val="20"/>
          <w:szCs w:val="20"/>
          <w:color w:val="auto"/>
        </w:rPr>
      </w:pPr>
    </w:p>
    <w:p>
      <w:pPr>
        <w:ind w:right="740" w:firstLine="477"/>
        <w:spacing w:after="0" w:line="263" w:lineRule="auto"/>
        <w:rPr>
          <w:sz w:val="20"/>
          <w:szCs w:val="20"/>
          <w:color w:val="auto"/>
        </w:rPr>
      </w:pPr>
      <w:r>
        <w:rPr>
          <w:rFonts w:ascii="Arial" w:cs="Arial" w:eastAsia="Arial" w:hAnsi="Arial"/>
          <w:sz w:val="18"/>
          <w:szCs w:val="18"/>
          <w:color w:val="auto"/>
        </w:rPr>
        <w:t>The following table sets forth the aggregate fees by categories specified below in connection with certain professional services rendered by PricewaterhouseCoopers, our independent registered public accounting firm, for the periods indicated. We did not pay any other fees to our independent registered public accounting firm during the periods indicated below.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1360" w:type="dxa"/>
            <w:vAlign w:val="bottom"/>
          </w:tcPr>
          <w:p>
            <w:pPr>
              <w:spacing w:after="0"/>
              <w:rPr>
                <w:sz w:val="14"/>
                <w:szCs w:val="14"/>
                <w:color w:val="auto"/>
              </w:rPr>
            </w:pPr>
          </w:p>
        </w:tc>
        <w:tc>
          <w:tcPr>
            <w:tcW w:w="102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w w:val="97"/>
              </w:rPr>
              <w:t>(US$ in thousands)</w:t>
            </w: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8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15"/>
                <w:szCs w:val="15"/>
                <w:color w:val="auto"/>
              </w:rPr>
              <w:t>(1)</w:t>
            </w:r>
          </w:p>
        </w:tc>
        <w:tc>
          <w:tcPr>
            <w:tcW w:w="136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rPr>
              <w:t>1,220</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CFF0FC"/>
          </w:tcPr>
          <w:p>
            <w:pPr>
              <w:spacing w:after="0"/>
              <w:rPr>
                <w:sz w:val="19"/>
                <w:szCs w:val="19"/>
                <w:color w:val="auto"/>
              </w:rPr>
            </w:pP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15"/>
                <w:szCs w:val="15"/>
                <w:color w:val="auto"/>
              </w:rPr>
              <w:t>(2)</w:t>
            </w:r>
          </w:p>
        </w:tc>
        <w:tc>
          <w:tcPr>
            <w:tcW w:w="1360" w:type="dxa"/>
            <w:vAlign w:val="bottom"/>
          </w:tcPr>
          <w:p>
            <w:pPr>
              <w:jc w:val="right"/>
              <w:ind w:right="755"/>
              <w:spacing w:after="0"/>
              <w:rPr>
                <w:sz w:val="20"/>
                <w:szCs w:val="20"/>
                <w:color w:val="auto"/>
              </w:rPr>
            </w:pPr>
            <w:r>
              <w:rPr>
                <w:rFonts w:ascii="Arial" w:cs="Arial" w:eastAsia="Arial" w:hAnsi="Arial"/>
                <w:sz w:val="18"/>
                <w:szCs w:val="18"/>
                <w:color w:val="auto"/>
              </w:rPr>
              <w:t>16</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r>
      <w:tr>
        <w:trPr>
          <w:trHeight w:val="229"/>
        </w:trPr>
        <w:tc>
          <w:tcPr>
            <w:tcW w:w="8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Audit related fees </w:t>
            </w:r>
            <w:r>
              <w:rPr>
                <w:rFonts w:ascii="Arial" w:cs="Arial" w:eastAsia="Arial" w:hAnsi="Arial"/>
                <w:sz w:val="15"/>
                <w:szCs w:val="15"/>
                <w:color w:val="auto"/>
              </w:rPr>
              <w:t>(3)</w:t>
            </w:r>
          </w:p>
        </w:tc>
        <w:tc>
          <w:tcPr>
            <w:tcW w:w="136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rPr>
              <w:t>242</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0485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55" w:lineRule="exact"/>
        <w:rPr>
          <w:sz w:val="20"/>
          <w:szCs w:val="20"/>
          <w:color w:val="auto"/>
        </w:rPr>
      </w:pPr>
    </w:p>
    <w:p>
      <w:pPr>
        <w:ind w:left="520" w:right="740" w:hanging="512"/>
        <w:spacing w:after="0" w:line="277" w:lineRule="auto"/>
        <w:tabs>
          <w:tab w:leader="none" w:pos="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“Audit fees” means the aggregate fees billed for professional services rendered by our principal auditors for the audit of our annual financial statements and the review of our comparative interim financial statements.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“Tax fees” include fees billed for tax compliance and tax consultations.</w:t>
      </w:r>
    </w:p>
    <w:p>
      <w:pPr>
        <w:spacing w:after="0" w:line="117" w:lineRule="exact"/>
        <w:rPr>
          <w:rFonts w:ascii="Arial" w:cs="Arial" w:eastAsia="Arial" w:hAnsi="Arial"/>
          <w:sz w:val="18"/>
          <w:szCs w:val="18"/>
          <w:color w:val="auto"/>
        </w:rPr>
      </w:pPr>
    </w:p>
    <w:p>
      <w:pPr>
        <w:ind w:left="520" w:right="40" w:hanging="512"/>
        <w:spacing w:after="0" w:line="342" w:lineRule="auto"/>
        <w:tabs>
          <w:tab w:leader="none" w:pos="5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“Audit-related fees” represent the aggregate fees billed in each of the fiscal years listed for the assurance and related services rendered by our principal auditors that are reasonably related to the performance of the audit or review of our financial statements and not reported under “Audit fees.”</w:t>
      </w:r>
    </w:p>
    <w:p>
      <w:pPr>
        <w:spacing w:after="0" w:line="124" w:lineRule="exact"/>
        <w:rPr>
          <w:sz w:val="20"/>
          <w:szCs w:val="20"/>
          <w:color w:val="auto"/>
        </w:rPr>
      </w:pPr>
    </w:p>
    <w:p>
      <w:pPr>
        <w:ind w:right="140" w:firstLine="495"/>
        <w:spacing w:after="0" w:line="277" w:lineRule="auto"/>
        <w:rPr>
          <w:sz w:val="20"/>
          <w:szCs w:val="20"/>
          <w:color w:val="auto"/>
        </w:rPr>
      </w:pPr>
      <w:r>
        <w:rPr>
          <w:rFonts w:ascii="Arial" w:cs="Arial" w:eastAsia="Arial" w:hAnsi="Arial"/>
          <w:sz w:val="18"/>
          <w:szCs w:val="18"/>
          <w:color w:val="auto"/>
        </w:rPr>
        <w:t xml:space="preserve">The policy of our audit committee is to pre-approve all audit and other service provided by PricewaterhouseCoopers as described above, other than those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services which are approved by the Audit Committee prior to the completion of the audit.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16D.EXEMPTIONS FROM THE LISTING STANDARDS FOR AUDIT COMMITTEES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ITEM 16E.PURCHASES OF EQUITY SECURITIES BY THE ISSUER AND AFFILIATED PURCHASERS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information about our purchases of outstanding ADSs in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 Total Number</w:t>
            </w:r>
          </w:p>
        </w:tc>
        <w:tc>
          <w:tcPr>
            <w:tcW w:w="2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(d) Approximately</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Dollar Value of ADSs</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ADSs Purchased</w:t>
            </w:r>
          </w:p>
        </w:tc>
        <w:tc>
          <w:tcPr>
            <w:tcW w:w="2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(a)Total Number of</w:t>
            </w:r>
          </w:p>
        </w:tc>
        <w:tc>
          <w:tcPr>
            <w:tcW w:w="2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(b)Average Price Paid</w:t>
            </w:r>
          </w:p>
        </w:tc>
        <w:tc>
          <w:tcPr>
            <w:tcW w:w="2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2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8"/>
        </w:trPr>
        <w:tc>
          <w:tcPr>
            <w:tcW w:w="1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340" w:type="dxa"/>
            <w:vAlign w:val="bottom"/>
            <w:gridSpan w:val="3"/>
            <w:vMerge w:val="continue"/>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2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71"/>
        </w:trPr>
        <w:tc>
          <w:tcPr>
            <w:tcW w:w="1940" w:type="dxa"/>
            <w:vAlign w:val="bottom"/>
            <w:gridSpan w:val="2"/>
            <w:vMerge w:val="continue"/>
          </w:tcPr>
          <w:p>
            <w:pPr>
              <w:spacing w:after="0"/>
              <w:rPr>
                <w:sz w:val="14"/>
                <w:szCs w:val="14"/>
                <w:color w:val="auto"/>
              </w:rPr>
            </w:pPr>
          </w:p>
        </w:tc>
        <w:tc>
          <w:tcPr>
            <w:tcW w:w="2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ADSs Purchased</w:t>
            </w:r>
          </w:p>
        </w:tc>
        <w:tc>
          <w:tcPr>
            <w:tcW w:w="2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 ADS (US$)</w:t>
            </w:r>
            <w:r>
              <w:rPr>
                <w:rFonts w:ascii="Arial" w:cs="Arial" w:eastAsia="Arial" w:hAnsi="Arial"/>
                <w:sz w:val="12"/>
                <w:szCs w:val="12"/>
                <w:b w:val="1"/>
                <w:bCs w:val="1"/>
                <w:color w:val="auto"/>
                <w:w w:val="96"/>
              </w:rPr>
              <w:t>(1)</w:t>
            </w:r>
          </w:p>
        </w:tc>
        <w:tc>
          <w:tcPr>
            <w:tcW w:w="2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or Programs</w:t>
            </w:r>
            <w:r>
              <w:rPr>
                <w:rFonts w:ascii="Arial" w:cs="Arial" w:eastAsia="Arial" w:hAnsi="Arial"/>
                <w:sz w:val="12"/>
                <w:szCs w:val="12"/>
                <w:b w:val="1"/>
                <w:bCs w:val="1"/>
                <w:color w:val="auto"/>
                <w:w w:val="91"/>
              </w:rPr>
              <w:t>(2)</w:t>
            </w:r>
          </w:p>
        </w:tc>
        <w:tc>
          <w:tcPr>
            <w:tcW w:w="2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(in US$ million)</w:t>
            </w:r>
            <w:r>
              <w:rPr>
                <w:rFonts w:ascii="Arial" w:cs="Arial" w:eastAsia="Arial" w:hAnsi="Arial"/>
                <w:sz w:val="12"/>
                <w:szCs w:val="12"/>
                <w:b w:val="1"/>
                <w:bCs w:val="1"/>
                <w:color w:val="auto"/>
                <w:w w:val="96"/>
              </w:rPr>
              <w:t>(2)</w:t>
            </w:r>
          </w:p>
        </w:tc>
        <w:tc>
          <w:tcPr>
            <w:tcW w:w="0" w:type="dxa"/>
            <w:vAlign w:val="bottom"/>
          </w:tcPr>
          <w:p>
            <w:pPr>
              <w:spacing w:after="0"/>
              <w:rPr>
                <w:sz w:val="1"/>
                <w:szCs w:val="1"/>
                <w:color w:val="auto"/>
              </w:rPr>
            </w:pPr>
          </w:p>
        </w:tc>
      </w:tr>
      <w:tr>
        <w:trPr>
          <w:trHeight w:val="223"/>
        </w:trPr>
        <w:tc>
          <w:tcPr>
            <w:tcW w:w="1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January 2020</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February 2020</w:t>
            </w:r>
          </w:p>
        </w:tc>
        <w:tc>
          <w:tcPr>
            <w:tcW w:w="1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2020</w:t>
            </w:r>
          </w:p>
        </w:tc>
        <w:tc>
          <w:tcPr>
            <w:tcW w:w="1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tcPr>
          <w:p>
            <w:pPr>
              <w:spacing w:after="0"/>
              <w:rPr>
                <w:sz w:val="20"/>
                <w:szCs w:val="20"/>
                <w:color w:val="auto"/>
              </w:rPr>
            </w:pPr>
            <w:r>
              <w:rPr>
                <w:rFonts w:ascii="Arial" w:cs="Arial" w:eastAsia="Arial" w:hAnsi="Arial"/>
                <w:sz w:val="18"/>
                <w:szCs w:val="18"/>
                <w:color w:val="auto"/>
              </w:rPr>
              <w:t>April 2020</w:t>
            </w:r>
          </w:p>
        </w:tc>
        <w:tc>
          <w:tcPr>
            <w:tcW w:w="1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May 2020</w:t>
            </w:r>
          </w:p>
        </w:tc>
        <w:tc>
          <w:tcPr>
            <w:tcW w:w="1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tcPr>
          <w:p>
            <w:pPr>
              <w:spacing w:after="0"/>
              <w:rPr>
                <w:sz w:val="20"/>
                <w:szCs w:val="20"/>
                <w:color w:val="auto"/>
              </w:rPr>
            </w:pPr>
            <w:r>
              <w:rPr>
                <w:rFonts w:ascii="Arial" w:cs="Arial" w:eastAsia="Arial" w:hAnsi="Arial"/>
                <w:sz w:val="18"/>
                <w:szCs w:val="18"/>
                <w:color w:val="auto"/>
              </w:rPr>
              <w:t>June 2020</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128,266</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5.2760</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128,266</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July 2020</w:t>
            </w:r>
          </w:p>
        </w:tc>
        <w:tc>
          <w:tcPr>
            <w:tcW w:w="1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tcPr>
          <w:p>
            <w:pPr>
              <w:spacing w:after="0"/>
              <w:rPr>
                <w:sz w:val="20"/>
                <w:szCs w:val="20"/>
                <w:color w:val="auto"/>
              </w:rPr>
            </w:pPr>
            <w:r>
              <w:rPr>
                <w:rFonts w:ascii="Arial" w:cs="Arial" w:eastAsia="Arial" w:hAnsi="Arial"/>
                <w:sz w:val="18"/>
                <w:szCs w:val="18"/>
                <w:color w:val="auto"/>
              </w:rPr>
              <w:t>August 2020</w:t>
            </w:r>
          </w:p>
        </w:tc>
        <w:tc>
          <w:tcPr>
            <w:tcW w:w="1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September 2020</w:t>
            </w:r>
          </w:p>
        </w:tc>
        <w:tc>
          <w:tcPr>
            <w:tcW w:w="1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October 2020</w:t>
            </w:r>
          </w:p>
        </w:tc>
        <w:tc>
          <w:tcPr>
            <w:tcW w:w="1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November 2020</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149,681</w:t>
            </w:r>
          </w:p>
        </w:tc>
        <w:tc>
          <w:tcPr>
            <w:tcW w:w="24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7.0429</w:t>
            </w:r>
          </w:p>
        </w:tc>
        <w:tc>
          <w:tcPr>
            <w:tcW w:w="24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149,681</w:t>
            </w:r>
          </w:p>
        </w:tc>
        <w:tc>
          <w:tcPr>
            <w:tcW w:w="24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December 2020</w:t>
            </w: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490,132</w:t>
            </w:r>
          </w:p>
        </w:tc>
        <w:tc>
          <w:tcPr>
            <w:tcW w:w="240" w:type="dxa"/>
            <w:vAlign w:val="bottom"/>
            <w:tcBorders>
              <w:bottom w:val="single" w:sz="8" w:color="CFF0FC"/>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7.5779</w:t>
            </w:r>
          </w:p>
        </w:tc>
        <w:tc>
          <w:tcPr>
            <w:tcW w:w="240" w:type="dxa"/>
            <w:vAlign w:val="bottom"/>
            <w:tcBorders>
              <w:bottom w:val="single" w:sz="8" w:color="CFF0FC"/>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490,132</w:t>
            </w:r>
          </w:p>
        </w:tc>
        <w:tc>
          <w:tcPr>
            <w:tcW w:w="240" w:type="dxa"/>
            <w:vAlign w:val="bottom"/>
            <w:tcBorders>
              <w:bottom w:val="single" w:sz="8" w:color="CFF0FC"/>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768,079</w:t>
            </w:r>
          </w:p>
        </w:tc>
        <w:tc>
          <w:tcPr>
            <w:tcW w:w="240" w:type="dxa"/>
            <w:vAlign w:val="bottom"/>
            <w:tcBorders>
              <w:bottom w:val="single" w:sz="8" w:color="CFF0FC"/>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7.0892</w:t>
            </w:r>
          </w:p>
        </w:tc>
        <w:tc>
          <w:tcPr>
            <w:tcW w:w="240" w:type="dxa"/>
            <w:vAlign w:val="bottom"/>
            <w:tcBorders>
              <w:bottom w:val="single" w:sz="8" w:color="CFF0FC"/>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768,079</w:t>
            </w:r>
          </w:p>
        </w:tc>
        <w:tc>
          <w:tcPr>
            <w:tcW w:w="240" w:type="dxa"/>
            <w:vAlign w:val="bottom"/>
            <w:tcBorders>
              <w:bottom w:val="single" w:sz="8" w:color="CFF0FC"/>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 Total Number</w:t>
            </w:r>
          </w:p>
        </w:tc>
        <w:tc>
          <w:tcPr>
            <w:tcW w:w="22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(d) Approximately</w:t>
            </w:r>
          </w:p>
        </w:tc>
        <w:tc>
          <w:tcPr>
            <w:tcW w:w="0" w:type="dxa"/>
            <w:vAlign w:val="bottom"/>
          </w:tcPr>
          <w:p>
            <w:pPr>
              <w:spacing w:after="0"/>
              <w:rPr>
                <w:sz w:val="1"/>
                <w:szCs w:val="1"/>
                <w:color w:val="auto"/>
              </w:rPr>
            </w:pPr>
          </w:p>
        </w:tc>
      </w:tr>
      <w:tr>
        <w:trPr>
          <w:trHeight w:val="133"/>
        </w:trPr>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2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Dollar Value of ADSs</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ADSs Purchased</w:t>
            </w:r>
          </w:p>
        </w:tc>
        <w:tc>
          <w:tcPr>
            <w:tcW w:w="2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(a)Total Number of</w:t>
            </w:r>
          </w:p>
        </w:tc>
        <w:tc>
          <w:tcPr>
            <w:tcW w:w="2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(b)Average Price Paid</w:t>
            </w:r>
          </w:p>
        </w:tc>
        <w:tc>
          <w:tcPr>
            <w:tcW w:w="2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2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8"/>
        </w:trPr>
        <w:tc>
          <w:tcPr>
            <w:tcW w:w="1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340" w:type="dxa"/>
            <w:vAlign w:val="bottom"/>
            <w:gridSpan w:val="3"/>
            <w:vMerge w:val="continue"/>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2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71"/>
        </w:trPr>
        <w:tc>
          <w:tcPr>
            <w:tcW w:w="1940" w:type="dxa"/>
            <w:vAlign w:val="bottom"/>
            <w:gridSpan w:val="2"/>
            <w:vMerge w:val="continue"/>
          </w:tcPr>
          <w:p>
            <w:pPr>
              <w:spacing w:after="0"/>
              <w:rPr>
                <w:sz w:val="14"/>
                <w:szCs w:val="14"/>
                <w:color w:val="auto"/>
              </w:rPr>
            </w:pPr>
          </w:p>
        </w:tc>
        <w:tc>
          <w:tcPr>
            <w:tcW w:w="2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ADSs Purchased</w:t>
            </w:r>
          </w:p>
        </w:tc>
        <w:tc>
          <w:tcPr>
            <w:tcW w:w="2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 ADS (US$)</w:t>
            </w:r>
            <w:r>
              <w:rPr>
                <w:rFonts w:ascii="Arial" w:cs="Arial" w:eastAsia="Arial" w:hAnsi="Arial"/>
                <w:sz w:val="12"/>
                <w:szCs w:val="12"/>
                <w:b w:val="1"/>
                <w:bCs w:val="1"/>
                <w:color w:val="auto"/>
                <w:w w:val="96"/>
              </w:rPr>
              <w:t>(1)</w:t>
            </w:r>
          </w:p>
        </w:tc>
        <w:tc>
          <w:tcPr>
            <w:tcW w:w="2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or Programs</w:t>
            </w:r>
            <w:r>
              <w:rPr>
                <w:rFonts w:ascii="Arial" w:cs="Arial" w:eastAsia="Arial" w:hAnsi="Arial"/>
                <w:sz w:val="12"/>
                <w:szCs w:val="12"/>
                <w:b w:val="1"/>
                <w:bCs w:val="1"/>
                <w:color w:val="auto"/>
                <w:w w:val="91"/>
              </w:rPr>
              <w:t>(3)</w:t>
            </w:r>
          </w:p>
        </w:tc>
        <w:tc>
          <w:tcPr>
            <w:tcW w:w="2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(in US$ million)</w:t>
            </w:r>
            <w:r>
              <w:rPr>
                <w:rFonts w:ascii="Arial" w:cs="Arial" w:eastAsia="Arial" w:hAnsi="Arial"/>
                <w:sz w:val="12"/>
                <w:szCs w:val="12"/>
                <w:b w:val="1"/>
                <w:bCs w:val="1"/>
                <w:color w:val="auto"/>
                <w:w w:val="96"/>
              </w:rPr>
              <w:t>(3)</w:t>
            </w:r>
          </w:p>
        </w:tc>
        <w:tc>
          <w:tcPr>
            <w:tcW w:w="0" w:type="dxa"/>
            <w:vAlign w:val="bottom"/>
          </w:tcPr>
          <w:p>
            <w:pPr>
              <w:spacing w:after="0"/>
              <w:rPr>
                <w:sz w:val="1"/>
                <w:szCs w:val="1"/>
                <w:color w:val="auto"/>
              </w:rPr>
            </w:pPr>
          </w:p>
        </w:tc>
      </w:tr>
      <w:tr>
        <w:trPr>
          <w:trHeight w:val="223"/>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December 2020</w:t>
            </w:r>
          </w:p>
        </w:tc>
        <w:tc>
          <w:tcPr>
            <w:tcW w:w="140" w:type="dxa"/>
            <w:vAlign w:val="bottom"/>
          </w:tcPr>
          <w:p>
            <w:pPr>
              <w:spacing w:after="0"/>
              <w:rPr>
                <w:sz w:val="19"/>
                <w:szCs w:val="19"/>
                <w:color w:val="auto"/>
              </w:rPr>
            </w:pPr>
          </w:p>
        </w:tc>
        <w:tc>
          <w:tcPr>
            <w:tcW w:w="2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27,599</w:t>
            </w:r>
          </w:p>
        </w:tc>
        <w:tc>
          <w:tcPr>
            <w:tcW w:w="240" w:type="dxa"/>
            <w:vAlign w:val="bottom"/>
          </w:tcPr>
          <w:p>
            <w:pPr>
              <w:spacing w:after="0"/>
              <w:rPr>
                <w:sz w:val="19"/>
                <w:szCs w:val="19"/>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8.3686</w:t>
            </w:r>
          </w:p>
        </w:tc>
        <w:tc>
          <w:tcPr>
            <w:tcW w:w="240" w:type="dxa"/>
            <w:vAlign w:val="bottom"/>
          </w:tcPr>
          <w:p>
            <w:pPr>
              <w:spacing w:after="0"/>
              <w:rPr>
                <w:sz w:val="19"/>
                <w:szCs w:val="19"/>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27,599</w:t>
            </w:r>
          </w:p>
        </w:tc>
        <w:tc>
          <w:tcPr>
            <w:tcW w:w="240" w:type="dxa"/>
            <w:vAlign w:val="bottom"/>
          </w:tcPr>
          <w:p>
            <w:pPr>
              <w:spacing w:after="0"/>
              <w:rPr>
                <w:sz w:val="19"/>
                <w:szCs w:val="19"/>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20485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55" w:lineRule="exact"/>
        <w:rPr>
          <w:sz w:val="20"/>
          <w:szCs w:val="20"/>
          <w:color w:val="auto"/>
        </w:rPr>
      </w:pPr>
    </w:p>
    <w:p>
      <w:pPr>
        <w:ind w:left="500" w:right="360" w:hanging="492"/>
        <w:spacing w:after="0" w:line="277" w:lineRule="auto"/>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our ADSs represents one Class A ordinary share. The average price per ADS is calculated using the execution price for each repurchase excluding commissions paid to brokers.</w:t>
      </w:r>
    </w:p>
    <w:p>
      <w:pPr>
        <w:spacing w:after="0" w:line="75" w:lineRule="exact"/>
        <w:rPr>
          <w:rFonts w:ascii="Arial" w:cs="Arial" w:eastAsia="Arial" w:hAnsi="Arial"/>
          <w:sz w:val="18"/>
          <w:szCs w:val="18"/>
          <w:color w:val="auto"/>
        </w:rPr>
      </w:pPr>
    </w:p>
    <w:p>
      <w:pPr>
        <w:ind w:left="500" w:right="200" w:hanging="492"/>
        <w:spacing w:after="0" w:line="275" w:lineRule="auto"/>
        <w:tabs>
          <w:tab w:leader="none" w:pos="5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On November 28, 2018, we announced a share repurchase program in which we may purchase our own ADSs with an aggregate value of up to US$10 million over the next 12-month period, ending November 27, 2019. On March 27, 2019, we entered into a trading plan with an authorized brokerage firm in the U.S. for the purpose of repurchasing our issued and outstanding ADSs in accordance with Rule 10b5-1 under the U.S. Securities Exchange Act of 1934, as amended, and has been established pursuant to, and as part of, the US$10 million share buyback program that was previously authorized by our board of directors on November 28, 2018.</w:t>
      </w:r>
    </w:p>
    <w:p>
      <w:pPr>
        <w:spacing w:after="0" w:line="68" w:lineRule="exact"/>
        <w:rPr>
          <w:rFonts w:ascii="Arial" w:cs="Arial" w:eastAsia="Arial" w:hAnsi="Arial"/>
          <w:sz w:val="17"/>
          <w:szCs w:val="17"/>
          <w:color w:val="auto"/>
        </w:rPr>
      </w:pPr>
    </w:p>
    <w:p>
      <w:pPr>
        <w:ind w:left="500" w:right="40"/>
        <w:spacing w:after="0" w:line="273" w:lineRule="auto"/>
        <w:rPr>
          <w:rFonts w:ascii="Arial" w:cs="Arial" w:eastAsia="Arial" w:hAnsi="Arial"/>
          <w:sz w:val="17"/>
          <w:szCs w:val="17"/>
          <w:color w:val="auto"/>
        </w:rPr>
      </w:pPr>
      <w:r>
        <w:rPr>
          <w:rFonts w:ascii="Arial" w:cs="Arial" w:eastAsia="Arial" w:hAnsi="Arial"/>
          <w:sz w:val="17"/>
          <w:szCs w:val="17"/>
          <w:color w:val="auto"/>
        </w:rPr>
        <w:t>On January 15, 2020, we announced a share repurchase program in which we may purchase our own ADSs with an aggregate value of up to US$10 million over the 12-month period ending on December 29, 2020. We expect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we deem appropriate. The share repurchase program does not obligate us to acquire any particular number of ADSs and may be suspended, terminated or extended at any time at our discretion without prior notice.</w:t>
      </w:r>
    </w:p>
    <w:p>
      <w:pPr>
        <w:spacing w:after="0" w:line="69" w:lineRule="exact"/>
        <w:rPr>
          <w:rFonts w:ascii="Arial" w:cs="Arial" w:eastAsia="Arial" w:hAnsi="Arial"/>
          <w:sz w:val="17"/>
          <w:szCs w:val="17"/>
          <w:color w:val="auto"/>
        </w:rPr>
      </w:pPr>
    </w:p>
    <w:p>
      <w:pPr>
        <w:ind w:left="500" w:right="20" w:hanging="492"/>
        <w:spacing w:after="0" w:line="273" w:lineRule="auto"/>
        <w:tabs>
          <w:tab w:leader="none" w:pos="5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On December 10, 2020, we further announced a share repurchase program in which we may purchase our own ADSs with an aggregate value of up to US$15 million from December 30, 2020 to December 31, 2021. We expect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we deem appropriate. The share repurchase program does not obligate us to acquire any particular number of ADSs and may be suspended, terminated or extended at any time at our discretion without prior notice.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22" w:name="page123"/>
    <w:bookmarkEnd w:id="122"/>
    <w:p>
      <w:pPr>
        <w:spacing w:after="0"/>
        <w:tabs>
          <w:tab w:leader="none" w:pos="148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8"/>
          <w:szCs w:val="18"/>
          <w:b w:val="1"/>
          <w:bCs w:val="1"/>
          <w:color w:val="auto"/>
        </w:rPr>
        <w:t>CHANGE IN REGISTRANT’S CERTIFYING ACCOUNTANT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121" w:lineRule="exact"/>
        <w:rPr>
          <w:sz w:val="20"/>
          <w:szCs w:val="20"/>
          <w:color w:val="auto"/>
        </w:rPr>
      </w:pPr>
    </w:p>
    <w:p>
      <w:pPr>
        <w:ind w:firstLine="495"/>
        <w:spacing w:after="0" w:line="257" w:lineRule="auto"/>
        <w:rPr>
          <w:sz w:val="20"/>
          <w:szCs w:val="20"/>
          <w:color w:val="auto"/>
        </w:rPr>
      </w:pPr>
      <w:r>
        <w:rPr>
          <w:rFonts w:ascii="Arial" w:cs="Arial" w:eastAsia="Arial" w:hAnsi="Arial"/>
          <w:sz w:val="18"/>
          <w:szCs w:val="18"/>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rely on certain exemptions provided by the Nasdaq Stock Market Rules to a foreign private issuer, including exemptions from the requirements to have:</w:t>
      </w:r>
    </w:p>
    <w:p>
      <w:pPr>
        <w:spacing w:after="0" w:line="80" w:lineRule="exact"/>
        <w:rPr>
          <w:sz w:val="20"/>
          <w:szCs w:val="20"/>
          <w:color w:val="auto"/>
        </w:rPr>
      </w:pPr>
    </w:p>
    <w:p>
      <w:pPr>
        <w:ind w:left="980" w:right="840" w:hanging="486"/>
        <w:spacing w:after="0" w:line="308" w:lineRule="auto"/>
        <w:tabs>
          <w:tab w:leader="none" w:pos="9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shareholder approval for certain events, including the establishment or amendment of certain equity based compensation plans and arrangements and certain transactions involving issuances of a 20% or more interest in our company;</w:t>
      </w:r>
    </w:p>
    <w:p>
      <w:pPr>
        <w:spacing w:after="0" w:line="38" w:lineRule="exact"/>
        <w:rPr>
          <w:rFonts w:ascii="Arial" w:cs="Arial" w:eastAsia="Arial" w:hAnsi="Arial"/>
          <w:sz w:val="17"/>
          <w:szCs w:val="17"/>
          <w:color w:val="auto"/>
        </w:rPr>
      </w:pPr>
    </w:p>
    <w:p>
      <w:pPr>
        <w:ind w:left="980" w:hanging="486"/>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majority of independent directors on our board of directors;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only independent directors being involved in the selection of director nominees and determination of executive officer compensation; and</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regularly scheduled executive sessions of independent directors.</w:t>
      </w:r>
    </w:p>
    <w:p>
      <w:pPr>
        <w:spacing w:after="0" w:line="225" w:lineRule="exact"/>
        <w:rPr>
          <w:sz w:val="20"/>
          <w:szCs w:val="20"/>
          <w:color w:val="auto"/>
        </w:rPr>
      </w:pPr>
    </w:p>
    <w:p>
      <w:pPr>
        <w:ind w:right="80" w:firstLine="495"/>
        <w:spacing w:after="0" w:line="259" w:lineRule="auto"/>
        <w:rPr>
          <w:sz w:val="20"/>
          <w:szCs w:val="20"/>
          <w:color w:val="auto"/>
        </w:rPr>
      </w:pPr>
      <w:r>
        <w:rPr>
          <w:rFonts w:ascii="Arial" w:cs="Arial" w:eastAsia="Arial" w:hAnsi="Arial"/>
          <w:sz w:val="18"/>
          <w:szCs w:val="18"/>
          <w:color w:val="auto"/>
        </w:rPr>
        <w:t>As a result of our reliance on the corporate governance exemptions available to foreign private issuers, you will not have the same protection afforded to shareholders of companies that are subject to all of Nasdaq’s corporate governance requirements. See “Item 3. Key Information—D. Risk Factors—Risks Related to Our American Depositary Shares—We are a foreign private issuer within the meaning of the rules under the Exchange Act, and as such we are exempt from certain provisions applicable to U.S. domestic public companies.”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16H.MINE SAFETY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17.FINANCIAL STATEMENTS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18.FINANCIAL STATEMENTS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pages beginning on page F-1 in this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940" w:type="dxa"/>
            <w:vAlign w:val="bottom"/>
            <w:gridSpan w:val="21"/>
            <w:vMerge w:val="restart"/>
          </w:tcPr>
          <w:p>
            <w:pPr>
              <w:ind w:left="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5940" w:type="dxa"/>
            <w:vAlign w:val="bottom"/>
            <w:tcBorders>
              <w:bottom w:val="single" w:sz="8" w:color="auto"/>
            </w:tcBorders>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0" w:type="dxa"/>
            <w:vAlign w:val="bottom"/>
          </w:tcPr>
          <w:p>
            <w:pPr>
              <w:ind w:left="18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0180" w:type="dxa"/>
            <w:vAlign w:val="bottom"/>
            <w:tcBorders>
              <w:bottom w:val="single" w:sz="8" w:color="0000EE"/>
            </w:tcBorders>
            <w:gridSpan w:val="23"/>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Ninth Amended and Restated Memorandum and Articles of Association, as currently in effect (incorporated by reference to Exhibit 1.1 of our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annual report on Form 20-F (file No. 001-38313) filed with the Securities and Exchange Commission on April 25, 2019)</w:t>
              </w:r>
            </w:hyperlink>
          </w:p>
        </w:tc>
        <w:tc>
          <w:tcPr>
            <w:tcW w:w="1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5560" w:type="dxa"/>
            <w:vAlign w:val="bottom"/>
            <w:tcBorders>
              <w:bottom w:val="single" w:sz="8" w:color="0000EE"/>
            </w:tcBorders>
            <w:gridSpan w:val="5"/>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Registrant’s Specimen American Depositary Receipt (included in Exhibit 2.3)</w:t>
              </w:r>
            </w:hyperlink>
          </w:p>
        </w:tc>
        <w:tc>
          <w:tcPr>
            <w:tcW w:w="464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ind w:left="18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9860" w:type="dxa"/>
            <w:vAlign w:val="bottom"/>
            <w:tcBorders>
              <w:bottom w:val="single" w:sz="8" w:color="0000EE"/>
            </w:tcBorders>
            <w:gridSpan w:val="17"/>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Registrant’s Specimen Certificate for Class A Ordinary Shares (incorporated by reference to Exhibit 4.2 of our Registration Statement on</w:t>
              </w:r>
            </w:hyperlink>
          </w:p>
        </w:tc>
        <w:tc>
          <w:tcPr>
            <w:tcW w:w="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Form F-1 (file No. 333-221034) filed with the Securities and Exchange Commission on October 20, 2017)</w:t>
              </w:r>
            </w:hyperlink>
          </w:p>
        </w:tc>
        <w:tc>
          <w:tcPr>
            <w:tcW w:w="26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9780" w:type="dxa"/>
            <w:vAlign w:val="bottom"/>
            <w:tcBorders>
              <w:bottom w:val="single" w:sz="8" w:color="0000EE"/>
            </w:tcBorders>
            <w:gridSpan w:val="16"/>
          </w:tcPr>
          <w:p>
            <w:pPr>
              <w:spacing w:after="0"/>
              <w:rPr>
                <w:rFonts w:ascii="Arial" w:cs="Arial" w:eastAsia="Arial" w:hAnsi="Arial"/>
                <w:sz w:val="18"/>
                <w:szCs w:val="18"/>
                <w:color w:val="0000EE"/>
                <w:w w:val="93"/>
              </w:rPr>
            </w:pPr>
            <w:hyperlink r:id="rId153">
              <w:r>
                <w:rPr>
                  <w:rFonts w:ascii="Arial" w:cs="Arial" w:eastAsia="Arial" w:hAnsi="Arial"/>
                  <w:sz w:val="18"/>
                  <w:szCs w:val="18"/>
                  <w:color w:val="0000EE"/>
                  <w:w w:val="93"/>
                </w:rPr>
                <w:t>Form of Deposit Agreement among the Registrant, the depositary and holder of the American Depositary Receipts (incorporated by</w:t>
              </w:r>
            </w:hyperlink>
          </w:p>
        </w:tc>
        <w:tc>
          <w:tcPr>
            <w:tcW w:w="4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24"/>
          </w:tcPr>
          <w:p>
            <w:pPr>
              <w:spacing w:after="0" w:line="196" w:lineRule="exact"/>
              <w:rPr>
                <w:rFonts w:ascii="Arial" w:cs="Arial" w:eastAsia="Arial" w:hAnsi="Arial"/>
                <w:sz w:val="18"/>
                <w:szCs w:val="18"/>
                <w:color w:val="0000EE"/>
                <w:w w:val="98"/>
              </w:rPr>
            </w:pPr>
            <w:hyperlink r:id="rId153">
              <w:r>
                <w:rPr>
                  <w:rFonts w:ascii="Arial" w:cs="Arial" w:eastAsia="Arial" w:hAnsi="Arial"/>
                  <w:sz w:val="18"/>
                  <w:szCs w:val="18"/>
                  <w:color w:val="0000EE"/>
                  <w:w w:val="98"/>
                </w:rPr>
                <w:t>reference to Exhibit 4.3 of our Registration Statement on Form F-1/A (file No. 333-221034) filed with the Securities and Exchange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Commission on December 1, 2017)</w:t>
              </w:r>
            </w:hyperlink>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00" w:type="dxa"/>
            <w:vAlign w:val="bottom"/>
          </w:tcPr>
          <w:p>
            <w:pPr>
              <w:ind w:left="18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10200" w:type="dxa"/>
            <w:vAlign w:val="bottom"/>
            <w:gridSpan w:val="24"/>
          </w:tcPr>
          <w:p>
            <w:pPr>
              <w:spacing w:after="0"/>
              <w:rPr>
                <w:rFonts w:ascii="Arial" w:cs="Arial" w:eastAsia="Arial" w:hAnsi="Arial"/>
                <w:sz w:val="18"/>
                <w:szCs w:val="18"/>
                <w:color w:val="0000EE"/>
                <w:w w:val="96"/>
              </w:rPr>
            </w:pPr>
            <w:hyperlink r:id="rId155">
              <w:r>
                <w:rPr>
                  <w:rFonts w:ascii="Arial" w:cs="Arial" w:eastAsia="Arial" w:hAnsi="Arial"/>
                  <w:sz w:val="18"/>
                  <w:szCs w:val="18"/>
                  <w:color w:val="0000EE"/>
                  <w:w w:val="96"/>
                </w:rPr>
                <w:t>Fourth Amended and Restated Shareholders Agreement dated December 28, 2016 (incorporated by reference to Exhibit 10.2 of our</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24"/>
          </w:tcPr>
          <w:p>
            <w:pPr>
              <w:spacing w:after="0" w:line="196" w:lineRule="exact"/>
              <w:rPr>
                <w:rFonts w:ascii="Arial" w:cs="Arial" w:eastAsia="Arial" w:hAnsi="Arial"/>
                <w:sz w:val="18"/>
                <w:szCs w:val="18"/>
                <w:color w:val="0000EE"/>
                <w:w w:val="96"/>
              </w:rPr>
            </w:pPr>
            <w:hyperlink r:id="rId155">
              <w:r>
                <w:rPr>
                  <w:rFonts w:ascii="Arial" w:cs="Arial" w:eastAsia="Arial" w:hAnsi="Arial"/>
                  <w:sz w:val="18"/>
                  <w:szCs w:val="18"/>
                  <w:color w:val="0000EE"/>
                  <w:w w:val="96"/>
                </w:rPr>
                <w:t>Registration Statement on Form F-1 (file No. 333-221034) filed with the Securities and Exchange Commission on October 20, 2017)</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9700" w:type="dxa"/>
            <w:vAlign w:val="bottom"/>
            <w:tcBorders>
              <w:bottom w:val="single" w:sz="8" w:color="0000EE"/>
            </w:tcBorders>
            <w:gridSpan w:val="14"/>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English translation of Exclusive Business Cooperation Agreement between OptAim Beijing, OptAim Network and Zhiyunzhong dated</w:t>
              </w:r>
            </w:hyperlink>
          </w:p>
        </w:tc>
        <w:tc>
          <w:tcPr>
            <w:tcW w:w="5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January 16, 2015 (incorporated by reference to Exhibit 10.3 of our Registration Statement on Form F-1 (file No. 333-221034) filed with the</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24"/>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Securities and Exchange Commission on October 20, 2017)</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9980" w:type="dxa"/>
            <w:vAlign w:val="bottom"/>
            <w:tcBorders>
              <w:bottom w:val="single" w:sz="8" w:color="0000EE"/>
            </w:tcBorders>
            <w:gridSpan w:val="18"/>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English translation of Second Amended and Restated Exclusive Call Option Agreement among OptAim Beijing, OptAim Network and the</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24"/>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shareholders of OptAim Network dated May 26, 2017 (incorporated by reference to Exhibit 10.4 of our Registration Statement on Form F-1</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(file No. 333-221034) filed with the Securities and Exchange Commission on October 20, 2017)</w:t>
              </w:r>
            </w:hyperlink>
          </w:p>
        </w:tc>
        <w:tc>
          <w:tcPr>
            <w:tcW w:w="3160" w:type="dxa"/>
            <w:vAlign w:val="bottom"/>
            <w:tcBorders>
              <w:top w:val="single" w:sz="8" w:color="0000EE"/>
            </w:tcBorders>
            <w:gridSpan w:val="14"/>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9400" w:type="dxa"/>
            <w:vAlign w:val="bottom"/>
            <w:tcBorders>
              <w:bottom w:val="single" w:sz="8" w:color="0000EE"/>
            </w:tcBorders>
            <w:gridSpan w:val="11"/>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English translation of Second Amended and Restated Equity Pledge Agreement among OptAim Beijing, OptAim Network and the</w:t>
              </w:r>
            </w:hyperlink>
          </w:p>
        </w:tc>
        <w:tc>
          <w:tcPr>
            <w:tcW w:w="8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shareholders of OptAim Network dated May 26, 2017 (incorporated by reference to Exhibit 10.5 of our Registration Statement on Form F-1</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(file No. 333-221034) filed with the Securities and Exchange Commission on October 20, 2017)</w:t>
              </w:r>
            </w:hyperlink>
          </w:p>
        </w:tc>
        <w:tc>
          <w:tcPr>
            <w:tcW w:w="33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160" w:type="dxa"/>
            <w:vAlign w:val="bottom"/>
            <w:tcBorders>
              <w:bottom w:val="single" w:sz="8" w:color="0000EE"/>
            </w:tcBorders>
            <w:gridSpan w:val="22"/>
          </w:tcPr>
          <w:p>
            <w:pP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English translation of Irrevocable Powers of Attorney granted by the Jian Tang and Jie Jiao dated May 26, 2017 (incorporated by reference to</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Exhibit 10.6 of our Registration Statement on Form F-1 (file No. 333-221034) filed with the Securities and Exchange Commission on</w:t>
              </w:r>
            </w:hyperlink>
          </w:p>
        </w:tc>
        <w:tc>
          <w:tcPr>
            <w:tcW w:w="6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24"/>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October 20, 2017)</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9500" w:type="dxa"/>
            <w:vAlign w:val="bottom"/>
            <w:tcBorders>
              <w:bottom w:val="single" w:sz="8" w:color="0000EE"/>
            </w:tcBorders>
            <w:gridSpan w:val="12"/>
          </w:tcPr>
          <w:p>
            <w:pPr>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English translation of Spousal Consents granted by Xinyu Fan dated May 26, 2017 (incorporated by reference to Exhibit 10.7 of our</w:t>
              </w:r>
            </w:hyperlink>
          </w:p>
        </w:tc>
        <w:tc>
          <w:tcPr>
            <w:tcW w:w="7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24"/>
          </w:tcPr>
          <w:p>
            <w:pPr>
              <w:spacing w:after="0" w:line="196" w:lineRule="exact"/>
              <w:rPr>
                <w:rFonts w:ascii="Arial" w:cs="Arial" w:eastAsia="Arial" w:hAnsi="Arial"/>
                <w:sz w:val="18"/>
                <w:szCs w:val="18"/>
                <w:color w:val="0000EE"/>
                <w:w w:val="96"/>
              </w:rPr>
            </w:pPr>
            <w:hyperlink r:id="rId160">
              <w:r>
                <w:rPr>
                  <w:rFonts w:ascii="Arial" w:cs="Arial" w:eastAsia="Arial" w:hAnsi="Arial"/>
                  <w:sz w:val="18"/>
                  <w:szCs w:val="18"/>
                  <w:color w:val="0000EE"/>
                  <w:w w:val="96"/>
                </w:rPr>
                <w:t>Registration Statement on Form F-1 (file No. 333-221034) filed with the Securities and Exchange Commission on October 20, 2017)</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10200" w:type="dxa"/>
            <w:vAlign w:val="bottom"/>
            <w:gridSpan w:val="24"/>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2018 Share Incentive Plan (incorporated by reference to Exhibit 10.2 of our Registration Statement on Form S-8 (file No. 333-225568) filed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161">
              <w:r>
                <w:rPr>
                  <w:rFonts w:ascii="Arial" w:cs="Arial" w:eastAsia="Arial" w:hAnsi="Arial"/>
                  <w:sz w:val="18"/>
                  <w:szCs w:val="18"/>
                  <w:color w:val="0000EE"/>
                  <w:w w:val="88"/>
                </w:rPr>
                <w:t>with the Securities and Exchange Commission on June 12, 2018)</w:t>
              </w:r>
            </w:hyperlink>
          </w:p>
        </w:tc>
        <w:tc>
          <w:tcPr>
            <w:tcW w:w="5420" w:type="dxa"/>
            <w:vAlign w:val="bottom"/>
            <w:tcBorders>
              <w:top w:val="single" w:sz="8" w:color="0000EE"/>
            </w:tcBorders>
            <w:gridSpan w:val="17"/>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00" w:type="dxa"/>
            <w:vAlign w:val="bottom"/>
          </w:tcPr>
          <w:p>
            <w:pPr>
              <w:ind w:left="18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10200" w:type="dxa"/>
            <w:vAlign w:val="bottom"/>
            <w:gridSpan w:val="24"/>
          </w:tcPr>
          <w:p>
            <w:pPr>
              <w:spacing w:after="0"/>
              <w:rPr>
                <w:rFonts w:ascii="Arial" w:cs="Arial" w:eastAsia="Arial" w:hAnsi="Arial"/>
                <w:sz w:val="18"/>
                <w:szCs w:val="18"/>
                <w:color w:val="0000EE"/>
                <w:w w:val="95"/>
              </w:rPr>
            </w:pPr>
            <w:hyperlink r:id="rId162">
              <w:r>
                <w:rPr>
                  <w:rFonts w:ascii="Arial" w:cs="Arial" w:eastAsia="Arial" w:hAnsi="Arial"/>
                  <w:sz w:val="18"/>
                  <w:szCs w:val="18"/>
                  <w:color w:val="0000EE"/>
                  <w:w w:val="95"/>
                </w:rPr>
                <w:t>Form of Indemnification Agreement with Executive Officers and Directors (incorporated by reference to Exhibit 10.9 of our Registration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Statement on Form F-1 (file No. 333-221034) filed with the Securities and Exchange Commission on October 20, 2017)</w:t>
              </w:r>
            </w:hyperlink>
          </w:p>
        </w:tc>
        <w:tc>
          <w:tcPr>
            <w:tcW w:w="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60" w:type="dxa"/>
            <w:vAlign w:val="bottom"/>
            <w:tcBorders>
              <w:top w:val="single" w:sz="8" w:color="0000EE"/>
            </w:tcBorders>
            <w:gridSpan w:val="5"/>
          </w:tcPr>
          <w:p>
            <w:pPr>
              <w:jc w:val="right"/>
              <w:ind w:right="840"/>
              <w:spacing w:after="0"/>
              <w:rPr>
                <w:sz w:val="20"/>
                <w:szCs w:val="20"/>
                <w:color w:val="auto"/>
              </w:rPr>
            </w:pPr>
            <w:r>
              <w:rPr>
                <w:rFonts w:ascii="Arial" w:cs="Arial" w:eastAsia="Arial" w:hAnsi="Arial"/>
                <w:sz w:val="18"/>
                <w:szCs w:val="18"/>
                <w:color w:val="auto"/>
              </w:rPr>
              <w:t>122</w:t>
            </w:r>
          </w:p>
        </w:tc>
        <w:tc>
          <w:tcPr>
            <w:tcW w:w="13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4.8</w:t>
            </w:r>
          </w:p>
        </w:tc>
        <w:tc>
          <w:tcPr>
            <w:tcW w:w="9840" w:type="dxa"/>
            <w:vAlign w:val="bottom"/>
            <w:tcBorders>
              <w:bottom w:val="single" w:sz="8" w:color="0000EE"/>
            </w:tcBorders>
            <w:gridSpan w:val="14"/>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Form of Employment Agreement and One Way Non-disclosure Agreement with Executive Officers (incorporated by reference to Exhibit</w:t>
              </w:r>
            </w:hyperlink>
          </w:p>
        </w:tc>
        <w:tc>
          <w:tcPr>
            <w:tcW w:w="26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100" w:type="dxa"/>
            <w:vAlign w:val="bottom"/>
            <w:gridSpan w:val="16"/>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10</w:t>
              </w:r>
              <w:r>
                <w:rPr>
                  <w:rFonts w:ascii="Arial" w:cs="Arial" w:eastAsia="Arial" w:hAnsi="Arial"/>
                  <w:sz w:val="18"/>
                  <w:szCs w:val="18"/>
                  <w:color w:val="0000EE"/>
                  <w:w w:val="91"/>
                </w:rPr>
                <w:t xml:space="preserve"> of our Registration Statement on Form F-1 (file No. 333-221034) filed with the Securities and Exchange Commission on October 20,</w:t>
              </w:r>
            </w:hyperlink>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65">
              <w:r>
                <w:rPr>
                  <w:rFonts w:ascii="Arial" w:cs="Arial" w:eastAsia="Arial" w:hAnsi="Arial"/>
                  <w:sz w:val="18"/>
                  <w:szCs w:val="18"/>
                  <w:color w:val="0000EE"/>
                  <w:w w:val="86"/>
                </w:rPr>
                <w:t>2017)</w:t>
              </w:r>
            </w:hyperlink>
          </w:p>
        </w:tc>
        <w:tc>
          <w:tcPr>
            <w:tcW w:w="16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4.9</w:t>
            </w:r>
          </w:p>
        </w:tc>
        <w:tc>
          <w:tcPr>
            <w:tcW w:w="10100" w:type="dxa"/>
            <w:vAlign w:val="bottom"/>
            <w:tcBorders>
              <w:bottom w:val="single" w:sz="8" w:color="0000EE"/>
            </w:tcBorders>
            <w:gridSpan w:val="16"/>
          </w:tcPr>
          <w:p>
            <w:pPr>
              <w:spacing w:after="0"/>
              <w:rPr>
                <w:rFonts w:ascii="Arial" w:cs="Arial" w:eastAsia="Arial" w:hAnsi="Arial"/>
                <w:sz w:val="18"/>
                <w:szCs w:val="18"/>
                <w:color w:val="0000EE"/>
                <w:w w:val="89"/>
              </w:rPr>
            </w:pPr>
            <w:hyperlink r:id="rId166">
              <w:r>
                <w:rPr>
                  <w:rFonts w:ascii="Arial" w:cs="Arial" w:eastAsia="Arial" w:hAnsi="Arial"/>
                  <w:sz w:val="18"/>
                  <w:szCs w:val="18"/>
                  <w:color w:val="0000EE"/>
                  <w:w w:val="89"/>
                </w:rPr>
                <w:t>Post-IPO Share Incentive Plan, as amended and restated on February 26, 2021 (incorporated by reference to Exhibit 10.1 of our Registration</w:t>
              </w:r>
            </w:hyperlink>
          </w:p>
        </w:tc>
      </w:tr>
      <w:tr>
        <w:trPr>
          <w:trHeight w:val="196"/>
        </w:trPr>
        <w:tc>
          <w:tcPr>
            <w:tcW w:w="1020" w:type="dxa"/>
            <w:vAlign w:val="bottom"/>
          </w:tcPr>
          <w:p>
            <w:pPr>
              <w:spacing w:after="0"/>
              <w:rPr>
                <w:sz w:val="17"/>
                <w:szCs w:val="17"/>
                <w:color w:val="auto"/>
              </w:rPr>
            </w:pPr>
          </w:p>
        </w:tc>
        <w:tc>
          <w:tcPr>
            <w:tcW w:w="87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Statement on Form S-8 (file No. 333-253596) filed with the Securities and Exchange Commission on February 26, 2021)</w:t>
              </w:r>
            </w:hyperlink>
          </w:p>
        </w:tc>
        <w:tc>
          <w:tcPr>
            <w:tcW w:w="1360" w:type="dxa"/>
            <w:vAlign w:val="bottom"/>
            <w:gridSpan w:val="3"/>
          </w:tcPr>
          <w:p>
            <w:pPr>
              <w:spacing w:after="0"/>
              <w:rPr>
                <w:sz w:val="17"/>
                <w:szCs w:val="17"/>
                <w:color w:val="auto"/>
              </w:rPr>
            </w:pPr>
          </w:p>
        </w:tc>
      </w:tr>
      <w:tr>
        <w:trPr>
          <w:trHeight w:val="318"/>
        </w:trPr>
        <w:tc>
          <w:tcPr>
            <w:tcW w:w="1020" w:type="dxa"/>
            <w:vAlign w:val="bottom"/>
          </w:tcPr>
          <w:p>
            <w:pPr>
              <w:jc w:val="right"/>
              <w:ind w:right="290"/>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24"/>
                <w:szCs w:val="24"/>
                <w:color w:val="auto"/>
              </w:rPr>
            </w:pPr>
          </w:p>
        </w:tc>
        <w:tc>
          <w:tcPr>
            <w:tcW w:w="73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09">
              <w:r>
                <w:rPr>
                  <w:rFonts w:ascii="Arial" w:cs="Arial" w:eastAsia="Arial" w:hAnsi="Arial"/>
                  <w:sz w:val="18"/>
                  <w:szCs w:val="18"/>
                  <w:color w:val="0000EE"/>
                  <w:w w:val="89"/>
                </w:rPr>
                <w:t>Registration Rights Agreement, dated January 26, 2021, by and among the Registrant and Baozun Inc.</w:t>
              </w:r>
            </w:hyperlink>
          </w:p>
        </w:tc>
        <w:tc>
          <w:tcPr>
            <w:tcW w:w="2660" w:type="dxa"/>
            <w:vAlign w:val="bottom"/>
            <w:gridSpan w:val="5"/>
          </w:tcPr>
          <w:p>
            <w:pPr>
              <w:spacing w:after="0"/>
              <w:rPr>
                <w:sz w:val="24"/>
                <w:szCs w:val="24"/>
                <w:color w:val="auto"/>
              </w:rPr>
            </w:pPr>
          </w:p>
        </w:tc>
      </w:tr>
      <w:tr>
        <w:trPr>
          <w:trHeight w:val="439"/>
        </w:trPr>
        <w:tc>
          <w:tcPr>
            <w:tcW w:w="1020" w:type="dxa"/>
            <w:vAlign w:val="bottom"/>
          </w:tcPr>
          <w:p>
            <w:pPr>
              <w:jc w:val="right"/>
              <w:ind w:right="290"/>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EE"/>
              </w:rPr>
            </w:pPr>
            <w:hyperlink w:anchor="page228">
              <w:r>
                <w:rPr>
                  <w:rFonts w:ascii="Arial" w:cs="Arial" w:eastAsia="Arial" w:hAnsi="Arial"/>
                  <w:sz w:val="18"/>
                  <w:szCs w:val="18"/>
                  <w:color w:val="0000EE"/>
                </w:rPr>
                <w:t>Strategic Cooperation Framework Agreement, dated January 26, 2021, by and among the Registrant and Baozun Inc.</w:t>
              </w:r>
            </w:hyperlink>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r>
      <w:tr>
        <w:trPr>
          <w:trHeight w:val="439"/>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8.1*</w:t>
            </w:r>
          </w:p>
        </w:tc>
        <w:tc>
          <w:tcPr>
            <w:tcW w:w="10100" w:type="dxa"/>
            <w:vAlign w:val="bottom"/>
            <w:gridSpan w:val="16"/>
          </w:tcPr>
          <w:p>
            <w:pPr>
              <w:spacing w:after="0"/>
              <w:rPr>
                <w:rFonts w:ascii="Arial" w:cs="Arial" w:eastAsia="Arial" w:hAnsi="Arial"/>
                <w:sz w:val="18"/>
                <w:szCs w:val="18"/>
                <w:color w:val="0000EE"/>
              </w:rPr>
            </w:pPr>
            <w:hyperlink w:anchor="page241">
              <w:r>
                <w:rPr>
                  <w:rFonts w:ascii="Arial" w:cs="Arial" w:eastAsia="Arial" w:hAnsi="Arial"/>
                  <w:sz w:val="18"/>
                  <w:szCs w:val="18"/>
                  <w:color w:val="0000EE"/>
                </w:rPr>
                <w:t>Subsidiaries of the Registrant</w:t>
              </w:r>
            </w:hyperlink>
          </w:p>
        </w:tc>
      </w:tr>
      <w:tr>
        <w:trPr>
          <w:trHeight w:val="20"/>
        </w:trPr>
        <w:tc>
          <w:tcPr>
            <w:tcW w:w="102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r>
      <w:tr>
        <w:trPr>
          <w:trHeight w:val="331"/>
        </w:trPr>
        <w:tc>
          <w:tcPr>
            <w:tcW w:w="1020" w:type="dxa"/>
            <w:vAlign w:val="bottom"/>
          </w:tcPr>
          <w:p>
            <w:pPr>
              <w:jc w:val="right"/>
              <w:ind w:right="530"/>
              <w:spacing w:after="0"/>
              <w:rPr>
                <w:sz w:val="20"/>
                <w:szCs w:val="20"/>
                <w:color w:val="auto"/>
              </w:rPr>
            </w:pPr>
            <w:r>
              <w:rPr>
                <w:rFonts w:ascii="Arial" w:cs="Arial" w:eastAsia="Arial" w:hAnsi="Arial"/>
                <w:sz w:val="18"/>
                <w:szCs w:val="18"/>
                <w:color w:val="auto"/>
              </w:rPr>
              <w:t>11.1</w:t>
            </w:r>
          </w:p>
        </w:tc>
        <w:tc>
          <w:tcPr>
            <w:tcW w:w="10100" w:type="dxa"/>
            <w:vAlign w:val="bottom"/>
            <w:tcBorders>
              <w:bottom w:val="single" w:sz="8" w:color="0000EE"/>
            </w:tcBorders>
            <w:gridSpan w:val="16"/>
          </w:tcPr>
          <w:p>
            <w:pP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Code of Business Conduct and Ethics of the Registrant (incorporated by reference to Exhibit 99.1 of our Registration Statement on Form F-1</w:t>
              </w:r>
            </w:hyperlink>
          </w:p>
        </w:tc>
      </w:tr>
      <w:tr>
        <w:trPr>
          <w:trHeight w:val="196"/>
        </w:trPr>
        <w:tc>
          <w:tcPr>
            <w:tcW w:w="1020" w:type="dxa"/>
            <w:vAlign w:val="bottom"/>
          </w:tcPr>
          <w:p>
            <w:pPr>
              <w:spacing w:after="0"/>
              <w:rPr>
                <w:sz w:val="17"/>
                <w:szCs w:val="17"/>
                <w:color w:val="auto"/>
              </w:rPr>
            </w:pPr>
          </w:p>
        </w:tc>
        <w:tc>
          <w:tcPr>
            <w:tcW w:w="10100" w:type="dxa"/>
            <w:vAlign w:val="bottom"/>
            <w:gridSpan w:val="16"/>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(file No. 333-221034) filed with the Securities and Exchange Commission on October 20, 2017)</w:t>
              </w:r>
            </w:hyperlink>
          </w:p>
        </w:tc>
      </w:tr>
      <w:tr>
        <w:trPr>
          <w:trHeight w:val="318"/>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12.1*</w:t>
            </w:r>
          </w:p>
        </w:tc>
        <w:tc>
          <w:tcPr>
            <w:tcW w:w="56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242">
              <w:r>
                <w:rPr>
                  <w:rFonts w:ascii="Arial" w:cs="Arial" w:eastAsia="Arial" w:hAnsi="Arial"/>
                  <w:sz w:val="18"/>
                  <w:szCs w:val="18"/>
                  <w:color w:val="0000EE"/>
                  <w:w w:val="91"/>
                </w:rPr>
                <w:t>CEO Certification Pursuant to Section 302 of the Sarbanes-Oxley Act of 2002</w:t>
              </w:r>
            </w:hyperlink>
          </w:p>
        </w:tc>
        <w:tc>
          <w:tcPr>
            <w:tcW w:w="1300" w:type="dxa"/>
            <w:vAlign w:val="bottom"/>
            <w:tcBorders>
              <w:top w:val="single" w:sz="8" w:color="0000EE"/>
            </w:tcBorders>
          </w:tcPr>
          <w:p>
            <w:pPr>
              <w:spacing w:after="0"/>
              <w:rPr>
                <w:sz w:val="24"/>
                <w:szCs w:val="24"/>
                <w:color w:val="auto"/>
              </w:rPr>
            </w:pPr>
          </w:p>
        </w:tc>
        <w:tc>
          <w:tcPr>
            <w:tcW w:w="3160" w:type="dxa"/>
            <w:vAlign w:val="bottom"/>
            <w:gridSpan w:val="6"/>
          </w:tcPr>
          <w:p>
            <w:pPr>
              <w:spacing w:after="0"/>
              <w:rPr>
                <w:sz w:val="24"/>
                <w:szCs w:val="24"/>
                <w:color w:val="auto"/>
              </w:rPr>
            </w:pPr>
          </w:p>
        </w:tc>
      </w:tr>
      <w:tr>
        <w:trPr>
          <w:trHeight w:val="331"/>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12.2*</w:t>
            </w:r>
          </w:p>
        </w:tc>
        <w:tc>
          <w:tcPr>
            <w:tcW w:w="56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43">
              <w:r>
                <w:rPr>
                  <w:rFonts w:ascii="Arial" w:cs="Arial" w:eastAsia="Arial" w:hAnsi="Arial"/>
                  <w:sz w:val="18"/>
                  <w:szCs w:val="18"/>
                  <w:color w:val="0000EE"/>
                  <w:w w:val="91"/>
                </w:rPr>
                <w:t>CFO Certification Pursuant to Section 302 of the Sarbanes-Oxley Act of 2002</w:t>
              </w:r>
            </w:hyperlink>
          </w:p>
        </w:tc>
        <w:tc>
          <w:tcPr>
            <w:tcW w:w="4480" w:type="dxa"/>
            <w:vAlign w:val="bottom"/>
            <w:gridSpan w:val="8"/>
          </w:tcPr>
          <w:p>
            <w:pPr>
              <w:spacing w:after="0"/>
              <w:rPr>
                <w:sz w:val="24"/>
                <w:szCs w:val="24"/>
                <w:color w:val="auto"/>
              </w:rPr>
            </w:pPr>
          </w:p>
        </w:tc>
      </w:tr>
      <w:tr>
        <w:trPr>
          <w:trHeight w:val="331"/>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13.1**</w:t>
            </w:r>
          </w:p>
        </w:tc>
        <w:tc>
          <w:tcPr>
            <w:tcW w:w="56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244">
              <w:r>
                <w:rPr>
                  <w:rFonts w:ascii="Arial" w:cs="Arial" w:eastAsia="Arial" w:hAnsi="Arial"/>
                  <w:sz w:val="18"/>
                  <w:szCs w:val="18"/>
                  <w:color w:val="0000EE"/>
                  <w:w w:val="91"/>
                </w:rPr>
                <w:t>CEO Certification Pursuant to Section 906 of the Sarbanes-Oxley Act of 2002</w:t>
              </w:r>
            </w:hyperlink>
          </w:p>
        </w:tc>
        <w:tc>
          <w:tcPr>
            <w:tcW w:w="4460" w:type="dxa"/>
            <w:vAlign w:val="bottom"/>
            <w:gridSpan w:val="7"/>
          </w:tcPr>
          <w:p>
            <w:pPr>
              <w:spacing w:after="0"/>
              <w:rPr>
                <w:sz w:val="24"/>
                <w:szCs w:val="24"/>
                <w:color w:val="auto"/>
              </w:rPr>
            </w:pPr>
          </w:p>
        </w:tc>
      </w:tr>
      <w:tr>
        <w:trPr>
          <w:trHeight w:val="331"/>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13.2**</w:t>
            </w:r>
          </w:p>
        </w:tc>
        <w:tc>
          <w:tcPr>
            <w:tcW w:w="56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45">
              <w:r>
                <w:rPr>
                  <w:rFonts w:ascii="Arial" w:cs="Arial" w:eastAsia="Arial" w:hAnsi="Arial"/>
                  <w:sz w:val="18"/>
                  <w:szCs w:val="18"/>
                  <w:color w:val="0000EE"/>
                  <w:w w:val="90"/>
                </w:rPr>
                <w:t>CFO Certification Pursuant to Section 906 of the Sarbanes-Oxley Act of 2002</w:t>
              </w:r>
            </w:hyperlink>
          </w:p>
        </w:tc>
        <w:tc>
          <w:tcPr>
            <w:tcW w:w="4500" w:type="dxa"/>
            <w:vAlign w:val="bottom"/>
            <w:gridSpan w:val="9"/>
          </w:tcPr>
          <w:p>
            <w:pPr>
              <w:spacing w:after="0"/>
              <w:rPr>
                <w:sz w:val="24"/>
                <w:szCs w:val="24"/>
                <w:color w:val="auto"/>
              </w:rPr>
            </w:pPr>
          </w:p>
        </w:tc>
      </w:tr>
      <w:tr>
        <w:trPr>
          <w:trHeight w:val="331"/>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15.1*</w:t>
            </w:r>
          </w:p>
        </w:tc>
        <w:tc>
          <w:tcPr>
            <w:tcW w:w="10100" w:type="dxa"/>
            <w:vAlign w:val="bottom"/>
            <w:gridSpan w:val="16"/>
          </w:tcPr>
          <w:p>
            <w:pPr>
              <w:spacing w:after="0"/>
              <w:rPr>
                <w:rFonts w:ascii="Arial" w:cs="Arial" w:eastAsia="Arial" w:hAnsi="Arial"/>
                <w:sz w:val="18"/>
                <w:szCs w:val="18"/>
                <w:color w:val="0000EE"/>
              </w:rPr>
            </w:pPr>
            <w:hyperlink w:anchor="page246">
              <w:r>
                <w:rPr>
                  <w:rFonts w:ascii="Arial" w:cs="Arial" w:eastAsia="Arial" w:hAnsi="Arial"/>
                  <w:sz w:val="18"/>
                  <w:szCs w:val="18"/>
                  <w:color w:val="0000EE"/>
                </w:rPr>
                <w:t>Consent of Travers Thorp Alberga</w:t>
              </w:r>
            </w:hyperlink>
          </w:p>
        </w:tc>
      </w:tr>
      <w:tr>
        <w:trPr>
          <w:trHeight w:val="331"/>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15.2*</w:t>
            </w:r>
          </w:p>
        </w:tc>
        <w:tc>
          <w:tcPr>
            <w:tcW w:w="2460" w:type="dxa"/>
            <w:vAlign w:val="bottom"/>
            <w:tcBorders>
              <w:top w:val="single" w:sz="8" w:color="0000EE"/>
            </w:tcBorders>
            <w:gridSpan w:val="5"/>
          </w:tcPr>
          <w:p>
            <w:pPr>
              <w:spacing w:after="0"/>
              <w:rPr>
                <w:rFonts w:ascii="Arial" w:cs="Arial" w:eastAsia="Arial" w:hAnsi="Arial"/>
                <w:sz w:val="18"/>
                <w:szCs w:val="18"/>
                <w:color w:val="0000EE"/>
                <w:w w:val="90"/>
              </w:rPr>
            </w:pPr>
            <w:hyperlink w:anchor="page247">
              <w:r>
                <w:rPr>
                  <w:rFonts w:ascii="Arial" w:cs="Arial" w:eastAsia="Arial" w:hAnsi="Arial"/>
                  <w:sz w:val="18"/>
                  <w:szCs w:val="18"/>
                  <w:color w:val="0000EE"/>
                  <w:w w:val="90"/>
                </w:rPr>
                <w:t>Consent of Jingtian &amp; Gongcheng</w:t>
              </w:r>
            </w:hyperlink>
          </w:p>
        </w:tc>
        <w:tc>
          <w:tcPr>
            <w:tcW w:w="7640" w:type="dxa"/>
            <w:vAlign w:val="bottom"/>
            <w:gridSpan w:val="11"/>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500" w:type="dxa"/>
            <w:vAlign w:val="bottom"/>
            <w:gridSpan w:val="10"/>
          </w:tcPr>
          <w:p>
            <w:pPr>
              <w:spacing w:after="0" w:line="20" w:lineRule="exact"/>
              <w:rPr>
                <w:sz w:val="1"/>
                <w:szCs w:val="1"/>
                <w:color w:val="auto"/>
              </w:rPr>
            </w:pPr>
          </w:p>
        </w:tc>
      </w:tr>
      <w:tr>
        <w:trPr>
          <w:trHeight w:val="331"/>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15.3*</w:t>
            </w:r>
          </w:p>
        </w:tc>
        <w:tc>
          <w:tcPr>
            <w:tcW w:w="26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48">
              <w:r>
                <w:rPr>
                  <w:rFonts w:ascii="Arial" w:cs="Arial" w:eastAsia="Arial" w:hAnsi="Arial"/>
                  <w:sz w:val="18"/>
                  <w:szCs w:val="18"/>
                  <w:color w:val="0000EE"/>
                  <w:w w:val="87"/>
                </w:rPr>
                <w:t>Consent of PricewaterhouseCoopers</w:t>
              </w:r>
            </w:hyperlink>
          </w:p>
        </w:tc>
        <w:tc>
          <w:tcPr>
            <w:tcW w:w="7500" w:type="dxa"/>
            <w:vAlign w:val="bottom"/>
            <w:gridSpan w:val="10"/>
          </w:tcPr>
          <w:p>
            <w:pPr>
              <w:spacing w:after="0"/>
              <w:rPr>
                <w:sz w:val="24"/>
                <w:szCs w:val="24"/>
                <w:color w:val="auto"/>
              </w:rPr>
            </w:pPr>
          </w:p>
        </w:tc>
      </w:tr>
      <w:tr>
        <w:trPr>
          <w:trHeight w:val="357"/>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6"/>
          </w:tcPr>
          <w:p>
            <w:pPr>
              <w:spacing w:after="0"/>
              <w:rPr>
                <w:sz w:val="20"/>
                <w:szCs w:val="20"/>
                <w:color w:val="auto"/>
              </w:rPr>
            </w:pPr>
            <w:r>
              <w:rPr>
                <w:rFonts w:ascii="Arial" w:cs="Arial" w:eastAsia="Arial" w:hAnsi="Arial"/>
                <w:sz w:val="18"/>
                <w:szCs w:val="18"/>
                <w:color w:val="auto"/>
                <w:w w:val="95"/>
              </w:rPr>
              <w:t>Inline XBRL Instance Document—this instance document does not appear in the Interactive Data File because its XBRL tags are not</w:t>
            </w:r>
          </w:p>
        </w:tc>
      </w:tr>
      <w:tr>
        <w:trPr>
          <w:trHeight w:val="230"/>
        </w:trPr>
        <w:tc>
          <w:tcPr>
            <w:tcW w:w="1020" w:type="dxa"/>
            <w:vAlign w:val="bottom"/>
          </w:tcPr>
          <w:p>
            <w:pPr>
              <w:spacing w:after="0"/>
              <w:rPr>
                <w:sz w:val="20"/>
                <w:szCs w:val="20"/>
                <w:color w:val="auto"/>
              </w:rPr>
            </w:pPr>
          </w:p>
        </w:tc>
        <w:tc>
          <w:tcPr>
            <w:tcW w:w="10100" w:type="dxa"/>
            <w:vAlign w:val="bottom"/>
            <w:gridSpan w:val="1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51"/>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51"/>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51"/>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51"/>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51"/>
        </w:trPr>
        <w:tc>
          <w:tcPr>
            <w:tcW w:w="1020" w:type="dxa"/>
            <w:vAlign w:val="bottom"/>
          </w:tcPr>
          <w:p>
            <w:pPr>
              <w:jc w:val="right"/>
              <w:ind w:right="510"/>
              <w:spacing w:after="0"/>
              <w:rPr>
                <w:sz w:val="20"/>
                <w:szCs w:val="20"/>
                <w:color w:val="auto"/>
              </w:rPr>
            </w:pPr>
            <w:r>
              <w:rPr>
                <w:rFonts w:ascii="Arial" w:cs="Arial" w:eastAsia="Arial" w:hAnsi="Arial"/>
                <w:sz w:val="18"/>
                <w:szCs w:val="18"/>
                <w:color w:val="auto"/>
                <w:w w:val="95"/>
              </w:rPr>
              <w:t>104.*</w:t>
            </w:r>
          </w:p>
        </w:tc>
        <w:tc>
          <w:tcPr>
            <w:tcW w:w="60" w:type="dxa"/>
            <w:vAlign w:val="bottom"/>
          </w:tcPr>
          <w:p>
            <w:pPr>
              <w:spacing w:after="0"/>
              <w:rPr>
                <w:sz w:val="24"/>
                <w:szCs w:val="24"/>
                <w:color w:val="auto"/>
              </w:rPr>
            </w:pPr>
          </w:p>
        </w:tc>
        <w:tc>
          <w:tcPr>
            <w:tcW w:w="10040" w:type="dxa"/>
            <w:vAlign w:val="bottom"/>
            <w:gridSpan w:val="15"/>
          </w:tcPr>
          <w:p>
            <w:pPr>
              <w:ind w:left="4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ind w:left="40"/>
        <w:spacing w:after="0"/>
        <w:rPr>
          <w:sz w:val="20"/>
          <w:szCs w:val="20"/>
          <w:color w:val="auto"/>
        </w:rPr>
      </w:pPr>
      <w:r>
        <w:rPr>
          <w:rFonts w:ascii="Arial" w:cs="Arial" w:eastAsia="Arial" w:hAnsi="Arial"/>
          <w:sz w:val="20"/>
          <w:szCs w:val="20"/>
          <w:u w:val="single" w:color="auto"/>
          <w:color w:val="auto"/>
        </w:rPr>
        <w:t>_____________</w:t>
      </w:r>
    </w:p>
    <w:p>
      <w:pPr>
        <w:spacing w:after="0" w:line="80" w:lineRule="exact"/>
        <w:rPr>
          <w:sz w:val="20"/>
          <w:szCs w:val="20"/>
          <w:color w:val="auto"/>
        </w:rPr>
      </w:pPr>
    </w:p>
    <w:p>
      <w:pPr>
        <w:ind w:left="500" w:hanging="492"/>
        <w:spacing w:after="0"/>
        <w:tabs>
          <w:tab w:leader="none" w:pos="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Filed with this annual report on Form 20-F</w:t>
      </w:r>
    </w:p>
    <w:p>
      <w:pPr>
        <w:spacing w:after="0" w:line="23" w:lineRule="exact"/>
        <w:rPr>
          <w:sz w:val="20"/>
          <w:szCs w:val="20"/>
          <w:color w:val="auto"/>
        </w:rPr>
      </w:pPr>
    </w:p>
    <w:p>
      <w:pPr>
        <w:ind w:left="500" w:hanging="492"/>
        <w:spacing w:after="0"/>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Furnished with this annual report on Form 20-F</w:t>
      </w: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125" w:name="page126"/>
    <w:bookmarkEnd w:id="125"/>
    <w:p>
      <w:pPr>
        <w:jc w:val="center"/>
        <w:ind w:right="-9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this Form 20-F on its behalf.</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5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 Tang</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April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20" w:top="580" w:right="125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4"/>
        </w:trPr>
        <w:tc>
          <w:tcPr>
            <w:tcW w:w="9440" w:type="dxa"/>
            <w:vAlign w:val="bottom"/>
            <w:gridSpan w:val="7"/>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40" w:type="dxa"/>
            <w:vAlign w:val="bottom"/>
            <w:gridSpan w:val="7"/>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Pages</w:t>
            </w:r>
          </w:p>
        </w:tc>
        <w:tc>
          <w:tcPr>
            <w:tcW w:w="0" w:type="dxa"/>
            <w:vAlign w:val="bottom"/>
          </w:tcPr>
          <w:p>
            <w:pPr>
              <w:spacing w:after="0"/>
              <w:rPr>
                <w:sz w:val="1"/>
                <w:szCs w:val="1"/>
                <w:color w:val="auto"/>
              </w:rPr>
            </w:pPr>
          </w:p>
        </w:tc>
      </w:tr>
      <w:tr>
        <w:trPr>
          <w:trHeight w:val="202"/>
        </w:trPr>
        <w:tc>
          <w:tcPr>
            <w:tcW w:w="9440" w:type="dxa"/>
            <w:vAlign w:val="bottom"/>
            <w:gridSpan w:val="7"/>
            <w:vMerge w:val="continue"/>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9440" w:type="dxa"/>
            <w:vAlign w:val="bottom"/>
            <w:gridSpan w:val="7"/>
          </w:tcPr>
          <w:p>
            <w:pPr>
              <w:spacing w:after="0" w:line="190" w:lineRule="exact"/>
              <w:rPr>
                <w:rFonts w:ascii="Arial" w:cs="Arial" w:eastAsia="Arial" w:hAnsi="Arial"/>
                <w:sz w:val="18"/>
                <w:szCs w:val="18"/>
                <w:color w:val="0000EE"/>
              </w:rPr>
            </w:pPr>
            <w:hyperlink w:anchor="page128">
              <w:r>
                <w:rPr>
                  <w:rFonts w:ascii="Arial" w:cs="Arial" w:eastAsia="Arial" w:hAnsi="Arial"/>
                  <w:sz w:val="18"/>
                  <w:szCs w:val="18"/>
                  <w:color w:val="0000EE"/>
                </w:rPr>
                <w:t>Report of Independent Registered Public Accounting Firm</w:t>
              </w:r>
            </w:hyperlink>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29">
              <w:r>
                <w:rPr>
                  <w:rFonts w:ascii="Arial" w:cs="Arial" w:eastAsia="Arial" w:hAnsi="Arial"/>
                  <w:sz w:val="18"/>
                  <w:szCs w:val="18"/>
                  <w:color w:val="0000EE"/>
                  <w:w w:val="88"/>
                </w:rPr>
                <w:t>Consolidated Balance Sheets as of December 31, 2019 and 2020</w:t>
              </w:r>
            </w:hyperlink>
          </w:p>
        </w:tc>
        <w:tc>
          <w:tcPr>
            <w:tcW w:w="478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F-3 - F-5</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32">
              <w:r>
                <w:rPr>
                  <w:rFonts w:ascii="Arial" w:cs="Arial" w:eastAsia="Arial" w:hAnsi="Arial"/>
                  <w:sz w:val="18"/>
                  <w:szCs w:val="18"/>
                  <w:color w:val="0000EE"/>
                  <w:w w:val="89"/>
                </w:rPr>
                <w:t>Consolidated Statements of Comprehensive Loss for the Years Ended December 31, 2018, 2019 and 2020</w:t>
              </w:r>
            </w:hyperlink>
          </w:p>
        </w:tc>
        <w:tc>
          <w:tcPr>
            <w:tcW w:w="180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85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33">
              <w:r>
                <w:rPr>
                  <w:rFonts w:ascii="Arial" w:cs="Arial" w:eastAsia="Arial" w:hAnsi="Arial"/>
                  <w:sz w:val="18"/>
                  <w:szCs w:val="18"/>
                  <w:color w:val="0000EE"/>
                  <w:w w:val="89"/>
                </w:rPr>
                <w:t>Consolidated Statements of Changes in Shareholders’ Equity for the Years Ended December 31, 2018, 2019 and 2020</w:t>
              </w:r>
            </w:hyperlink>
          </w:p>
        </w:tc>
        <w:tc>
          <w:tcPr>
            <w:tcW w:w="94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F-7 – F-9</w:t>
            </w:r>
          </w:p>
        </w:tc>
        <w:tc>
          <w:tcPr>
            <w:tcW w:w="0" w:type="dxa"/>
            <w:vAlign w:val="bottom"/>
          </w:tcPr>
          <w:p>
            <w:pPr>
              <w:spacing w:after="0"/>
              <w:rPr>
                <w:sz w:val="1"/>
                <w:szCs w:val="1"/>
                <w:color w:val="auto"/>
              </w:rPr>
            </w:pPr>
          </w:p>
        </w:tc>
      </w:tr>
      <w:tr>
        <w:trPr>
          <w:trHeight w:val="196"/>
        </w:trPr>
        <w:tc>
          <w:tcPr>
            <w:tcW w:w="9440" w:type="dxa"/>
            <w:vAlign w:val="bottom"/>
            <w:gridSpan w:val="7"/>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Consolidated Statements of Cash Flows for the Years Ended December 31, 2018, 2019 and 2020</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F-10 – F-11</w:t>
            </w:r>
          </w:p>
        </w:tc>
        <w:tc>
          <w:tcPr>
            <w:tcW w:w="0" w:type="dxa"/>
            <w:vAlign w:val="bottom"/>
          </w:tcPr>
          <w:p>
            <w:pPr>
              <w:spacing w:after="0"/>
              <w:rPr>
                <w:sz w:val="1"/>
                <w:szCs w:val="1"/>
                <w:color w:val="auto"/>
              </w:rPr>
            </w:pPr>
          </w:p>
        </w:tc>
      </w:tr>
      <w:tr>
        <w:trPr>
          <w:trHeight w:val="196"/>
        </w:trPr>
        <w:tc>
          <w:tcPr>
            <w:tcW w:w="69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Notes to the Consolidated Financial Statements</w:t>
              </w:r>
            </w:hyperlink>
          </w:p>
        </w:tc>
        <w:tc>
          <w:tcPr>
            <w:tcW w:w="248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F-12 – F-82</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iClick Interactive Asia Group Limited and its subsidiaries (the “Company”) as of December 31, 2020 and 2019, and the related consolidated statements of comprehensive loss, of changes in shareholders’ equity and of cash flows for each of the three years in the period ended December 31, 2020,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credit losses on financial instruments in 2020 and the manner in which it accounts for leases in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rPr>
          <w:sz w:val="20"/>
          <w:szCs w:val="20"/>
          <w:color w:val="auto"/>
        </w:rPr>
      </w:pPr>
      <w:r>
        <w:rPr>
          <w:rFonts w:ascii="Arial" w:cs="Arial" w:eastAsia="Arial" w:hAnsi="Arial"/>
          <w:sz w:val="18"/>
          <w:szCs w:val="18"/>
          <w:color w:val="auto"/>
        </w:rPr>
        <w:t>April 21,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1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624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1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8"/>
                <w:szCs w:val="18"/>
                <w:b w:val="1"/>
                <w:bCs w:val="1"/>
                <w:color w:val="auto"/>
              </w:rPr>
              <w:t>AS OF DECEMBER 31, 2019 AND 2020</w:t>
            </w:r>
          </w:p>
        </w:tc>
        <w:tc>
          <w:tcPr>
            <w:tcW w:w="1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(US$’000, except share data and per share data, or otherwise noted)</w:t>
            </w:r>
          </w:p>
        </w:tc>
        <w:tc>
          <w:tcPr>
            <w:tcW w:w="1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40" w:type="dxa"/>
            <w:vAlign w:val="bottom"/>
            <w:gridSpan w:val="3"/>
          </w:tcPr>
          <w:p>
            <w:pPr>
              <w:ind w:left="720"/>
              <w:spacing w:after="0"/>
              <w:rPr>
                <w:sz w:val="20"/>
                <w:szCs w:val="20"/>
                <w:color w:val="auto"/>
              </w:rPr>
            </w:pPr>
            <w:r>
              <w:rPr>
                <w:rFonts w:ascii="Arial" w:cs="Arial" w:eastAsia="Arial" w:hAnsi="Arial"/>
                <w:sz w:val="18"/>
                <w:szCs w:val="18"/>
                <w:color w:val="auto"/>
                <w:w w:val="94"/>
              </w:rPr>
              <w:t>As of December 31,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6240" w:type="dxa"/>
            <w:vAlign w:val="bottom"/>
          </w:tcPr>
          <w:p>
            <w:pPr>
              <w:spacing w:after="0"/>
              <w:rPr>
                <w:sz w:val="20"/>
                <w:szCs w:val="20"/>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Note</w:t>
            </w:r>
          </w:p>
        </w:tc>
        <w:tc>
          <w:tcPr>
            <w:tcW w:w="134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9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9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5</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36,854</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52,232</w:t>
            </w:r>
          </w:p>
        </w:tc>
        <w:tc>
          <w:tcPr>
            <w:tcW w:w="100" w:type="dxa"/>
            <w:vAlign w:val="bottom"/>
            <w:shd w:val="clear" w:color="auto" w:fill="CFF0FC"/>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Time deposits</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1340" w:type="dxa"/>
            <w:vAlign w:val="bottom"/>
          </w:tcPr>
          <w:p>
            <w:pPr>
              <w:jc w:val="right"/>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9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6</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23,852</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42,145</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2(k)</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23,720</w:t>
            </w:r>
          </w:p>
        </w:tc>
        <w:tc>
          <w:tcPr>
            <w:tcW w:w="100" w:type="dxa"/>
            <w:vAlign w:val="bottom"/>
          </w:tcPr>
          <w:p>
            <w:pPr>
              <w:spacing w:after="0"/>
              <w:rPr>
                <w:sz w:val="19"/>
                <w:szCs w:val="19"/>
                <w:color w:val="auto"/>
              </w:rPr>
            </w:pP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Amount due from an equity investee</w:t>
            </w:r>
          </w:p>
        </w:tc>
        <w:tc>
          <w:tcPr>
            <w:tcW w:w="19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7(b)</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FF0FC"/>
          </w:tcPr>
          <w:p>
            <w:pPr>
              <w:spacing w:after="0"/>
              <w:rPr>
                <w:sz w:val="19"/>
                <w:szCs w:val="19"/>
                <w:color w:val="auto"/>
              </w:rPr>
            </w:pPr>
          </w:p>
        </w:tc>
      </w:tr>
      <w:tr>
        <w:trPr>
          <w:trHeight w:val="215"/>
        </w:trPr>
        <w:tc>
          <w:tcPr>
            <w:tcW w:w="6240" w:type="dxa"/>
            <w:vAlign w:val="bottom"/>
          </w:tcPr>
          <w:p>
            <w:pPr>
              <w:spacing w:after="0"/>
              <w:rPr>
                <w:sz w:val="20"/>
                <w:szCs w:val="20"/>
                <w:color w:val="auto"/>
              </w:rPr>
            </w:pPr>
            <w:r>
              <w:rPr>
                <w:rFonts w:ascii="Arial" w:cs="Arial" w:eastAsia="Arial" w:hAnsi="Arial"/>
                <w:sz w:val="18"/>
                <w:szCs w:val="18"/>
                <w:color w:val="auto"/>
              </w:rPr>
              <w:t>Accounts receivable, net of allowance for credit losses of</w:t>
            </w:r>
          </w:p>
        </w:tc>
        <w:tc>
          <w:tcPr>
            <w:tcW w:w="1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tcPr>
          <w:p>
            <w:pPr>
              <w:ind w:left="140"/>
              <w:spacing w:after="0"/>
              <w:rPr>
                <w:sz w:val="20"/>
                <w:szCs w:val="20"/>
                <w:color w:val="auto"/>
              </w:rPr>
            </w:pPr>
            <w:r>
              <w:rPr>
                <w:rFonts w:ascii="Arial" w:cs="Arial" w:eastAsia="Arial" w:hAnsi="Arial"/>
                <w:sz w:val="18"/>
                <w:szCs w:val="18"/>
                <w:color w:val="auto"/>
              </w:rPr>
              <w:t>US$3,469 and US$11,749 as of December 31, 2019 and</w:t>
            </w:r>
          </w:p>
        </w:tc>
        <w:tc>
          <w:tcPr>
            <w:tcW w:w="1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2020, respectively</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1340" w:type="dxa"/>
            <w:vAlign w:val="bottom"/>
          </w:tcPr>
          <w:p>
            <w:pPr>
              <w:jc w:val="right"/>
              <w:spacing w:after="0"/>
              <w:rPr>
                <w:sz w:val="20"/>
                <w:szCs w:val="20"/>
                <w:color w:val="auto"/>
              </w:rPr>
            </w:pPr>
            <w:r>
              <w:rPr>
                <w:rFonts w:ascii="Arial" w:cs="Arial" w:eastAsia="Arial" w:hAnsi="Arial"/>
                <w:sz w:val="18"/>
                <w:szCs w:val="18"/>
                <w:color w:val="auto"/>
              </w:rPr>
              <w:t>143,971</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143,142</w:t>
            </w:r>
          </w:p>
        </w:tc>
        <w:tc>
          <w:tcPr>
            <w:tcW w:w="100" w:type="dxa"/>
            <w:vAlign w:val="bottom"/>
          </w:tcPr>
          <w:p>
            <w:pPr>
              <w:spacing w:after="0"/>
              <w:rPr>
                <w:sz w:val="20"/>
                <w:szCs w:val="20"/>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Rebates receivable</w:t>
            </w:r>
          </w:p>
        </w:tc>
        <w:tc>
          <w:tcPr>
            <w:tcW w:w="19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5,603</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10,964</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Prepaid media costs</w:t>
            </w:r>
          </w:p>
        </w:tc>
        <w:tc>
          <w:tcPr>
            <w:tcW w:w="19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25,565</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34,528</w:t>
            </w:r>
          </w:p>
        </w:tc>
        <w:tc>
          <w:tcPr>
            <w:tcW w:w="100" w:type="dxa"/>
            <w:vAlign w:val="bottom"/>
          </w:tcPr>
          <w:p>
            <w:pPr>
              <w:spacing w:after="0"/>
              <w:rPr>
                <w:sz w:val="19"/>
                <w:szCs w:val="19"/>
                <w:color w:val="auto"/>
              </w:rPr>
            </w:pP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9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10</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8,983</w:t>
            </w:r>
          </w:p>
        </w:tc>
        <w:tc>
          <w:tcPr>
            <w:tcW w:w="2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14,138</w:t>
            </w:r>
          </w:p>
        </w:tc>
        <w:tc>
          <w:tcPr>
            <w:tcW w:w="100" w:type="dxa"/>
            <w:vAlign w:val="bottom"/>
            <w:shd w:val="clear" w:color="auto" w:fill="CFF0FC"/>
          </w:tcPr>
          <w:p>
            <w:pPr>
              <w:spacing w:after="0"/>
              <w:rPr>
                <w:sz w:val="19"/>
                <w:szCs w:val="19"/>
                <w:color w:val="auto"/>
              </w:rPr>
            </w:pPr>
          </w:p>
        </w:tc>
      </w:tr>
      <w:tr>
        <w:trPr>
          <w:trHeight w:val="223"/>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98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245,393</w:t>
            </w:r>
          </w:p>
        </w:tc>
        <w:tc>
          <w:tcPr>
            <w:tcW w:w="2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321,176</w:t>
            </w:r>
          </w:p>
        </w:tc>
        <w:tc>
          <w:tcPr>
            <w:tcW w:w="100" w:type="dxa"/>
            <w:vAlign w:val="bottom"/>
            <w:tcBorders>
              <w:bottom w:val="single" w:sz="8" w:color="CFF0FC"/>
            </w:tcBorders>
          </w:tcPr>
          <w:p>
            <w:pPr>
              <w:spacing w:after="0"/>
              <w:rPr>
                <w:sz w:val="19"/>
                <w:szCs w:val="19"/>
                <w:color w:val="auto"/>
              </w:rPr>
            </w:pPr>
          </w:p>
        </w:tc>
      </w:tr>
      <w:tr>
        <w:trPr>
          <w:trHeight w:val="223"/>
        </w:trPr>
        <w:tc>
          <w:tcPr>
            <w:tcW w:w="624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9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23(e)</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340" w:type="dxa"/>
            <w:vAlign w:val="bottom"/>
          </w:tcPr>
          <w:p>
            <w:pPr>
              <w:jc w:val="right"/>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Investment in an equity investee</w:t>
            </w:r>
          </w:p>
        </w:tc>
        <w:tc>
          <w:tcPr>
            <w:tcW w:w="19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7(a)</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Prepayments for long-term investments</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investments</w:t>
            </w:r>
          </w:p>
        </w:tc>
        <w:tc>
          <w:tcPr>
            <w:tcW w:w="19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8</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8,651</w:t>
            </w:r>
          </w:p>
        </w:tc>
        <w:tc>
          <w:tcPr>
            <w:tcW w:w="100" w:type="dxa"/>
            <w:vAlign w:val="bottom"/>
            <w:shd w:val="clear" w:color="auto" w:fill="CFF0FC"/>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1340" w:type="dxa"/>
            <w:vAlign w:val="bottom"/>
          </w:tcPr>
          <w:p>
            <w:pPr>
              <w:jc w:val="right"/>
              <w:spacing w:after="0"/>
              <w:rPr>
                <w:sz w:val="20"/>
                <w:szCs w:val="20"/>
                <w:color w:val="auto"/>
              </w:rPr>
            </w:pPr>
            <w:r>
              <w:rPr>
                <w:rFonts w:ascii="Arial" w:cs="Arial" w:eastAsia="Arial" w:hAnsi="Arial"/>
                <w:sz w:val="18"/>
                <w:szCs w:val="18"/>
                <w:color w:val="auto"/>
              </w:rPr>
              <w:t>4,418</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56,431</w:t>
            </w:r>
          </w:p>
        </w:tc>
        <w:tc>
          <w:tcPr>
            <w:tcW w:w="100" w:type="dxa"/>
            <w:vAlign w:val="bottom"/>
          </w:tcPr>
          <w:p>
            <w:pPr>
              <w:spacing w:after="0"/>
              <w:rPr>
                <w:sz w:val="19"/>
                <w:szCs w:val="19"/>
                <w:color w:val="auto"/>
              </w:rPr>
            </w:pP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9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13</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65,710</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74,419</w:t>
            </w:r>
          </w:p>
        </w:tc>
        <w:tc>
          <w:tcPr>
            <w:tcW w:w="100" w:type="dxa"/>
            <w:vAlign w:val="bottom"/>
            <w:shd w:val="clear" w:color="auto" w:fill="CFF0FC"/>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Right-of-use assets</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340" w:type="dxa"/>
            <w:vAlign w:val="bottom"/>
          </w:tcPr>
          <w:p>
            <w:pPr>
              <w:jc w:val="right"/>
              <w:spacing w:after="0"/>
              <w:rPr>
                <w:sz w:val="20"/>
                <w:szCs w:val="20"/>
                <w:color w:val="auto"/>
              </w:rPr>
            </w:pPr>
            <w:r>
              <w:rPr>
                <w:rFonts w:ascii="Arial" w:cs="Arial" w:eastAsia="Arial" w:hAnsi="Arial"/>
                <w:sz w:val="18"/>
                <w:szCs w:val="18"/>
                <w:color w:val="auto"/>
              </w:rPr>
              <w:t>1,656</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9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10</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19"/>
                <w:szCs w:val="19"/>
                <w:color w:val="auto"/>
              </w:rPr>
            </w:pPr>
          </w:p>
        </w:tc>
      </w:tr>
      <w:tr>
        <w:trPr>
          <w:trHeight w:val="223"/>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198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76,123</w:t>
            </w:r>
          </w:p>
        </w:tc>
        <w:tc>
          <w:tcPr>
            <w:tcW w:w="2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148,939</w:t>
            </w:r>
          </w:p>
        </w:tc>
        <w:tc>
          <w:tcPr>
            <w:tcW w:w="100" w:type="dxa"/>
            <w:vAlign w:val="bottom"/>
            <w:tcBorders>
              <w:bottom w:val="single" w:sz="8" w:color="CFF0FC"/>
            </w:tcBorders>
          </w:tcPr>
          <w:p>
            <w:pPr>
              <w:spacing w:after="0"/>
              <w:rPr>
                <w:sz w:val="19"/>
                <w:szCs w:val="19"/>
                <w:color w:val="auto"/>
              </w:rPr>
            </w:pPr>
          </w:p>
        </w:tc>
      </w:tr>
      <w:tr>
        <w:trPr>
          <w:trHeight w:val="223"/>
        </w:trPr>
        <w:tc>
          <w:tcPr>
            <w:tcW w:w="624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98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321,516</w:t>
            </w: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470,115</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6940" w:type="dxa"/>
            <w:vAlign w:val="bottom"/>
          </w:tcPr>
          <w:p>
            <w:pPr>
              <w:spacing w:after="0"/>
              <w:rPr>
                <w:sz w:val="20"/>
                <w:szCs w:val="20"/>
                <w:color w:val="auto"/>
              </w:rPr>
            </w:pPr>
            <w:r>
              <w:rPr>
                <w:rFonts w:ascii="Arial" w:cs="Arial" w:eastAsia="Arial" w:hAnsi="Arial"/>
                <w:sz w:val="18"/>
                <w:szCs w:val="18"/>
                <w:b w:val="1"/>
                <w:bCs w:val="1"/>
                <w:color w:val="auto"/>
              </w:rPr>
              <w:t>CONSOLIDATED BALANCE SHEETS (CONTINUED)</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6940" w:type="dxa"/>
            <w:vAlign w:val="bottom"/>
          </w:tcPr>
          <w:p>
            <w:pPr>
              <w:spacing w:after="0"/>
              <w:rPr>
                <w:sz w:val="20"/>
                <w:szCs w:val="20"/>
                <w:color w:val="auto"/>
              </w:rPr>
            </w:pPr>
            <w:r>
              <w:rPr>
                <w:rFonts w:ascii="Arial" w:cs="Arial" w:eastAsia="Arial" w:hAnsi="Arial"/>
                <w:sz w:val="18"/>
                <w:szCs w:val="18"/>
                <w:b w:val="1"/>
                <w:bCs w:val="1"/>
                <w:color w:val="auto"/>
              </w:rPr>
              <w:t>AS OF DECEMBER 31, 2019 AND 2020</w:t>
            </w: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(US$’000, except share data and per share data, or otherwise noted)</w:t>
            </w: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40" w:type="dxa"/>
            <w:vAlign w:val="bottom"/>
            <w:gridSpan w:val="3"/>
          </w:tcPr>
          <w:p>
            <w:pPr>
              <w:ind w:left="720"/>
              <w:spacing w:after="0"/>
              <w:rPr>
                <w:sz w:val="20"/>
                <w:szCs w:val="20"/>
                <w:color w:val="auto"/>
              </w:rPr>
            </w:pPr>
            <w:r>
              <w:rPr>
                <w:rFonts w:ascii="Arial" w:cs="Arial" w:eastAsia="Arial" w:hAnsi="Arial"/>
                <w:sz w:val="18"/>
                <w:szCs w:val="18"/>
                <w:color w:val="auto"/>
                <w:w w:val="94"/>
              </w:rPr>
              <w:t>As of December 31,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694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Note</w:t>
            </w:r>
          </w:p>
        </w:tc>
        <w:tc>
          <w:tcPr>
            <w:tcW w:w="134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1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(including accounts payable of the consolidated</w:t>
            </w:r>
          </w:p>
        </w:tc>
        <w:tc>
          <w:tcPr>
            <w:tcW w:w="1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variable interest entity (“VIE”) and its subsidiaries without</w:t>
            </w:r>
          </w:p>
        </w:tc>
        <w:tc>
          <w:tcPr>
            <w:tcW w:w="1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recourse to the Company of US$27 and US$371 as of</w:t>
            </w:r>
          </w:p>
        </w:tc>
        <w:tc>
          <w:tcPr>
            <w:tcW w:w="1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2019 and 2020, respectively)</w:t>
            </w:r>
          </w:p>
        </w:tc>
        <w:tc>
          <w:tcPr>
            <w:tcW w:w="12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66,161</w:t>
            </w: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43,140</w:t>
            </w:r>
          </w:p>
        </w:tc>
        <w:tc>
          <w:tcPr>
            <w:tcW w:w="100" w:type="dxa"/>
            <w:vAlign w:val="bottom"/>
            <w:shd w:val="clear" w:color="auto" w:fill="CFF0FC"/>
          </w:tcPr>
          <w:p>
            <w:pPr>
              <w:spacing w:after="0"/>
              <w:rPr>
                <w:sz w:val="20"/>
                <w:szCs w:val="20"/>
                <w:color w:val="auto"/>
              </w:rPr>
            </w:pPr>
          </w:p>
        </w:tc>
      </w:tr>
      <w:tr>
        <w:trPr>
          <w:trHeight w:val="215"/>
        </w:trPr>
        <w:tc>
          <w:tcPr>
            <w:tcW w:w="6940" w:type="dxa"/>
            <w:vAlign w:val="bottom"/>
          </w:tcPr>
          <w:p>
            <w:pPr>
              <w:spacing w:after="0"/>
              <w:rPr>
                <w:sz w:val="20"/>
                <w:szCs w:val="20"/>
                <w:color w:val="auto"/>
              </w:rPr>
            </w:pPr>
            <w:r>
              <w:rPr>
                <w:rFonts w:ascii="Arial" w:cs="Arial" w:eastAsia="Arial" w:hAnsi="Arial"/>
                <w:sz w:val="18"/>
                <w:szCs w:val="18"/>
                <w:color w:val="auto"/>
              </w:rPr>
              <w:t>Deferred revenue (including deferred revenue of the consolidated</w:t>
            </w: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tcPr>
          <w:p>
            <w:pPr>
              <w:ind w:left="140"/>
              <w:spacing w:after="0"/>
              <w:rPr>
                <w:sz w:val="20"/>
                <w:szCs w:val="20"/>
                <w:color w:val="auto"/>
              </w:rPr>
            </w:pPr>
            <w:r>
              <w:rPr>
                <w:rFonts w:ascii="Arial" w:cs="Arial" w:eastAsia="Arial" w:hAnsi="Arial"/>
                <w:sz w:val="18"/>
                <w:szCs w:val="18"/>
                <w:color w:val="auto"/>
              </w:rPr>
              <w:t>VIE and its subsidiaries without recourse to the Company of</w:t>
            </w: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tcPr>
          <w:p>
            <w:pPr>
              <w:ind w:left="140"/>
              <w:spacing w:after="0"/>
              <w:rPr>
                <w:sz w:val="20"/>
                <w:szCs w:val="20"/>
                <w:color w:val="auto"/>
              </w:rPr>
            </w:pPr>
            <w:r>
              <w:rPr>
                <w:rFonts w:ascii="Arial" w:cs="Arial" w:eastAsia="Arial" w:hAnsi="Arial"/>
                <w:sz w:val="18"/>
                <w:szCs w:val="18"/>
                <w:color w:val="auto"/>
              </w:rPr>
              <w:t>US$866 and US$644 as of December 31, 2019 and 2020,</w:t>
            </w: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1340" w:type="dxa"/>
            <w:vAlign w:val="bottom"/>
          </w:tcPr>
          <w:p>
            <w:pPr>
              <w:jc w:val="right"/>
              <w:spacing w:after="0"/>
              <w:rPr>
                <w:sz w:val="20"/>
                <w:szCs w:val="20"/>
                <w:color w:val="auto"/>
              </w:rPr>
            </w:pPr>
            <w:r>
              <w:rPr>
                <w:rFonts w:ascii="Arial" w:cs="Arial" w:eastAsia="Arial" w:hAnsi="Arial"/>
                <w:sz w:val="18"/>
                <w:szCs w:val="18"/>
                <w:color w:val="auto"/>
              </w:rPr>
              <w:t>27,089</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28,199</w:t>
            </w:r>
          </w:p>
        </w:tc>
        <w:tc>
          <w:tcPr>
            <w:tcW w:w="100" w:type="dxa"/>
            <w:vAlign w:val="bottom"/>
          </w:tcPr>
          <w:p>
            <w:pPr>
              <w:spacing w:after="0"/>
              <w:rPr>
                <w:sz w:val="20"/>
                <w:szCs w:val="20"/>
                <w:color w:val="auto"/>
              </w:rPr>
            </w:pPr>
          </w:p>
        </w:tc>
      </w:tr>
      <w:tr>
        <w:trPr>
          <w:trHeight w:val="215"/>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 and other current liabilities (including accrued</w:t>
            </w:r>
          </w:p>
        </w:tc>
        <w:tc>
          <w:tcPr>
            <w:tcW w:w="1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liabilities and other current liabilities of the consolidated VIE</w:t>
            </w:r>
          </w:p>
        </w:tc>
        <w:tc>
          <w:tcPr>
            <w:tcW w:w="1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its subsidiaries without recourse to the Company of US$1,802</w:t>
            </w:r>
          </w:p>
        </w:tc>
        <w:tc>
          <w:tcPr>
            <w:tcW w:w="1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US$1,519 as of December 31, 2019 and 2020, respectively)</w:t>
            </w:r>
          </w:p>
        </w:tc>
        <w:tc>
          <w:tcPr>
            <w:tcW w:w="12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16</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19,937</w:t>
            </w: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29,331</w:t>
            </w:r>
          </w:p>
        </w:tc>
        <w:tc>
          <w:tcPr>
            <w:tcW w:w="100" w:type="dxa"/>
            <w:vAlign w:val="bottom"/>
            <w:shd w:val="clear" w:color="auto" w:fill="CFF0FC"/>
          </w:tcPr>
          <w:p>
            <w:pPr>
              <w:spacing w:after="0"/>
              <w:rPr>
                <w:sz w:val="20"/>
                <w:szCs w:val="20"/>
                <w:color w:val="auto"/>
              </w:rPr>
            </w:pPr>
          </w:p>
        </w:tc>
      </w:tr>
      <w:tr>
        <w:trPr>
          <w:trHeight w:val="215"/>
        </w:trPr>
        <w:tc>
          <w:tcPr>
            <w:tcW w:w="6940" w:type="dxa"/>
            <w:vAlign w:val="bottom"/>
          </w:tcPr>
          <w:p>
            <w:pPr>
              <w:spacing w:after="0"/>
              <w:rPr>
                <w:sz w:val="20"/>
                <w:szCs w:val="20"/>
                <w:color w:val="auto"/>
              </w:rPr>
            </w:pPr>
            <w:r>
              <w:rPr>
                <w:rFonts w:ascii="Arial" w:cs="Arial" w:eastAsia="Arial" w:hAnsi="Arial"/>
                <w:sz w:val="18"/>
                <w:szCs w:val="18"/>
                <w:color w:val="auto"/>
              </w:rPr>
              <w:t>Lease liabilities (including lease liabilities of the consolidated</w:t>
            </w: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tcPr>
          <w:p>
            <w:pPr>
              <w:ind w:left="140"/>
              <w:spacing w:after="0"/>
              <w:rPr>
                <w:sz w:val="20"/>
                <w:szCs w:val="20"/>
                <w:color w:val="auto"/>
              </w:rPr>
            </w:pPr>
            <w:r>
              <w:rPr>
                <w:rFonts w:ascii="Arial" w:cs="Arial" w:eastAsia="Arial" w:hAnsi="Arial"/>
                <w:sz w:val="18"/>
                <w:szCs w:val="18"/>
                <w:color w:val="auto"/>
              </w:rPr>
              <w:t>VIE and its subsidiaries without recourse to the Company of</w:t>
            </w: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tcPr>
          <w:p>
            <w:pPr>
              <w:ind w:left="140"/>
              <w:spacing w:after="0"/>
              <w:rPr>
                <w:sz w:val="20"/>
                <w:szCs w:val="20"/>
                <w:color w:val="auto"/>
              </w:rPr>
            </w:pPr>
            <w:r>
              <w:rPr>
                <w:rFonts w:ascii="Arial" w:cs="Arial" w:eastAsia="Arial" w:hAnsi="Arial"/>
                <w:sz w:val="18"/>
                <w:szCs w:val="18"/>
                <w:color w:val="auto"/>
              </w:rPr>
              <w:t>US$86 and US$298 as of December 31, 2019 and 2020,</w:t>
            </w: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340" w:type="dxa"/>
            <w:vAlign w:val="bottom"/>
          </w:tcPr>
          <w:p>
            <w:pPr>
              <w:jc w:val="right"/>
              <w:spacing w:after="0"/>
              <w:rPr>
                <w:sz w:val="20"/>
                <w:szCs w:val="20"/>
                <w:color w:val="auto"/>
              </w:rPr>
            </w:pPr>
            <w:r>
              <w:rPr>
                <w:rFonts w:ascii="Arial" w:cs="Arial" w:eastAsia="Arial" w:hAnsi="Arial"/>
                <w:sz w:val="18"/>
                <w:szCs w:val="18"/>
                <w:color w:val="auto"/>
              </w:rPr>
              <w:t>1,114</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20"/>
                <w:szCs w:val="20"/>
                <w:color w:val="auto"/>
              </w:rPr>
            </w:pPr>
          </w:p>
        </w:tc>
      </w:tr>
      <w:tr>
        <w:trPr>
          <w:trHeight w:val="215"/>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Bank borrowings (including bank borrowing of the consolidated</w:t>
            </w:r>
          </w:p>
        </w:tc>
        <w:tc>
          <w:tcPr>
            <w:tcW w:w="1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VIE and its subsidiaries without recourse to the Company of</w:t>
            </w:r>
          </w:p>
        </w:tc>
        <w:tc>
          <w:tcPr>
            <w:tcW w:w="1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US$Nil and US$457 as of December 31, 2019 and 2020,</w:t>
            </w:r>
          </w:p>
        </w:tc>
        <w:tc>
          <w:tcPr>
            <w:tcW w:w="1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12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17</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36,851</w:t>
            </w: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56,040</w:t>
            </w:r>
          </w:p>
        </w:tc>
        <w:tc>
          <w:tcPr>
            <w:tcW w:w="100" w:type="dxa"/>
            <w:vAlign w:val="bottom"/>
            <w:shd w:val="clear" w:color="auto" w:fill="CFF0FC"/>
          </w:tcPr>
          <w:p>
            <w:pPr>
              <w:spacing w:after="0"/>
              <w:rPr>
                <w:sz w:val="20"/>
                <w:szCs w:val="20"/>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Convertible notes at fair value</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1340" w:type="dxa"/>
            <w:vAlign w:val="bottom"/>
          </w:tcPr>
          <w:p>
            <w:pPr>
              <w:jc w:val="right"/>
              <w:spacing w:after="0"/>
              <w:rPr>
                <w:sz w:val="20"/>
                <w:szCs w:val="20"/>
                <w:color w:val="auto"/>
              </w:rPr>
            </w:pPr>
            <w:r>
              <w:rPr>
                <w:rFonts w:ascii="Arial" w:cs="Arial" w:eastAsia="Arial" w:hAnsi="Arial"/>
                <w:sz w:val="18"/>
                <w:szCs w:val="18"/>
                <w:color w:val="auto"/>
              </w:rPr>
              <w:t>49,008</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5"/>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Income tax payable (including income tax payable of the</w:t>
            </w:r>
          </w:p>
        </w:tc>
        <w:tc>
          <w:tcPr>
            <w:tcW w:w="1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consolidated VIE and its subsidiaries without recourse</w:t>
            </w:r>
          </w:p>
        </w:tc>
        <w:tc>
          <w:tcPr>
            <w:tcW w:w="1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the Company of US$Nil and US$483 as of</w:t>
            </w:r>
          </w:p>
        </w:tc>
        <w:tc>
          <w:tcPr>
            <w:tcW w:w="1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2019 and 2020, respectively)</w:t>
            </w:r>
          </w:p>
        </w:tc>
        <w:tc>
          <w:tcPr>
            <w:tcW w:w="1280" w:type="dxa"/>
            <w:vAlign w:val="bottom"/>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3,780</w:t>
            </w:r>
          </w:p>
        </w:tc>
        <w:tc>
          <w:tcPr>
            <w:tcW w:w="240" w:type="dxa"/>
            <w:vAlign w:val="bottom"/>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FF0FC"/>
          </w:tcPr>
          <w:p>
            <w:pPr>
              <w:spacing w:after="0"/>
              <w:rPr>
                <w:sz w:val="20"/>
                <w:szCs w:val="20"/>
                <w:color w:val="auto"/>
              </w:rPr>
            </w:pPr>
          </w:p>
        </w:tc>
      </w:tr>
      <w:tr>
        <w:trPr>
          <w:trHeight w:val="223"/>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28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203,940</w:t>
            </w:r>
          </w:p>
        </w:tc>
        <w:tc>
          <w:tcPr>
            <w:tcW w:w="2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162,847</w:t>
            </w:r>
          </w:p>
        </w:tc>
        <w:tc>
          <w:tcPr>
            <w:tcW w:w="10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payable</w:t>
            </w:r>
          </w:p>
        </w:tc>
        <w:tc>
          <w:tcPr>
            <w:tcW w:w="12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4(e)</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7,755</w:t>
            </w:r>
          </w:p>
        </w:tc>
        <w:tc>
          <w:tcPr>
            <w:tcW w:w="100" w:type="dxa"/>
            <w:vAlign w:val="bottom"/>
            <w:shd w:val="clear" w:color="auto" w:fill="CFF0FC"/>
          </w:tcPr>
          <w:p>
            <w:pPr>
              <w:spacing w:after="0"/>
              <w:rPr>
                <w:sz w:val="19"/>
                <w:szCs w:val="19"/>
                <w:color w:val="auto"/>
              </w:rPr>
            </w:pPr>
          </w:p>
        </w:tc>
      </w:tr>
      <w:tr>
        <w:trPr>
          <w:trHeight w:val="215"/>
        </w:trPr>
        <w:tc>
          <w:tcPr>
            <w:tcW w:w="6940" w:type="dxa"/>
            <w:vAlign w:val="bottom"/>
          </w:tcPr>
          <w:p>
            <w:pPr>
              <w:spacing w:after="0"/>
              <w:rPr>
                <w:sz w:val="20"/>
                <w:szCs w:val="20"/>
                <w:color w:val="auto"/>
              </w:rPr>
            </w:pPr>
            <w:r>
              <w:rPr>
                <w:rFonts w:ascii="Arial" w:cs="Arial" w:eastAsia="Arial" w:hAnsi="Arial"/>
                <w:sz w:val="18"/>
                <w:szCs w:val="18"/>
                <w:color w:val="auto"/>
              </w:rPr>
              <w:t>Lease liabilities (including lease liabilities of the consolidated</w:t>
            </w: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tcPr>
          <w:p>
            <w:pPr>
              <w:ind w:left="140"/>
              <w:spacing w:after="0"/>
              <w:rPr>
                <w:sz w:val="20"/>
                <w:szCs w:val="20"/>
                <w:color w:val="auto"/>
              </w:rPr>
            </w:pPr>
            <w:r>
              <w:rPr>
                <w:rFonts w:ascii="Arial" w:cs="Arial" w:eastAsia="Arial" w:hAnsi="Arial"/>
                <w:sz w:val="18"/>
                <w:szCs w:val="18"/>
                <w:color w:val="auto"/>
              </w:rPr>
              <w:t>VIE and its subsidiaries without recourse to the Company of</w:t>
            </w: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tcPr>
          <w:p>
            <w:pPr>
              <w:ind w:left="140"/>
              <w:spacing w:after="0"/>
              <w:rPr>
                <w:sz w:val="20"/>
                <w:szCs w:val="20"/>
                <w:color w:val="auto"/>
              </w:rPr>
            </w:pPr>
            <w:r>
              <w:rPr>
                <w:rFonts w:ascii="Arial" w:cs="Arial" w:eastAsia="Arial" w:hAnsi="Arial"/>
                <w:sz w:val="18"/>
                <w:szCs w:val="18"/>
                <w:color w:val="auto"/>
              </w:rPr>
              <w:t>US$25 and US$186 as of December 31, 2019 and 2020,</w:t>
            </w: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340" w:type="dxa"/>
            <w:vAlign w:val="bottom"/>
          </w:tcPr>
          <w:p>
            <w:pPr>
              <w:jc w:val="right"/>
              <w:spacing w:after="0"/>
              <w:rPr>
                <w:sz w:val="20"/>
                <w:szCs w:val="20"/>
                <w:color w:val="auto"/>
              </w:rPr>
            </w:pPr>
            <w:r>
              <w:rPr>
                <w:rFonts w:ascii="Arial" w:cs="Arial" w:eastAsia="Arial" w:hAnsi="Arial"/>
                <w:sz w:val="18"/>
                <w:szCs w:val="18"/>
                <w:color w:val="auto"/>
              </w:rPr>
              <w:t>706</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0"/>
                <w:szCs w:val="20"/>
                <w:color w:val="auto"/>
              </w:rPr>
            </w:pPr>
          </w:p>
        </w:tc>
      </w:tr>
      <w:tr>
        <w:trPr>
          <w:trHeight w:val="215"/>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 (including deferred liabilities of the</w:t>
            </w:r>
          </w:p>
        </w:tc>
        <w:tc>
          <w:tcPr>
            <w:tcW w:w="1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consolidated VIE and its subsidiaries without recourse to the</w:t>
            </w:r>
          </w:p>
        </w:tc>
        <w:tc>
          <w:tcPr>
            <w:tcW w:w="1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Company of US$187 and US$146 as of December 31, 2019 and</w:t>
            </w:r>
          </w:p>
        </w:tc>
        <w:tc>
          <w:tcPr>
            <w:tcW w:w="1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2020, respectively)</w:t>
            </w:r>
          </w:p>
        </w:tc>
        <w:tc>
          <w:tcPr>
            <w:tcW w:w="12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23(e)</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14,156</w:t>
            </w:r>
          </w:p>
        </w:tc>
        <w:tc>
          <w:tcPr>
            <w:tcW w:w="100" w:type="dxa"/>
            <w:vAlign w:val="bottom"/>
            <w:shd w:val="clear" w:color="auto" w:fill="CFF0FC"/>
          </w:tcPr>
          <w:p>
            <w:pPr>
              <w:spacing w:after="0"/>
              <w:rPr>
                <w:sz w:val="20"/>
                <w:szCs w:val="20"/>
                <w:color w:val="auto"/>
              </w:rPr>
            </w:pPr>
          </w:p>
        </w:tc>
      </w:tr>
      <w:tr>
        <w:trPr>
          <w:trHeight w:val="230"/>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280" w:type="dxa"/>
            <w:vAlign w:val="bottom"/>
            <w:tcBorders>
              <w:bottom w:val="single" w:sz="8" w:color="CFF0FC"/>
            </w:tcBorders>
          </w:tcPr>
          <w:p>
            <w:pPr>
              <w:jc w:val="right"/>
              <w:ind w:right="170"/>
              <w:spacing w:after="0"/>
              <w:rPr>
                <w:sz w:val="20"/>
                <w:szCs w:val="20"/>
                <w:color w:val="auto"/>
              </w:rPr>
            </w:pPr>
            <w:r>
              <w:rPr>
                <w:rFonts w:ascii="Arial" w:cs="Arial" w:eastAsia="Arial" w:hAnsi="Arial"/>
                <w:sz w:val="18"/>
                <w:szCs w:val="18"/>
                <w:color w:val="auto"/>
              </w:rPr>
              <w:t>16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w:t>
            </w:r>
          </w:p>
        </w:tc>
        <w:tc>
          <w:tcPr>
            <w:tcW w:w="10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non-current liabilities</w:t>
            </w:r>
          </w:p>
        </w:tc>
        <w:tc>
          <w:tcPr>
            <w:tcW w:w="128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2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28,180</w:t>
            </w:r>
          </w:p>
        </w:tc>
        <w:tc>
          <w:tcPr>
            <w:tcW w:w="100" w:type="dxa"/>
            <w:vAlign w:val="bottom"/>
            <w:shd w:val="clear" w:color="auto" w:fill="CFF0FC"/>
          </w:tcPr>
          <w:p>
            <w:pPr>
              <w:spacing w:after="0"/>
              <w:rPr>
                <w:sz w:val="19"/>
                <w:szCs w:val="19"/>
                <w:color w:val="auto"/>
              </w:rPr>
            </w:pPr>
          </w:p>
        </w:tc>
      </w:tr>
      <w:tr>
        <w:trPr>
          <w:trHeight w:val="223"/>
        </w:trPr>
        <w:tc>
          <w:tcPr>
            <w:tcW w:w="6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28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206,960</w:t>
            </w:r>
          </w:p>
        </w:tc>
        <w:tc>
          <w:tcPr>
            <w:tcW w:w="2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191,027</w:t>
            </w:r>
          </w:p>
        </w:tc>
        <w:tc>
          <w:tcPr>
            <w:tcW w:w="100" w:type="dxa"/>
            <w:vAlign w:val="bottom"/>
            <w:shd w:val="clear" w:color="auto" w:fill="CFF0FC"/>
          </w:tcPr>
          <w:p>
            <w:pPr>
              <w:spacing w:after="0"/>
              <w:rPr>
                <w:sz w:val="19"/>
                <w:szCs w:val="19"/>
                <w:color w:val="auto"/>
              </w:rPr>
            </w:pPr>
          </w:p>
        </w:tc>
      </w:tr>
      <w:tr>
        <w:trPr>
          <w:trHeight w:val="223"/>
        </w:trPr>
        <w:tc>
          <w:tcPr>
            <w:tcW w:w="6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w:t>
            </w:r>
          </w:p>
        </w:tc>
        <w:tc>
          <w:tcPr>
            <w:tcW w:w="12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27</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473"/>
        </w:trPr>
        <w:tc>
          <w:tcPr>
            <w:tcW w:w="6940" w:type="dxa"/>
            <w:vAlign w:val="bottom"/>
          </w:tcPr>
          <w:p>
            <w:pPr>
              <w:spacing w:after="0"/>
              <w:rPr>
                <w:sz w:val="20"/>
                <w:szCs w:val="20"/>
                <w:color w:val="auto"/>
              </w:rPr>
            </w:pPr>
            <w:r>
              <w:rPr>
                <w:rFonts w:ascii="Arial" w:cs="Arial" w:eastAsia="Arial" w:hAnsi="Arial"/>
                <w:sz w:val="18"/>
                <w:szCs w:val="18"/>
                <w:color w:val="auto"/>
                <w:w w:val="98"/>
              </w:rPr>
              <w:t>The accompanying notes are an integral part of these consolidated financial statements.</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61"/>
        </w:trPr>
        <w:tc>
          <w:tcPr>
            <w:tcW w:w="6940" w:type="dxa"/>
            <w:vAlign w:val="bottom"/>
          </w:tcPr>
          <w:p>
            <w:pPr>
              <w:ind w:left="5500"/>
              <w:spacing w:after="0"/>
              <w:rPr>
                <w:sz w:val="20"/>
                <w:szCs w:val="20"/>
                <w:color w:val="auto"/>
              </w:rPr>
            </w:pPr>
            <w:r>
              <w:rPr>
                <w:rFonts w:ascii="Arial" w:cs="Arial" w:eastAsia="Arial" w:hAnsi="Arial"/>
                <w:sz w:val="18"/>
                <w:szCs w:val="18"/>
                <w:color w:val="auto"/>
              </w:rPr>
              <w:t>F-4</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9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1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6240" w:type="dxa"/>
            <w:vAlign w:val="bottom"/>
          </w:tcPr>
          <w:p>
            <w:pPr>
              <w:spacing w:after="0"/>
              <w:rPr>
                <w:sz w:val="20"/>
                <w:szCs w:val="20"/>
                <w:color w:val="auto"/>
              </w:rPr>
            </w:pPr>
            <w:r>
              <w:rPr>
                <w:rFonts w:ascii="Arial" w:cs="Arial" w:eastAsia="Arial" w:hAnsi="Arial"/>
                <w:sz w:val="18"/>
                <w:szCs w:val="18"/>
                <w:b w:val="1"/>
                <w:bCs w:val="1"/>
                <w:color w:val="auto"/>
              </w:rPr>
              <w:t>CONSOLIDATED BALANCE SHEETS (CONTINUED)</w:t>
            </w:r>
          </w:p>
        </w:tc>
        <w:tc>
          <w:tcPr>
            <w:tcW w:w="1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8"/>
                <w:szCs w:val="18"/>
                <w:b w:val="1"/>
                <w:bCs w:val="1"/>
                <w:color w:val="auto"/>
              </w:rPr>
              <w:t>AS OF DECEMBER 31, 2019 AND 2020</w:t>
            </w:r>
          </w:p>
        </w:tc>
        <w:tc>
          <w:tcPr>
            <w:tcW w:w="1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(US$’000, except share data and per share data, or otherwise noted)</w:t>
            </w:r>
          </w:p>
        </w:tc>
        <w:tc>
          <w:tcPr>
            <w:tcW w:w="1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20" w:type="dxa"/>
            <w:vAlign w:val="bottom"/>
            <w:gridSpan w:val="3"/>
          </w:tcPr>
          <w:p>
            <w:pPr>
              <w:ind w:left="720"/>
              <w:spacing w:after="0"/>
              <w:rPr>
                <w:sz w:val="20"/>
                <w:szCs w:val="20"/>
                <w:color w:val="auto"/>
              </w:rPr>
            </w:pPr>
            <w:r>
              <w:rPr>
                <w:rFonts w:ascii="Arial" w:cs="Arial" w:eastAsia="Arial" w:hAnsi="Arial"/>
                <w:sz w:val="18"/>
                <w:szCs w:val="18"/>
                <w:color w:val="auto"/>
                <w:w w:val="93"/>
              </w:rPr>
              <w:t>As of December 31,</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6240" w:type="dxa"/>
            <w:vAlign w:val="bottom"/>
          </w:tcPr>
          <w:p>
            <w:pPr>
              <w:spacing w:after="0"/>
              <w:rPr>
                <w:sz w:val="20"/>
                <w:szCs w:val="20"/>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Note</w:t>
            </w:r>
          </w:p>
        </w:tc>
        <w:tc>
          <w:tcPr>
            <w:tcW w:w="134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w:t>
            </w:r>
          </w:p>
        </w:tc>
        <w:tc>
          <w:tcPr>
            <w:tcW w:w="19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6240" w:type="dxa"/>
            <w:vAlign w:val="bottom"/>
          </w:tcPr>
          <w:p>
            <w:pPr>
              <w:spacing w:after="0"/>
              <w:rPr>
                <w:sz w:val="20"/>
                <w:szCs w:val="20"/>
                <w:color w:val="auto"/>
              </w:rPr>
            </w:pPr>
            <w:r>
              <w:rPr>
                <w:rFonts w:ascii="Arial" w:cs="Arial" w:eastAsia="Arial" w:hAnsi="Arial"/>
                <w:sz w:val="18"/>
                <w:szCs w:val="18"/>
                <w:color w:val="auto"/>
              </w:rPr>
              <w:t>Ordinary shares – Class A (US$0.001 par value; 80,000,000 shares</w:t>
            </w:r>
          </w:p>
        </w:tc>
        <w:tc>
          <w:tcPr>
            <w:tcW w:w="1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tcPr>
          <w:p>
            <w:pPr>
              <w:ind w:left="140"/>
              <w:spacing w:after="0"/>
              <w:rPr>
                <w:sz w:val="20"/>
                <w:szCs w:val="20"/>
                <w:color w:val="auto"/>
              </w:rPr>
            </w:pPr>
            <w:r>
              <w:rPr>
                <w:rFonts w:ascii="Arial" w:cs="Arial" w:eastAsia="Arial" w:hAnsi="Arial"/>
                <w:sz w:val="18"/>
                <w:szCs w:val="18"/>
                <w:color w:val="auto"/>
              </w:rPr>
              <w:t>authorized as of December 31, 2019 and 2020, respectively;</w:t>
            </w:r>
          </w:p>
        </w:tc>
        <w:tc>
          <w:tcPr>
            <w:tcW w:w="1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23,870,027 and 40,996,215 shares issued and outstanding as</w:t>
            </w:r>
          </w:p>
        </w:tc>
        <w:tc>
          <w:tcPr>
            <w:tcW w:w="1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of December 31, 2019 and 2020, respectively)</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r>
      <w:tr>
        <w:trPr>
          <w:trHeight w:val="215"/>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Ordinary shares – Class B (US$0.001 par value; 20,000,000 shares</w:t>
            </w:r>
          </w:p>
        </w:tc>
        <w:tc>
          <w:tcPr>
            <w:tcW w:w="1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authorized as of December 31, 2019 and 2020, respectively;</w:t>
            </w:r>
          </w:p>
        </w:tc>
        <w:tc>
          <w:tcPr>
            <w:tcW w:w="1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4,820,608 shares issued and outstanding as of December 31,</w:t>
            </w:r>
          </w:p>
        </w:tc>
        <w:tc>
          <w:tcPr>
            <w:tcW w:w="1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2019 and 2020, respectively)</w:t>
            </w:r>
          </w:p>
        </w:tc>
        <w:tc>
          <w:tcPr>
            <w:tcW w:w="19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19</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0"/>
                <w:szCs w:val="20"/>
                <w:color w:val="auto"/>
              </w:rPr>
            </w:pPr>
          </w:p>
        </w:tc>
      </w:tr>
      <w:tr>
        <w:trPr>
          <w:trHeight w:val="215"/>
        </w:trPr>
        <w:tc>
          <w:tcPr>
            <w:tcW w:w="6240" w:type="dxa"/>
            <w:vAlign w:val="bottom"/>
          </w:tcPr>
          <w:p>
            <w:pPr>
              <w:spacing w:after="0"/>
              <w:rPr>
                <w:sz w:val="20"/>
                <w:szCs w:val="20"/>
                <w:color w:val="auto"/>
              </w:rPr>
            </w:pPr>
            <w:r>
              <w:rPr>
                <w:rFonts w:ascii="Arial" w:cs="Arial" w:eastAsia="Arial" w:hAnsi="Arial"/>
                <w:sz w:val="18"/>
                <w:szCs w:val="18"/>
                <w:color w:val="auto"/>
              </w:rPr>
              <w:t>Treasury shares (1,744,873 and 2,396,372 shares as of</w:t>
            </w:r>
          </w:p>
        </w:tc>
        <w:tc>
          <w:tcPr>
            <w:tcW w:w="1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December 31, 2019 and 2020, respectively)</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(4,858)</w:t>
            </w:r>
          </w:p>
        </w:tc>
        <w:tc>
          <w:tcPr>
            <w:tcW w:w="6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(10,341)</w:t>
            </w: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9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305,344</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492,400</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Statutory reserves</w:t>
            </w:r>
          </w:p>
        </w:tc>
        <w:tc>
          <w:tcPr>
            <w:tcW w:w="19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losses</w:t>
            </w:r>
          </w:p>
        </w:tc>
        <w:tc>
          <w:tcPr>
            <w:tcW w:w="19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(7,479)</w:t>
            </w:r>
          </w:p>
        </w:tc>
        <w:tc>
          <w:tcPr>
            <w:tcW w:w="6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(2,478)</w:t>
            </w: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Accumulated deficit</w:t>
            </w:r>
          </w:p>
        </w:tc>
        <w:tc>
          <w:tcPr>
            <w:tcW w:w="19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(191,016)</w:t>
            </w:r>
          </w:p>
        </w:tc>
        <w:tc>
          <w:tcPr>
            <w:tcW w:w="6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(207,606)</w:t>
            </w:r>
          </w:p>
        </w:tc>
      </w:tr>
      <w:tr>
        <w:trPr>
          <w:trHeight w:val="22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iClick Interactive Asia Group Limited shareholders’ equity</w:t>
            </w:r>
          </w:p>
        </w:tc>
        <w:tc>
          <w:tcPr>
            <w:tcW w:w="19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102,101</w:t>
            </w: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272,102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198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12,455</w:t>
            </w:r>
          </w:p>
        </w:tc>
        <w:tc>
          <w:tcPr>
            <w:tcW w:w="2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Borders>
              <w:bottom w:val="single" w:sz="8" w:color="CFF0FC"/>
            </w:tcBorders>
          </w:tcPr>
          <w:p>
            <w:pPr>
              <w:spacing w:after="0"/>
              <w:rPr>
                <w:sz w:val="19"/>
                <w:szCs w:val="19"/>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equity</w:t>
            </w:r>
          </w:p>
        </w:tc>
        <w:tc>
          <w:tcPr>
            <w:tcW w:w="198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114,556</w:t>
            </w:r>
          </w:p>
        </w:tc>
        <w:tc>
          <w:tcPr>
            <w:tcW w:w="2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279,088</w:t>
            </w:r>
          </w:p>
        </w:tc>
        <w:tc>
          <w:tcPr>
            <w:tcW w:w="100" w:type="dxa"/>
            <w:vAlign w:val="bottom"/>
            <w:shd w:val="clear" w:color="auto" w:fill="CFF0FC"/>
          </w:tcPr>
          <w:p>
            <w:pPr>
              <w:spacing w:after="0"/>
              <w:rPr>
                <w:sz w:val="19"/>
                <w:szCs w:val="19"/>
                <w:color w:val="auto"/>
              </w:rPr>
            </w:pPr>
          </w:p>
        </w:tc>
      </w:tr>
      <w:tr>
        <w:trPr>
          <w:trHeight w:val="223"/>
        </w:trPr>
        <w:tc>
          <w:tcPr>
            <w:tcW w:w="6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equity</w:t>
            </w:r>
          </w:p>
        </w:tc>
        <w:tc>
          <w:tcPr>
            <w:tcW w:w="19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321,516</w:t>
            </w:r>
          </w:p>
        </w:tc>
        <w:tc>
          <w:tcPr>
            <w:tcW w:w="2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470,115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5900" w:type="dxa"/>
            <w:vAlign w:val="bottom"/>
          </w:tcPr>
          <w:p>
            <w:pPr>
              <w:spacing w:after="0"/>
              <w:rPr>
                <w:sz w:val="20"/>
                <w:szCs w:val="20"/>
                <w:color w:val="auto"/>
              </w:rPr>
            </w:pPr>
            <w:r>
              <w:rPr>
                <w:rFonts w:ascii="Arial" w:cs="Arial" w:eastAsia="Arial" w:hAnsi="Arial"/>
                <w:sz w:val="18"/>
                <w:szCs w:val="18"/>
                <w:b w:val="1"/>
                <w:bCs w:val="1"/>
                <w:color w:val="auto"/>
              </w:rPr>
              <w:t>CONSOLIDATED STATEMENTS OF COMPREHENSIVE LOSS</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8"/>
                <w:szCs w:val="18"/>
                <w:b w:val="1"/>
                <w:bCs w:val="1"/>
                <w:color w:val="auto"/>
              </w:rPr>
              <w:t>FOR THE YEARS ENDED DECEMBER 31, 2018, 2019 AND 2020</w:t>
            </w: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(US$’000, except share data and per share data, or otherwise noted)</w:t>
            </w: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20" w:type="dxa"/>
            <w:vAlign w:val="bottom"/>
            <w:gridSpan w:val="6"/>
          </w:tcPr>
          <w:p>
            <w:pPr>
              <w:jc w:val="right"/>
              <w:ind w:right="840"/>
              <w:spacing w:after="0"/>
              <w:rPr>
                <w:sz w:val="20"/>
                <w:szCs w:val="20"/>
                <w:color w:val="auto"/>
              </w:rPr>
            </w:pPr>
            <w:r>
              <w:rPr>
                <w:rFonts w:ascii="Arial" w:cs="Arial" w:eastAsia="Arial" w:hAnsi="Arial"/>
                <w:sz w:val="18"/>
                <w:szCs w:val="18"/>
                <w:color w:val="auto"/>
              </w:rPr>
              <w:t>For the years ended December 31,</w:t>
            </w:r>
          </w:p>
        </w:tc>
      </w:tr>
      <w:tr>
        <w:trPr>
          <w:trHeight w:val="230"/>
        </w:trPr>
        <w:tc>
          <w:tcPr>
            <w:tcW w:w="590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Note</w:t>
            </w:r>
          </w:p>
        </w:tc>
        <w:tc>
          <w:tcPr>
            <w:tcW w:w="1140" w:type="dxa"/>
            <w:vAlign w:val="bottom"/>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54"/>
        </w:trPr>
        <w:tc>
          <w:tcPr>
            <w:tcW w:w="5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revenues</w:t>
            </w:r>
          </w:p>
        </w:tc>
        <w:tc>
          <w:tcPr>
            <w:tcW w:w="1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160,017</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199,408</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254,745</w:t>
            </w:r>
          </w:p>
        </w:tc>
        <w:tc>
          <w:tcPr>
            <w:tcW w:w="100" w:type="dxa"/>
            <w:vAlign w:val="bottom"/>
            <w:shd w:val="clear" w:color="auto" w:fill="CFF0FC"/>
          </w:tcPr>
          <w:p>
            <w:pPr>
              <w:spacing w:after="0"/>
              <w:rPr>
                <w:sz w:val="19"/>
                <w:szCs w:val="19"/>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Cost of revenues</w:t>
            </w:r>
          </w:p>
        </w:tc>
        <w:tc>
          <w:tcPr>
            <w:tcW w:w="1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(120,897)</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(142,703)</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(181,482)</w:t>
            </w:r>
          </w:p>
        </w:tc>
      </w:tr>
      <w:tr>
        <w:trPr>
          <w:trHeight w:val="22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3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39,120</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56,705</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73,263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(10,737)</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(5,574)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(5,349)</w:t>
            </w: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(32,080)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(42,968)</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(38,028)</w:t>
            </w: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(23,757)</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(20,304)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(31,648)</w:t>
            </w:r>
          </w:p>
        </w:tc>
      </w:tr>
      <w:tr>
        <w:trPr>
          <w:trHeight w:val="223"/>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32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(66,574)</w:t>
            </w:r>
          </w:p>
        </w:tc>
        <w:tc>
          <w:tcPr>
            <w:tcW w:w="24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(68,846)</w:t>
            </w:r>
          </w:p>
        </w:tc>
        <w:tc>
          <w:tcPr>
            <w:tcW w:w="24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(75,025)</w:t>
            </w:r>
          </w:p>
        </w:tc>
        <w:tc>
          <w:tcPr>
            <w:tcW w:w="100" w:type="dxa"/>
            <w:vAlign w:val="bottom"/>
            <w:tcBorders>
              <w:bottom w:val="single" w:sz="8" w:color="CFF0FC"/>
            </w:tcBorders>
          </w:tcPr>
          <w:p>
            <w:pPr>
              <w:spacing w:after="0"/>
              <w:rPr>
                <w:sz w:val="19"/>
                <w:szCs w:val="19"/>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1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(27,454)</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(12,141)</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FF0FC"/>
          </w:tcPr>
          <w:p>
            <w:pPr>
              <w:spacing w:after="0"/>
              <w:rPr>
                <w:sz w:val="19"/>
                <w:szCs w:val="19"/>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(773)</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(1,915)</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(2,650)</w:t>
            </w: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Other gains, net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22</w:t>
            </w:r>
          </w:p>
        </w:tc>
        <w:tc>
          <w:tcPr>
            <w:tcW w:w="1140" w:type="dxa"/>
            <w:vAlign w:val="bottom"/>
          </w:tcPr>
          <w:p>
            <w:pPr>
              <w:jc w:val="right"/>
              <w:spacing w:after="0"/>
              <w:rPr>
                <w:sz w:val="20"/>
                <w:szCs w:val="20"/>
                <w:color w:val="auto"/>
              </w:rPr>
            </w:pPr>
            <w:r>
              <w:rPr>
                <w:rFonts w:ascii="Arial" w:cs="Arial" w:eastAsia="Arial" w:hAnsi="Arial"/>
                <w:sz w:val="18"/>
                <w:szCs w:val="18"/>
                <w:color w:val="auto"/>
              </w:rPr>
              <w:t>687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2,992</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Pr>
          <w:p>
            <w:pPr>
              <w:spacing w:after="0"/>
              <w:rPr>
                <w:sz w:val="19"/>
                <w:szCs w:val="19"/>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Fair value losses on derivative liabilities</w:t>
            </w:r>
          </w:p>
        </w:tc>
        <w:tc>
          <w:tcPr>
            <w:tcW w:w="13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18</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(11,466)</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Fair value (losses)/gains on convertible notes</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(4,837)</w:t>
            </w: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(4,433)</w:t>
            </w:r>
          </w:p>
        </w:tc>
      </w:tr>
      <w:tr>
        <w:trPr>
          <w:trHeight w:val="22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before income tax expense</w:t>
            </w:r>
          </w:p>
        </w:tc>
        <w:tc>
          <w:tcPr>
            <w:tcW w:w="13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(31,956)</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(10,394)</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Share of loss from an equity investee</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7(a)</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(408)</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3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23</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(655)</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(1,633)</w:t>
            </w: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3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(32,611)</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(10,849)</w:t>
            </w:r>
          </w:p>
        </w:tc>
        <w:tc>
          <w:tcPr>
            <w:tcW w:w="2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(14,906)</w:t>
            </w:r>
          </w:p>
        </w:tc>
        <w:tc>
          <w:tcPr>
            <w:tcW w:w="100" w:type="dxa"/>
            <w:vAlign w:val="bottom"/>
          </w:tcPr>
          <w:p>
            <w:pPr>
              <w:spacing w:after="0"/>
              <w:rPr>
                <w:sz w:val="19"/>
                <w:szCs w:val="19"/>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 interests</w:t>
            </w:r>
          </w:p>
        </w:tc>
        <w:tc>
          <w:tcPr>
            <w:tcW w:w="13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2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FF0FC"/>
          </w:tcPr>
          <w:p>
            <w:pPr>
              <w:spacing w:after="0"/>
              <w:rPr>
                <w:sz w:val="19"/>
                <w:szCs w:val="19"/>
                <w:color w:val="auto"/>
              </w:rPr>
            </w:pPr>
          </w:p>
        </w:tc>
      </w:tr>
      <w:tr>
        <w:trPr>
          <w:trHeight w:val="205"/>
        </w:trPr>
        <w:tc>
          <w:tcPr>
            <w:tcW w:w="5900" w:type="dxa"/>
            <w:vAlign w:val="bottom"/>
          </w:tcPr>
          <w:p>
            <w:pPr>
              <w:spacing w:after="0" w:line="205" w:lineRule="exact"/>
              <w:rPr>
                <w:sz w:val="20"/>
                <w:szCs w:val="20"/>
                <w:color w:val="auto"/>
              </w:rPr>
            </w:pPr>
            <w:r>
              <w:rPr>
                <w:rFonts w:ascii="Arial" w:cs="Arial" w:eastAsia="Arial" w:hAnsi="Arial"/>
                <w:sz w:val="18"/>
                <w:szCs w:val="18"/>
                <w:b w:val="1"/>
                <w:bCs w:val="1"/>
                <w:color w:val="auto"/>
              </w:rPr>
              <w:t>Net loss attributable to iClick Interactive Asia Group</w:t>
            </w: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00" w:type="dxa"/>
            <w:vAlign w:val="bottom"/>
          </w:tcPr>
          <w:p>
            <w:pPr>
              <w:ind w:left="140"/>
              <w:spacing w:after="0"/>
              <w:rPr>
                <w:sz w:val="20"/>
                <w:szCs w:val="20"/>
                <w:color w:val="auto"/>
              </w:rPr>
            </w:pPr>
            <w:r>
              <w:rPr>
                <w:rFonts w:ascii="Arial" w:cs="Arial" w:eastAsia="Arial" w:hAnsi="Arial"/>
                <w:sz w:val="18"/>
                <w:szCs w:val="18"/>
                <w:b w:val="1"/>
                <w:bCs w:val="1"/>
                <w:color w:val="auto"/>
              </w:rPr>
              <w:t>Limited’s ordinary shareholders</w:t>
            </w:r>
          </w:p>
        </w:tc>
        <w:tc>
          <w:tcPr>
            <w:tcW w:w="13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(32,409)</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(9,603)</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(12,618)</w:t>
            </w:r>
          </w:p>
        </w:tc>
      </w:tr>
      <w:tr>
        <w:trPr>
          <w:trHeight w:val="22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3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(32,611)</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(10,849)</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Other comprehensive (loss)/income:</w:t>
            </w: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 net of US$nil tax</w:t>
            </w:r>
          </w:p>
        </w:tc>
        <w:tc>
          <w:tcPr>
            <w:tcW w:w="1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(2,547)</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(1,700)</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5,274</w:t>
            </w:r>
          </w:p>
        </w:tc>
        <w:tc>
          <w:tcPr>
            <w:tcW w:w="100" w:type="dxa"/>
            <w:vAlign w:val="bottom"/>
            <w:shd w:val="clear" w:color="auto" w:fill="CFF0FC"/>
          </w:tcPr>
          <w:p>
            <w:pPr>
              <w:spacing w:after="0"/>
              <w:rPr>
                <w:sz w:val="19"/>
                <w:szCs w:val="19"/>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3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(35,158)</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(12,549)</w:t>
            </w:r>
          </w:p>
        </w:tc>
        <w:tc>
          <w:tcPr>
            <w:tcW w:w="2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(9,632)</w:t>
            </w:r>
          </w:p>
        </w:tc>
        <w:tc>
          <w:tcPr>
            <w:tcW w:w="100" w:type="dxa"/>
            <w:vAlign w:val="bottom"/>
          </w:tcPr>
          <w:p>
            <w:pPr>
              <w:spacing w:after="0"/>
              <w:rPr>
                <w:sz w:val="19"/>
                <w:szCs w:val="19"/>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13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2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FF0FC"/>
          </w:tcPr>
          <w:p>
            <w:pPr>
              <w:spacing w:after="0"/>
              <w:rPr>
                <w:sz w:val="19"/>
                <w:szCs w:val="19"/>
                <w:color w:val="auto"/>
              </w:rPr>
            </w:pPr>
          </w:p>
        </w:tc>
      </w:tr>
      <w:tr>
        <w:trPr>
          <w:trHeight w:val="205"/>
        </w:trPr>
        <w:tc>
          <w:tcPr>
            <w:tcW w:w="590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loss attributable to iClick Interactive</w:t>
            </w: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4"/>
        </w:trPr>
        <w:tc>
          <w:tcPr>
            <w:tcW w:w="5900" w:type="dxa"/>
            <w:vAlign w:val="bottom"/>
          </w:tcPr>
          <w:p>
            <w:pPr>
              <w:ind w:left="140"/>
              <w:spacing w:after="0"/>
              <w:rPr>
                <w:sz w:val="20"/>
                <w:szCs w:val="20"/>
                <w:color w:val="auto"/>
              </w:rPr>
            </w:pPr>
            <w:r>
              <w:rPr>
                <w:rFonts w:ascii="Arial" w:cs="Arial" w:eastAsia="Arial" w:hAnsi="Arial"/>
                <w:sz w:val="18"/>
                <w:szCs w:val="18"/>
                <w:b w:val="1"/>
                <w:bCs w:val="1"/>
                <w:color w:val="auto"/>
              </w:rPr>
              <w:t>Asia Group Limited</w:t>
            </w:r>
          </w:p>
        </w:tc>
        <w:tc>
          <w:tcPr>
            <w:tcW w:w="1320" w:type="dxa"/>
            <w:vAlign w:val="bottom"/>
          </w:tcPr>
          <w:p>
            <w:pPr>
              <w:spacing w:after="0"/>
              <w:rPr>
                <w:sz w:val="23"/>
                <w:szCs w:val="23"/>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(34,956)</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(11,215)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(7,617)</w:t>
            </w:r>
          </w:p>
        </w:tc>
      </w:tr>
      <w:tr>
        <w:trPr>
          <w:trHeight w:val="192"/>
        </w:trPr>
        <w:tc>
          <w:tcPr>
            <w:tcW w:w="5900" w:type="dxa"/>
            <w:vAlign w:val="bottom"/>
            <w:tcBorders>
              <w:top w:val="single" w:sz="8" w:color="CFF0FC"/>
            </w:tcBorders>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Net loss per share attributable to iClick Interactive Asia</w:t>
            </w:r>
          </w:p>
        </w:tc>
        <w:tc>
          <w:tcPr>
            <w:tcW w:w="1320" w:type="dxa"/>
            <w:vAlign w:val="bottom"/>
            <w:tcBorders>
              <w:top w:val="single" w:sz="8" w:color="CFF0FC"/>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34"/>
        </w:trPr>
        <w:tc>
          <w:tcPr>
            <w:tcW w:w="59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Group Limited</w:t>
            </w:r>
          </w:p>
        </w:tc>
        <w:tc>
          <w:tcPr>
            <w:tcW w:w="1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 Basic</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24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(0.34)</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Diluted</w:t>
            </w:r>
          </w:p>
        </w:tc>
        <w:tc>
          <w:tcPr>
            <w:tcW w:w="13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24</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(1.23)</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(0.32)</w:t>
            </w:r>
          </w:p>
        </w:tc>
      </w:tr>
      <w:tr>
        <w:trPr>
          <w:trHeight w:val="211"/>
        </w:trPr>
        <w:tc>
          <w:tcPr>
            <w:tcW w:w="5900" w:type="dxa"/>
            <w:vAlign w:val="bottom"/>
          </w:tcPr>
          <w:p>
            <w:pPr>
              <w:spacing w:after="0"/>
              <w:rPr>
                <w:sz w:val="20"/>
                <w:szCs w:val="20"/>
                <w:color w:val="auto"/>
              </w:rPr>
            </w:pPr>
            <w:r>
              <w:rPr>
                <w:rFonts w:ascii="Arial" w:cs="Arial" w:eastAsia="Arial" w:hAnsi="Arial"/>
                <w:sz w:val="18"/>
                <w:szCs w:val="18"/>
                <w:b w:val="1"/>
                <w:bCs w:val="1"/>
                <w:color w:val="auto"/>
              </w:rPr>
              <w:t>Weighted average number of ordinary shares used in per</w:t>
            </w: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00" w:type="dxa"/>
            <w:vAlign w:val="bottom"/>
          </w:tcPr>
          <w:p>
            <w:pPr>
              <w:ind w:left="140"/>
              <w:spacing w:after="0"/>
              <w:rPr>
                <w:sz w:val="20"/>
                <w:szCs w:val="20"/>
                <w:color w:val="auto"/>
              </w:rPr>
            </w:pPr>
            <w:r>
              <w:rPr>
                <w:rFonts w:ascii="Arial" w:cs="Arial" w:eastAsia="Arial" w:hAnsi="Arial"/>
                <w:sz w:val="18"/>
                <w:szCs w:val="18"/>
                <w:b w:val="1"/>
                <w:bCs w:val="1"/>
                <w:color w:val="auto"/>
              </w:rPr>
              <w:t>share calculation:</w:t>
            </w: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Basic</w:t>
            </w:r>
          </w:p>
        </w:tc>
        <w:tc>
          <w:tcPr>
            <w:tcW w:w="13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24</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26,452,409</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28,583,548</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39,368,436</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 Diluted</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24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26,452,409</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28,583,548</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39,368,436</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spacing w:after="0"/>
              <w:rPr>
                <w:sz w:val="14"/>
                <w:szCs w:val="14"/>
                <w:color w:val="auto"/>
              </w:rPr>
            </w:pPr>
          </w:p>
        </w:tc>
        <w:tc>
          <w:tcPr>
            <w:tcW w:w="1620" w:type="dxa"/>
            <w:vAlign w:val="bottom"/>
            <w:gridSpan w:val="4"/>
          </w:tcPr>
          <w:p>
            <w:pPr>
              <w:ind w:left="280"/>
              <w:spacing w:after="0"/>
              <w:rPr>
                <w:sz w:val="20"/>
                <w:szCs w:val="20"/>
                <w:color w:val="auto"/>
              </w:rPr>
            </w:pPr>
            <w:r>
              <w:rPr>
                <w:rFonts w:ascii="Arial" w:cs="Arial" w:eastAsia="Arial" w:hAnsi="Arial"/>
                <w:sz w:val="13"/>
                <w:szCs w:val="13"/>
                <w:color w:val="auto"/>
              </w:rPr>
              <w:t>Ordinary shares</w:t>
            </w:r>
          </w:p>
        </w:tc>
        <w:tc>
          <w:tcPr>
            <w:tcW w:w="1480" w:type="dxa"/>
            <w:vAlign w:val="bottom"/>
            <w:gridSpan w:val="4"/>
          </w:tcPr>
          <w:p>
            <w:pPr>
              <w:jc w:val="right"/>
              <w:ind w:right="380"/>
              <w:spacing w:after="0"/>
              <w:rPr>
                <w:sz w:val="20"/>
                <w:szCs w:val="20"/>
                <w:color w:val="auto"/>
              </w:rPr>
            </w:pPr>
            <w:r>
              <w:rPr>
                <w:rFonts w:ascii="Arial" w:cs="Arial" w:eastAsia="Arial" w:hAnsi="Arial"/>
                <w:sz w:val="13"/>
                <w:szCs w:val="13"/>
                <w:color w:val="auto"/>
              </w:rPr>
              <w:t>Treasury shares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Total iClick</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Interactive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Accumulated</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Asia Group</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3"/>
                <w:szCs w:val="13"/>
                <w:color w:val="auto"/>
              </w:rPr>
              <w:t>Additional</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Limited</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Non-</w:t>
            </w:r>
          </w:p>
        </w:tc>
        <w:tc>
          <w:tcPr>
            <w:tcW w:w="8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Number of</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Number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paid-in</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w w:val="93"/>
              </w:rPr>
              <w:t>Accumulated</w:t>
            </w:r>
          </w:p>
        </w:tc>
        <w:tc>
          <w:tcPr>
            <w:tcW w:w="560" w:type="dxa"/>
            <w:vAlign w:val="bottom"/>
          </w:tcPr>
          <w:p>
            <w:pPr>
              <w:jc w:val="right"/>
              <w:spacing w:after="0"/>
              <w:rPr>
                <w:sz w:val="20"/>
                <w:szCs w:val="20"/>
                <w:color w:val="auto"/>
              </w:rPr>
            </w:pPr>
            <w:r>
              <w:rPr>
                <w:rFonts w:ascii="Arial" w:cs="Arial" w:eastAsia="Arial" w:hAnsi="Arial"/>
                <w:sz w:val="13"/>
                <w:szCs w:val="13"/>
                <w:color w:val="auto"/>
                <w:w w:val="99"/>
              </w:rPr>
              <w:t>Statutory</w:t>
            </w:r>
          </w:p>
        </w:tc>
        <w:tc>
          <w:tcPr>
            <w:tcW w:w="1140" w:type="dxa"/>
            <w:vAlign w:val="bottom"/>
            <w:gridSpan w:val="3"/>
          </w:tcPr>
          <w:p>
            <w:pPr>
              <w:jc w:val="right"/>
              <w:ind w:right="140"/>
              <w:spacing w:after="0"/>
              <w:rPr>
                <w:sz w:val="20"/>
                <w:szCs w:val="20"/>
                <w:color w:val="auto"/>
              </w:rPr>
            </w:pPr>
            <w:r>
              <w:rPr>
                <w:rFonts w:ascii="Arial" w:cs="Arial" w:eastAsia="Arial" w:hAnsi="Arial"/>
                <w:sz w:val="13"/>
                <w:szCs w:val="13"/>
                <w:color w:val="auto"/>
              </w:rPr>
              <w:t>comprehensive</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color w:val="auto"/>
                <w:w w:val="99"/>
              </w:rPr>
              <w:t>shareholders’</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w w:val="97"/>
              </w:rPr>
              <w:t>controlling</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shareholders’</w:t>
            </w:r>
          </w:p>
        </w:tc>
        <w:tc>
          <w:tcPr>
            <w:tcW w:w="0" w:type="dxa"/>
            <w:vAlign w:val="bottom"/>
          </w:tcPr>
          <w:p>
            <w:pPr>
              <w:spacing w:after="0"/>
              <w:rPr>
                <w:sz w:val="1"/>
                <w:szCs w:val="1"/>
                <w:color w:val="auto"/>
              </w:rPr>
            </w:pPr>
          </w:p>
        </w:tc>
      </w:tr>
      <w:tr>
        <w:trPr>
          <w:trHeight w:val="159"/>
        </w:trPr>
        <w:tc>
          <w:tcPr>
            <w:tcW w:w="20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shares</w:t>
            </w: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Amount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shares</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Amount</w:t>
            </w:r>
          </w:p>
        </w:tc>
        <w:tc>
          <w:tcPr>
            <w:tcW w:w="8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capital</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deficit</w:t>
            </w:r>
          </w:p>
        </w:tc>
        <w:tc>
          <w:tcPr>
            <w:tcW w:w="560" w:type="dxa"/>
            <w:vAlign w:val="bottom"/>
          </w:tcPr>
          <w:p>
            <w:pPr>
              <w:jc w:val="right"/>
              <w:spacing w:after="0"/>
              <w:rPr>
                <w:sz w:val="20"/>
                <w:szCs w:val="20"/>
                <w:color w:val="auto"/>
              </w:rPr>
            </w:pPr>
            <w:r>
              <w:rPr>
                <w:rFonts w:ascii="Arial" w:cs="Arial" w:eastAsia="Arial" w:hAnsi="Arial"/>
                <w:sz w:val="13"/>
                <w:szCs w:val="13"/>
                <w:color w:val="auto"/>
              </w:rPr>
              <w:t>reserves</w:t>
            </w: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losses</w:t>
            </w:r>
          </w:p>
        </w:tc>
        <w:tc>
          <w:tcPr>
            <w:tcW w:w="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equity</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interests</w:t>
            </w:r>
          </w:p>
        </w:tc>
        <w:tc>
          <w:tcPr>
            <w:tcW w:w="8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as of December 31, 2017</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26,059,433</w:t>
            </w: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2,123,382</w:t>
            </w:r>
          </w:p>
        </w:tc>
        <w:tc>
          <w:tcPr>
            <w:tcW w:w="1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(2,093)</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274,294</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(149,004)</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w:t>
            </w: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(3,320)</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119,984</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119,984</w:t>
            </w:r>
          </w:p>
        </w:tc>
        <w:tc>
          <w:tcPr>
            <w:tcW w:w="0" w:type="dxa"/>
            <w:vAlign w:val="bottom"/>
          </w:tcPr>
          <w:p>
            <w:pPr>
              <w:spacing w:after="0"/>
              <w:rPr>
                <w:sz w:val="1"/>
                <w:szCs w:val="1"/>
                <w:color w:val="auto"/>
              </w:rPr>
            </w:pPr>
          </w:p>
        </w:tc>
      </w:tr>
      <w:tr>
        <w:trPr>
          <w:trHeight w:val="151"/>
        </w:trPr>
        <w:tc>
          <w:tcPr>
            <w:tcW w:w="2080" w:type="dxa"/>
            <w:vAlign w:val="bottom"/>
          </w:tcPr>
          <w:p>
            <w:pPr>
              <w:spacing w:after="0"/>
              <w:rPr>
                <w:sz w:val="20"/>
                <w:szCs w:val="20"/>
                <w:color w:val="auto"/>
              </w:rPr>
            </w:pPr>
            <w:r>
              <w:rPr>
                <w:rFonts w:ascii="Arial" w:cs="Arial" w:eastAsia="Arial" w:hAnsi="Arial"/>
                <w:sz w:val="13"/>
                <w:szCs w:val="13"/>
                <w:color w:val="auto"/>
                <w:w w:val="98"/>
              </w:rPr>
              <w:t>Reissuance of treasury shares upon</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20"/>
                <w:szCs w:val="20"/>
                <w:color w:val="auto"/>
              </w:rPr>
            </w:pPr>
            <w:r>
              <w:rPr>
                <w:rFonts w:ascii="Arial" w:cs="Arial" w:eastAsia="Arial" w:hAnsi="Arial"/>
                <w:sz w:val="13"/>
                <w:szCs w:val="13"/>
                <w:color w:val="auto"/>
              </w:rPr>
              <w:t>exercise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100"/>
              <w:spacing w:after="0"/>
              <w:rPr>
                <w:sz w:val="20"/>
                <w:szCs w:val="20"/>
                <w:color w:val="auto"/>
              </w:rPr>
            </w:pPr>
            <w:r>
              <w:rPr>
                <w:rFonts w:ascii="Arial" w:cs="Arial" w:eastAsia="Arial" w:hAnsi="Arial"/>
                <w:sz w:val="13"/>
                <w:szCs w:val="13"/>
                <w:color w:val="auto"/>
              </w:rPr>
              <w:t>of employee share options and</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3"/>
              <w:spacing w:after="0"/>
              <w:rPr>
                <w:sz w:val="20"/>
                <w:szCs w:val="20"/>
                <w:color w:val="auto"/>
              </w:rPr>
            </w:pPr>
            <w:r>
              <w:rPr>
                <w:rFonts w:ascii="Arial" w:cs="Arial" w:eastAsia="Arial" w:hAnsi="Arial"/>
                <w:sz w:val="13"/>
                <w:szCs w:val="13"/>
                <w:color w:val="auto"/>
              </w:rPr>
              <w:t>655</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20"/>
                <w:szCs w:val="20"/>
                <w:color w:val="auto"/>
              </w:rPr>
            </w:pPr>
            <w:r>
              <w:rPr>
                <w:rFonts w:ascii="Arial" w:cs="Arial" w:eastAsia="Arial" w:hAnsi="Arial"/>
                <w:sz w:val="13"/>
                <w:szCs w:val="13"/>
                <w:color w:val="auto"/>
              </w:rPr>
              <w:t>vesting of</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80" w:type="dxa"/>
            <w:vAlign w:val="bottom"/>
          </w:tcPr>
          <w:p>
            <w:pPr>
              <w:ind w:left="100"/>
              <w:spacing w:after="0"/>
              <w:rPr>
                <w:sz w:val="20"/>
                <w:szCs w:val="20"/>
                <w:color w:val="auto"/>
              </w:rPr>
            </w:pPr>
            <w:r>
              <w:rPr>
                <w:rFonts w:ascii="Arial" w:cs="Arial" w:eastAsia="Arial" w:hAnsi="Arial"/>
                <w:sz w:val="13"/>
                <w:szCs w:val="13"/>
                <w:color w:val="auto"/>
              </w:rPr>
              <w:t>restricted share units (“RSUs”)</w:t>
            </w:r>
          </w:p>
        </w:tc>
        <w:tc>
          <w:tcPr>
            <w:tcW w:w="720" w:type="dxa"/>
            <w:vAlign w:val="bottom"/>
          </w:tcPr>
          <w:p>
            <w:pPr>
              <w:jc w:val="right"/>
              <w:spacing w:after="0"/>
              <w:rPr>
                <w:sz w:val="20"/>
                <w:szCs w:val="20"/>
                <w:color w:val="auto"/>
              </w:rPr>
            </w:pPr>
            <w:r>
              <w:rPr>
                <w:rFonts w:ascii="Arial" w:cs="Arial" w:eastAsia="Arial" w:hAnsi="Arial"/>
                <w:sz w:val="13"/>
                <w:szCs w:val="13"/>
                <w:color w:val="auto"/>
              </w:rPr>
              <w:t>764,522</w:t>
            </w: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(764,522)</w:t>
            </w:r>
          </w:p>
        </w:tc>
        <w:tc>
          <w:tcPr>
            <w:tcW w:w="540" w:type="dxa"/>
            <w:vAlign w:val="bottom"/>
          </w:tcPr>
          <w:p>
            <w:pPr>
              <w:jc w:val="right"/>
              <w:spacing w:after="0"/>
              <w:rPr>
                <w:sz w:val="20"/>
                <w:szCs w:val="20"/>
                <w:color w:val="auto"/>
              </w:rPr>
            </w:pPr>
            <w:r>
              <w:rPr>
                <w:rFonts w:ascii="Arial" w:cs="Arial" w:eastAsia="Arial" w:hAnsi="Arial"/>
                <w:sz w:val="13"/>
                <w:szCs w:val="13"/>
                <w:color w:val="auto"/>
              </w:rPr>
              <w:t>1,554</w:t>
            </w:r>
          </w:p>
        </w:tc>
        <w:tc>
          <w:tcPr>
            <w:tcW w:w="10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(900)</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655</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spacing w:after="0"/>
              <w:rPr>
                <w:sz w:val="20"/>
                <w:szCs w:val="20"/>
                <w:color w:val="auto"/>
              </w:rPr>
            </w:pPr>
            <w:r>
              <w:rPr>
                <w:rFonts w:ascii="Arial" w:cs="Arial" w:eastAsia="Arial" w:hAnsi="Arial"/>
                <w:sz w:val="13"/>
                <w:szCs w:val="13"/>
                <w:color w:val="auto"/>
                <w:w w:val="94"/>
              </w:rPr>
              <w:t>Share-based compensation expenses</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19,679</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19,679</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19,679</w:t>
            </w:r>
          </w:p>
        </w:tc>
        <w:tc>
          <w:tcPr>
            <w:tcW w:w="0" w:type="dxa"/>
            <w:vAlign w:val="bottom"/>
          </w:tcPr>
          <w:p>
            <w:pPr>
              <w:spacing w:after="0"/>
              <w:rPr>
                <w:sz w:val="1"/>
                <w:szCs w:val="1"/>
                <w:color w:val="auto"/>
              </w:rPr>
            </w:pPr>
          </w:p>
        </w:tc>
      </w:tr>
      <w:tr>
        <w:trPr>
          <w:trHeight w:val="151"/>
        </w:trPr>
        <w:tc>
          <w:tcPr>
            <w:tcW w:w="2080" w:type="dxa"/>
            <w:vAlign w:val="bottom"/>
          </w:tcPr>
          <w:p>
            <w:pPr>
              <w:spacing w:after="0"/>
              <w:rPr>
                <w:sz w:val="20"/>
                <w:szCs w:val="20"/>
                <w:color w:val="auto"/>
              </w:rPr>
            </w:pPr>
            <w:r>
              <w:rPr>
                <w:rFonts w:ascii="Arial" w:cs="Arial" w:eastAsia="Arial" w:hAnsi="Arial"/>
                <w:sz w:val="13"/>
                <w:szCs w:val="13"/>
                <w:color w:val="auto"/>
              </w:rPr>
              <w:t>Issuance of shares upon vesting of</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80" w:type="dxa"/>
            <w:vAlign w:val="bottom"/>
          </w:tcPr>
          <w:p>
            <w:pPr>
              <w:spacing w:after="0"/>
              <w:rPr>
                <w:sz w:val="20"/>
                <w:szCs w:val="20"/>
                <w:color w:val="auto"/>
              </w:rPr>
            </w:pPr>
            <w:r>
              <w:rPr>
                <w:rFonts w:ascii="Arial" w:cs="Arial" w:eastAsia="Arial" w:hAnsi="Arial"/>
                <w:sz w:val="13"/>
                <w:szCs w:val="13"/>
                <w:color w:val="auto"/>
              </w:rPr>
              <w:t>RSUs</w:t>
            </w:r>
          </w:p>
        </w:tc>
        <w:tc>
          <w:tcPr>
            <w:tcW w:w="720" w:type="dxa"/>
            <w:vAlign w:val="bottom"/>
          </w:tcPr>
          <w:p>
            <w:pPr>
              <w:jc w:val="right"/>
              <w:spacing w:after="0"/>
              <w:rPr>
                <w:sz w:val="20"/>
                <w:szCs w:val="20"/>
                <w:color w:val="auto"/>
              </w:rPr>
            </w:pPr>
            <w:r>
              <w:rPr>
                <w:rFonts w:ascii="Arial" w:cs="Arial" w:eastAsia="Arial" w:hAnsi="Arial"/>
                <w:sz w:val="13"/>
                <w:szCs w:val="13"/>
                <w:color w:val="auto"/>
              </w:rPr>
              <w:t>1,162,745</w:t>
            </w: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(1)</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spacing w:after="0"/>
              <w:rPr>
                <w:sz w:val="20"/>
                <w:szCs w:val="20"/>
                <w:color w:val="auto"/>
              </w:rPr>
            </w:pPr>
            <w:r>
              <w:rPr>
                <w:rFonts w:ascii="Arial" w:cs="Arial" w:eastAsia="Arial" w:hAnsi="Arial"/>
                <w:sz w:val="13"/>
                <w:szCs w:val="13"/>
                <w:color w:val="auto"/>
              </w:rPr>
              <w:t>Business combination (Note 4)</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1,517</w:t>
            </w:r>
          </w:p>
        </w:tc>
        <w:tc>
          <w:tcPr>
            <w:tcW w:w="12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1,517</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20"/>
                <w:szCs w:val="20"/>
                <w:color w:val="auto"/>
              </w:rPr>
            </w:pPr>
            <w:r>
              <w:rPr>
                <w:rFonts w:ascii="Arial" w:cs="Arial" w:eastAsia="Arial" w:hAnsi="Arial"/>
                <w:sz w:val="13"/>
                <w:szCs w:val="13"/>
                <w:color w:val="auto"/>
              </w:rPr>
              <w:t>Repurchase of ordinary shares</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5,000</w:t>
            </w:r>
          </w:p>
        </w:tc>
        <w:tc>
          <w:tcPr>
            <w:tcW w:w="1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(37)</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(37)</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spacing w:after="0"/>
              <w:rPr>
                <w:sz w:val="20"/>
                <w:szCs w:val="20"/>
                <w:color w:val="auto"/>
              </w:rPr>
            </w:pPr>
            <w:r>
              <w:rPr>
                <w:rFonts w:ascii="Arial" w:cs="Arial" w:eastAsia="Arial" w:hAnsi="Arial"/>
                <w:sz w:val="13"/>
                <w:szCs w:val="13"/>
                <w:color w:val="auto"/>
              </w:rPr>
              <w:t>Net loss for the year</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(32,409)</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(32,409)</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(202)</w:t>
            </w:r>
          </w:p>
        </w:tc>
        <w:tc>
          <w:tcPr>
            <w:tcW w:w="8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(32,611)</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(2,547)</w:t>
            </w: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(2,547)</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(2,547)</w:t>
            </w:r>
          </w:p>
        </w:tc>
        <w:tc>
          <w:tcPr>
            <w:tcW w:w="0" w:type="dxa"/>
            <w:vAlign w:val="bottom"/>
          </w:tcPr>
          <w:p>
            <w:pPr>
              <w:spacing w:after="0"/>
              <w:rPr>
                <w:sz w:val="1"/>
                <w:szCs w:val="1"/>
                <w:color w:val="auto"/>
              </w:rPr>
            </w:pPr>
          </w:p>
        </w:tc>
      </w:tr>
      <w:tr>
        <w:trPr>
          <w:trHeight w:val="20"/>
        </w:trPr>
        <w:tc>
          <w:tcPr>
            <w:tcW w:w="208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 as of December 31, 2018</w:t>
            </w: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80" w:type="dxa"/>
            <w:vAlign w:val="bottom"/>
            <w:vMerge w:val="continue"/>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27,986,700</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1,363,860</w:t>
            </w:r>
          </w:p>
        </w:tc>
        <w:tc>
          <w:tcPr>
            <w:tcW w:w="1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(576)</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293,072</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(181,413)</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w:t>
            </w: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(5,867)</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105,325</w:t>
            </w: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1,315</w:t>
            </w:r>
          </w:p>
        </w:tc>
        <w:tc>
          <w:tcPr>
            <w:tcW w:w="120" w:type="dxa"/>
            <w:vAlign w:val="bottom"/>
            <w:shd w:val="clear" w:color="auto" w:fill="CFF0FC"/>
          </w:tcPr>
          <w:p>
            <w:pPr>
              <w:spacing w:after="0"/>
              <w:rPr>
                <w:sz w:val="13"/>
                <w:szCs w:val="13"/>
                <w:color w:val="auto"/>
              </w:rPr>
            </w:pPr>
          </w:p>
        </w:tc>
        <w:tc>
          <w:tcPr>
            <w:tcW w:w="880" w:type="dxa"/>
            <w:vAlign w:val="bottom"/>
            <w:tcBorders>
              <w:right w:val="single" w:sz="8" w:color="CFF0FC"/>
            </w:tcBorders>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106,640</w:t>
            </w: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EQUITY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20" w:type="dxa"/>
            <w:vAlign w:val="bottom"/>
          </w:tcPr>
          <w:p>
            <w:pPr>
              <w:spacing w:after="0"/>
              <w:rPr>
                <w:sz w:val="14"/>
                <w:szCs w:val="14"/>
                <w:color w:val="auto"/>
              </w:rPr>
            </w:pPr>
          </w:p>
        </w:tc>
        <w:tc>
          <w:tcPr>
            <w:tcW w:w="1580" w:type="dxa"/>
            <w:vAlign w:val="bottom"/>
            <w:gridSpan w:val="4"/>
          </w:tcPr>
          <w:p>
            <w:pPr>
              <w:ind w:left="260"/>
              <w:spacing w:after="0"/>
              <w:rPr>
                <w:sz w:val="20"/>
                <w:szCs w:val="20"/>
                <w:color w:val="auto"/>
              </w:rPr>
            </w:pPr>
            <w:r>
              <w:rPr>
                <w:rFonts w:ascii="Arial" w:cs="Arial" w:eastAsia="Arial" w:hAnsi="Arial"/>
                <w:sz w:val="13"/>
                <w:szCs w:val="13"/>
                <w:color w:val="auto"/>
              </w:rPr>
              <w:t>Ordinary shares</w:t>
            </w:r>
          </w:p>
        </w:tc>
        <w:tc>
          <w:tcPr>
            <w:tcW w:w="1540" w:type="dxa"/>
            <w:vAlign w:val="bottom"/>
            <w:gridSpan w:val="4"/>
          </w:tcPr>
          <w:p>
            <w:pPr>
              <w:jc w:val="right"/>
              <w:ind w:right="460"/>
              <w:spacing w:after="0"/>
              <w:rPr>
                <w:sz w:val="20"/>
                <w:szCs w:val="20"/>
                <w:color w:val="auto"/>
              </w:rPr>
            </w:pPr>
            <w:r>
              <w:rPr>
                <w:rFonts w:ascii="Arial" w:cs="Arial" w:eastAsia="Arial" w:hAnsi="Arial"/>
                <w:sz w:val="13"/>
                <w:szCs w:val="13"/>
                <w:color w:val="auto"/>
              </w:rPr>
              <w:t>Treasury shares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Total iClick</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Interactive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Accumulated</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Asia Group</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Number</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Number</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8"/>
              </w:rPr>
              <w:t>Additional</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Limited</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Non-</w:t>
            </w: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of</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of</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paid-in</w:t>
            </w:r>
          </w:p>
        </w:tc>
        <w:tc>
          <w:tcPr>
            <w:tcW w:w="1120" w:type="dxa"/>
            <w:vAlign w:val="bottom"/>
            <w:gridSpan w:val="3"/>
          </w:tcPr>
          <w:p>
            <w:pPr>
              <w:jc w:val="right"/>
              <w:ind w:right="200"/>
              <w:spacing w:after="0"/>
              <w:rPr>
                <w:sz w:val="20"/>
                <w:szCs w:val="20"/>
                <w:color w:val="auto"/>
              </w:rPr>
            </w:pPr>
            <w:r>
              <w:rPr>
                <w:rFonts w:ascii="Arial" w:cs="Arial" w:eastAsia="Arial" w:hAnsi="Arial"/>
                <w:sz w:val="13"/>
                <w:szCs w:val="13"/>
                <w:color w:val="auto"/>
              </w:rPr>
              <w:t>Accumulated</w:t>
            </w:r>
          </w:p>
        </w:tc>
        <w:tc>
          <w:tcPr>
            <w:tcW w:w="560" w:type="dxa"/>
            <w:vAlign w:val="bottom"/>
          </w:tcPr>
          <w:p>
            <w:pPr>
              <w:jc w:val="right"/>
              <w:spacing w:after="0"/>
              <w:rPr>
                <w:sz w:val="20"/>
                <w:szCs w:val="20"/>
                <w:color w:val="auto"/>
              </w:rPr>
            </w:pPr>
            <w:r>
              <w:rPr>
                <w:rFonts w:ascii="Arial" w:cs="Arial" w:eastAsia="Arial" w:hAnsi="Arial"/>
                <w:sz w:val="13"/>
                <w:szCs w:val="13"/>
                <w:color w:val="auto"/>
                <w:w w:val="99"/>
              </w:rPr>
              <w:t>Statutory</w:t>
            </w:r>
          </w:p>
        </w:tc>
        <w:tc>
          <w:tcPr>
            <w:tcW w:w="1140" w:type="dxa"/>
            <w:vAlign w:val="bottom"/>
            <w:gridSpan w:val="3"/>
          </w:tcPr>
          <w:p>
            <w:pPr>
              <w:jc w:val="right"/>
              <w:ind w:right="140"/>
              <w:spacing w:after="0"/>
              <w:rPr>
                <w:sz w:val="20"/>
                <w:szCs w:val="20"/>
                <w:color w:val="auto"/>
              </w:rPr>
            </w:pPr>
            <w:r>
              <w:rPr>
                <w:rFonts w:ascii="Arial" w:cs="Arial" w:eastAsia="Arial" w:hAnsi="Arial"/>
                <w:sz w:val="13"/>
                <w:szCs w:val="13"/>
                <w:color w:val="auto"/>
              </w:rPr>
              <w:t>comprehensive</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color w:val="auto"/>
                <w:w w:val="99"/>
              </w:rPr>
              <w:t>shareholders’</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w w:val="97"/>
              </w:rPr>
              <w:t>controlling</w:t>
            </w: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shareholders’</w:t>
            </w:r>
          </w:p>
        </w:tc>
        <w:tc>
          <w:tcPr>
            <w:tcW w:w="0" w:type="dxa"/>
            <w:vAlign w:val="bottom"/>
          </w:tcPr>
          <w:p>
            <w:pPr>
              <w:spacing w:after="0"/>
              <w:rPr>
                <w:sz w:val="1"/>
                <w:szCs w:val="1"/>
                <w:color w:val="auto"/>
              </w:rPr>
            </w:pPr>
          </w:p>
        </w:tc>
      </w:tr>
      <w:tr>
        <w:trPr>
          <w:trHeight w:val="159"/>
        </w:trPr>
        <w:tc>
          <w:tcPr>
            <w:tcW w:w="212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shares</w:t>
            </w: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Amount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shares</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Amount</w:t>
            </w:r>
          </w:p>
        </w:tc>
        <w:tc>
          <w:tcPr>
            <w:tcW w:w="580" w:type="dxa"/>
            <w:vAlign w:val="bottom"/>
          </w:tcPr>
          <w:p>
            <w:pPr>
              <w:jc w:val="right"/>
              <w:spacing w:after="0"/>
              <w:rPr>
                <w:sz w:val="20"/>
                <w:szCs w:val="20"/>
                <w:color w:val="auto"/>
              </w:rPr>
            </w:pPr>
            <w:r>
              <w:rPr>
                <w:rFonts w:ascii="Arial" w:cs="Arial" w:eastAsia="Arial" w:hAnsi="Arial"/>
                <w:sz w:val="13"/>
                <w:szCs w:val="13"/>
                <w:color w:val="auto"/>
              </w:rPr>
              <w:t>capital</w:t>
            </w:r>
          </w:p>
        </w:tc>
        <w:tc>
          <w:tcPr>
            <w:tcW w:w="20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deficit</w:t>
            </w:r>
          </w:p>
        </w:tc>
        <w:tc>
          <w:tcPr>
            <w:tcW w:w="560" w:type="dxa"/>
            <w:vAlign w:val="bottom"/>
          </w:tcPr>
          <w:p>
            <w:pPr>
              <w:jc w:val="right"/>
              <w:spacing w:after="0"/>
              <w:rPr>
                <w:sz w:val="20"/>
                <w:szCs w:val="20"/>
                <w:color w:val="auto"/>
              </w:rPr>
            </w:pPr>
            <w:r>
              <w:rPr>
                <w:rFonts w:ascii="Arial" w:cs="Arial" w:eastAsia="Arial" w:hAnsi="Arial"/>
                <w:sz w:val="13"/>
                <w:szCs w:val="13"/>
                <w:color w:val="auto"/>
              </w:rPr>
              <w:t>reserves</w:t>
            </w: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losses</w:t>
            </w:r>
          </w:p>
        </w:tc>
        <w:tc>
          <w:tcPr>
            <w:tcW w:w="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equity</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interests</w:t>
            </w: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as of December 31, 2018</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27,986,700</w:t>
            </w: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1,363,860</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(576)</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293,072</w:t>
            </w:r>
          </w:p>
        </w:tc>
        <w:tc>
          <w:tcPr>
            <w:tcW w:w="112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(181,413)</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w:t>
            </w: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(5,867)</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105,325</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1,315</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106,640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20" w:type="dxa"/>
            <w:vAlign w:val="bottom"/>
          </w:tcPr>
          <w:p>
            <w:pPr>
              <w:spacing w:after="0"/>
              <w:rPr>
                <w:sz w:val="20"/>
                <w:szCs w:val="20"/>
                <w:color w:val="auto"/>
              </w:rPr>
            </w:pPr>
            <w:r>
              <w:rPr>
                <w:rFonts w:ascii="Arial" w:cs="Arial" w:eastAsia="Arial" w:hAnsi="Arial"/>
                <w:sz w:val="13"/>
                <w:szCs w:val="13"/>
                <w:color w:val="auto"/>
              </w:rPr>
              <w:t>Reissuance of treasury shares upon</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269,943</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(269,943)</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132</w:t>
            </w:r>
          </w:p>
        </w:tc>
        <w:tc>
          <w:tcPr>
            <w:tcW w:w="2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182</w:t>
            </w: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color w:val="auto"/>
              </w:rPr>
              <w:t>315</w:t>
            </w:r>
          </w:p>
        </w:tc>
        <w:tc>
          <w:tcPr>
            <w:tcW w:w="2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100"/>
              <w:spacing w:after="0"/>
              <w:rPr>
                <w:sz w:val="20"/>
                <w:szCs w:val="20"/>
                <w:color w:val="auto"/>
              </w:rPr>
            </w:pPr>
            <w:r>
              <w:rPr>
                <w:rFonts w:ascii="Arial" w:cs="Arial" w:eastAsia="Arial" w:hAnsi="Arial"/>
                <w:sz w:val="13"/>
                <w:szCs w:val="13"/>
                <w:color w:val="auto"/>
              </w:rPr>
              <w:t>exercise of employee share</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20" w:type="dxa"/>
            <w:vAlign w:val="bottom"/>
          </w:tcPr>
          <w:p>
            <w:pPr>
              <w:ind w:left="100"/>
              <w:spacing w:after="0"/>
              <w:rPr>
                <w:sz w:val="20"/>
                <w:szCs w:val="20"/>
                <w:color w:val="auto"/>
              </w:rPr>
            </w:pPr>
            <w:r>
              <w:rPr>
                <w:rFonts w:ascii="Arial" w:cs="Arial" w:eastAsia="Arial" w:hAnsi="Arial"/>
                <w:sz w:val="13"/>
                <w:szCs w:val="13"/>
                <w:color w:val="auto"/>
              </w:rPr>
              <w:t>options and vesting of RSUs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20" w:type="dxa"/>
            <w:vAlign w:val="bottom"/>
            <w:shd w:val="clear" w:color="auto" w:fill="CFF0FC"/>
          </w:tcPr>
          <w:p>
            <w:pPr>
              <w:spacing w:after="0"/>
              <w:rPr>
                <w:sz w:val="20"/>
                <w:szCs w:val="20"/>
                <w:color w:val="auto"/>
              </w:rPr>
            </w:pPr>
            <w:r>
              <w:rPr>
                <w:rFonts w:ascii="Arial" w:cs="Arial" w:eastAsia="Arial" w:hAnsi="Arial"/>
                <w:sz w:val="13"/>
                <w:szCs w:val="13"/>
                <w:color w:val="auto"/>
              </w:rPr>
              <w:t>Convertible notes transaction</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3,298</w:t>
            </w: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3,298</w:t>
            </w:r>
          </w:p>
        </w:tc>
        <w:tc>
          <w:tcPr>
            <w:tcW w:w="200" w:type="dxa"/>
            <w:vAlign w:val="bottom"/>
            <w:shd w:val="clear" w:color="auto" w:fill="CFF0FC"/>
          </w:tcPr>
          <w:p>
            <w:pPr>
              <w:spacing w:after="0"/>
              <w:rPr>
                <w:sz w:val="13"/>
                <w:szCs w:val="13"/>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expenses in form of share-</w:t>
            </w:r>
          </w:p>
        </w:tc>
        <w:tc>
          <w:tcPr>
            <w:tcW w:w="66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2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3,298</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based awards (Note 21(d))</w:t>
            </w: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3"/>
                <w:szCs w:val="13"/>
                <w:color w:val="auto"/>
                <w:w w:val="96"/>
              </w:rPr>
              <w:t>Share-based compensation expenses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2,115</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2,115</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2,115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20" w:type="dxa"/>
            <w:vAlign w:val="bottom"/>
            <w:shd w:val="clear" w:color="auto" w:fill="CFF0FC"/>
          </w:tcPr>
          <w:p>
            <w:pPr>
              <w:spacing w:after="0"/>
              <w:rPr>
                <w:sz w:val="20"/>
                <w:szCs w:val="20"/>
                <w:color w:val="auto"/>
              </w:rPr>
            </w:pPr>
            <w:r>
              <w:rPr>
                <w:rFonts w:ascii="Arial" w:cs="Arial" w:eastAsia="Arial" w:hAnsi="Arial"/>
                <w:sz w:val="13"/>
                <w:szCs w:val="13"/>
                <w:color w:val="auto"/>
              </w:rPr>
              <w:t>Issuance of shares upon vesting of</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23,750</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1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RSUs</w:t>
            </w:r>
          </w:p>
        </w:tc>
        <w:tc>
          <w:tcPr>
            <w:tcW w:w="660" w:type="dxa"/>
            <w:vAlign w:val="bottom"/>
            <w:vMerge w:val="continue"/>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7"/>
                <w:szCs w:val="7"/>
                <w:color w:val="auto"/>
              </w:rPr>
            </w:pPr>
          </w:p>
        </w:tc>
        <w:tc>
          <w:tcPr>
            <w:tcW w:w="620" w:type="dxa"/>
            <w:vAlign w:val="bottom"/>
            <w:vMerge w:val="continue"/>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540" w:type="dxa"/>
            <w:vAlign w:val="bottom"/>
            <w:vMerge w:val="continue"/>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580" w:type="dxa"/>
            <w:vAlign w:val="bottom"/>
            <w:vMerge w:val="continue"/>
            <w:shd w:val="clear" w:color="auto" w:fill="CFF0FC"/>
          </w:tcPr>
          <w:p>
            <w:pPr>
              <w:spacing w:after="0"/>
              <w:rPr>
                <w:sz w:val="7"/>
                <w:szCs w:val="7"/>
                <w:color w:val="auto"/>
              </w:rPr>
            </w:pPr>
          </w:p>
        </w:tc>
        <w:tc>
          <w:tcPr>
            <w:tcW w:w="920" w:type="dxa"/>
            <w:vAlign w:val="bottom"/>
            <w:gridSpan w:val="2"/>
            <w:vMerge w:val="continue"/>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0" w:type="dxa"/>
            <w:vAlign w:val="bottom"/>
            <w:gridSpan w:val="2"/>
            <w:vMerge w:val="continue"/>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60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20" w:type="dxa"/>
            <w:vAlign w:val="bottom"/>
            <w:gridSpan w:val="2"/>
            <w:vMerge w:val="continue"/>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120" w:type="dxa"/>
            <w:vAlign w:val="bottom"/>
            <w:vMerge w:val="continue"/>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2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60" w:type="dxa"/>
            <w:vAlign w:val="bottom"/>
            <w:vMerge w:val="continue"/>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3"/>
                <w:szCs w:val="13"/>
                <w:color w:val="auto"/>
              </w:rPr>
              <w:t>Business combinations (Note 4)</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11,815</w:t>
            </w: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11,815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20" w:type="dxa"/>
            <w:vAlign w:val="bottom"/>
            <w:shd w:val="clear" w:color="auto" w:fill="CFF0FC"/>
          </w:tcPr>
          <w:p>
            <w:pPr>
              <w:spacing w:after="0"/>
              <w:rPr>
                <w:sz w:val="20"/>
                <w:szCs w:val="20"/>
                <w:color w:val="auto"/>
              </w:rPr>
            </w:pPr>
            <w:r>
              <w:rPr>
                <w:rFonts w:ascii="Arial" w:cs="Arial" w:eastAsia="Arial" w:hAnsi="Arial"/>
                <w:sz w:val="13"/>
                <w:szCs w:val="13"/>
                <w:color w:val="auto"/>
              </w:rPr>
              <w:t>Contribution from non-controlling</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1,023</w:t>
            </w: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1,023</w:t>
            </w:r>
          </w:p>
        </w:tc>
        <w:tc>
          <w:tcPr>
            <w:tcW w:w="200" w:type="dxa"/>
            <w:vAlign w:val="bottom"/>
            <w:shd w:val="clear" w:color="auto" w:fill="CFF0FC"/>
          </w:tcPr>
          <w:p>
            <w:pPr>
              <w:spacing w:after="0"/>
              <w:rPr>
                <w:sz w:val="13"/>
                <w:szCs w:val="13"/>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1,882</w:t>
            </w:r>
          </w:p>
        </w:tc>
        <w:tc>
          <w:tcPr>
            <w:tcW w:w="12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2,905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1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interests</w:t>
            </w:r>
          </w:p>
        </w:tc>
        <w:tc>
          <w:tcPr>
            <w:tcW w:w="660" w:type="dxa"/>
            <w:vAlign w:val="bottom"/>
            <w:vMerge w:val="continue"/>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7"/>
                <w:szCs w:val="7"/>
                <w:color w:val="auto"/>
              </w:rPr>
            </w:pPr>
          </w:p>
        </w:tc>
        <w:tc>
          <w:tcPr>
            <w:tcW w:w="620" w:type="dxa"/>
            <w:vAlign w:val="bottom"/>
            <w:vMerge w:val="continue"/>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540" w:type="dxa"/>
            <w:vAlign w:val="bottom"/>
            <w:vMerge w:val="continue"/>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580" w:type="dxa"/>
            <w:vAlign w:val="bottom"/>
            <w:vMerge w:val="continue"/>
            <w:shd w:val="clear" w:color="auto" w:fill="CFF0FC"/>
          </w:tcPr>
          <w:p>
            <w:pPr>
              <w:spacing w:after="0"/>
              <w:rPr>
                <w:sz w:val="7"/>
                <w:szCs w:val="7"/>
                <w:color w:val="auto"/>
              </w:rPr>
            </w:pPr>
          </w:p>
        </w:tc>
        <w:tc>
          <w:tcPr>
            <w:tcW w:w="920" w:type="dxa"/>
            <w:vAlign w:val="bottom"/>
            <w:gridSpan w:val="2"/>
            <w:vMerge w:val="continue"/>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0" w:type="dxa"/>
            <w:vAlign w:val="bottom"/>
            <w:gridSpan w:val="2"/>
            <w:vMerge w:val="continue"/>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60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20" w:type="dxa"/>
            <w:vAlign w:val="bottom"/>
            <w:gridSpan w:val="2"/>
            <w:vMerge w:val="continue"/>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120" w:type="dxa"/>
            <w:vAlign w:val="bottom"/>
            <w:vMerge w:val="continue"/>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2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60" w:type="dxa"/>
            <w:vAlign w:val="bottom"/>
            <w:vMerge w:val="continue"/>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3"/>
                <w:szCs w:val="13"/>
                <w:color w:val="auto"/>
              </w:rPr>
              <w:t>Capital injection in a subsidiary</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1,223</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1,223</w:t>
            </w:r>
          </w:p>
        </w:tc>
        <w:tc>
          <w:tcPr>
            <w:tcW w:w="2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(1,223)</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spacing w:after="0"/>
              <w:rPr>
                <w:sz w:val="20"/>
                <w:szCs w:val="20"/>
                <w:color w:val="auto"/>
              </w:rPr>
            </w:pPr>
            <w:r>
              <w:rPr>
                <w:rFonts w:ascii="Arial" w:cs="Arial" w:eastAsia="Arial" w:hAnsi="Arial"/>
                <w:sz w:val="13"/>
                <w:szCs w:val="13"/>
                <w:color w:val="auto"/>
              </w:rPr>
              <w:t>Repurchase of ordinary shares</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650,956</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(4,414)</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(4,414)</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(4,414)</w:t>
            </w:r>
          </w:p>
        </w:tc>
        <w:tc>
          <w:tcPr>
            <w:tcW w:w="0" w:type="dxa"/>
            <w:vAlign w:val="bottom"/>
          </w:tcPr>
          <w:p>
            <w:pPr>
              <w:spacing w:after="0"/>
              <w:rPr>
                <w:sz w:val="1"/>
                <w:szCs w:val="1"/>
                <w:color w:val="auto"/>
              </w:rPr>
            </w:pPr>
          </w:p>
        </w:tc>
      </w:tr>
      <w:tr>
        <w:trPr>
          <w:trHeight w:val="151"/>
        </w:trPr>
        <w:tc>
          <w:tcPr>
            <w:tcW w:w="2120" w:type="dxa"/>
            <w:vAlign w:val="bottom"/>
          </w:tcPr>
          <w:p>
            <w:pPr>
              <w:spacing w:after="0"/>
              <w:rPr>
                <w:sz w:val="20"/>
                <w:szCs w:val="20"/>
                <w:color w:val="auto"/>
              </w:rPr>
            </w:pPr>
            <w:r>
              <w:rPr>
                <w:rFonts w:ascii="Arial" w:cs="Arial" w:eastAsia="Arial" w:hAnsi="Arial"/>
                <w:sz w:val="13"/>
                <w:szCs w:val="13"/>
                <w:color w:val="auto"/>
              </w:rPr>
              <w:t>Issuance of ordinary shares upon</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410,242</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4,431</w:t>
            </w: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color w:val="auto"/>
              </w:rPr>
              <w:t>4,431</w:t>
            </w:r>
          </w:p>
        </w:tc>
        <w:tc>
          <w:tcPr>
            <w:tcW w:w="2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4,431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120" w:type="dxa"/>
            <w:vAlign w:val="bottom"/>
            <w:vMerge w:val="restart"/>
          </w:tcPr>
          <w:p>
            <w:pPr>
              <w:ind w:left="100"/>
              <w:spacing w:after="0"/>
              <w:rPr>
                <w:sz w:val="20"/>
                <w:szCs w:val="20"/>
                <w:color w:val="auto"/>
              </w:rPr>
            </w:pPr>
            <w:r>
              <w:rPr>
                <w:rFonts w:ascii="Arial" w:cs="Arial" w:eastAsia="Arial" w:hAnsi="Arial"/>
                <w:sz w:val="13"/>
                <w:szCs w:val="13"/>
                <w:color w:val="auto"/>
              </w:rPr>
              <w:t>conversion of convertible notes</w:t>
            </w: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1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spacing w:after="0"/>
              <w:rPr>
                <w:sz w:val="20"/>
                <w:szCs w:val="20"/>
                <w:color w:val="auto"/>
              </w:rPr>
            </w:pPr>
            <w:r>
              <w:rPr>
                <w:rFonts w:ascii="Arial" w:cs="Arial" w:eastAsia="Arial" w:hAnsi="Arial"/>
                <w:sz w:val="13"/>
                <w:szCs w:val="13"/>
                <w:color w:val="auto"/>
              </w:rPr>
              <w:t>Net loss for the year</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(9,603)</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(9,603)</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(1,246)</w:t>
            </w: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(10,849)</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(1,612)</w:t>
            </w: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(1,612)</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(88)</w:t>
            </w:r>
          </w:p>
        </w:tc>
        <w:tc>
          <w:tcPr>
            <w:tcW w:w="880" w:type="dxa"/>
            <w:vAlign w:val="bottom"/>
            <w:gridSpan w:val="3"/>
          </w:tcPr>
          <w:p>
            <w:pPr>
              <w:jc w:val="right"/>
              <w:ind w:right="20"/>
              <w:spacing w:after="0"/>
              <w:rPr>
                <w:sz w:val="20"/>
                <w:szCs w:val="20"/>
                <w:color w:val="auto"/>
              </w:rPr>
            </w:pPr>
            <w:r>
              <w:rPr>
                <w:rFonts w:ascii="Arial" w:cs="Arial" w:eastAsia="Arial" w:hAnsi="Arial"/>
                <w:sz w:val="13"/>
                <w:szCs w:val="13"/>
                <w:color w:val="auto"/>
              </w:rPr>
              <w:t>(1,700)</w:t>
            </w:r>
          </w:p>
        </w:tc>
        <w:tc>
          <w:tcPr>
            <w:tcW w:w="0" w:type="dxa"/>
            <w:vAlign w:val="bottom"/>
          </w:tcPr>
          <w:p>
            <w:pPr>
              <w:spacing w:after="0"/>
              <w:rPr>
                <w:sz w:val="1"/>
                <w:szCs w:val="1"/>
                <w:color w:val="auto"/>
              </w:rPr>
            </w:pPr>
          </w:p>
        </w:tc>
      </w:tr>
      <w:tr>
        <w:trPr>
          <w:trHeight w:val="155"/>
        </w:trPr>
        <w:tc>
          <w:tcPr>
            <w:tcW w:w="2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Balance as of December 31, 2019</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8"/>
              </w:rPr>
              <w:t>28,690,635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1,744,873</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(4,858)</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305,344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(191,016)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81</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(7,479)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102,101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12,455</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114,556</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EQUITY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ectPr>
          <w:pgSz w:w="11900" w:h="16838" w:orient="portrait"/>
          <w:cols w:equalWidth="0" w:num="1">
            <w:col w:w="11220"/>
          </w:cols>
          <w:pgMar w:left="320" w:top="35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as of December 31, 2019</w:t>
      </w:r>
    </w:p>
    <w:p>
      <w:pPr>
        <w:spacing w:after="0" w:line="25" w:lineRule="exact"/>
        <w:rPr>
          <w:sz w:val="20"/>
          <w:szCs w:val="20"/>
          <w:color w:val="auto"/>
        </w:rPr>
      </w:pPr>
    </w:p>
    <w:p>
      <w:pPr>
        <w:ind w:right="80"/>
        <w:spacing w:after="0" w:line="239" w:lineRule="auto"/>
        <w:rPr>
          <w:sz w:val="20"/>
          <w:szCs w:val="20"/>
          <w:color w:val="auto"/>
        </w:rPr>
      </w:pPr>
      <w:r>
        <w:rPr>
          <w:rFonts w:ascii="Arial" w:cs="Arial" w:eastAsia="Arial" w:hAnsi="Arial"/>
          <w:sz w:val="13"/>
          <w:szCs w:val="13"/>
          <w:color w:val="auto"/>
        </w:rPr>
        <w:t>Cumulative effect of adoption of new accounting</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standard (Note 2(j))</w:t>
      </w:r>
    </w:p>
    <w:p>
      <w:pPr>
        <w:spacing w:after="0" w:line="11" w:lineRule="exact"/>
        <w:rPr>
          <w:sz w:val="20"/>
          <w:szCs w:val="20"/>
          <w:color w:val="auto"/>
        </w:rPr>
      </w:pPr>
    </w:p>
    <w:p>
      <w:pPr>
        <w:ind w:right="220"/>
        <w:spacing w:after="0" w:line="239" w:lineRule="auto"/>
        <w:rPr>
          <w:sz w:val="20"/>
          <w:szCs w:val="20"/>
          <w:color w:val="auto"/>
        </w:rPr>
      </w:pPr>
      <w:r>
        <w:rPr>
          <w:rFonts w:ascii="Arial" w:cs="Arial" w:eastAsia="Arial" w:hAnsi="Arial"/>
          <w:sz w:val="13"/>
          <w:szCs w:val="13"/>
          <w:color w:val="auto"/>
        </w:rPr>
        <w:t>Reissuance of treasury shares upon exercise of</w:t>
      </w:r>
    </w:p>
    <w:p>
      <w:pPr>
        <w:spacing w:after="0" w:line="1" w:lineRule="exact"/>
        <w:rPr>
          <w:sz w:val="20"/>
          <w:szCs w:val="20"/>
          <w:color w:val="auto"/>
        </w:rPr>
      </w:pPr>
    </w:p>
    <w:p>
      <w:pPr>
        <w:ind w:right="80" w:firstLine="101"/>
        <w:spacing w:after="0" w:line="247" w:lineRule="auto"/>
        <w:rPr>
          <w:sz w:val="20"/>
          <w:szCs w:val="20"/>
          <w:color w:val="auto"/>
        </w:rPr>
      </w:pPr>
      <w:r>
        <w:rPr>
          <w:rFonts w:ascii="Arial" w:cs="Arial" w:eastAsia="Arial" w:hAnsi="Arial"/>
          <w:sz w:val="13"/>
          <w:szCs w:val="13"/>
          <w:color w:val="auto"/>
        </w:rPr>
        <w:t>employee share options and vesting of RSUs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Share-based compensation expense</w:t>
      </w:r>
    </w:p>
    <w:p>
      <w:pPr>
        <w:spacing w:after="0" w:line="13" w:lineRule="exact"/>
        <w:rPr>
          <w:sz w:val="20"/>
          <w:szCs w:val="20"/>
          <w:color w:val="auto"/>
        </w:rPr>
      </w:pPr>
    </w:p>
    <w:p>
      <w:pPr>
        <w:ind w:right="260"/>
        <w:spacing w:after="0" w:line="249" w:lineRule="auto"/>
        <w:rPr>
          <w:sz w:val="20"/>
          <w:szCs w:val="20"/>
          <w:color w:val="auto"/>
        </w:rPr>
      </w:pPr>
      <w:r>
        <w:rPr>
          <w:rFonts w:ascii="Arial" w:cs="Arial" w:eastAsia="Arial" w:hAnsi="Arial"/>
          <w:sz w:val="13"/>
          <w:szCs w:val="13"/>
          <w:color w:val="auto"/>
        </w:rPr>
        <w:t>Issuance of shares upon vesting of RSUs</w:t>
      </w:r>
    </w:p>
    <w:p>
      <w:pPr>
        <w:spacing w:after="0"/>
        <w:rPr>
          <w:sz w:val="20"/>
          <w:szCs w:val="20"/>
          <w:color w:val="auto"/>
        </w:rPr>
      </w:pPr>
      <w:r>
        <w:rPr>
          <w:rFonts w:ascii="Arial" w:cs="Arial" w:eastAsia="Arial" w:hAnsi="Arial"/>
          <w:sz w:val="13"/>
          <w:szCs w:val="13"/>
          <w:color w:val="auto"/>
        </w:rPr>
        <w:t>Repurchase of ordinary shares</w:t>
      </w:r>
    </w:p>
    <w:p>
      <w:pPr>
        <w:spacing w:after="0" w:line="13"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Issuance of ordinary shares but held as treasury shares</w:t>
      </w:r>
    </w:p>
    <w:p>
      <w:pPr>
        <w:ind w:right="60"/>
        <w:spacing w:after="0" w:line="249" w:lineRule="auto"/>
        <w:rPr>
          <w:sz w:val="20"/>
          <w:szCs w:val="20"/>
          <w:color w:val="auto"/>
        </w:rPr>
      </w:pPr>
      <w:r>
        <w:rPr>
          <w:rFonts w:ascii="Arial" w:cs="Arial" w:eastAsia="Arial" w:hAnsi="Arial"/>
          <w:sz w:val="13"/>
          <w:szCs w:val="13"/>
          <w:color w:val="auto"/>
        </w:rPr>
        <w:t>Capital injection in a subsidiary (Note 1(a)(iii))</w:t>
      </w:r>
    </w:p>
    <w:p>
      <w:pPr>
        <w:ind w:right="180"/>
        <w:spacing w:after="0" w:line="239" w:lineRule="auto"/>
        <w:rPr>
          <w:sz w:val="20"/>
          <w:szCs w:val="20"/>
          <w:color w:val="auto"/>
        </w:rPr>
      </w:pPr>
      <w:r>
        <w:rPr>
          <w:rFonts w:ascii="Arial" w:cs="Arial" w:eastAsia="Arial" w:hAnsi="Arial"/>
          <w:sz w:val="13"/>
          <w:szCs w:val="13"/>
          <w:color w:val="auto"/>
        </w:rPr>
        <w:t>Purchase of interests in subsidiaries from non-</w:t>
      </w:r>
    </w:p>
    <w:p>
      <w:pPr>
        <w:spacing w:after="0" w:line="1" w:lineRule="exact"/>
        <w:rPr>
          <w:sz w:val="20"/>
          <w:szCs w:val="20"/>
          <w:color w:val="auto"/>
        </w:rPr>
      </w:pPr>
    </w:p>
    <w:p>
      <w:pPr>
        <w:ind w:right="60" w:firstLine="101"/>
        <w:spacing w:after="0" w:line="247" w:lineRule="auto"/>
        <w:rPr>
          <w:sz w:val="20"/>
          <w:szCs w:val="20"/>
          <w:color w:val="auto"/>
        </w:rPr>
      </w:pPr>
      <w:r>
        <w:rPr>
          <w:rFonts w:ascii="Arial" w:cs="Arial" w:eastAsia="Arial" w:hAnsi="Arial"/>
          <w:sz w:val="13"/>
          <w:szCs w:val="13"/>
          <w:color w:val="auto"/>
        </w:rPr>
        <w:t>controlling interests (Notes 1(a)(iii), (iv))</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Issuance of ordinary shares upon share offerings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(Note 1(c))</w:t>
      </w:r>
    </w:p>
    <w:p>
      <w:pPr>
        <w:spacing w:after="0" w:line="11"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Issuance of ordinary shares pursuant to convertible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notes conversion (Note 21(d))</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Business combinations (Note 4(d)(e))</w:t>
      </w:r>
    </w:p>
    <w:p>
      <w:pPr>
        <w:spacing w:after="0" w:line="24" w:lineRule="exact"/>
        <w:rPr>
          <w:sz w:val="20"/>
          <w:szCs w:val="20"/>
          <w:color w:val="auto"/>
        </w:rPr>
      </w:pPr>
    </w:p>
    <w:p>
      <w:pPr>
        <w:ind w:right="260"/>
        <w:spacing w:after="0" w:line="239" w:lineRule="auto"/>
        <w:rPr>
          <w:sz w:val="20"/>
          <w:szCs w:val="20"/>
          <w:color w:val="auto"/>
        </w:rPr>
      </w:pPr>
      <w:r>
        <w:rPr>
          <w:rFonts w:ascii="Arial" w:cs="Arial" w:eastAsia="Arial" w:hAnsi="Arial"/>
          <w:sz w:val="13"/>
          <w:szCs w:val="13"/>
          <w:color w:val="auto"/>
        </w:rPr>
        <w:t>Contribution from non-controlling interests</w:t>
      </w:r>
    </w:p>
    <w:p>
      <w:pPr>
        <w:spacing w:after="0" w:line="1" w:lineRule="exact"/>
        <w:rPr>
          <w:sz w:val="20"/>
          <w:szCs w:val="20"/>
          <w:color w:val="auto"/>
        </w:rPr>
      </w:pPr>
    </w:p>
    <w:p>
      <w:pPr>
        <w:ind w:right="580" w:firstLine="101"/>
        <w:spacing w:after="0" w:line="259" w:lineRule="auto"/>
        <w:rPr>
          <w:sz w:val="20"/>
          <w:szCs w:val="20"/>
          <w:color w:val="auto"/>
        </w:rPr>
      </w:pPr>
      <w:r>
        <w:rPr>
          <w:rFonts w:ascii="Arial" w:cs="Arial" w:eastAsia="Arial" w:hAnsi="Arial"/>
          <w:sz w:val="13"/>
          <w:szCs w:val="13"/>
          <w:color w:val="auto"/>
        </w:rPr>
        <w:t>(Note 1(a)(ii)) Net loss for the year Foreign currency translation</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as of December 31, 2020</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640" w:type="dxa"/>
            <w:vAlign w:val="bottom"/>
            <w:gridSpan w:val="4"/>
          </w:tcPr>
          <w:p>
            <w:pPr>
              <w:ind w:left="300"/>
              <w:spacing w:after="0"/>
              <w:rPr>
                <w:sz w:val="20"/>
                <w:szCs w:val="20"/>
                <w:color w:val="auto"/>
              </w:rPr>
            </w:pPr>
            <w:r>
              <w:rPr>
                <w:rFonts w:ascii="Arial" w:cs="Arial" w:eastAsia="Arial" w:hAnsi="Arial"/>
                <w:sz w:val="13"/>
                <w:szCs w:val="13"/>
                <w:color w:val="auto"/>
              </w:rPr>
              <w:t>Ordinary shares</w:t>
            </w:r>
          </w:p>
        </w:tc>
        <w:tc>
          <w:tcPr>
            <w:tcW w:w="1480" w:type="dxa"/>
            <w:vAlign w:val="bottom"/>
            <w:gridSpan w:val="4"/>
          </w:tcPr>
          <w:p>
            <w:pPr>
              <w:jc w:val="right"/>
              <w:ind w:right="360"/>
              <w:spacing w:after="0"/>
              <w:rPr>
                <w:sz w:val="20"/>
                <w:szCs w:val="20"/>
                <w:color w:val="auto"/>
              </w:rPr>
            </w:pPr>
            <w:r>
              <w:rPr>
                <w:rFonts w:ascii="Arial" w:cs="Arial" w:eastAsia="Arial" w:hAnsi="Arial"/>
                <w:sz w:val="13"/>
                <w:szCs w:val="13"/>
                <w:color w:val="auto"/>
              </w:rPr>
              <w:t>Treasury shares</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Total iClick</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Interactive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Accumulated</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Asia Group</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Number</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Number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Additional</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other</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Limited</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Non-</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of</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of</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paid-in</w:t>
            </w:r>
          </w:p>
        </w:tc>
        <w:tc>
          <w:tcPr>
            <w:tcW w:w="920" w:type="dxa"/>
            <w:vAlign w:val="bottom"/>
            <w:gridSpan w:val="2"/>
          </w:tcPr>
          <w:p>
            <w:pPr>
              <w:jc w:val="right"/>
              <w:ind w:right="161"/>
              <w:spacing w:after="0"/>
              <w:rPr>
                <w:sz w:val="20"/>
                <w:szCs w:val="20"/>
                <w:color w:val="auto"/>
              </w:rPr>
            </w:pPr>
            <w:r>
              <w:rPr>
                <w:rFonts w:ascii="Arial" w:cs="Arial" w:eastAsia="Arial" w:hAnsi="Arial"/>
                <w:sz w:val="13"/>
                <w:szCs w:val="13"/>
                <w:color w:val="auto"/>
                <w:w w:val="93"/>
              </w:rPr>
              <w:t>Accumulated</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w w:val="99"/>
              </w:rPr>
              <w:t>Statutory</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w w:val="90"/>
              </w:rPr>
              <w:t>comprehensive</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w w:val="89"/>
              </w:rPr>
              <w:t>shareholders’</w:t>
            </w:r>
          </w:p>
        </w:tc>
        <w:tc>
          <w:tcPr>
            <w:tcW w:w="880" w:type="dxa"/>
            <w:vAlign w:val="bottom"/>
            <w:gridSpan w:val="3"/>
          </w:tcPr>
          <w:p>
            <w:pPr>
              <w:jc w:val="right"/>
              <w:ind w:right="200"/>
              <w:spacing w:after="0"/>
              <w:rPr>
                <w:sz w:val="20"/>
                <w:szCs w:val="20"/>
                <w:color w:val="auto"/>
              </w:rPr>
            </w:pPr>
            <w:r>
              <w:rPr>
                <w:rFonts w:ascii="Arial" w:cs="Arial" w:eastAsia="Arial" w:hAnsi="Arial"/>
                <w:sz w:val="13"/>
                <w:szCs w:val="13"/>
                <w:color w:val="auto"/>
              </w:rPr>
              <w:t>controlling</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2"/>
        </w:trPr>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Shares</w:t>
            </w:r>
          </w:p>
        </w:tc>
        <w:tc>
          <w:tcPr>
            <w:tcW w:w="740" w:type="dxa"/>
            <w:vAlign w:val="bottom"/>
            <w:gridSpan w:val="2"/>
          </w:tcPr>
          <w:p>
            <w:pPr>
              <w:ind w:left="100"/>
              <w:spacing w:after="0"/>
              <w:rPr>
                <w:sz w:val="20"/>
                <w:szCs w:val="20"/>
                <w:color w:val="auto"/>
              </w:rPr>
            </w:pPr>
            <w:r>
              <w:rPr>
                <w:rFonts w:ascii="Arial" w:cs="Arial" w:eastAsia="Arial" w:hAnsi="Arial"/>
                <w:sz w:val="13"/>
                <w:szCs w:val="13"/>
                <w:color w:val="auto"/>
              </w:rPr>
              <w:t>Amount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shares</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Amount</w:t>
            </w:r>
          </w:p>
        </w:tc>
        <w:tc>
          <w:tcPr>
            <w:tcW w:w="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capital</w:t>
            </w:r>
          </w:p>
        </w:tc>
        <w:tc>
          <w:tcPr>
            <w:tcW w:w="920" w:type="dxa"/>
            <w:vAlign w:val="bottom"/>
            <w:gridSpan w:val="2"/>
          </w:tcPr>
          <w:p>
            <w:pPr>
              <w:jc w:val="right"/>
              <w:ind w:right="181"/>
              <w:spacing w:after="0"/>
              <w:rPr>
                <w:sz w:val="20"/>
                <w:szCs w:val="20"/>
                <w:color w:val="auto"/>
              </w:rPr>
            </w:pPr>
            <w:r>
              <w:rPr>
                <w:rFonts w:ascii="Arial" w:cs="Arial" w:eastAsia="Arial" w:hAnsi="Arial"/>
                <w:sz w:val="13"/>
                <w:szCs w:val="13"/>
                <w:color w:val="auto"/>
              </w:rPr>
              <w:t>deficit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reserves</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losses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equity</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interests</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72"/>
        </w:trPr>
        <w:tc>
          <w:tcPr>
            <w:tcW w:w="720" w:type="dxa"/>
            <w:vAlign w:val="bottom"/>
          </w:tcPr>
          <w:p>
            <w:pPr>
              <w:jc w:val="right"/>
              <w:spacing w:after="0"/>
              <w:rPr>
                <w:sz w:val="20"/>
                <w:szCs w:val="20"/>
                <w:color w:val="auto"/>
              </w:rPr>
            </w:pPr>
            <w:r>
              <w:rPr>
                <w:rFonts w:ascii="Arial" w:cs="Arial" w:eastAsia="Arial" w:hAnsi="Arial"/>
                <w:sz w:val="13"/>
                <w:szCs w:val="13"/>
                <w:color w:val="auto"/>
              </w:rPr>
              <w:t>28,690,635</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1,744,873</w:t>
            </w:r>
          </w:p>
        </w:tc>
        <w:tc>
          <w:tcPr>
            <w:tcW w:w="2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(4,858)</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305,344</w:t>
            </w:r>
          </w:p>
        </w:tc>
        <w:tc>
          <w:tcPr>
            <w:tcW w:w="200" w:type="dxa"/>
            <w:vAlign w:val="bottom"/>
          </w:tcPr>
          <w:p>
            <w:pPr>
              <w:spacing w:after="0"/>
              <w:rPr>
                <w:sz w:val="14"/>
                <w:szCs w:val="14"/>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3"/>
                <w:szCs w:val="13"/>
                <w:color w:val="auto"/>
              </w:rPr>
              <w:t>(191,016)</w:t>
            </w:r>
          </w:p>
        </w:tc>
        <w:tc>
          <w:tcPr>
            <w:tcW w:w="560" w:type="dxa"/>
            <w:vAlign w:val="bottom"/>
          </w:tcPr>
          <w:p>
            <w:pPr>
              <w:jc w:val="right"/>
              <w:spacing w:after="0"/>
              <w:rPr>
                <w:sz w:val="20"/>
                <w:szCs w:val="20"/>
                <w:color w:val="auto"/>
              </w:rPr>
            </w:pPr>
            <w:r>
              <w:rPr>
                <w:rFonts w:ascii="Arial" w:cs="Arial" w:eastAsia="Arial" w:hAnsi="Arial"/>
                <w:sz w:val="13"/>
                <w:szCs w:val="13"/>
                <w:color w:val="auto"/>
              </w:rPr>
              <w:t>81</w:t>
            </w:r>
          </w:p>
        </w:tc>
        <w:tc>
          <w:tcPr>
            <w:tcW w:w="1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(7,479)</w:t>
            </w:r>
          </w:p>
        </w:tc>
        <w:tc>
          <w:tcPr>
            <w:tcW w:w="720" w:type="dxa"/>
            <w:vAlign w:val="bottom"/>
          </w:tcPr>
          <w:p>
            <w:pPr>
              <w:jc w:val="right"/>
              <w:spacing w:after="0"/>
              <w:rPr>
                <w:sz w:val="20"/>
                <w:szCs w:val="20"/>
                <w:color w:val="auto"/>
              </w:rPr>
            </w:pPr>
            <w:r>
              <w:rPr>
                <w:rFonts w:ascii="Arial" w:cs="Arial" w:eastAsia="Arial" w:hAnsi="Arial"/>
                <w:sz w:val="13"/>
                <w:szCs w:val="13"/>
                <w:color w:val="auto"/>
              </w:rPr>
              <w:t>102,101</w:t>
            </w: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12,455</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114,556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3"/>
                <w:szCs w:val="13"/>
                <w:color w:val="auto"/>
              </w:rPr>
              <w:t>(3,972)</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(3,972)</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(3,972)</w:t>
            </w:r>
          </w:p>
        </w:tc>
        <w:tc>
          <w:tcPr>
            <w:tcW w:w="0" w:type="dxa"/>
            <w:vAlign w:val="bottom"/>
          </w:tcPr>
          <w:p>
            <w:pPr>
              <w:spacing w:after="0"/>
              <w:rPr>
                <w:sz w:val="1"/>
                <w:szCs w:val="1"/>
                <w:color w:val="auto"/>
              </w:rPr>
            </w:pPr>
          </w:p>
        </w:tc>
      </w:tr>
      <w:tr>
        <w:trPr>
          <w:trHeight w:val="526"/>
        </w:trPr>
        <w:tc>
          <w:tcPr>
            <w:tcW w:w="720" w:type="dxa"/>
            <w:vAlign w:val="bottom"/>
          </w:tcPr>
          <w:p>
            <w:pPr>
              <w:jc w:val="right"/>
              <w:spacing w:after="0"/>
              <w:rPr>
                <w:sz w:val="20"/>
                <w:szCs w:val="20"/>
                <w:color w:val="auto"/>
              </w:rPr>
            </w:pPr>
            <w:r>
              <w:rPr>
                <w:rFonts w:ascii="Arial" w:cs="Arial" w:eastAsia="Arial" w:hAnsi="Arial"/>
                <w:sz w:val="13"/>
                <w:szCs w:val="13"/>
                <w:color w:val="auto"/>
              </w:rPr>
              <w:t>546,340</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(546,340)</w:t>
            </w:r>
          </w:p>
        </w:tc>
        <w:tc>
          <w:tcPr>
            <w:tcW w:w="560" w:type="dxa"/>
            <w:vAlign w:val="bottom"/>
          </w:tcPr>
          <w:p>
            <w:pPr>
              <w:jc w:val="right"/>
              <w:spacing w:after="0"/>
              <w:rPr>
                <w:sz w:val="20"/>
                <w:szCs w:val="20"/>
                <w:color w:val="auto"/>
              </w:rPr>
            </w:pPr>
            <w:r>
              <w:rPr>
                <w:rFonts w:ascii="Arial" w:cs="Arial" w:eastAsia="Arial" w:hAnsi="Arial"/>
                <w:sz w:val="13"/>
                <w:szCs w:val="13"/>
                <w:color w:val="auto"/>
              </w:rPr>
              <w:t>194</w:t>
            </w:r>
          </w:p>
        </w:tc>
        <w:tc>
          <w:tcPr>
            <w:tcW w:w="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1,110</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1,305</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1,305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6,249</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6,249</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6,249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sz w:val="20"/>
                <w:szCs w:val="20"/>
                <w:color w:val="auto"/>
              </w:rPr>
            </w:pPr>
            <w:r>
              <w:rPr>
                <w:rFonts w:ascii="Arial" w:cs="Arial" w:eastAsia="Arial" w:hAnsi="Arial"/>
                <w:sz w:val="13"/>
                <w:szCs w:val="13"/>
                <w:color w:val="auto"/>
              </w:rPr>
              <w:t>171,932</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397,839</w:t>
            </w:r>
          </w:p>
        </w:tc>
        <w:tc>
          <w:tcPr>
            <w:tcW w:w="20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(5,677)</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(5,677)</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(5,677)</w:t>
            </w: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800,000</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1,716</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1,716</w:t>
            </w:r>
          </w:p>
        </w:tc>
        <w:tc>
          <w:tcPr>
            <w:tcW w:w="12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(1,716)</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0" w:type="dxa"/>
            <w:vAlign w:val="bottom"/>
          </w:tcPr>
          <w:p>
            <w:pPr>
              <w:jc w:val="right"/>
              <w:spacing w:after="0"/>
              <w:rPr>
                <w:sz w:val="20"/>
                <w:szCs w:val="20"/>
                <w:color w:val="auto"/>
              </w:rPr>
            </w:pPr>
            <w:r>
              <w:rPr>
                <w:rFonts w:ascii="Arial" w:cs="Arial" w:eastAsia="Arial" w:hAnsi="Arial"/>
                <w:sz w:val="13"/>
                <w:szCs w:val="13"/>
                <w:color w:val="auto"/>
              </w:rPr>
              <w:t>313,011</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2,795</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2,795</w:t>
            </w:r>
          </w:p>
        </w:tc>
        <w:tc>
          <w:tcPr>
            <w:tcW w:w="12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(9,798)</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(7,003)</w:t>
            </w:r>
          </w:p>
        </w:tc>
        <w:tc>
          <w:tcPr>
            <w:tcW w:w="0" w:type="dxa"/>
            <w:vAlign w:val="bottom"/>
          </w:tcPr>
          <w:p>
            <w:pPr>
              <w:spacing w:after="0"/>
              <w:rPr>
                <w:sz w:val="1"/>
                <w:szCs w:val="1"/>
                <w:color w:val="auto"/>
              </w:rPr>
            </w:pPr>
          </w:p>
        </w:tc>
      </w:tr>
      <w:tr>
        <w:trPr>
          <w:trHeight w:val="540"/>
        </w:trPr>
        <w:tc>
          <w:tcPr>
            <w:tcW w:w="720" w:type="dxa"/>
            <w:vAlign w:val="bottom"/>
          </w:tcPr>
          <w:p>
            <w:pPr>
              <w:jc w:val="right"/>
              <w:spacing w:after="0"/>
              <w:rPr>
                <w:sz w:val="20"/>
                <w:szCs w:val="20"/>
                <w:color w:val="auto"/>
              </w:rPr>
            </w:pPr>
            <w:r>
              <w:rPr>
                <w:rFonts w:ascii="Arial" w:cs="Arial" w:eastAsia="Arial" w:hAnsi="Arial"/>
                <w:sz w:val="13"/>
                <w:szCs w:val="13"/>
                <w:color w:val="auto"/>
              </w:rPr>
              <w:t>5,546,007</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71,912</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71,917</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71,917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0" w:type="dxa"/>
            <w:vAlign w:val="bottom"/>
          </w:tcPr>
          <w:p>
            <w:pPr>
              <w:jc w:val="right"/>
              <w:spacing w:after="0"/>
              <w:rPr>
                <w:sz w:val="20"/>
                <w:szCs w:val="20"/>
                <w:color w:val="auto"/>
              </w:rPr>
            </w:pPr>
            <w:r>
              <w:rPr>
                <w:rFonts w:ascii="Arial" w:cs="Arial" w:eastAsia="Arial" w:hAnsi="Arial"/>
                <w:sz w:val="13"/>
                <w:szCs w:val="13"/>
                <w:color w:val="auto"/>
              </w:rPr>
              <w:t>6,776,204</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68,888</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68,895</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68,895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20" w:type="dxa"/>
            <w:vAlign w:val="bottom"/>
          </w:tcPr>
          <w:p>
            <w:pPr>
              <w:jc w:val="right"/>
              <w:spacing w:after="0"/>
              <w:rPr>
                <w:sz w:val="20"/>
                <w:szCs w:val="20"/>
                <w:color w:val="auto"/>
              </w:rPr>
            </w:pPr>
            <w:r>
              <w:rPr>
                <w:rFonts w:ascii="Arial" w:cs="Arial" w:eastAsia="Arial" w:hAnsi="Arial"/>
                <w:sz w:val="13"/>
                <w:szCs w:val="13"/>
                <w:color w:val="auto"/>
              </w:rPr>
              <w:t>3,772,694</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34,386</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34,390</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7,987</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42,377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73</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3"/>
                <w:szCs w:val="13"/>
                <w:color w:val="auto"/>
              </w:rPr>
              <w:t>(12,618)</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(12,618)</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(2,288)</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(14,906)</w:t>
            </w:r>
          </w:p>
        </w:tc>
        <w:tc>
          <w:tcPr>
            <w:tcW w:w="0" w:type="dxa"/>
            <w:vAlign w:val="bottom"/>
          </w:tcPr>
          <w:p>
            <w:pPr>
              <w:spacing w:after="0"/>
              <w:rPr>
                <w:sz w:val="1"/>
                <w:szCs w:val="1"/>
                <w:color w:val="auto"/>
              </w:rPr>
            </w:pPr>
          </w:p>
        </w:tc>
      </w:tr>
      <w:tr>
        <w:trPr>
          <w:trHeight w:val="159"/>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5,001</w:t>
            </w:r>
          </w:p>
        </w:tc>
        <w:tc>
          <w:tcPr>
            <w:tcW w:w="2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w:t>
            </w:r>
          </w:p>
        </w:tc>
        <w:tc>
          <w:tcPr>
            <w:tcW w:w="20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20" w:type="dxa"/>
            <w:vAlign w:val="bottom"/>
          </w:tcPr>
          <w:p>
            <w:pPr>
              <w:jc w:val="right"/>
              <w:spacing w:after="0"/>
              <w:rPr>
                <w:sz w:val="20"/>
                <w:szCs w:val="20"/>
                <w:color w:val="auto"/>
              </w:rPr>
            </w:pPr>
            <w:r>
              <w:rPr>
                <w:rFonts w:ascii="Arial" w:cs="Arial" w:eastAsia="Arial" w:hAnsi="Arial"/>
                <w:sz w:val="13"/>
                <w:szCs w:val="13"/>
                <w:color w:val="auto"/>
              </w:rPr>
              <w:t>45,816,823</w:t>
            </w: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2,396,372</w:t>
            </w:r>
          </w:p>
        </w:tc>
        <w:tc>
          <w:tcPr>
            <w:tcW w:w="20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(10,341)</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492,400</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(207,606</w:t>
            </w:r>
          </w:p>
        </w:tc>
        <w:tc>
          <w:tcPr>
            <w:tcW w:w="200" w:type="dxa"/>
            <w:vAlign w:val="bottom"/>
          </w:tcPr>
          <w:p>
            <w:pPr>
              <w:jc w:val="right"/>
              <w:ind w:right="121"/>
              <w:spacing w:after="0"/>
              <w:rPr>
                <w:sz w:val="20"/>
                <w:szCs w:val="20"/>
                <w:color w:val="auto"/>
              </w:rPr>
            </w:pPr>
            <w:r>
              <w:rPr>
                <w:rFonts w:ascii="Arial" w:cs="Arial" w:eastAsia="Arial" w:hAnsi="Arial"/>
                <w:sz w:val="8"/>
                <w:szCs w:val="8"/>
                <w:color w:val="auto"/>
                <w:w w:val="73"/>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81</w:t>
            </w:r>
          </w:p>
        </w:tc>
        <w:tc>
          <w:tcPr>
            <w:tcW w:w="18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(2,478)</w:t>
            </w:r>
          </w:p>
        </w:tc>
        <w:tc>
          <w:tcPr>
            <w:tcW w:w="720" w:type="dxa"/>
            <w:vAlign w:val="bottom"/>
          </w:tcPr>
          <w:p>
            <w:pPr>
              <w:jc w:val="right"/>
              <w:spacing w:after="0"/>
              <w:rPr>
                <w:sz w:val="20"/>
                <w:szCs w:val="20"/>
                <w:color w:val="auto"/>
              </w:rPr>
            </w:pPr>
            <w:r>
              <w:rPr>
                <w:rFonts w:ascii="Arial" w:cs="Arial" w:eastAsia="Arial" w:hAnsi="Arial"/>
                <w:sz w:val="13"/>
                <w:szCs w:val="13"/>
                <w:color w:val="auto"/>
              </w:rPr>
              <w:t>272,102</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6,986</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279,088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-3282315</wp:posOffset>
            </wp:positionV>
            <wp:extent cx="7132320" cy="1028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-2887980</wp:posOffset>
            </wp:positionV>
            <wp:extent cx="7132320" cy="3860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-2399665</wp:posOffset>
            </wp:positionV>
            <wp:extent cx="7132320" cy="1974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-2099945</wp:posOffset>
            </wp:positionV>
            <wp:extent cx="7132320" cy="1974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-1704975</wp:posOffset>
            </wp:positionV>
            <wp:extent cx="7132320" cy="3854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32320" cy="38544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-1028065</wp:posOffset>
            </wp:positionV>
            <wp:extent cx="7132320" cy="291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-633730</wp:posOffset>
            </wp:positionV>
            <wp:extent cx="7132320" cy="291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-239395</wp:posOffset>
            </wp:positionV>
            <wp:extent cx="7132320" cy="1028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140"/>
            <w:col w:w="8960"/>
          </w:cols>
          <w:pgMar w:left="320" w:top="35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tcPr>
          <w:p>
            <w:pPr>
              <w:spacing w:after="0"/>
              <w:rPr>
                <w:sz w:val="15"/>
                <w:szCs w:val="15"/>
                <w:color w:val="auto"/>
              </w:rPr>
            </w:pPr>
          </w:p>
        </w:tc>
        <w:tc>
          <w:tcPr>
            <w:tcW w:w="3640" w:type="dxa"/>
            <w:vAlign w:val="bottom"/>
            <w:gridSpan w:val="5"/>
          </w:tcPr>
          <w:p>
            <w:pPr>
              <w:ind w:left="1180"/>
              <w:spacing w:after="0"/>
              <w:rPr>
                <w:sz w:val="20"/>
                <w:szCs w:val="20"/>
                <w:color w:val="auto"/>
              </w:rPr>
            </w:pPr>
            <w:r>
              <w:rPr>
                <w:rFonts w:ascii="Arial" w:cs="Arial" w:eastAsia="Arial" w:hAnsi="Arial"/>
                <w:sz w:val="15"/>
                <w:szCs w:val="15"/>
                <w:color w:val="auto"/>
              </w:rPr>
              <w:t>For the years ended December 31,</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2018</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2019</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1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5"/>
                <w:szCs w:val="15"/>
                <w:color w:val="auto"/>
              </w:rPr>
              <w:t>Net loss</w:t>
            </w:r>
          </w:p>
        </w:tc>
        <w:tc>
          <w:tcPr>
            <w:tcW w:w="1560" w:type="dxa"/>
            <w:vAlign w:val="bottom"/>
            <w:gridSpan w:val="2"/>
          </w:tcPr>
          <w:p>
            <w:pPr>
              <w:jc w:val="right"/>
              <w:ind w:right="162"/>
              <w:spacing w:after="0"/>
              <w:rPr>
                <w:sz w:val="20"/>
                <w:szCs w:val="20"/>
                <w:color w:val="auto"/>
              </w:rPr>
            </w:pPr>
            <w:r>
              <w:rPr>
                <w:rFonts w:ascii="Arial" w:cs="Arial" w:eastAsia="Arial" w:hAnsi="Arial"/>
                <w:sz w:val="15"/>
                <w:szCs w:val="15"/>
                <w:color w:val="auto"/>
              </w:rPr>
              <w:t>(32,611)</w:t>
            </w:r>
          </w:p>
        </w:tc>
        <w:tc>
          <w:tcPr>
            <w:tcW w:w="1580" w:type="dxa"/>
            <w:vAlign w:val="bottom"/>
            <w:gridSpan w:val="2"/>
          </w:tcPr>
          <w:p>
            <w:pPr>
              <w:jc w:val="right"/>
              <w:ind w:right="162"/>
              <w:spacing w:after="0"/>
              <w:rPr>
                <w:sz w:val="20"/>
                <w:szCs w:val="20"/>
                <w:color w:val="auto"/>
              </w:rPr>
            </w:pPr>
            <w:r>
              <w:rPr>
                <w:rFonts w:ascii="Arial" w:cs="Arial" w:eastAsia="Arial" w:hAnsi="Arial"/>
                <w:sz w:val="15"/>
                <w:szCs w:val="15"/>
                <w:color w:val="auto"/>
              </w:rPr>
              <w:t>(10,849)</w:t>
            </w:r>
          </w:p>
        </w:tc>
        <w:tc>
          <w:tcPr>
            <w:tcW w:w="5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(14,906)</w:t>
            </w:r>
          </w:p>
        </w:tc>
        <w:tc>
          <w:tcPr>
            <w:tcW w:w="0" w:type="dxa"/>
            <w:vAlign w:val="bottom"/>
          </w:tcPr>
          <w:p>
            <w:pPr>
              <w:spacing w:after="0"/>
              <w:rPr>
                <w:sz w:val="1"/>
                <w:szCs w:val="1"/>
                <w:color w:val="auto"/>
              </w:rPr>
            </w:pPr>
          </w:p>
        </w:tc>
      </w:tr>
      <w:tr>
        <w:trPr>
          <w:trHeight w:val="175"/>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140"/>
              <w:spacing w:after="0"/>
              <w:rPr>
                <w:sz w:val="20"/>
                <w:szCs w:val="20"/>
                <w:color w:val="auto"/>
              </w:rPr>
            </w:pPr>
            <w:r>
              <w:rPr>
                <w:rFonts w:ascii="Arial" w:cs="Arial" w:eastAsia="Arial" w:hAnsi="Arial"/>
                <w:sz w:val="15"/>
                <w:szCs w:val="15"/>
                <w:color w:val="auto"/>
              </w:rPr>
              <w:t>Depreciation of property and equipment</w:t>
            </w:r>
          </w:p>
        </w:tc>
        <w:tc>
          <w:tcPr>
            <w:tcW w:w="1320" w:type="dxa"/>
            <w:vAlign w:val="bottom"/>
          </w:tcPr>
          <w:p>
            <w:pPr>
              <w:jc w:val="right"/>
              <w:spacing w:after="0"/>
              <w:rPr>
                <w:sz w:val="20"/>
                <w:szCs w:val="20"/>
                <w:color w:val="auto"/>
              </w:rPr>
            </w:pPr>
            <w:r>
              <w:rPr>
                <w:rFonts w:ascii="Arial" w:cs="Arial" w:eastAsia="Arial" w:hAnsi="Arial"/>
                <w:sz w:val="15"/>
                <w:szCs w:val="15"/>
                <w:color w:val="auto"/>
              </w:rPr>
              <w:t>1,059</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334</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Amortization of intangible assets</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4,167</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4,774</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140"/>
              <w:spacing w:after="0"/>
              <w:rPr>
                <w:sz w:val="20"/>
                <w:szCs w:val="20"/>
                <w:color w:val="auto"/>
              </w:rPr>
            </w:pPr>
            <w:r>
              <w:rPr>
                <w:rFonts w:ascii="Arial" w:cs="Arial" w:eastAsia="Arial" w:hAnsi="Arial"/>
                <w:sz w:val="15"/>
                <w:szCs w:val="15"/>
                <w:color w:val="auto"/>
              </w:rPr>
              <w:t>Amortization of right-of-use assets</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1,548</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Losses/(gains) on disposals of property and equipment</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w:t>
            </w:r>
          </w:p>
        </w:tc>
        <w:tc>
          <w:tcPr>
            <w:tcW w:w="2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(2)</w:t>
            </w:r>
          </w:p>
        </w:tc>
        <w:tc>
          <w:tcPr>
            <w:tcW w:w="5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tcPr>
          <w:p>
            <w:pPr>
              <w:ind w:left="140"/>
              <w:spacing w:after="0"/>
              <w:rPr>
                <w:sz w:val="20"/>
                <w:szCs w:val="20"/>
                <w:color w:val="auto"/>
              </w:rPr>
            </w:pPr>
            <w:r>
              <w:rPr>
                <w:rFonts w:ascii="Arial" w:cs="Arial" w:eastAsia="Arial" w:hAnsi="Arial"/>
                <w:sz w:val="15"/>
                <w:szCs w:val="15"/>
                <w:color w:val="auto"/>
              </w:rPr>
              <w:t>Gain on bargain purchase</w:t>
            </w:r>
          </w:p>
        </w:tc>
        <w:tc>
          <w:tcPr>
            <w:tcW w:w="1560" w:type="dxa"/>
            <w:vAlign w:val="bottom"/>
            <w:gridSpan w:val="2"/>
          </w:tcPr>
          <w:p>
            <w:pPr>
              <w:jc w:val="right"/>
              <w:ind w:right="162"/>
              <w:spacing w:after="0"/>
              <w:rPr>
                <w:sz w:val="20"/>
                <w:szCs w:val="20"/>
                <w:color w:val="auto"/>
              </w:rPr>
            </w:pPr>
            <w:r>
              <w:rPr>
                <w:rFonts w:ascii="Arial" w:cs="Arial" w:eastAsia="Arial" w:hAnsi="Arial"/>
                <w:sz w:val="15"/>
                <w:szCs w:val="15"/>
                <w:color w:val="auto"/>
              </w:rPr>
              <w:t>(285)</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Allowance for credit losses</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1,995</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tcPr>
          <w:p>
            <w:pPr>
              <w:ind w:left="140"/>
              <w:spacing w:after="0"/>
              <w:rPr>
                <w:sz w:val="20"/>
                <w:szCs w:val="20"/>
                <w:color w:val="auto"/>
              </w:rPr>
            </w:pPr>
            <w:r>
              <w:rPr>
                <w:rFonts w:ascii="Arial" w:cs="Arial" w:eastAsia="Arial" w:hAnsi="Arial"/>
                <w:sz w:val="15"/>
                <w:szCs w:val="15"/>
                <w:color w:val="auto"/>
              </w:rPr>
              <w:t>Accounts receivable written off</w:t>
            </w:r>
          </w:p>
        </w:tc>
        <w:tc>
          <w:tcPr>
            <w:tcW w:w="1560" w:type="dxa"/>
            <w:vAlign w:val="bottom"/>
            <w:gridSpan w:val="2"/>
          </w:tcPr>
          <w:p>
            <w:pPr>
              <w:jc w:val="right"/>
              <w:ind w:right="162"/>
              <w:spacing w:after="0"/>
              <w:rPr>
                <w:sz w:val="20"/>
                <w:szCs w:val="20"/>
                <w:color w:val="auto"/>
              </w:rPr>
            </w:pPr>
            <w:r>
              <w:rPr>
                <w:rFonts w:ascii="Arial" w:cs="Arial" w:eastAsia="Arial" w:hAnsi="Arial"/>
                <w:sz w:val="15"/>
                <w:szCs w:val="15"/>
                <w:color w:val="auto"/>
              </w:rPr>
              <w:t>(15)</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(2,621)</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Convertible notes transaction expenses in form of non-employee warrant award</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3,298</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tcPr>
          <w:p>
            <w:pPr>
              <w:ind w:left="140"/>
              <w:spacing w:after="0"/>
              <w:rPr>
                <w:sz w:val="20"/>
                <w:szCs w:val="20"/>
                <w:color w:val="auto"/>
              </w:rPr>
            </w:pPr>
            <w:r>
              <w:rPr>
                <w:rFonts w:ascii="Arial" w:cs="Arial" w:eastAsia="Arial" w:hAnsi="Arial"/>
                <w:sz w:val="15"/>
                <w:szCs w:val="15"/>
                <w:color w:val="auto"/>
              </w:rPr>
              <w:t>Other convertible notes transaction expenses</w:t>
            </w:r>
          </w:p>
        </w:tc>
        <w:tc>
          <w:tcPr>
            <w:tcW w:w="1320" w:type="dxa"/>
            <w:vAlign w:val="bottom"/>
          </w:tcPr>
          <w:p>
            <w:pPr>
              <w:jc w:val="right"/>
              <w:spacing w:after="0"/>
              <w:rPr>
                <w:sz w:val="20"/>
                <w:szCs w:val="20"/>
                <w:color w:val="auto"/>
              </w:rPr>
            </w:pPr>
            <w:r>
              <w:rPr>
                <w:rFonts w:ascii="Arial" w:cs="Arial" w:eastAsia="Arial" w:hAnsi="Arial"/>
                <w:sz w:val="15"/>
                <w:szCs w:val="15"/>
                <w:color w:val="auto"/>
              </w:rPr>
              <w:t>2,190</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1,258</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Other share-based compensation expenses</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19,679</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2,115</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140"/>
              <w:spacing w:after="0"/>
              <w:rPr>
                <w:sz w:val="20"/>
                <w:szCs w:val="20"/>
                <w:color w:val="auto"/>
              </w:rPr>
            </w:pPr>
            <w:r>
              <w:rPr>
                <w:rFonts w:ascii="Arial" w:cs="Arial" w:eastAsia="Arial" w:hAnsi="Arial"/>
                <w:sz w:val="15"/>
                <w:szCs w:val="15"/>
                <w:color w:val="auto"/>
              </w:rPr>
              <w:t>Fair value losses on derivative liabilities</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11,466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Fair value losses/(gains) on convertible notes</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4,837</w:t>
            </w:r>
          </w:p>
        </w:tc>
        <w:tc>
          <w:tcPr>
            <w:tcW w:w="2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(133)</w:t>
            </w:r>
          </w:p>
        </w:tc>
        <w:tc>
          <w:tcPr>
            <w:tcW w:w="5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140"/>
              <w:spacing w:after="0"/>
              <w:rPr>
                <w:sz w:val="20"/>
                <w:szCs w:val="20"/>
                <w:color w:val="auto"/>
              </w:rPr>
            </w:pPr>
            <w:r>
              <w:rPr>
                <w:rFonts w:ascii="Arial" w:cs="Arial" w:eastAsia="Arial" w:hAnsi="Arial"/>
                <w:sz w:val="15"/>
                <w:szCs w:val="15"/>
                <w:color w:val="auto"/>
              </w:rPr>
              <w:t>Fair value (gains) on short-term investments</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580" w:type="dxa"/>
            <w:vAlign w:val="bottom"/>
            <w:gridSpan w:val="2"/>
          </w:tcPr>
          <w:p>
            <w:pPr>
              <w:jc w:val="right"/>
              <w:ind w:right="162"/>
              <w:spacing w:after="0"/>
              <w:rPr>
                <w:sz w:val="20"/>
                <w:szCs w:val="20"/>
                <w:color w:val="auto"/>
              </w:rPr>
            </w:pPr>
            <w:r>
              <w:rPr>
                <w:rFonts w:ascii="Arial" w:cs="Arial" w:eastAsia="Arial" w:hAnsi="Arial"/>
                <w:sz w:val="15"/>
                <w:szCs w:val="15"/>
                <w:color w:val="auto"/>
              </w:rPr>
              <w:t>(107)</w:t>
            </w:r>
          </w:p>
        </w:tc>
        <w:tc>
          <w:tcPr>
            <w:tcW w:w="5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(1,404)</w:t>
            </w:r>
          </w:p>
        </w:tc>
        <w:tc>
          <w:tcPr>
            <w:tcW w:w="0" w:type="dxa"/>
            <w:vAlign w:val="bottom"/>
          </w:tcPr>
          <w:p>
            <w:pPr>
              <w:spacing w:after="0"/>
              <w:rPr>
                <w:sz w:val="1"/>
                <w:szCs w:val="1"/>
                <w:color w:val="auto"/>
              </w:rPr>
            </w:pPr>
          </w:p>
        </w:tc>
      </w:tr>
      <w:tr>
        <w:trPr>
          <w:trHeight w:val="175"/>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Deferred tax</w:t>
            </w:r>
          </w:p>
        </w:tc>
        <w:tc>
          <w:tcPr>
            <w:tcW w:w="156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(906)</w:t>
            </w:r>
          </w:p>
        </w:tc>
        <w:tc>
          <w:tcPr>
            <w:tcW w:w="158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(1,083)</w:t>
            </w:r>
          </w:p>
        </w:tc>
        <w:tc>
          <w:tcPr>
            <w:tcW w:w="5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(1,151)</w:t>
            </w:r>
          </w:p>
        </w:tc>
        <w:tc>
          <w:tcPr>
            <w:tcW w:w="0" w:type="dxa"/>
            <w:vAlign w:val="bottom"/>
          </w:tcPr>
          <w:p>
            <w:pPr>
              <w:spacing w:after="0"/>
              <w:rPr>
                <w:sz w:val="1"/>
                <w:szCs w:val="1"/>
                <w:color w:val="auto"/>
              </w:rPr>
            </w:pPr>
          </w:p>
        </w:tc>
      </w:tr>
      <w:tr>
        <w:trPr>
          <w:trHeight w:val="176"/>
        </w:trPr>
        <w:tc>
          <w:tcPr>
            <w:tcW w:w="6660" w:type="dxa"/>
            <w:vAlign w:val="bottom"/>
          </w:tcPr>
          <w:p>
            <w:pPr>
              <w:ind w:left="140"/>
              <w:spacing w:after="0"/>
              <w:rPr>
                <w:sz w:val="20"/>
                <w:szCs w:val="20"/>
                <w:color w:val="auto"/>
              </w:rPr>
            </w:pPr>
            <w:r>
              <w:rPr>
                <w:rFonts w:ascii="Arial" w:cs="Arial" w:eastAsia="Arial" w:hAnsi="Arial"/>
                <w:sz w:val="15"/>
                <w:szCs w:val="15"/>
                <w:color w:val="auto"/>
              </w:rPr>
              <w:t>Share of losses from an equity investee</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408</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Changes in operating assets and liabilities, net</w:t>
            </w:r>
          </w:p>
        </w:tc>
        <w:tc>
          <w:tcPr>
            <w:tcW w:w="1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tcPr>
          <w:p>
            <w:pPr>
              <w:ind w:left="140"/>
              <w:spacing w:after="0"/>
              <w:rPr>
                <w:sz w:val="20"/>
                <w:szCs w:val="20"/>
                <w:color w:val="auto"/>
              </w:rPr>
            </w:pPr>
            <w:r>
              <w:rPr>
                <w:rFonts w:ascii="Arial" w:cs="Arial" w:eastAsia="Arial" w:hAnsi="Arial"/>
                <w:sz w:val="15"/>
                <w:szCs w:val="15"/>
                <w:color w:val="auto"/>
              </w:rPr>
              <w:t>Accounts receivable</w:t>
            </w:r>
          </w:p>
        </w:tc>
        <w:tc>
          <w:tcPr>
            <w:tcW w:w="1560" w:type="dxa"/>
            <w:vAlign w:val="bottom"/>
            <w:gridSpan w:val="2"/>
          </w:tcPr>
          <w:p>
            <w:pPr>
              <w:jc w:val="right"/>
              <w:ind w:right="162"/>
              <w:spacing w:after="0"/>
              <w:rPr>
                <w:sz w:val="20"/>
                <w:szCs w:val="20"/>
                <w:color w:val="auto"/>
              </w:rPr>
            </w:pPr>
            <w:r>
              <w:rPr>
                <w:rFonts w:ascii="Arial" w:cs="Arial" w:eastAsia="Arial" w:hAnsi="Arial"/>
                <w:sz w:val="15"/>
                <w:szCs w:val="15"/>
                <w:color w:val="auto"/>
              </w:rPr>
              <w:t>(25,499)</w:t>
            </w:r>
          </w:p>
        </w:tc>
        <w:tc>
          <w:tcPr>
            <w:tcW w:w="1580" w:type="dxa"/>
            <w:vAlign w:val="bottom"/>
            <w:gridSpan w:val="2"/>
          </w:tcPr>
          <w:p>
            <w:pPr>
              <w:jc w:val="right"/>
              <w:ind w:right="162"/>
              <w:spacing w:after="0"/>
              <w:rPr>
                <w:sz w:val="20"/>
                <w:szCs w:val="20"/>
                <w:color w:val="auto"/>
              </w:rPr>
            </w:pPr>
            <w:r>
              <w:rPr>
                <w:rFonts w:ascii="Arial" w:cs="Arial" w:eastAsia="Arial" w:hAnsi="Arial"/>
                <w:sz w:val="15"/>
                <w:szCs w:val="15"/>
                <w:color w:val="auto"/>
              </w:rPr>
              <w:t>(85,382)</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Prepayments and other assets</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4,380</w:t>
            </w:r>
          </w:p>
        </w:tc>
        <w:tc>
          <w:tcPr>
            <w:tcW w:w="2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(5,490)</w:t>
            </w:r>
          </w:p>
        </w:tc>
        <w:tc>
          <w:tcPr>
            <w:tcW w:w="5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(1,426)</w:t>
            </w:r>
          </w:p>
        </w:tc>
        <w:tc>
          <w:tcPr>
            <w:tcW w:w="0" w:type="dxa"/>
            <w:vAlign w:val="bottom"/>
          </w:tcPr>
          <w:p>
            <w:pPr>
              <w:spacing w:after="0"/>
              <w:rPr>
                <w:sz w:val="1"/>
                <w:szCs w:val="1"/>
                <w:color w:val="auto"/>
              </w:rPr>
            </w:pPr>
          </w:p>
        </w:tc>
      </w:tr>
      <w:tr>
        <w:trPr>
          <w:trHeight w:val="175"/>
        </w:trPr>
        <w:tc>
          <w:tcPr>
            <w:tcW w:w="6660" w:type="dxa"/>
            <w:vAlign w:val="bottom"/>
          </w:tcPr>
          <w:p>
            <w:pPr>
              <w:ind w:left="140"/>
              <w:spacing w:after="0"/>
              <w:rPr>
                <w:sz w:val="20"/>
                <w:szCs w:val="20"/>
                <w:color w:val="auto"/>
              </w:rPr>
            </w:pPr>
            <w:r>
              <w:rPr>
                <w:rFonts w:ascii="Arial" w:cs="Arial" w:eastAsia="Arial" w:hAnsi="Arial"/>
                <w:sz w:val="15"/>
                <w:szCs w:val="15"/>
                <w:color w:val="auto"/>
              </w:rPr>
              <w:t>Rebates receivables</w:t>
            </w:r>
          </w:p>
        </w:tc>
        <w:tc>
          <w:tcPr>
            <w:tcW w:w="1560" w:type="dxa"/>
            <w:vAlign w:val="bottom"/>
            <w:gridSpan w:val="2"/>
          </w:tcPr>
          <w:p>
            <w:pPr>
              <w:jc w:val="right"/>
              <w:ind w:right="162"/>
              <w:spacing w:after="0"/>
              <w:rPr>
                <w:sz w:val="20"/>
                <w:szCs w:val="20"/>
                <w:color w:val="auto"/>
              </w:rPr>
            </w:pPr>
            <w:r>
              <w:rPr>
                <w:rFonts w:ascii="Arial" w:cs="Arial" w:eastAsia="Arial" w:hAnsi="Arial"/>
                <w:sz w:val="15"/>
                <w:szCs w:val="15"/>
                <w:color w:val="auto"/>
              </w:rPr>
              <w:t>(2,734)</w:t>
            </w:r>
          </w:p>
        </w:tc>
        <w:tc>
          <w:tcPr>
            <w:tcW w:w="1580" w:type="dxa"/>
            <w:vAlign w:val="bottom"/>
            <w:gridSpan w:val="2"/>
          </w:tcPr>
          <w:p>
            <w:pPr>
              <w:jc w:val="right"/>
              <w:ind w:right="162"/>
              <w:spacing w:after="0"/>
              <w:rPr>
                <w:sz w:val="20"/>
                <w:szCs w:val="20"/>
                <w:color w:val="auto"/>
              </w:rPr>
            </w:pPr>
            <w:r>
              <w:rPr>
                <w:rFonts w:ascii="Arial" w:cs="Arial" w:eastAsia="Arial" w:hAnsi="Arial"/>
                <w:sz w:val="15"/>
                <w:szCs w:val="15"/>
                <w:color w:val="auto"/>
              </w:rPr>
              <w:t>(1,602)</w:t>
            </w:r>
          </w:p>
        </w:tc>
        <w:tc>
          <w:tcPr>
            <w:tcW w:w="5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(4,987)</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Prepaid media costs</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18,534</w:t>
            </w:r>
          </w:p>
        </w:tc>
        <w:tc>
          <w:tcPr>
            <w:tcW w:w="2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(6,735)</w:t>
            </w:r>
          </w:p>
        </w:tc>
        <w:tc>
          <w:tcPr>
            <w:tcW w:w="5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(8,383)</w:t>
            </w:r>
          </w:p>
        </w:tc>
        <w:tc>
          <w:tcPr>
            <w:tcW w:w="0" w:type="dxa"/>
            <w:vAlign w:val="bottom"/>
          </w:tcPr>
          <w:p>
            <w:pPr>
              <w:spacing w:after="0"/>
              <w:rPr>
                <w:sz w:val="1"/>
                <w:szCs w:val="1"/>
                <w:color w:val="auto"/>
              </w:rPr>
            </w:pPr>
          </w:p>
        </w:tc>
      </w:tr>
      <w:tr>
        <w:trPr>
          <w:trHeight w:val="175"/>
        </w:trPr>
        <w:tc>
          <w:tcPr>
            <w:tcW w:w="666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1320" w:type="dxa"/>
            <w:vAlign w:val="bottom"/>
          </w:tcPr>
          <w:p>
            <w:pPr>
              <w:jc w:val="right"/>
              <w:spacing w:after="0"/>
              <w:rPr>
                <w:sz w:val="20"/>
                <w:szCs w:val="20"/>
                <w:color w:val="auto"/>
              </w:rPr>
            </w:pPr>
            <w:r>
              <w:rPr>
                <w:rFonts w:ascii="Arial" w:cs="Arial" w:eastAsia="Arial" w:hAnsi="Arial"/>
                <w:sz w:val="15"/>
                <w:szCs w:val="15"/>
                <w:color w:val="auto"/>
              </w:rPr>
              <w:t>2,693</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61,318</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(23,345)</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Accrued liabilities and other current liabilities</w:t>
            </w:r>
          </w:p>
        </w:tc>
        <w:tc>
          <w:tcPr>
            <w:tcW w:w="156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(5,301)</w:t>
            </w: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3,862</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tcPr>
          <w:p>
            <w:pPr>
              <w:ind w:left="140"/>
              <w:spacing w:after="0"/>
              <w:rPr>
                <w:sz w:val="20"/>
                <w:szCs w:val="20"/>
                <w:color w:val="auto"/>
              </w:rPr>
            </w:pPr>
            <w:r>
              <w:rPr>
                <w:rFonts w:ascii="Arial" w:cs="Arial" w:eastAsia="Arial" w:hAnsi="Arial"/>
                <w:sz w:val="15"/>
                <w:szCs w:val="15"/>
                <w:color w:val="auto"/>
              </w:rPr>
              <w:t>Deferred revenue</w:t>
            </w:r>
          </w:p>
        </w:tc>
        <w:tc>
          <w:tcPr>
            <w:tcW w:w="1560" w:type="dxa"/>
            <w:vAlign w:val="bottom"/>
            <w:gridSpan w:val="2"/>
          </w:tcPr>
          <w:p>
            <w:pPr>
              <w:jc w:val="right"/>
              <w:ind w:right="162"/>
              <w:spacing w:after="0"/>
              <w:rPr>
                <w:sz w:val="20"/>
                <w:szCs w:val="20"/>
                <w:color w:val="auto"/>
              </w:rPr>
            </w:pPr>
            <w:r>
              <w:rPr>
                <w:rFonts w:ascii="Arial" w:cs="Arial" w:eastAsia="Arial" w:hAnsi="Arial"/>
                <w:sz w:val="15"/>
                <w:szCs w:val="15"/>
                <w:color w:val="auto"/>
              </w:rPr>
              <w:t>(5,915)</w:t>
            </w:r>
          </w:p>
        </w:tc>
        <w:tc>
          <w:tcPr>
            <w:tcW w:w="1340" w:type="dxa"/>
            <w:vAlign w:val="bottom"/>
          </w:tcPr>
          <w:p>
            <w:pPr>
              <w:jc w:val="right"/>
              <w:spacing w:after="0"/>
              <w:rPr>
                <w:sz w:val="20"/>
                <w:szCs w:val="20"/>
                <w:color w:val="auto"/>
              </w:rPr>
            </w:pPr>
            <w:r>
              <w:rPr>
                <w:rFonts w:ascii="Arial" w:cs="Arial" w:eastAsia="Arial" w:hAnsi="Arial"/>
                <w:sz w:val="15"/>
                <w:szCs w:val="15"/>
                <w:color w:val="auto"/>
              </w:rPr>
              <w:t>722</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Income tax payable</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1,001</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76"/>
        </w:trPr>
        <w:tc>
          <w:tcPr>
            <w:tcW w:w="6660" w:type="dxa"/>
            <w:vAlign w:val="bottom"/>
          </w:tcPr>
          <w:p>
            <w:pPr>
              <w:ind w:left="140"/>
              <w:spacing w:after="0"/>
              <w:rPr>
                <w:sz w:val="20"/>
                <w:szCs w:val="20"/>
                <w:color w:val="auto"/>
              </w:rPr>
            </w:pPr>
            <w:r>
              <w:rPr>
                <w:rFonts w:ascii="Arial" w:cs="Arial" w:eastAsia="Arial" w:hAnsi="Arial"/>
                <w:sz w:val="15"/>
                <w:szCs w:val="15"/>
                <w:color w:val="auto"/>
              </w:rPr>
              <w:t>Income tax recoverable</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75"/>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Lease liabilities</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(1,389)</w:t>
            </w:r>
          </w:p>
        </w:tc>
        <w:tc>
          <w:tcPr>
            <w:tcW w:w="5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(2,173)</w:t>
            </w:r>
          </w:p>
        </w:tc>
        <w:tc>
          <w:tcPr>
            <w:tcW w:w="0" w:type="dxa"/>
            <w:vAlign w:val="bottom"/>
          </w:tcPr>
          <w:p>
            <w:pPr>
              <w:spacing w:after="0"/>
              <w:rPr>
                <w:sz w:val="1"/>
                <w:szCs w:val="1"/>
                <w:color w:val="auto"/>
              </w:rPr>
            </w:pPr>
          </w:p>
        </w:tc>
      </w:tr>
      <w:tr>
        <w:trPr>
          <w:trHeight w:val="175"/>
        </w:trPr>
        <w:tc>
          <w:tcPr>
            <w:tcW w:w="6660" w:type="dxa"/>
            <w:vAlign w:val="bottom"/>
          </w:tcPr>
          <w:p>
            <w:pPr>
              <w:ind w:left="140"/>
              <w:spacing w:after="0"/>
              <w:rPr>
                <w:sz w:val="20"/>
                <w:szCs w:val="20"/>
                <w:color w:val="auto"/>
              </w:rPr>
            </w:pPr>
            <w:r>
              <w:rPr>
                <w:rFonts w:ascii="Arial" w:cs="Arial" w:eastAsia="Arial" w:hAnsi="Arial"/>
                <w:sz w:val="15"/>
                <w:szCs w:val="15"/>
                <w:color w:val="auto"/>
              </w:rPr>
              <w:t>Amount due from an equity investee</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580" w:type="dxa"/>
            <w:vAlign w:val="bottom"/>
            <w:gridSpan w:val="2"/>
          </w:tcPr>
          <w:p>
            <w:pPr>
              <w:jc w:val="right"/>
              <w:ind w:right="162"/>
              <w:spacing w:after="0"/>
              <w:rPr>
                <w:sz w:val="20"/>
                <w:szCs w:val="20"/>
                <w:color w:val="auto"/>
              </w:rPr>
            </w:pPr>
            <w:r>
              <w:rPr>
                <w:rFonts w:ascii="Arial" w:cs="Arial" w:eastAsia="Arial" w:hAnsi="Arial"/>
                <w:sz w:val="15"/>
                <w:szCs w:val="15"/>
                <w:color w:val="auto"/>
              </w:rPr>
              <w:t>(155)</w:t>
            </w:r>
          </w:p>
        </w:tc>
        <w:tc>
          <w:tcPr>
            <w:tcW w:w="5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0"/>
        </w:trPr>
        <w:tc>
          <w:tcPr>
            <w:tcW w:w="666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cash used in operating activities</w:t>
            </w:r>
          </w:p>
        </w:tc>
        <w:tc>
          <w:tcPr>
            <w:tcW w:w="13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jc w:val="right"/>
              <w:ind w:right="162"/>
              <w:spacing w:after="0"/>
              <w:rPr>
                <w:sz w:val="20"/>
                <w:szCs w:val="20"/>
                <w:color w:val="auto"/>
              </w:rPr>
            </w:pPr>
            <w:r>
              <w:rPr>
                <w:rFonts w:ascii="Arial" w:cs="Arial" w:eastAsia="Arial" w:hAnsi="Arial"/>
                <w:sz w:val="8"/>
                <w:szCs w:val="8"/>
                <w:color w:val="auto"/>
                <w:w w:val="73"/>
              </w:rPr>
              <w:t>)</w:t>
            </w:r>
          </w:p>
        </w:tc>
        <w:tc>
          <w:tcPr>
            <w:tcW w:w="13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jc w:val="right"/>
              <w:ind w:right="162"/>
              <w:spacing w:after="0"/>
              <w:rPr>
                <w:sz w:val="20"/>
                <w:szCs w:val="20"/>
                <w:color w:val="auto"/>
              </w:rPr>
            </w:pPr>
            <w:r>
              <w:rPr>
                <w:rFonts w:ascii="Arial" w:cs="Arial" w:eastAsia="Arial" w:hAnsi="Arial"/>
                <w:sz w:val="8"/>
                <w:szCs w:val="8"/>
                <w:color w:val="auto"/>
                <w:w w:val="73"/>
              </w:rPr>
              <w:t>)</w:t>
            </w: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60" w:type="dxa"/>
            <w:vAlign w:val="bottom"/>
            <w:vMerge w:val="continue"/>
            <w:shd w:val="clear" w:color="auto" w:fill="CFF0FC"/>
          </w:tcPr>
          <w:p>
            <w:pPr>
              <w:spacing w:after="0"/>
              <w:rPr>
                <w:sz w:val="14"/>
                <w:szCs w:val="14"/>
                <w:color w:val="auto"/>
              </w:rPr>
            </w:pP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(15,416</w:t>
            </w:r>
          </w:p>
        </w:tc>
        <w:tc>
          <w:tcPr>
            <w:tcW w:w="240" w:type="dxa"/>
            <w:vAlign w:val="bottom"/>
            <w:vMerge w:val="continue"/>
            <w:shd w:val="clear" w:color="auto" w:fill="CFF0FC"/>
          </w:tcPr>
          <w:p>
            <w:pPr>
              <w:spacing w:after="0"/>
              <w:rPr>
                <w:sz w:val="14"/>
                <w:szCs w:val="14"/>
                <w:color w:val="auto"/>
              </w:rPr>
            </w:pPr>
          </w:p>
        </w:tc>
        <w:tc>
          <w:tcPr>
            <w:tcW w:w="13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(30,294</w:t>
            </w:r>
          </w:p>
        </w:tc>
        <w:tc>
          <w:tcPr>
            <w:tcW w:w="240" w:type="dxa"/>
            <w:vAlign w:val="bottom"/>
            <w:vMerge w:val="continue"/>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(19,633)</w:t>
            </w:r>
          </w:p>
        </w:tc>
        <w:tc>
          <w:tcPr>
            <w:tcW w:w="0" w:type="dxa"/>
            <w:vAlign w:val="bottom"/>
          </w:tcPr>
          <w:p>
            <w:pPr>
              <w:spacing w:after="0"/>
              <w:rPr>
                <w:sz w:val="1"/>
                <w:szCs w:val="1"/>
                <w:color w:val="auto"/>
              </w:rPr>
            </w:pPr>
          </w:p>
        </w:tc>
      </w:tr>
      <w:tr>
        <w:trPr>
          <w:trHeight w:val="169"/>
        </w:trPr>
        <w:tc>
          <w:tcPr>
            <w:tcW w:w="666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1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tcPr>
          <w:p>
            <w:pPr>
              <w:ind w:left="140"/>
              <w:spacing w:after="0"/>
              <w:rPr>
                <w:sz w:val="20"/>
                <w:szCs w:val="20"/>
                <w:color w:val="auto"/>
              </w:rPr>
            </w:pPr>
            <w:r>
              <w:rPr>
                <w:rFonts w:ascii="Arial" w:cs="Arial" w:eastAsia="Arial" w:hAnsi="Arial"/>
                <w:sz w:val="15"/>
                <w:szCs w:val="15"/>
                <w:color w:val="auto"/>
              </w:rPr>
              <w:t>Purchase of property and equipment</w:t>
            </w:r>
          </w:p>
        </w:tc>
        <w:tc>
          <w:tcPr>
            <w:tcW w:w="1560" w:type="dxa"/>
            <w:vAlign w:val="bottom"/>
            <w:gridSpan w:val="2"/>
          </w:tcPr>
          <w:p>
            <w:pPr>
              <w:jc w:val="right"/>
              <w:ind w:right="162"/>
              <w:spacing w:after="0"/>
              <w:rPr>
                <w:sz w:val="20"/>
                <w:szCs w:val="20"/>
                <w:color w:val="auto"/>
              </w:rPr>
            </w:pPr>
            <w:r>
              <w:rPr>
                <w:rFonts w:ascii="Arial" w:cs="Arial" w:eastAsia="Arial" w:hAnsi="Arial"/>
                <w:sz w:val="15"/>
                <w:szCs w:val="15"/>
                <w:color w:val="auto"/>
              </w:rPr>
              <w:t>(249)</w:t>
            </w:r>
          </w:p>
        </w:tc>
        <w:tc>
          <w:tcPr>
            <w:tcW w:w="1580" w:type="dxa"/>
            <w:vAlign w:val="bottom"/>
            <w:gridSpan w:val="2"/>
          </w:tcPr>
          <w:p>
            <w:pPr>
              <w:jc w:val="right"/>
              <w:ind w:right="162"/>
              <w:spacing w:after="0"/>
              <w:rPr>
                <w:sz w:val="20"/>
                <w:szCs w:val="20"/>
                <w:color w:val="auto"/>
              </w:rPr>
            </w:pPr>
            <w:r>
              <w:rPr>
                <w:rFonts w:ascii="Arial" w:cs="Arial" w:eastAsia="Arial" w:hAnsi="Arial"/>
                <w:sz w:val="15"/>
                <w:szCs w:val="15"/>
                <w:color w:val="auto"/>
              </w:rPr>
              <w:t>(474)</w:t>
            </w:r>
          </w:p>
        </w:tc>
        <w:tc>
          <w:tcPr>
            <w:tcW w:w="5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(556)</w:t>
            </w: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Purchase of intangible assets</w:t>
            </w:r>
          </w:p>
        </w:tc>
        <w:tc>
          <w:tcPr>
            <w:tcW w:w="156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(120)</w:t>
            </w:r>
          </w:p>
        </w:tc>
        <w:tc>
          <w:tcPr>
            <w:tcW w:w="158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(232)</w:t>
            </w:r>
          </w:p>
        </w:tc>
        <w:tc>
          <w:tcPr>
            <w:tcW w:w="5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(575)</w:t>
            </w:r>
          </w:p>
        </w:tc>
        <w:tc>
          <w:tcPr>
            <w:tcW w:w="0" w:type="dxa"/>
            <w:vAlign w:val="bottom"/>
          </w:tcPr>
          <w:p>
            <w:pPr>
              <w:spacing w:after="0"/>
              <w:rPr>
                <w:sz w:val="1"/>
                <w:szCs w:val="1"/>
                <w:color w:val="auto"/>
              </w:rPr>
            </w:pPr>
          </w:p>
        </w:tc>
      </w:tr>
      <w:tr>
        <w:trPr>
          <w:trHeight w:val="175"/>
        </w:trPr>
        <w:tc>
          <w:tcPr>
            <w:tcW w:w="6660" w:type="dxa"/>
            <w:vAlign w:val="bottom"/>
          </w:tcPr>
          <w:p>
            <w:pPr>
              <w:ind w:left="140"/>
              <w:spacing w:after="0"/>
              <w:rPr>
                <w:sz w:val="20"/>
                <w:szCs w:val="20"/>
                <w:color w:val="auto"/>
              </w:rPr>
            </w:pPr>
            <w:r>
              <w:rPr>
                <w:rFonts w:ascii="Arial" w:cs="Arial" w:eastAsia="Arial" w:hAnsi="Arial"/>
                <w:sz w:val="15"/>
                <w:szCs w:val="15"/>
                <w:color w:val="auto"/>
              </w:rPr>
              <w:t>(Increase)/decrease in short-term investments</w:t>
            </w:r>
          </w:p>
        </w:tc>
        <w:tc>
          <w:tcPr>
            <w:tcW w:w="1560" w:type="dxa"/>
            <w:vAlign w:val="bottom"/>
            <w:gridSpan w:val="2"/>
          </w:tcPr>
          <w:p>
            <w:pPr>
              <w:jc w:val="right"/>
              <w:ind w:right="162"/>
              <w:spacing w:after="0"/>
              <w:rPr>
                <w:sz w:val="20"/>
                <w:szCs w:val="20"/>
                <w:color w:val="auto"/>
              </w:rPr>
            </w:pPr>
            <w:r>
              <w:rPr>
                <w:rFonts w:ascii="Arial" w:cs="Arial" w:eastAsia="Arial" w:hAnsi="Arial"/>
                <w:sz w:val="15"/>
                <w:szCs w:val="15"/>
                <w:color w:val="auto"/>
              </w:rPr>
              <w:t>(17,427)</w:t>
            </w:r>
          </w:p>
        </w:tc>
        <w:tc>
          <w:tcPr>
            <w:tcW w:w="1340" w:type="dxa"/>
            <w:vAlign w:val="bottom"/>
          </w:tcPr>
          <w:p>
            <w:pPr>
              <w:jc w:val="right"/>
              <w:spacing w:after="0"/>
              <w:rPr>
                <w:sz w:val="20"/>
                <w:szCs w:val="20"/>
                <w:color w:val="auto"/>
              </w:rPr>
            </w:pPr>
            <w:r>
              <w:rPr>
                <w:rFonts w:ascii="Arial" w:cs="Arial" w:eastAsia="Arial" w:hAnsi="Arial"/>
                <w:sz w:val="15"/>
                <w:szCs w:val="15"/>
                <w:color w:val="auto"/>
              </w:rPr>
              <w:t>17,599</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(22,267)</w:t>
            </w:r>
          </w:p>
        </w:tc>
        <w:tc>
          <w:tcPr>
            <w:tcW w:w="0" w:type="dxa"/>
            <w:vAlign w:val="bottom"/>
          </w:tcPr>
          <w:p>
            <w:pPr>
              <w:spacing w:after="0"/>
              <w:rPr>
                <w:sz w:val="1"/>
                <w:szCs w:val="1"/>
                <w:color w:val="auto"/>
              </w:rPr>
            </w:pPr>
          </w:p>
        </w:tc>
      </w:tr>
      <w:tr>
        <w:trPr>
          <w:trHeight w:val="175"/>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Investment in an equity investee</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(566)</w:t>
            </w:r>
          </w:p>
        </w:tc>
        <w:tc>
          <w:tcPr>
            <w:tcW w:w="5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(412)</w:t>
            </w:r>
          </w:p>
        </w:tc>
        <w:tc>
          <w:tcPr>
            <w:tcW w:w="0" w:type="dxa"/>
            <w:vAlign w:val="bottom"/>
          </w:tcPr>
          <w:p>
            <w:pPr>
              <w:spacing w:after="0"/>
              <w:rPr>
                <w:sz w:val="1"/>
                <w:szCs w:val="1"/>
                <w:color w:val="auto"/>
              </w:rPr>
            </w:pPr>
          </w:p>
        </w:tc>
      </w:tr>
      <w:tr>
        <w:trPr>
          <w:trHeight w:val="175"/>
        </w:trPr>
        <w:tc>
          <w:tcPr>
            <w:tcW w:w="6660" w:type="dxa"/>
            <w:vAlign w:val="bottom"/>
          </w:tcPr>
          <w:p>
            <w:pPr>
              <w:ind w:left="140"/>
              <w:spacing w:after="0"/>
              <w:rPr>
                <w:sz w:val="20"/>
                <w:szCs w:val="20"/>
                <w:color w:val="auto"/>
              </w:rPr>
            </w:pPr>
            <w:r>
              <w:rPr>
                <w:rFonts w:ascii="Arial" w:cs="Arial" w:eastAsia="Arial" w:hAnsi="Arial"/>
                <w:sz w:val="15"/>
                <w:szCs w:val="15"/>
                <w:color w:val="auto"/>
              </w:rPr>
              <w:t>Increase in other long-term investments</w:t>
            </w:r>
          </w:p>
        </w:tc>
        <w:tc>
          <w:tcPr>
            <w:tcW w:w="1560" w:type="dxa"/>
            <w:vAlign w:val="bottom"/>
            <w:gridSpan w:val="2"/>
          </w:tcPr>
          <w:p>
            <w:pPr>
              <w:jc w:val="right"/>
              <w:ind w:right="162"/>
              <w:spacing w:after="0"/>
              <w:rPr>
                <w:sz w:val="20"/>
                <w:szCs w:val="20"/>
                <w:color w:val="auto"/>
              </w:rPr>
            </w:pPr>
            <w:r>
              <w:rPr>
                <w:rFonts w:ascii="Arial" w:cs="Arial" w:eastAsia="Arial" w:hAnsi="Arial"/>
                <w:sz w:val="15"/>
                <w:szCs w:val="15"/>
                <w:color w:val="auto"/>
              </w:rPr>
              <w:t>(503)</w:t>
            </w:r>
          </w:p>
        </w:tc>
        <w:tc>
          <w:tcPr>
            <w:tcW w:w="1580" w:type="dxa"/>
            <w:vAlign w:val="bottom"/>
            <w:gridSpan w:val="2"/>
          </w:tcPr>
          <w:p>
            <w:pPr>
              <w:jc w:val="right"/>
              <w:ind w:right="162"/>
              <w:spacing w:after="0"/>
              <w:rPr>
                <w:sz w:val="20"/>
                <w:szCs w:val="20"/>
                <w:color w:val="auto"/>
              </w:rPr>
            </w:pPr>
            <w:r>
              <w:rPr>
                <w:rFonts w:ascii="Arial" w:cs="Arial" w:eastAsia="Arial" w:hAnsi="Arial"/>
                <w:sz w:val="15"/>
                <w:szCs w:val="15"/>
                <w:color w:val="auto"/>
              </w:rPr>
              <w:t>(1,000)</w:t>
            </w:r>
          </w:p>
        </w:tc>
        <w:tc>
          <w:tcPr>
            <w:tcW w:w="5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(7,129)</w:t>
            </w:r>
          </w:p>
        </w:tc>
        <w:tc>
          <w:tcPr>
            <w:tcW w:w="0" w:type="dxa"/>
            <w:vAlign w:val="bottom"/>
          </w:tcPr>
          <w:p>
            <w:pPr>
              <w:spacing w:after="0"/>
              <w:rPr>
                <w:sz w:val="1"/>
                <w:szCs w:val="1"/>
                <w:color w:val="auto"/>
              </w:rPr>
            </w:pPr>
          </w:p>
        </w:tc>
      </w:tr>
      <w:tr>
        <w:trPr>
          <w:trHeight w:val="175"/>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Increase in prepaid long-term investment costs</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(1,000)</w:t>
            </w:r>
          </w:p>
        </w:tc>
        <w:tc>
          <w:tcPr>
            <w:tcW w:w="5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(1,901)</w:t>
            </w:r>
          </w:p>
        </w:tc>
        <w:tc>
          <w:tcPr>
            <w:tcW w:w="0" w:type="dxa"/>
            <w:vAlign w:val="bottom"/>
          </w:tcPr>
          <w:p>
            <w:pPr>
              <w:spacing w:after="0"/>
              <w:rPr>
                <w:sz w:val="1"/>
                <w:szCs w:val="1"/>
                <w:color w:val="auto"/>
              </w:rPr>
            </w:pPr>
          </w:p>
        </w:tc>
      </w:tr>
      <w:tr>
        <w:trPr>
          <w:trHeight w:val="175"/>
        </w:trPr>
        <w:tc>
          <w:tcPr>
            <w:tcW w:w="6660" w:type="dxa"/>
            <w:vAlign w:val="bottom"/>
          </w:tcPr>
          <w:p>
            <w:pPr>
              <w:ind w:left="140"/>
              <w:spacing w:after="0"/>
              <w:rPr>
                <w:sz w:val="20"/>
                <w:szCs w:val="20"/>
                <w:color w:val="auto"/>
              </w:rPr>
            </w:pPr>
            <w:r>
              <w:rPr>
                <w:rFonts w:ascii="Arial" w:cs="Arial" w:eastAsia="Arial" w:hAnsi="Arial"/>
                <w:sz w:val="15"/>
                <w:szCs w:val="15"/>
                <w:color w:val="auto"/>
              </w:rPr>
              <w:t>Decrease/(increase) in time deposits</w:t>
            </w:r>
          </w:p>
        </w:tc>
        <w:tc>
          <w:tcPr>
            <w:tcW w:w="1320" w:type="dxa"/>
            <w:vAlign w:val="bottom"/>
          </w:tcPr>
          <w:p>
            <w:pPr>
              <w:jc w:val="right"/>
              <w:spacing w:after="0"/>
              <w:rPr>
                <w:sz w:val="20"/>
                <w:szCs w:val="20"/>
                <w:color w:val="auto"/>
              </w:rPr>
            </w:pPr>
            <w:r>
              <w:rPr>
                <w:rFonts w:ascii="Arial" w:cs="Arial" w:eastAsia="Arial" w:hAnsi="Arial"/>
                <w:sz w:val="15"/>
                <w:szCs w:val="15"/>
                <w:color w:val="auto"/>
              </w:rPr>
              <w:t>25,000</w:t>
            </w:r>
          </w:p>
        </w:tc>
        <w:tc>
          <w:tcPr>
            <w:tcW w:w="240" w:type="dxa"/>
            <w:vAlign w:val="bottom"/>
          </w:tcPr>
          <w:p>
            <w:pPr>
              <w:spacing w:after="0"/>
              <w:rPr>
                <w:sz w:val="15"/>
                <w:szCs w:val="15"/>
                <w:color w:val="auto"/>
              </w:rPr>
            </w:pPr>
          </w:p>
        </w:tc>
        <w:tc>
          <w:tcPr>
            <w:tcW w:w="1580" w:type="dxa"/>
            <w:vAlign w:val="bottom"/>
            <w:gridSpan w:val="2"/>
          </w:tcPr>
          <w:p>
            <w:pPr>
              <w:jc w:val="right"/>
              <w:ind w:right="162"/>
              <w:spacing w:after="0"/>
              <w:rPr>
                <w:sz w:val="20"/>
                <w:szCs w:val="20"/>
                <w:color w:val="auto"/>
              </w:rPr>
            </w:pPr>
            <w:r>
              <w:rPr>
                <w:rFonts w:ascii="Arial" w:cs="Arial" w:eastAsia="Arial" w:hAnsi="Arial"/>
                <w:sz w:val="15"/>
                <w:szCs w:val="15"/>
                <w:color w:val="auto"/>
              </w:rPr>
              <w:t>(410)</w:t>
            </w: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Acquisition of businesses, net of cash received</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1,694</w:t>
            </w:r>
          </w:p>
        </w:tc>
        <w:tc>
          <w:tcPr>
            <w:tcW w:w="2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62"/>
              <w:spacing w:after="0"/>
              <w:rPr>
                <w:sz w:val="20"/>
                <w:szCs w:val="20"/>
                <w:color w:val="auto"/>
              </w:rPr>
            </w:pPr>
            <w:r>
              <w:rPr>
                <w:rFonts w:ascii="Arial" w:cs="Arial" w:eastAsia="Arial" w:hAnsi="Arial"/>
                <w:sz w:val="15"/>
                <w:szCs w:val="15"/>
                <w:color w:val="auto"/>
              </w:rPr>
              <w:t>(7,171)</w:t>
            </w:r>
          </w:p>
        </w:tc>
        <w:tc>
          <w:tcPr>
            <w:tcW w:w="5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6,226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tcPr>
          <w:p>
            <w:pPr>
              <w:ind w:left="140"/>
              <w:spacing w:after="0"/>
              <w:rPr>
                <w:sz w:val="20"/>
                <w:szCs w:val="20"/>
                <w:color w:val="auto"/>
              </w:rPr>
            </w:pPr>
            <w:r>
              <w:rPr>
                <w:rFonts w:ascii="Arial" w:cs="Arial" w:eastAsia="Arial" w:hAnsi="Arial"/>
                <w:sz w:val="15"/>
                <w:szCs w:val="15"/>
                <w:color w:val="auto"/>
              </w:rPr>
              <w:t>Loan to third parties</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(1,400)</w:t>
            </w:r>
          </w:p>
        </w:tc>
        <w:tc>
          <w:tcPr>
            <w:tcW w:w="0" w:type="dxa"/>
            <w:vAlign w:val="bottom"/>
          </w:tcPr>
          <w:p>
            <w:pPr>
              <w:spacing w:after="0"/>
              <w:rPr>
                <w:sz w:val="1"/>
                <w:szCs w:val="1"/>
                <w:color w:val="auto"/>
              </w:rPr>
            </w:pPr>
          </w:p>
        </w:tc>
      </w:tr>
      <w:tr>
        <w:trPr>
          <w:trHeight w:val="175"/>
        </w:trPr>
        <w:tc>
          <w:tcPr>
            <w:tcW w:w="6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Proceeds from disposals of property and equipment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w:t>
            </w:r>
          </w:p>
        </w:tc>
        <w:tc>
          <w:tcPr>
            <w:tcW w:w="240" w:type="dxa"/>
            <w:vAlign w:val="bottom"/>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60" w:type="dxa"/>
            <w:vAlign w:val="bottom"/>
          </w:tcPr>
          <w:p>
            <w:pPr>
              <w:spacing w:after="0" w:line="169" w:lineRule="exact"/>
              <w:rPr>
                <w:sz w:val="20"/>
                <w:szCs w:val="20"/>
                <w:color w:val="auto"/>
              </w:rPr>
            </w:pPr>
            <w:r>
              <w:rPr>
                <w:rFonts w:ascii="Arial" w:cs="Arial" w:eastAsia="Arial" w:hAnsi="Arial"/>
                <w:sz w:val="15"/>
                <w:szCs w:val="15"/>
                <w:color w:val="auto"/>
              </w:rPr>
              <w:t>Net cash provided by/ (used in) investing activities</w:t>
            </w:r>
          </w:p>
        </w:tc>
        <w:tc>
          <w:tcPr>
            <w:tcW w:w="1320" w:type="dxa"/>
            <w:vAlign w:val="bottom"/>
          </w:tcPr>
          <w:p>
            <w:pPr>
              <w:jc w:val="right"/>
              <w:spacing w:after="0" w:line="169" w:lineRule="exact"/>
              <w:rPr>
                <w:sz w:val="20"/>
                <w:szCs w:val="20"/>
                <w:color w:val="auto"/>
              </w:rPr>
            </w:pPr>
            <w:r>
              <w:rPr>
                <w:rFonts w:ascii="Arial" w:cs="Arial" w:eastAsia="Arial" w:hAnsi="Arial"/>
                <w:sz w:val="15"/>
                <w:szCs w:val="15"/>
                <w:color w:val="auto"/>
              </w:rPr>
              <w:t>8,395</w:t>
            </w:r>
          </w:p>
        </w:tc>
        <w:tc>
          <w:tcPr>
            <w:tcW w:w="240" w:type="dxa"/>
            <w:vAlign w:val="bottom"/>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6,762</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(27,693)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666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 (CONTINUED)</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6660" w:type="dxa"/>
            <w:vAlign w:val="bottom"/>
          </w:tcPr>
          <w:p>
            <w:pPr>
              <w:spacing w:after="0"/>
              <w:rPr>
                <w:sz w:val="20"/>
                <w:szCs w:val="20"/>
                <w:color w:val="auto"/>
              </w:rPr>
            </w:pPr>
            <w:r>
              <w:rPr>
                <w:rFonts w:ascii="Arial" w:cs="Arial" w:eastAsia="Arial" w:hAnsi="Arial"/>
                <w:sz w:val="18"/>
                <w:szCs w:val="18"/>
                <w:b w:val="1"/>
                <w:bCs w:val="1"/>
                <w:color w:val="auto"/>
              </w:rPr>
              <w:t>FOR THE YEARS ENDED DECEMBER 31, 2018, 2019 AND 2020</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(US$’000, except share data and per share data, or otherwise noted)</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660" w:type="dxa"/>
            <w:vAlign w:val="bottom"/>
          </w:tcPr>
          <w:p>
            <w:pPr>
              <w:spacing w:after="0"/>
              <w:rPr>
                <w:sz w:val="24"/>
                <w:szCs w:val="24"/>
                <w:color w:val="auto"/>
              </w:rPr>
            </w:pPr>
          </w:p>
        </w:tc>
        <w:tc>
          <w:tcPr>
            <w:tcW w:w="3640" w:type="dxa"/>
            <w:vAlign w:val="bottom"/>
            <w:gridSpan w:val="5"/>
          </w:tcPr>
          <w:p>
            <w:pPr>
              <w:ind w:left="1000"/>
              <w:spacing w:after="0"/>
              <w:rPr>
                <w:sz w:val="20"/>
                <w:szCs w:val="20"/>
                <w:color w:val="auto"/>
              </w:rPr>
            </w:pPr>
            <w:r>
              <w:rPr>
                <w:rFonts w:ascii="Arial" w:cs="Arial" w:eastAsia="Arial" w:hAnsi="Arial"/>
                <w:sz w:val="18"/>
                <w:szCs w:val="18"/>
                <w:color w:val="auto"/>
                <w:w w:val="93"/>
              </w:rPr>
              <w:t>For the years ended December 31,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66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Proceeds from exercise of share options</w:t>
            </w:r>
          </w:p>
        </w:tc>
        <w:tc>
          <w:tcPr>
            <w:tcW w:w="1320" w:type="dxa"/>
            <w:vAlign w:val="bottom"/>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Proceeds from bank borrowings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140,507</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180,511</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Repayments of bank borrowings</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(2,883)</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(111,986)</w:t>
            </w:r>
          </w:p>
        </w:tc>
        <w:tc>
          <w:tcPr>
            <w:tcW w:w="5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(165,131)</w:t>
            </w:r>
          </w:p>
        </w:tc>
      </w:tr>
      <w:tr>
        <w:trPr>
          <w:trHeight w:val="215"/>
        </w:trPr>
        <w:tc>
          <w:tcPr>
            <w:tcW w:w="6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Proceeds from issuance of convertible notes,</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of transaction expenses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27,810</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28,742</w:t>
            </w: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19,184</w:t>
            </w:r>
          </w:p>
        </w:tc>
        <w:tc>
          <w:tcPr>
            <w:tcW w:w="100" w:type="dxa"/>
            <w:vAlign w:val="bottom"/>
            <w:shd w:val="clear" w:color="auto" w:fill="CFF0FC"/>
          </w:tcPr>
          <w:p>
            <w:pPr>
              <w:spacing w:after="0"/>
              <w:rPr>
                <w:sz w:val="20"/>
                <w:szCs w:val="20"/>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Redemption of convertible notes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(11,265)</w:t>
            </w:r>
          </w:p>
        </w:tc>
        <w:tc>
          <w:tcPr>
            <w:tcW w:w="5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(15,196)</w:t>
            </w:r>
          </w:p>
        </w:tc>
      </w:tr>
      <w:tr>
        <w:trPr>
          <w:trHeight w:val="230"/>
        </w:trPr>
        <w:tc>
          <w:tcPr>
            <w:tcW w:w="6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Contribution from non-controlling interests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Repurchase of ordinary shares</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(4,414)</w:t>
            </w:r>
          </w:p>
        </w:tc>
        <w:tc>
          <w:tcPr>
            <w:tcW w:w="5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(5,677)</w:t>
            </w: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proceeds from issuance of ordinary shares upon share offerings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71,917</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Purchase of interests in subsidiaries from non-controlling interests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(7,003)</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27,775</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44,804</w:t>
            </w:r>
          </w:p>
        </w:tc>
        <w:tc>
          <w:tcPr>
            <w:tcW w:w="2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in cash and cash equivalents and</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6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restricted cash</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20,754</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21,272</w:t>
            </w: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32,657</w:t>
            </w:r>
          </w:p>
        </w:tc>
        <w:tc>
          <w:tcPr>
            <w:tcW w:w="100" w:type="dxa"/>
            <w:vAlign w:val="bottom"/>
            <w:shd w:val="clear" w:color="auto" w:fill="CFF0FC"/>
          </w:tcPr>
          <w:p>
            <w:pPr>
              <w:spacing w:after="0"/>
              <w:rPr>
                <w:sz w:val="20"/>
                <w:szCs w:val="20"/>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Cash and cash equivalents and restricted cash at the beginning of year</w:t>
            </w:r>
          </w:p>
        </w:tc>
        <w:tc>
          <w:tcPr>
            <w:tcW w:w="1320" w:type="dxa"/>
            <w:vAlign w:val="bottom"/>
          </w:tcPr>
          <w:p>
            <w:pPr>
              <w:jc w:val="right"/>
              <w:spacing w:after="0"/>
              <w:rPr>
                <w:sz w:val="20"/>
                <w:szCs w:val="20"/>
                <w:color w:val="auto"/>
              </w:rPr>
            </w:pPr>
            <w:r>
              <w:rPr>
                <w:rFonts w:ascii="Arial" w:cs="Arial" w:eastAsia="Arial" w:hAnsi="Arial"/>
                <w:sz w:val="18"/>
                <w:szCs w:val="18"/>
                <w:color w:val="auto"/>
              </w:rPr>
              <w:t>19,401</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39,828</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60,706</w:t>
            </w:r>
          </w:p>
        </w:tc>
        <w:tc>
          <w:tcPr>
            <w:tcW w:w="100" w:type="dxa"/>
            <w:vAlign w:val="bottom"/>
          </w:tcPr>
          <w:p>
            <w:pPr>
              <w:spacing w:after="0"/>
              <w:rPr>
                <w:sz w:val="19"/>
                <w:szCs w:val="19"/>
                <w:color w:val="auto"/>
              </w:rPr>
            </w:pPr>
          </w:p>
        </w:tc>
      </w:tr>
      <w:tr>
        <w:trPr>
          <w:trHeight w:val="215"/>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Effect on exchange rate changes on cash and cash equivalents and</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cash</w:t>
            </w: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(327)</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(394)</w:t>
            </w:r>
          </w:p>
        </w:tc>
        <w:tc>
          <w:tcPr>
            <w:tcW w:w="5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FF0FC"/>
          </w:tcPr>
          <w:p>
            <w:pPr>
              <w:spacing w:after="0"/>
              <w:rPr>
                <w:sz w:val="20"/>
                <w:szCs w:val="20"/>
                <w:color w:val="auto"/>
              </w:rPr>
            </w:pPr>
          </w:p>
        </w:tc>
      </w:tr>
      <w:tr>
        <w:trPr>
          <w:trHeight w:val="263"/>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and restricted cash at the end of year</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39,828</w:t>
            </w:r>
          </w:p>
        </w:tc>
        <w:tc>
          <w:tcPr>
            <w:tcW w:w="240" w:type="dxa"/>
            <w:vAlign w:val="bottom"/>
            <w:tcBorders>
              <w:bottom w:val="single" w:sz="8" w:color="CFF0FC"/>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60,706</w:t>
            </w:r>
          </w:p>
        </w:tc>
        <w:tc>
          <w:tcPr>
            <w:tcW w:w="240" w:type="dxa"/>
            <w:vAlign w:val="bottom"/>
            <w:tcBorders>
              <w:bottom w:val="single" w:sz="8" w:color="CFF0FC"/>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94,377</w:t>
            </w:r>
          </w:p>
        </w:tc>
        <w:tc>
          <w:tcPr>
            <w:tcW w:w="100" w:type="dxa"/>
            <w:vAlign w:val="bottom"/>
            <w:tcBorders>
              <w:bottom w:val="single" w:sz="8" w:color="CFF0FC"/>
            </w:tcBorders>
          </w:tcPr>
          <w:p>
            <w:pPr>
              <w:spacing w:after="0"/>
              <w:rPr>
                <w:sz w:val="22"/>
                <w:szCs w:val="22"/>
                <w:color w:val="auto"/>
              </w:rPr>
            </w:pPr>
          </w:p>
        </w:tc>
      </w:tr>
      <w:tr>
        <w:trPr>
          <w:trHeight w:val="192"/>
        </w:trPr>
        <w:tc>
          <w:tcPr>
            <w:tcW w:w="666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Reconciliation of cash and cash equivalents and restricted cash</w:t>
            </w:r>
          </w:p>
        </w:tc>
        <w:tc>
          <w:tcPr>
            <w:tcW w:w="1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within the consolidated balance sheets to the amounts shown</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6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the consolidated statements of cash flows above:</w:t>
            </w:r>
          </w:p>
        </w:tc>
        <w:tc>
          <w:tcPr>
            <w:tcW w:w="1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39,828</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36,854</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52,232</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cash, current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23,852</w:t>
            </w:r>
          </w:p>
        </w:tc>
        <w:tc>
          <w:tcPr>
            <w:tcW w:w="2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42,145</w:t>
            </w:r>
          </w:p>
        </w:tc>
        <w:tc>
          <w:tcPr>
            <w:tcW w:w="100" w:type="dxa"/>
            <w:vAlign w:val="bottom"/>
            <w:shd w:val="clear" w:color="auto" w:fill="CFF0FC"/>
          </w:tcPr>
          <w:p>
            <w:pPr>
              <w:spacing w:after="0"/>
              <w:rPr>
                <w:sz w:val="19"/>
                <w:szCs w:val="19"/>
                <w:color w:val="auto"/>
              </w:rPr>
            </w:pPr>
          </w:p>
        </w:tc>
      </w:tr>
      <w:tr>
        <w:trPr>
          <w:trHeight w:val="263"/>
        </w:trPr>
        <w:tc>
          <w:tcPr>
            <w:tcW w:w="6660" w:type="dxa"/>
            <w:vAlign w:val="bottom"/>
            <w:tcBorders>
              <w:bottom w:val="single" w:sz="8" w:color="CFF0FC"/>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39,828</w:t>
            </w:r>
          </w:p>
        </w:tc>
        <w:tc>
          <w:tcPr>
            <w:tcW w:w="240" w:type="dxa"/>
            <w:vAlign w:val="bottom"/>
            <w:tcBorders>
              <w:bottom w:val="single" w:sz="8" w:color="CFF0FC"/>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60,706</w:t>
            </w:r>
          </w:p>
        </w:tc>
        <w:tc>
          <w:tcPr>
            <w:tcW w:w="24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94,377</w:t>
            </w:r>
          </w:p>
        </w:tc>
        <w:tc>
          <w:tcPr>
            <w:tcW w:w="100" w:type="dxa"/>
            <w:vAlign w:val="bottom"/>
            <w:tcBorders>
              <w:bottom w:val="single" w:sz="8" w:color="CFF0FC"/>
            </w:tcBorders>
          </w:tcPr>
          <w:p>
            <w:pPr>
              <w:spacing w:after="0"/>
              <w:rPr>
                <w:sz w:val="22"/>
                <w:szCs w:val="22"/>
                <w:color w:val="auto"/>
              </w:rPr>
            </w:pPr>
          </w:p>
        </w:tc>
      </w:tr>
      <w:tr>
        <w:trPr>
          <w:trHeight w:val="210"/>
        </w:trPr>
        <w:tc>
          <w:tcPr>
            <w:tcW w:w="66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Interests paid</w:t>
            </w: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(694)</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(2,109)</w:t>
            </w:r>
          </w:p>
        </w:tc>
        <w:tc>
          <w:tcPr>
            <w:tcW w:w="5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(2,545)</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(1,019)</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5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(2,960)</w:t>
            </w:r>
          </w:p>
        </w:tc>
      </w:tr>
      <w:tr>
        <w:trPr>
          <w:trHeight w:val="229"/>
        </w:trPr>
        <w:tc>
          <w:tcPr>
            <w:tcW w:w="66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666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investing and financing</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660" w:type="dxa"/>
            <w:vAlign w:val="bottom"/>
          </w:tcPr>
          <w:p>
            <w:pPr>
              <w:ind w:left="140"/>
              <w:spacing w:after="0"/>
              <w:rPr>
                <w:sz w:val="20"/>
                <w:szCs w:val="20"/>
                <w:color w:val="auto"/>
              </w:rPr>
            </w:pPr>
            <w:r>
              <w:rPr>
                <w:rFonts w:ascii="Arial" w:cs="Arial" w:eastAsia="Arial" w:hAnsi="Arial"/>
                <w:sz w:val="18"/>
                <w:szCs w:val="18"/>
                <w:b w:val="1"/>
                <w:bCs w:val="1"/>
                <w:color w:val="auto"/>
              </w:rPr>
              <w:t>activities:</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6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Convertible notes transaction expenses in form of</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awards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3,298</w:t>
            </w: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Fair value losses/(gains) on convertible notes</w:t>
            </w:r>
          </w:p>
        </w:tc>
        <w:tc>
          <w:tcPr>
            <w:tcW w:w="1320" w:type="dxa"/>
            <w:vAlign w:val="bottom"/>
          </w:tcPr>
          <w:p>
            <w:pPr>
              <w:jc w:val="right"/>
              <w:spacing w:after="0"/>
              <w:rPr>
                <w:sz w:val="20"/>
                <w:szCs w:val="20"/>
                <w:color w:val="auto"/>
              </w:rPr>
            </w:pPr>
            <w:r>
              <w:rPr>
                <w:rFonts w:ascii="Arial" w:cs="Arial" w:eastAsia="Arial" w:hAnsi="Arial"/>
                <w:sz w:val="18"/>
                <w:szCs w:val="18"/>
                <w:color w:val="auto"/>
              </w:rPr>
              <w:t>4,837</w:t>
            </w:r>
          </w:p>
        </w:tc>
        <w:tc>
          <w:tcPr>
            <w:tcW w:w="2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4,433</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Fair value losses on derivative liabilities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11,466</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Issuance of ordinary shares upon conversion of convertible notes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4,431</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68,895</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of ordinary shares upon acquisition of subsidiaries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42,377</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Issuance of convertible notes upon exercise of call option</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11,466</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720" w:hanging="712"/>
        <w:spacing w:after="0"/>
        <w:tabs>
          <w:tab w:leader="none" w:pos="7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225" w:lineRule="exact"/>
        <w:rPr>
          <w:sz w:val="20"/>
          <w:szCs w:val="20"/>
          <w:color w:val="auto"/>
        </w:rPr>
      </w:pPr>
    </w:p>
    <w:p>
      <w:pPr>
        <w:ind w:left="720" w:hanging="712"/>
        <w:spacing w:after="0"/>
        <w:tabs>
          <w:tab w:leader="none" w:pos="7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75" w:lineRule="exact"/>
        <w:rPr>
          <w:rFonts w:ascii="Arial" w:cs="Arial" w:eastAsia="Arial" w:hAnsi="Arial"/>
          <w:sz w:val="18"/>
          <w:szCs w:val="18"/>
          <w:b w:val="1"/>
          <w:bCs w:val="1"/>
          <w:color w:val="auto"/>
        </w:rPr>
      </w:pPr>
    </w:p>
    <w:p>
      <w:pPr>
        <w:jc w:val="both"/>
        <w:ind w:left="740"/>
        <w:spacing w:after="0" w:line="227" w:lineRule="auto"/>
        <w:rPr>
          <w:rFonts w:ascii="Arial" w:cs="Arial" w:eastAsia="Arial" w:hAnsi="Arial"/>
          <w:sz w:val="18"/>
          <w:szCs w:val="18"/>
          <w:b w:val="1"/>
          <w:bCs w:val="1"/>
          <w:color w:val="auto"/>
        </w:rPr>
      </w:pPr>
      <w:r>
        <w:rPr>
          <w:rFonts w:ascii="Arial" w:cs="Arial" w:eastAsia="Arial" w:hAnsi="Arial"/>
          <w:sz w:val="18"/>
          <w:szCs w:val="18"/>
          <w:color w:val="auto"/>
        </w:rPr>
        <w:t>iClick Interactive Asia Group Limited (the “Company”) and its subsidiaries are collectively referred to as the Group. The Company was incorporated under the law of Cayman Islands as a limited company on February 3, 2010. The Group has been principally engaged in the provision of online marketing services (“Marketing Solutions”) since then. Starting from January 1, 2019, the Group is also engaged in the provision of software licenses and retail and customer relationship management solutions (“Enterprise Solutions”). The Group’s principal operations and geographic market are in Greater China and have offices in Hong Kong and The People’s Republic of China (“the PRC”). There are also sales teams in Singapore, Taiwan and the United Kingdom.</w:t>
      </w:r>
    </w:p>
    <w:p>
      <w:pPr>
        <w:spacing w:after="0" w:line="148" w:lineRule="exact"/>
        <w:rPr>
          <w:rFonts w:ascii="Arial" w:cs="Arial" w:eastAsia="Arial" w:hAnsi="Arial"/>
          <w:sz w:val="18"/>
          <w:szCs w:val="18"/>
          <w:b w:val="1"/>
          <w:bCs w:val="1"/>
          <w:color w:val="auto"/>
        </w:rPr>
      </w:pPr>
    </w:p>
    <w:p>
      <w:pPr>
        <w:ind w:left="74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the financial statements of the Company, its principal subsidiaries and consolidated VIEs and the VIE’s subsidiaries (defined in Note 1(b))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ind w:left="420"/>
              <w:spacing w:after="0"/>
              <w:rPr>
                <w:sz w:val="20"/>
                <w:szCs w:val="20"/>
                <w:color w:val="auto"/>
              </w:rPr>
            </w:pPr>
            <w:r>
              <w:rPr>
                <w:rFonts w:ascii="Arial" w:cs="Arial" w:eastAsia="Arial" w:hAnsi="Arial"/>
                <w:sz w:val="13"/>
                <w:szCs w:val="13"/>
                <w:color w:val="auto"/>
              </w:rPr>
              <w:t>% of direct</w:t>
            </w:r>
          </w:p>
        </w:tc>
        <w:tc>
          <w:tcPr>
            <w:tcW w:w="1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20" w:type="dxa"/>
            <w:vAlign w:val="bottom"/>
          </w:tcPr>
          <w:p>
            <w:pPr>
              <w:ind w:left="420"/>
              <w:spacing w:after="0"/>
              <w:rPr>
                <w:sz w:val="20"/>
                <w:szCs w:val="20"/>
                <w:color w:val="auto"/>
              </w:rPr>
            </w:pPr>
            <w:r>
              <w:rPr>
                <w:rFonts w:ascii="Arial" w:cs="Arial" w:eastAsia="Arial" w:hAnsi="Arial"/>
                <w:sz w:val="13"/>
                <w:szCs w:val="13"/>
                <w:color w:val="auto"/>
              </w:rPr>
              <w:t>or indirect</w:t>
            </w:r>
          </w:p>
        </w:tc>
        <w:tc>
          <w:tcPr>
            <w:tcW w:w="1460" w:type="dxa"/>
            <w:vAlign w:val="bottom"/>
            <w:vMerge w:val="restart"/>
          </w:tcPr>
          <w:p>
            <w:pPr>
              <w:ind w:left="220"/>
              <w:spacing w:after="0"/>
              <w:rPr>
                <w:sz w:val="20"/>
                <w:szCs w:val="20"/>
                <w:color w:val="auto"/>
              </w:rPr>
            </w:pPr>
            <w:r>
              <w:rPr>
                <w:rFonts w:ascii="Arial" w:cs="Arial" w:eastAsia="Arial" w:hAnsi="Arial"/>
                <w:sz w:val="13"/>
                <w:szCs w:val="13"/>
                <w:color w:val="auto"/>
              </w:rPr>
              <w:t>Date of</w:t>
            </w:r>
          </w:p>
        </w:tc>
        <w:tc>
          <w:tcPr>
            <w:tcW w:w="1100" w:type="dxa"/>
            <w:vAlign w:val="bottom"/>
            <w:vMerge w:val="restart"/>
          </w:tcPr>
          <w:p>
            <w:pPr>
              <w:ind w:left="220"/>
              <w:spacing w:after="0"/>
              <w:rPr>
                <w:sz w:val="20"/>
                <w:szCs w:val="20"/>
                <w:color w:val="auto"/>
              </w:rPr>
            </w:pPr>
            <w:r>
              <w:rPr>
                <w:rFonts w:ascii="Arial" w:cs="Arial" w:eastAsia="Arial" w:hAnsi="Arial"/>
                <w:sz w:val="13"/>
                <w:szCs w:val="13"/>
                <w:color w:val="auto"/>
              </w:rPr>
              <w:t>Place of</w:t>
            </w: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20" w:type="dxa"/>
            <w:vAlign w:val="bottom"/>
          </w:tcPr>
          <w:p>
            <w:pPr>
              <w:ind w:left="420"/>
              <w:spacing w:after="0" w:line="135" w:lineRule="exact"/>
              <w:rPr>
                <w:sz w:val="20"/>
                <w:szCs w:val="20"/>
                <w:color w:val="auto"/>
              </w:rPr>
            </w:pPr>
            <w:r>
              <w:rPr>
                <w:rFonts w:ascii="Arial" w:cs="Arial" w:eastAsia="Arial" w:hAnsi="Arial"/>
                <w:sz w:val="13"/>
                <w:szCs w:val="13"/>
                <w:color w:val="auto"/>
              </w:rPr>
              <w:t>economic</w:t>
            </w:r>
          </w:p>
        </w:tc>
        <w:tc>
          <w:tcPr>
            <w:tcW w:w="14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ind w:left="420"/>
              <w:spacing w:after="0"/>
              <w:rPr>
                <w:sz w:val="20"/>
                <w:szCs w:val="20"/>
                <w:color w:val="auto"/>
              </w:rPr>
            </w:pPr>
            <w:r>
              <w:rPr>
                <w:rFonts w:ascii="Arial" w:cs="Arial" w:eastAsia="Arial" w:hAnsi="Arial"/>
                <w:sz w:val="13"/>
                <w:szCs w:val="13"/>
                <w:color w:val="auto"/>
              </w:rPr>
              <w:t>ownership</w:t>
            </w:r>
          </w:p>
        </w:tc>
        <w:tc>
          <w:tcPr>
            <w:tcW w:w="1460" w:type="dxa"/>
            <w:vAlign w:val="bottom"/>
          </w:tcPr>
          <w:p>
            <w:pPr>
              <w:ind w:left="220"/>
              <w:spacing w:after="0"/>
              <w:rPr>
                <w:sz w:val="20"/>
                <w:szCs w:val="20"/>
                <w:color w:val="auto"/>
              </w:rPr>
            </w:pPr>
            <w:r>
              <w:rPr>
                <w:rFonts w:ascii="Arial" w:cs="Arial" w:eastAsia="Arial" w:hAnsi="Arial"/>
                <w:sz w:val="13"/>
                <w:szCs w:val="13"/>
                <w:color w:val="auto"/>
              </w:rPr>
              <w:t>incorporation/</w:t>
            </w:r>
          </w:p>
        </w:tc>
        <w:tc>
          <w:tcPr>
            <w:tcW w:w="1100" w:type="dxa"/>
            <w:vAlign w:val="bottom"/>
          </w:tcPr>
          <w:p>
            <w:pPr>
              <w:ind w:left="80"/>
              <w:spacing w:after="0"/>
              <w:rPr>
                <w:sz w:val="20"/>
                <w:szCs w:val="20"/>
                <w:color w:val="auto"/>
              </w:rPr>
            </w:pPr>
            <w:r>
              <w:rPr>
                <w:rFonts w:ascii="Arial" w:cs="Arial" w:eastAsia="Arial" w:hAnsi="Arial"/>
                <w:sz w:val="13"/>
                <w:szCs w:val="13"/>
                <w:color w:val="auto"/>
              </w:rPr>
              <w:t>incorporation/</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20" w:type="dxa"/>
            <w:vAlign w:val="bottom"/>
          </w:tcPr>
          <w:p>
            <w:pPr>
              <w:spacing w:after="0"/>
              <w:rPr>
                <w:sz w:val="20"/>
                <w:szCs w:val="20"/>
                <w:color w:val="auto"/>
              </w:rPr>
            </w:pPr>
            <w:r>
              <w:rPr>
                <w:rFonts w:ascii="Arial" w:cs="Arial" w:eastAsia="Arial" w:hAnsi="Arial"/>
                <w:sz w:val="13"/>
                <w:szCs w:val="13"/>
                <w:color w:val="auto"/>
              </w:rPr>
              <w:t>Name</w:t>
            </w:r>
          </w:p>
        </w:tc>
        <w:tc>
          <w:tcPr>
            <w:tcW w:w="1160" w:type="dxa"/>
            <w:vAlign w:val="bottom"/>
          </w:tcPr>
          <w:p>
            <w:pPr>
              <w:ind w:left="60"/>
              <w:spacing w:after="0"/>
              <w:rPr>
                <w:sz w:val="20"/>
                <w:szCs w:val="20"/>
                <w:color w:val="auto"/>
              </w:rPr>
            </w:pPr>
            <w:r>
              <w:rPr>
                <w:rFonts w:ascii="Arial" w:cs="Arial" w:eastAsia="Arial" w:hAnsi="Arial"/>
                <w:sz w:val="13"/>
                <w:szCs w:val="13"/>
                <w:color w:val="auto"/>
              </w:rPr>
              <w:t>Relationship</w:t>
            </w:r>
          </w:p>
        </w:tc>
        <w:tc>
          <w:tcPr>
            <w:tcW w:w="1220" w:type="dxa"/>
            <w:vAlign w:val="bottom"/>
          </w:tcPr>
          <w:p>
            <w:pPr>
              <w:ind w:left="420"/>
              <w:spacing w:after="0"/>
              <w:rPr>
                <w:sz w:val="20"/>
                <w:szCs w:val="20"/>
                <w:color w:val="auto"/>
              </w:rPr>
            </w:pPr>
            <w:r>
              <w:rPr>
                <w:rFonts w:ascii="Arial" w:cs="Arial" w:eastAsia="Arial" w:hAnsi="Arial"/>
                <w:sz w:val="13"/>
                <w:szCs w:val="13"/>
                <w:color w:val="auto"/>
              </w:rPr>
              <w:t>(Note (i))</w:t>
            </w:r>
          </w:p>
        </w:tc>
        <w:tc>
          <w:tcPr>
            <w:tcW w:w="1460" w:type="dxa"/>
            <w:vAlign w:val="bottom"/>
          </w:tcPr>
          <w:p>
            <w:pPr>
              <w:ind w:left="220"/>
              <w:spacing w:after="0"/>
              <w:rPr>
                <w:sz w:val="20"/>
                <w:szCs w:val="20"/>
                <w:color w:val="auto"/>
              </w:rPr>
            </w:pPr>
            <w:r>
              <w:rPr>
                <w:rFonts w:ascii="Arial" w:cs="Arial" w:eastAsia="Arial" w:hAnsi="Arial"/>
                <w:sz w:val="13"/>
                <w:szCs w:val="13"/>
                <w:color w:val="auto"/>
              </w:rPr>
              <w:t>establishment</w:t>
            </w:r>
          </w:p>
        </w:tc>
        <w:tc>
          <w:tcPr>
            <w:tcW w:w="1100" w:type="dxa"/>
            <w:vAlign w:val="bottom"/>
          </w:tcPr>
          <w:p>
            <w:pPr>
              <w:ind w:left="80"/>
              <w:spacing w:after="0"/>
              <w:rPr>
                <w:sz w:val="20"/>
                <w:szCs w:val="20"/>
                <w:color w:val="auto"/>
              </w:rPr>
            </w:pPr>
            <w:r>
              <w:rPr>
                <w:rFonts w:ascii="Arial" w:cs="Arial" w:eastAsia="Arial" w:hAnsi="Arial"/>
                <w:sz w:val="13"/>
                <w:szCs w:val="13"/>
                <w:color w:val="auto"/>
              </w:rPr>
              <w:t>establishment</w:t>
            </w:r>
          </w:p>
        </w:tc>
        <w:tc>
          <w:tcPr>
            <w:tcW w:w="2060" w:type="dxa"/>
            <w:vAlign w:val="bottom"/>
          </w:tcPr>
          <w:p>
            <w:pPr>
              <w:ind w:left="260"/>
              <w:spacing w:after="0"/>
              <w:rPr>
                <w:sz w:val="20"/>
                <w:szCs w:val="20"/>
                <w:color w:val="auto"/>
              </w:rPr>
            </w:pPr>
            <w:r>
              <w:rPr>
                <w:rFonts w:ascii="Arial" w:cs="Arial" w:eastAsia="Arial" w:hAnsi="Arial"/>
                <w:sz w:val="13"/>
                <w:szCs w:val="13"/>
                <w:color w:val="auto"/>
              </w:rPr>
              <w:t>Principal activities</w:t>
            </w:r>
          </w:p>
        </w:tc>
        <w:tc>
          <w:tcPr>
            <w:tcW w:w="0" w:type="dxa"/>
            <w:vAlign w:val="bottom"/>
          </w:tcPr>
          <w:p>
            <w:pPr>
              <w:spacing w:after="0"/>
              <w:rPr>
                <w:sz w:val="1"/>
                <w:szCs w:val="1"/>
                <w:color w:val="auto"/>
              </w:rPr>
            </w:pPr>
          </w:p>
        </w:tc>
      </w:tr>
      <w:tr>
        <w:trPr>
          <w:trHeight w:val="273"/>
        </w:trPr>
        <w:tc>
          <w:tcPr>
            <w:tcW w:w="2020" w:type="dxa"/>
            <w:vAlign w:val="bottom"/>
          </w:tcPr>
          <w:p>
            <w:pPr>
              <w:spacing w:after="0"/>
              <w:rPr>
                <w:sz w:val="20"/>
                <w:szCs w:val="20"/>
                <w:color w:val="auto"/>
              </w:rPr>
            </w:pPr>
            <w:r>
              <w:rPr>
                <w:rFonts w:ascii="Arial" w:cs="Arial" w:eastAsia="Arial" w:hAnsi="Arial"/>
                <w:sz w:val="13"/>
                <w:szCs w:val="13"/>
                <w:color w:val="auto"/>
              </w:rPr>
              <w:t>Tetris Media Limited</w:t>
            </w:r>
          </w:p>
        </w:tc>
        <w:tc>
          <w:tcPr>
            <w:tcW w:w="1160" w:type="dxa"/>
            <w:vAlign w:val="bottom"/>
          </w:tcPr>
          <w:p>
            <w:pPr>
              <w:ind w:left="60"/>
              <w:spacing w:after="0"/>
              <w:rPr>
                <w:sz w:val="20"/>
                <w:szCs w:val="20"/>
                <w:color w:val="auto"/>
              </w:rPr>
            </w:pPr>
            <w:r>
              <w:rPr>
                <w:rFonts w:ascii="Arial" w:cs="Arial" w:eastAsia="Arial" w:hAnsi="Arial"/>
                <w:sz w:val="13"/>
                <w:szCs w:val="13"/>
                <w:color w:val="auto"/>
              </w:rPr>
              <w:t>Subsidiary</w:t>
            </w:r>
          </w:p>
        </w:tc>
        <w:tc>
          <w:tcPr>
            <w:tcW w:w="1220" w:type="dxa"/>
            <w:vAlign w:val="bottom"/>
          </w:tcPr>
          <w:p>
            <w:pPr>
              <w:ind w:left="420"/>
              <w:spacing w:after="0"/>
              <w:rPr>
                <w:sz w:val="20"/>
                <w:szCs w:val="20"/>
                <w:color w:val="auto"/>
              </w:rPr>
            </w:pPr>
            <w:r>
              <w:rPr>
                <w:rFonts w:ascii="Arial" w:cs="Arial" w:eastAsia="Arial" w:hAnsi="Arial"/>
                <w:sz w:val="13"/>
                <w:szCs w:val="13"/>
                <w:color w:val="auto"/>
              </w:rPr>
              <w:t>100%</w:t>
            </w:r>
          </w:p>
        </w:tc>
        <w:tc>
          <w:tcPr>
            <w:tcW w:w="1460" w:type="dxa"/>
            <w:vAlign w:val="bottom"/>
          </w:tcPr>
          <w:p>
            <w:pPr>
              <w:ind w:left="220"/>
              <w:spacing w:after="0"/>
              <w:rPr>
                <w:sz w:val="20"/>
                <w:szCs w:val="20"/>
                <w:color w:val="auto"/>
              </w:rPr>
            </w:pPr>
            <w:r>
              <w:rPr>
                <w:rFonts w:ascii="Arial" w:cs="Arial" w:eastAsia="Arial" w:hAnsi="Arial"/>
                <w:sz w:val="13"/>
                <w:szCs w:val="13"/>
                <w:color w:val="auto"/>
              </w:rPr>
              <w:t>July 2007</w:t>
            </w:r>
          </w:p>
        </w:tc>
        <w:tc>
          <w:tcPr>
            <w:tcW w:w="1100" w:type="dxa"/>
            <w:vAlign w:val="bottom"/>
          </w:tcPr>
          <w:p>
            <w:pPr>
              <w:ind w:left="220"/>
              <w:spacing w:after="0"/>
              <w:rPr>
                <w:sz w:val="20"/>
                <w:szCs w:val="20"/>
                <w:color w:val="auto"/>
              </w:rPr>
            </w:pPr>
            <w:r>
              <w:rPr>
                <w:rFonts w:ascii="Arial" w:cs="Arial" w:eastAsia="Arial" w:hAnsi="Arial"/>
                <w:sz w:val="13"/>
                <w:szCs w:val="13"/>
                <w:color w:val="auto"/>
              </w:rPr>
              <w:t>Hong Kong</w:t>
            </w:r>
          </w:p>
        </w:tc>
        <w:tc>
          <w:tcPr>
            <w:tcW w:w="2060" w:type="dxa"/>
            <w:vAlign w:val="bottom"/>
          </w:tcPr>
          <w:p>
            <w:pPr>
              <w:ind w:left="260"/>
              <w:spacing w:after="0"/>
              <w:rPr>
                <w:sz w:val="20"/>
                <w:szCs w:val="20"/>
                <w:color w:val="auto"/>
              </w:rPr>
            </w:pPr>
            <w:r>
              <w:rPr>
                <w:rFonts w:ascii="Arial" w:cs="Arial" w:eastAsia="Arial" w:hAnsi="Arial"/>
                <w:sz w:val="13"/>
                <w:szCs w:val="13"/>
                <w:color w:val="auto"/>
              </w:rPr>
              <w:t>Investment holding</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20"/>
                <w:szCs w:val="20"/>
                <w:color w:val="auto"/>
              </w:rPr>
            </w:pPr>
            <w:r>
              <w:rPr>
                <w:rFonts w:ascii="Arial" w:cs="Arial" w:eastAsia="Arial" w:hAnsi="Arial"/>
                <w:sz w:val="13"/>
                <w:szCs w:val="13"/>
                <w:color w:val="auto"/>
              </w:rPr>
              <w:t>iClick Interactive Asia Limited</w:t>
            </w:r>
          </w:p>
        </w:tc>
        <w:tc>
          <w:tcPr>
            <w:tcW w:w="1160" w:type="dxa"/>
            <w:vAlign w:val="bottom"/>
          </w:tcPr>
          <w:p>
            <w:pPr>
              <w:ind w:left="60"/>
              <w:spacing w:after="0"/>
              <w:rPr>
                <w:sz w:val="20"/>
                <w:szCs w:val="20"/>
                <w:color w:val="auto"/>
              </w:rPr>
            </w:pPr>
            <w:r>
              <w:rPr>
                <w:rFonts w:ascii="Arial" w:cs="Arial" w:eastAsia="Arial" w:hAnsi="Arial"/>
                <w:sz w:val="13"/>
                <w:szCs w:val="13"/>
                <w:color w:val="auto"/>
              </w:rPr>
              <w:t>Subsidiary</w:t>
            </w:r>
          </w:p>
        </w:tc>
        <w:tc>
          <w:tcPr>
            <w:tcW w:w="1220" w:type="dxa"/>
            <w:vAlign w:val="bottom"/>
          </w:tcPr>
          <w:p>
            <w:pPr>
              <w:ind w:left="420"/>
              <w:spacing w:after="0"/>
              <w:rPr>
                <w:sz w:val="20"/>
                <w:szCs w:val="20"/>
                <w:color w:val="auto"/>
              </w:rPr>
            </w:pPr>
            <w:r>
              <w:rPr>
                <w:rFonts w:ascii="Arial" w:cs="Arial" w:eastAsia="Arial" w:hAnsi="Arial"/>
                <w:sz w:val="13"/>
                <w:szCs w:val="13"/>
                <w:color w:val="auto"/>
              </w:rPr>
              <w:t>100%</w:t>
            </w:r>
          </w:p>
        </w:tc>
        <w:tc>
          <w:tcPr>
            <w:tcW w:w="1460" w:type="dxa"/>
            <w:vAlign w:val="bottom"/>
          </w:tcPr>
          <w:p>
            <w:pPr>
              <w:ind w:left="220"/>
              <w:spacing w:after="0"/>
              <w:rPr>
                <w:sz w:val="20"/>
                <w:szCs w:val="20"/>
                <w:color w:val="auto"/>
              </w:rPr>
            </w:pPr>
            <w:r>
              <w:rPr>
                <w:rFonts w:ascii="Arial" w:cs="Arial" w:eastAsia="Arial" w:hAnsi="Arial"/>
                <w:sz w:val="13"/>
                <w:szCs w:val="13"/>
                <w:color w:val="auto"/>
              </w:rPr>
              <w:t>December 2008</w:t>
            </w:r>
          </w:p>
        </w:tc>
        <w:tc>
          <w:tcPr>
            <w:tcW w:w="1100" w:type="dxa"/>
            <w:vAlign w:val="bottom"/>
          </w:tcPr>
          <w:p>
            <w:pPr>
              <w:ind w:left="220"/>
              <w:spacing w:after="0"/>
              <w:rPr>
                <w:sz w:val="20"/>
                <w:szCs w:val="20"/>
                <w:color w:val="auto"/>
              </w:rPr>
            </w:pPr>
            <w:r>
              <w:rPr>
                <w:rFonts w:ascii="Arial" w:cs="Arial" w:eastAsia="Arial" w:hAnsi="Arial"/>
                <w:sz w:val="13"/>
                <w:szCs w:val="13"/>
                <w:color w:val="auto"/>
              </w:rPr>
              <w:t>Hong Kong</w:t>
            </w:r>
          </w:p>
        </w:tc>
        <w:tc>
          <w:tcPr>
            <w:tcW w:w="2060" w:type="dxa"/>
            <w:vAlign w:val="bottom"/>
          </w:tcPr>
          <w:p>
            <w:pPr>
              <w:ind w:left="260"/>
              <w:spacing w:after="0"/>
              <w:rPr>
                <w:sz w:val="20"/>
                <w:szCs w:val="20"/>
                <w:color w:val="auto"/>
              </w:rPr>
            </w:pPr>
            <w:r>
              <w:rPr>
                <w:rFonts w:ascii="Arial" w:cs="Arial" w:eastAsia="Arial" w:hAnsi="Arial"/>
                <w:sz w:val="13"/>
                <w:szCs w:val="13"/>
                <w:color w:val="auto"/>
              </w:rPr>
              <w:t>Internet marketing</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60" w:type="dxa"/>
            <w:vAlign w:val="bottom"/>
          </w:tcPr>
          <w:p>
            <w:pPr>
              <w:ind w:left="260"/>
              <w:spacing w:after="0"/>
              <w:rPr>
                <w:sz w:val="20"/>
                <w:szCs w:val="20"/>
                <w:color w:val="auto"/>
              </w:rPr>
            </w:pPr>
            <w:r>
              <w:rPr>
                <w:rFonts w:ascii="Arial" w:cs="Arial" w:eastAsia="Arial" w:hAnsi="Arial"/>
                <w:sz w:val="13"/>
                <w:szCs w:val="13"/>
                <w:color w:val="auto"/>
              </w:rPr>
              <w:t>services and solutions</w:t>
            </w:r>
          </w:p>
        </w:tc>
        <w:tc>
          <w:tcPr>
            <w:tcW w:w="0" w:type="dxa"/>
            <w:vAlign w:val="bottom"/>
          </w:tcPr>
          <w:p>
            <w:pPr>
              <w:spacing w:after="0"/>
              <w:rPr>
                <w:sz w:val="1"/>
                <w:szCs w:val="1"/>
                <w:color w:val="auto"/>
              </w:rPr>
            </w:pPr>
          </w:p>
        </w:tc>
      </w:tr>
      <w:tr>
        <w:trPr>
          <w:trHeight w:val="148"/>
        </w:trPr>
        <w:tc>
          <w:tcPr>
            <w:tcW w:w="2020" w:type="dxa"/>
            <w:vAlign w:val="bottom"/>
            <w:vMerge w:val="restart"/>
          </w:tcPr>
          <w:p>
            <w:pPr>
              <w:spacing w:after="0"/>
              <w:rPr>
                <w:sz w:val="20"/>
                <w:szCs w:val="20"/>
                <w:color w:val="auto"/>
              </w:rPr>
            </w:pPr>
            <w:r>
              <w:rPr>
                <w:rFonts w:ascii="Arial" w:cs="Arial" w:eastAsia="Arial" w:hAnsi="Arial"/>
                <w:sz w:val="13"/>
                <w:szCs w:val="13"/>
                <w:color w:val="auto"/>
              </w:rPr>
              <w:t>China Search (Asia) Limited</w:t>
            </w:r>
          </w:p>
        </w:tc>
        <w:tc>
          <w:tcPr>
            <w:tcW w:w="1160" w:type="dxa"/>
            <w:vAlign w:val="bottom"/>
          </w:tcPr>
          <w:p>
            <w:pPr>
              <w:ind w:left="60"/>
              <w:spacing w:after="0"/>
              <w:rPr>
                <w:sz w:val="20"/>
                <w:szCs w:val="20"/>
                <w:color w:val="auto"/>
              </w:rPr>
            </w:pPr>
            <w:r>
              <w:rPr>
                <w:rFonts w:ascii="Arial" w:cs="Arial" w:eastAsia="Arial" w:hAnsi="Arial"/>
                <w:sz w:val="13"/>
                <w:szCs w:val="13"/>
                <w:color w:val="auto"/>
              </w:rPr>
              <w:t>Subsidiary</w:t>
            </w:r>
          </w:p>
        </w:tc>
        <w:tc>
          <w:tcPr>
            <w:tcW w:w="1220" w:type="dxa"/>
            <w:vAlign w:val="bottom"/>
          </w:tcPr>
          <w:p>
            <w:pPr>
              <w:ind w:left="420"/>
              <w:spacing w:after="0"/>
              <w:rPr>
                <w:sz w:val="20"/>
                <w:szCs w:val="20"/>
                <w:color w:val="auto"/>
              </w:rPr>
            </w:pPr>
            <w:r>
              <w:rPr>
                <w:rFonts w:ascii="Arial" w:cs="Arial" w:eastAsia="Arial" w:hAnsi="Arial"/>
                <w:sz w:val="13"/>
                <w:szCs w:val="13"/>
                <w:color w:val="auto"/>
              </w:rPr>
              <w:t>100%</w:t>
            </w:r>
          </w:p>
        </w:tc>
        <w:tc>
          <w:tcPr>
            <w:tcW w:w="1460" w:type="dxa"/>
            <w:vAlign w:val="bottom"/>
          </w:tcPr>
          <w:p>
            <w:pPr>
              <w:ind w:left="220"/>
              <w:spacing w:after="0"/>
              <w:rPr>
                <w:sz w:val="20"/>
                <w:szCs w:val="20"/>
                <w:color w:val="auto"/>
              </w:rPr>
            </w:pPr>
            <w:r>
              <w:rPr>
                <w:rFonts w:ascii="Arial" w:cs="Arial" w:eastAsia="Arial" w:hAnsi="Arial"/>
                <w:sz w:val="13"/>
                <w:szCs w:val="13"/>
                <w:color w:val="auto"/>
              </w:rPr>
              <w:t>September 2010</w:t>
            </w:r>
          </w:p>
        </w:tc>
        <w:tc>
          <w:tcPr>
            <w:tcW w:w="1100" w:type="dxa"/>
            <w:vAlign w:val="bottom"/>
          </w:tcPr>
          <w:p>
            <w:pPr>
              <w:ind w:left="220"/>
              <w:spacing w:after="0"/>
              <w:rPr>
                <w:sz w:val="20"/>
                <w:szCs w:val="20"/>
                <w:color w:val="auto"/>
              </w:rPr>
            </w:pPr>
            <w:r>
              <w:rPr>
                <w:rFonts w:ascii="Arial" w:cs="Arial" w:eastAsia="Arial" w:hAnsi="Arial"/>
                <w:sz w:val="13"/>
                <w:szCs w:val="13"/>
                <w:color w:val="auto"/>
              </w:rPr>
              <w:t>Hong Kong</w:t>
            </w:r>
          </w:p>
        </w:tc>
        <w:tc>
          <w:tcPr>
            <w:tcW w:w="2060" w:type="dxa"/>
            <w:vAlign w:val="bottom"/>
          </w:tcPr>
          <w:p>
            <w:pPr>
              <w:ind w:left="260"/>
              <w:spacing w:after="0"/>
              <w:rPr>
                <w:sz w:val="20"/>
                <w:szCs w:val="20"/>
                <w:color w:val="auto"/>
              </w:rPr>
            </w:pPr>
            <w:r>
              <w:rPr>
                <w:rFonts w:ascii="Arial" w:cs="Arial" w:eastAsia="Arial" w:hAnsi="Arial"/>
                <w:sz w:val="13"/>
                <w:szCs w:val="13"/>
                <w:color w:val="auto"/>
              </w:rPr>
              <w:t>Internet marketing</w:t>
            </w:r>
          </w:p>
        </w:tc>
        <w:tc>
          <w:tcPr>
            <w:tcW w:w="0" w:type="dxa"/>
            <w:vAlign w:val="bottom"/>
          </w:tcPr>
          <w:p>
            <w:pPr>
              <w:spacing w:after="0"/>
              <w:rPr>
                <w:sz w:val="1"/>
                <w:szCs w:val="1"/>
                <w:color w:val="auto"/>
              </w:rPr>
            </w:pPr>
          </w:p>
        </w:tc>
      </w:tr>
      <w:tr>
        <w:trPr>
          <w:trHeight w:val="91"/>
        </w:trPr>
        <w:tc>
          <w:tcPr>
            <w:tcW w:w="202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60" w:type="dxa"/>
            <w:vAlign w:val="bottom"/>
            <w:vMerge w:val="restart"/>
          </w:tcPr>
          <w:p>
            <w:pPr>
              <w:ind w:left="260"/>
              <w:spacing w:after="0"/>
              <w:rPr>
                <w:sz w:val="20"/>
                <w:szCs w:val="20"/>
                <w:color w:val="auto"/>
              </w:rPr>
            </w:pPr>
            <w:r>
              <w:rPr>
                <w:rFonts w:ascii="Arial" w:cs="Arial" w:eastAsia="Arial" w:hAnsi="Arial"/>
                <w:sz w:val="13"/>
                <w:szCs w:val="13"/>
                <w:color w:val="auto"/>
              </w:rPr>
              <w:t>services and solutions</w:t>
            </w:r>
          </w:p>
        </w:tc>
        <w:tc>
          <w:tcPr>
            <w:tcW w:w="0" w:type="dxa"/>
            <w:vAlign w:val="bottom"/>
          </w:tcPr>
          <w:p>
            <w:pPr>
              <w:spacing w:after="0"/>
              <w:rPr>
                <w:sz w:val="1"/>
                <w:szCs w:val="1"/>
                <w:color w:val="auto"/>
              </w:rPr>
            </w:pPr>
          </w:p>
        </w:tc>
      </w:tr>
      <w:tr>
        <w:trPr>
          <w:trHeight w:val="57"/>
        </w:trPr>
        <w:tc>
          <w:tcPr>
            <w:tcW w:w="20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20"/>
                <w:szCs w:val="20"/>
                <w:color w:val="auto"/>
              </w:rPr>
            </w:pPr>
            <w:r>
              <w:rPr>
                <w:rFonts w:ascii="Arial" w:cs="Arial" w:eastAsia="Arial" w:hAnsi="Arial"/>
                <w:sz w:val="13"/>
                <w:szCs w:val="13"/>
                <w:color w:val="auto"/>
              </w:rPr>
              <w:t>iClick Interactive (Singapore) Pte.</w:t>
            </w:r>
          </w:p>
        </w:tc>
        <w:tc>
          <w:tcPr>
            <w:tcW w:w="1160" w:type="dxa"/>
            <w:vAlign w:val="bottom"/>
          </w:tcPr>
          <w:p>
            <w:pPr>
              <w:ind w:left="60"/>
              <w:spacing w:after="0"/>
              <w:rPr>
                <w:sz w:val="20"/>
                <w:szCs w:val="20"/>
                <w:color w:val="auto"/>
              </w:rPr>
            </w:pPr>
            <w:r>
              <w:rPr>
                <w:rFonts w:ascii="Arial" w:cs="Arial" w:eastAsia="Arial" w:hAnsi="Arial"/>
                <w:sz w:val="13"/>
                <w:szCs w:val="13"/>
                <w:color w:val="auto"/>
              </w:rPr>
              <w:t>Subsidiary</w:t>
            </w:r>
          </w:p>
        </w:tc>
        <w:tc>
          <w:tcPr>
            <w:tcW w:w="1220" w:type="dxa"/>
            <w:vAlign w:val="bottom"/>
          </w:tcPr>
          <w:p>
            <w:pPr>
              <w:ind w:left="420"/>
              <w:spacing w:after="0"/>
              <w:rPr>
                <w:sz w:val="20"/>
                <w:szCs w:val="20"/>
                <w:color w:val="auto"/>
              </w:rPr>
            </w:pPr>
            <w:r>
              <w:rPr>
                <w:rFonts w:ascii="Arial" w:cs="Arial" w:eastAsia="Arial" w:hAnsi="Arial"/>
                <w:sz w:val="13"/>
                <w:szCs w:val="13"/>
                <w:color w:val="auto"/>
              </w:rPr>
              <w:t>100%</w:t>
            </w:r>
          </w:p>
        </w:tc>
        <w:tc>
          <w:tcPr>
            <w:tcW w:w="1460" w:type="dxa"/>
            <w:vAlign w:val="bottom"/>
          </w:tcPr>
          <w:p>
            <w:pPr>
              <w:ind w:left="220"/>
              <w:spacing w:after="0"/>
              <w:rPr>
                <w:sz w:val="20"/>
                <w:szCs w:val="20"/>
                <w:color w:val="auto"/>
              </w:rPr>
            </w:pPr>
            <w:r>
              <w:rPr>
                <w:rFonts w:ascii="Arial" w:cs="Arial" w:eastAsia="Arial" w:hAnsi="Arial"/>
                <w:sz w:val="13"/>
                <w:szCs w:val="13"/>
                <w:color w:val="auto"/>
              </w:rPr>
              <w:t>January 2011</w:t>
            </w:r>
          </w:p>
        </w:tc>
        <w:tc>
          <w:tcPr>
            <w:tcW w:w="1100" w:type="dxa"/>
            <w:vAlign w:val="bottom"/>
          </w:tcPr>
          <w:p>
            <w:pPr>
              <w:ind w:left="220"/>
              <w:spacing w:after="0"/>
              <w:rPr>
                <w:sz w:val="20"/>
                <w:szCs w:val="20"/>
                <w:color w:val="auto"/>
              </w:rPr>
            </w:pPr>
            <w:r>
              <w:rPr>
                <w:rFonts w:ascii="Arial" w:cs="Arial" w:eastAsia="Arial" w:hAnsi="Arial"/>
                <w:sz w:val="13"/>
                <w:szCs w:val="13"/>
                <w:color w:val="auto"/>
              </w:rPr>
              <w:t>Singapore</w:t>
            </w:r>
          </w:p>
        </w:tc>
        <w:tc>
          <w:tcPr>
            <w:tcW w:w="2060" w:type="dxa"/>
            <w:vAlign w:val="bottom"/>
          </w:tcPr>
          <w:p>
            <w:pPr>
              <w:ind w:left="260"/>
              <w:spacing w:after="0"/>
              <w:rPr>
                <w:sz w:val="20"/>
                <w:szCs w:val="20"/>
                <w:color w:val="auto"/>
              </w:rPr>
            </w:pPr>
            <w:r>
              <w:rPr>
                <w:rFonts w:ascii="Arial" w:cs="Arial" w:eastAsia="Arial" w:hAnsi="Arial"/>
                <w:sz w:val="13"/>
                <w:szCs w:val="13"/>
                <w:color w:val="auto"/>
              </w:rPr>
              <w:t>Internet marketing</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20"/>
                <w:szCs w:val="20"/>
                <w:color w:val="auto"/>
              </w:rPr>
            </w:pPr>
            <w:r>
              <w:rPr>
                <w:rFonts w:ascii="Arial" w:cs="Arial" w:eastAsia="Arial" w:hAnsi="Arial"/>
                <w:sz w:val="13"/>
                <w:szCs w:val="13"/>
                <w:color w:val="auto"/>
              </w:rPr>
              <w:t>Ltd.</w:t>
            </w:r>
          </w:p>
        </w:tc>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60" w:type="dxa"/>
            <w:vAlign w:val="bottom"/>
          </w:tcPr>
          <w:p>
            <w:pPr>
              <w:ind w:left="260"/>
              <w:spacing w:after="0"/>
              <w:rPr>
                <w:sz w:val="20"/>
                <w:szCs w:val="20"/>
                <w:color w:val="auto"/>
              </w:rPr>
            </w:pPr>
            <w:r>
              <w:rPr>
                <w:rFonts w:ascii="Arial" w:cs="Arial" w:eastAsia="Arial" w:hAnsi="Arial"/>
                <w:sz w:val="13"/>
                <w:szCs w:val="13"/>
                <w:color w:val="auto"/>
              </w:rPr>
              <w:t>services and solutions</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20"/>
                <w:szCs w:val="20"/>
                <w:color w:val="auto"/>
              </w:rPr>
            </w:pPr>
            <w:r>
              <w:rPr>
                <w:rFonts w:ascii="Arial" w:cs="Arial" w:eastAsia="Arial" w:hAnsi="Arial"/>
                <w:sz w:val="13"/>
                <w:szCs w:val="13"/>
                <w:color w:val="auto"/>
              </w:rPr>
              <w:t>iClick Data Technology (Beijing)</w:t>
            </w:r>
          </w:p>
        </w:tc>
        <w:tc>
          <w:tcPr>
            <w:tcW w:w="1160" w:type="dxa"/>
            <w:vAlign w:val="bottom"/>
          </w:tcPr>
          <w:p>
            <w:pPr>
              <w:ind w:left="60"/>
              <w:spacing w:after="0"/>
              <w:rPr>
                <w:sz w:val="20"/>
                <w:szCs w:val="20"/>
                <w:color w:val="auto"/>
              </w:rPr>
            </w:pPr>
            <w:r>
              <w:rPr>
                <w:rFonts w:ascii="Arial" w:cs="Arial" w:eastAsia="Arial" w:hAnsi="Arial"/>
                <w:sz w:val="13"/>
                <w:szCs w:val="13"/>
                <w:color w:val="auto"/>
              </w:rPr>
              <w:t>Subsidiary</w:t>
            </w:r>
          </w:p>
        </w:tc>
        <w:tc>
          <w:tcPr>
            <w:tcW w:w="1220" w:type="dxa"/>
            <w:vAlign w:val="bottom"/>
          </w:tcPr>
          <w:p>
            <w:pPr>
              <w:ind w:left="420"/>
              <w:spacing w:after="0"/>
              <w:rPr>
                <w:sz w:val="20"/>
                <w:szCs w:val="20"/>
                <w:color w:val="auto"/>
              </w:rPr>
            </w:pPr>
            <w:r>
              <w:rPr>
                <w:rFonts w:ascii="Arial" w:cs="Arial" w:eastAsia="Arial" w:hAnsi="Arial"/>
                <w:sz w:val="13"/>
                <w:szCs w:val="13"/>
                <w:color w:val="auto"/>
              </w:rPr>
              <w:t>100%</w:t>
            </w:r>
          </w:p>
        </w:tc>
        <w:tc>
          <w:tcPr>
            <w:tcW w:w="1460" w:type="dxa"/>
            <w:vAlign w:val="bottom"/>
          </w:tcPr>
          <w:p>
            <w:pPr>
              <w:ind w:left="220"/>
              <w:spacing w:after="0"/>
              <w:rPr>
                <w:sz w:val="20"/>
                <w:szCs w:val="20"/>
                <w:color w:val="auto"/>
              </w:rPr>
            </w:pPr>
            <w:r>
              <w:rPr>
                <w:rFonts w:ascii="Arial" w:cs="Arial" w:eastAsia="Arial" w:hAnsi="Arial"/>
                <w:sz w:val="13"/>
                <w:szCs w:val="13"/>
                <w:color w:val="auto"/>
              </w:rPr>
              <w:t>January 2011</w:t>
            </w:r>
          </w:p>
        </w:tc>
        <w:tc>
          <w:tcPr>
            <w:tcW w:w="1100" w:type="dxa"/>
            <w:vAlign w:val="bottom"/>
          </w:tcPr>
          <w:p>
            <w:pPr>
              <w:ind w:left="220"/>
              <w:spacing w:after="0"/>
              <w:rPr>
                <w:sz w:val="20"/>
                <w:szCs w:val="20"/>
                <w:color w:val="auto"/>
              </w:rPr>
            </w:pPr>
            <w:r>
              <w:rPr>
                <w:rFonts w:ascii="Arial" w:cs="Arial" w:eastAsia="Arial" w:hAnsi="Arial"/>
                <w:sz w:val="13"/>
                <w:szCs w:val="13"/>
                <w:color w:val="auto"/>
              </w:rPr>
              <w:t>The PRC</w:t>
            </w:r>
          </w:p>
        </w:tc>
        <w:tc>
          <w:tcPr>
            <w:tcW w:w="2060" w:type="dxa"/>
            <w:vAlign w:val="bottom"/>
          </w:tcPr>
          <w:p>
            <w:pPr>
              <w:ind w:left="260"/>
              <w:spacing w:after="0"/>
              <w:rPr>
                <w:sz w:val="20"/>
                <w:szCs w:val="20"/>
                <w:color w:val="auto"/>
              </w:rPr>
            </w:pPr>
            <w:r>
              <w:rPr>
                <w:rFonts w:ascii="Arial" w:cs="Arial" w:eastAsia="Arial" w:hAnsi="Arial"/>
                <w:sz w:val="13"/>
                <w:szCs w:val="13"/>
                <w:color w:val="auto"/>
              </w:rPr>
              <w:t>Internet marketing</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20"/>
                <w:szCs w:val="20"/>
                <w:color w:val="auto"/>
              </w:rPr>
            </w:pPr>
            <w:r>
              <w:rPr>
                <w:rFonts w:ascii="Arial" w:cs="Arial" w:eastAsia="Arial" w:hAnsi="Arial"/>
                <w:sz w:val="13"/>
                <w:szCs w:val="13"/>
                <w:color w:val="auto"/>
              </w:rPr>
              <w:t>Limited</w:t>
            </w:r>
          </w:p>
        </w:tc>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60" w:type="dxa"/>
            <w:vAlign w:val="bottom"/>
          </w:tcPr>
          <w:p>
            <w:pPr>
              <w:ind w:left="260"/>
              <w:spacing w:after="0"/>
              <w:rPr>
                <w:sz w:val="20"/>
                <w:szCs w:val="20"/>
                <w:color w:val="auto"/>
              </w:rPr>
            </w:pPr>
            <w:r>
              <w:rPr>
                <w:rFonts w:ascii="Arial" w:cs="Arial" w:eastAsia="Arial" w:hAnsi="Arial"/>
                <w:sz w:val="13"/>
                <w:szCs w:val="13"/>
                <w:color w:val="auto"/>
              </w:rPr>
              <w:t>services and solutions</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20"/>
                <w:szCs w:val="20"/>
                <w:color w:val="auto"/>
              </w:rPr>
            </w:pPr>
            <w:r>
              <w:rPr>
                <w:rFonts w:ascii="Arial" w:cs="Arial" w:eastAsia="Arial" w:hAnsi="Arial"/>
                <w:sz w:val="13"/>
                <w:szCs w:val="13"/>
                <w:color w:val="auto"/>
                <w:w w:val="94"/>
              </w:rPr>
              <w:t>Search Asia Technology (Shenzhen)</w:t>
            </w:r>
          </w:p>
        </w:tc>
        <w:tc>
          <w:tcPr>
            <w:tcW w:w="1160" w:type="dxa"/>
            <w:vAlign w:val="bottom"/>
          </w:tcPr>
          <w:p>
            <w:pPr>
              <w:ind w:left="60"/>
              <w:spacing w:after="0"/>
              <w:rPr>
                <w:sz w:val="20"/>
                <w:szCs w:val="20"/>
                <w:color w:val="auto"/>
              </w:rPr>
            </w:pPr>
            <w:r>
              <w:rPr>
                <w:rFonts w:ascii="Arial" w:cs="Arial" w:eastAsia="Arial" w:hAnsi="Arial"/>
                <w:sz w:val="13"/>
                <w:szCs w:val="13"/>
                <w:color w:val="auto"/>
              </w:rPr>
              <w:t>Subsidiary</w:t>
            </w:r>
          </w:p>
        </w:tc>
        <w:tc>
          <w:tcPr>
            <w:tcW w:w="1220" w:type="dxa"/>
            <w:vAlign w:val="bottom"/>
          </w:tcPr>
          <w:p>
            <w:pPr>
              <w:ind w:left="420"/>
              <w:spacing w:after="0"/>
              <w:rPr>
                <w:sz w:val="20"/>
                <w:szCs w:val="20"/>
                <w:color w:val="auto"/>
              </w:rPr>
            </w:pPr>
            <w:r>
              <w:rPr>
                <w:rFonts w:ascii="Arial" w:cs="Arial" w:eastAsia="Arial" w:hAnsi="Arial"/>
                <w:sz w:val="13"/>
                <w:szCs w:val="13"/>
                <w:color w:val="auto"/>
              </w:rPr>
              <w:t>100%</w:t>
            </w:r>
          </w:p>
        </w:tc>
        <w:tc>
          <w:tcPr>
            <w:tcW w:w="1460" w:type="dxa"/>
            <w:vAlign w:val="bottom"/>
          </w:tcPr>
          <w:p>
            <w:pPr>
              <w:ind w:left="220"/>
              <w:spacing w:after="0"/>
              <w:rPr>
                <w:sz w:val="20"/>
                <w:szCs w:val="20"/>
                <w:color w:val="auto"/>
              </w:rPr>
            </w:pPr>
            <w:r>
              <w:rPr>
                <w:rFonts w:ascii="Arial" w:cs="Arial" w:eastAsia="Arial" w:hAnsi="Arial"/>
                <w:sz w:val="13"/>
                <w:szCs w:val="13"/>
                <w:color w:val="auto"/>
              </w:rPr>
              <w:t>January 2011</w:t>
            </w:r>
          </w:p>
        </w:tc>
        <w:tc>
          <w:tcPr>
            <w:tcW w:w="1100" w:type="dxa"/>
            <w:vAlign w:val="bottom"/>
          </w:tcPr>
          <w:p>
            <w:pPr>
              <w:ind w:left="220"/>
              <w:spacing w:after="0"/>
              <w:rPr>
                <w:sz w:val="20"/>
                <w:szCs w:val="20"/>
                <w:color w:val="auto"/>
              </w:rPr>
            </w:pPr>
            <w:r>
              <w:rPr>
                <w:rFonts w:ascii="Arial" w:cs="Arial" w:eastAsia="Arial" w:hAnsi="Arial"/>
                <w:sz w:val="13"/>
                <w:szCs w:val="13"/>
                <w:color w:val="auto"/>
              </w:rPr>
              <w:t>The PRC</w:t>
            </w:r>
          </w:p>
        </w:tc>
        <w:tc>
          <w:tcPr>
            <w:tcW w:w="2060" w:type="dxa"/>
            <w:vAlign w:val="bottom"/>
          </w:tcPr>
          <w:p>
            <w:pPr>
              <w:ind w:left="260"/>
              <w:spacing w:after="0"/>
              <w:rPr>
                <w:sz w:val="20"/>
                <w:szCs w:val="20"/>
                <w:color w:val="auto"/>
              </w:rPr>
            </w:pPr>
            <w:r>
              <w:rPr>
                <w:rFonts w:ascii="Arial" w:cs="Arial" w:eastAsia="Arial" w:hAnsi="Arial"/>
                <w:sz w:val="13"/>
                <w:szCs w:val="13"/>
                <w:color w:val="auto"/>
              </w:rPr>
              <w:t>Internet marketing</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20"/>
                <w:szCs w:val="20"/>
                <w:color w:val="auto"/>
              </w:rPr>
            </w:pPr>
            <w:r>
              <w:rPr>
                <w:rFonts w:ascii="Arial" w:cs="Arial" w:eastAsia="Arial" w:hAnsi="Arial"/>
                <w:sz w:val="13"/>
                <w:szCs w:val="13"/>
                <w:color w:val="auto"/>
              </w:rPr>
              <w:t>Co., Ltd.</w:t>
            </w:r>
          </w:p>
        </w:tc>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60" w:type="dxa"/>
            <w:vAlign w:val="bottom"/>
          </w:tcPr>
          <w:p>
            <w:pPr>
              <w:ind w:left="260"/>
              <w:spacing w:after="0"/>
              <w:rPr>
                <w:sz w:val="20"/>
                <w:szCs w:val="20"/>
                <w:color w:val="auto"/>
              </w:rPr>
            </w:pPr>
            <w:r>
              <w:rPr>
                <w:rFonts w:ascii="Arial" w:cs="Arial" w:eastAsia="Arial" w:hAnsi="Arial"/>
                <w:sz w:val="13"/>
                <w:szCs w:val="13"/>
                <w:color w:val="auto"/>
              </w:rPr>
              <w:t>services and solutions</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20"/>
                <w:szCs w:val="20"/>
                <w:color w:val="auto"/>
              </w:rPr>
            </w:pPr>
            <w:r>
              <w:rPr>
                <w:rFonts w:ascii="Arial" w:cs="Arial" w:eastAsia="Arial" w:hAnsi="Arial"/>
                <w:sz w:val="13"/>
                <w:szCs w:val="13"/>
                <w:color w:val="auto"/>
              </w:rPr>
              <w:t>Performance Media Group Limited</w:t>
            </w:r>
          </w:p>
        </w:tc>
        <w:tc>
          <w:tcPr>
            <w:tcW w:w="1160" w:type="dxa"/>
            <w:vAlign w:val="bottom"/>
          </w:tcPr>
          <w:p>
            <w:pPr>
              <w:ind w:left="60"/>
              <w:spacing w:after="0"/>
              <w:rPr>
                <w:sz w:val="20"/>
                <w:szCs w:val="20"/>
                <w:color w:val="auto"/>
              </w:rPr>
            </w:pPr>
            <w:r>
              <w:rPr>
                <w:rFonts w:ascii="Arial" w:cs="Arial" w:eastAsia="Arial" w:hAnsi="Arial"/>
                <w:sz w:val="13"/>
                <w:szCs w:val="13"/>
                <w:color w:val="auto"/>
              </w:rPr>
              <w:t>Subsidiary</w:t>
            </w:r>
          </w:p>
        </w:tc>
        <w:tc>
          <w:tcPr>
            <w:tcW w:w="1220" w:type="dxa"/>
            <w:vAlign w:val="bottom"/>
          </w:tcPr>
          <w:p>
            <w:pPr>
              <w:ind w:left="420"/>
              <w:spacing w:after="0"/>
              <w:rPr>
                <w:sz w:val="20"/>
                <w:szCs w:val="20"/>
                <w:color w:val="auto"/>
              </w:rPr>
            </w:pPr>
            <w:r>
              <w:rPr>
                <w:rFonts w:ascii="Arial" w:cs="Arial" w:eastAsia="Arial" w:hAnsi="Arial"/>
                <w:sz w:val="13"/>
                <w:szCs w:val="13"/>
                <w:color w:val="auto"/>
              </w:rPr>
              <w:t>100%</w:t>
            </w:r>
          </w:p>
        </w:tc>
        <w:tc>
          <w:tcPr>
            <w:tcW w:w="1460" w:type="dxa"/>
            <w:vAlign w:val="bottom"/>
          </w:tcPr>
          <w:p>
            <w:pPr>
              <w:ind w:left="220"/>
              <w:spacing w:after="0"/>
              <w:rPr>
                <w:sz w:val="20"/>
                <w:szCs w:val="20"/>
                <w:color w:val="auto"/>
              </w:rPr>
            </w:pPr>
            <w:r>
              <w:rPr>
                <w:rFonts w:ascii="Arial" w:cs="Arial" w:eastAsia="Arial" w:hAnsi="Arial"/>
                <w:sz w:val="13"/>
                <w:szCs w:val="13"/>
                <w:color w:val="auto"/>
              </w:rPr>
              <w:t>January 2013</w:t>
            </w:r>
          </w:p>
        </w:tc>
        <w:tc>
          <w:tcPr>
            <w:tcW w:w="1100" w:type="dxa"/>
            <w:vAlign w:val="bottom"/>
          </w:tcPr>
          <w:p>
            <w:pPr>
              <w:ind w:left="220"/>
              <w:spacing w:after="0"/>
              <w:rPr>
                <w:sz w:val="20"/>
                <w:szCs w:val="20"/>
                <w:color w:val="auto"/>
              </w:rPr>
            </w:pPr>
            <w:r>
              <w:rPr>
                <w:rFonts w:ascii="Arial" w:cs="Arial" w:eastAsia="Arial" w:hAnsi="Arial"/>
                <w:sz w:val="13"/>
                <w:szCs w:val="13"/>
                <w:color w:val="auto"/>
              </w:rPr>
              <w:t>Hong Kong</w:t>
            </w:r>
          </w:p>
        </w:tc>
        <w:tc>
          <w:tcPr>
            <w:tcW w:w="2060" w:type="dxa"/>
            <w:vAlign w:val="bottom"/>
          </w:tcPr>
          <w:p>
            <w:pPr>
              <w:ind w:left="260"/>
              <w:spacing w:after="0"/>
              <w:rPr>
                <w:sz w:val="20"/>
                <w:szCs w:val="20"/>
                <w:color w:val="auto"/>
              </w:rPr>
            </w:pPr>
            <w:r>
              <w:rPr>
                <w:rFonts w:ascii="Arial" w:cs="Arial" w:eastAsia="Arial" w:hAnsi="Arial"/>
                <w:sz w:val="13"/>
                <w:szCs w:val="13"/>
                <w:color w:val="auto"/>
              </w:rPr>
              <w:t>Internet marketing</w:t>
            </w:r>
          </w:p>
        </w:tc>
        <w:tc>
          <w:tcPr>
            <w:tcW w:w="0" w:type="dxa"/>
            <w:vAlign w:val="bottom"/>
          </w:tcPr>
          <w:p>
            <w:pPr>
              <w:spacing w:after="0"/>
              <w:rPr>
                <w:sz w:val="1"/>
                <w:szCs w:val="1"/>
                <w:color w:val="auto"/>
              </w:rPr>
            </w:pPr>
          </w:p>
        </w:tc>
      </w:tr>
      <w:tr>
        <w:trPr>
          <w:trHeight w:val="172"/>
        </w:trPr>
        <w:tc>
          <w:tcPr>
            <w:tcW w:w="2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60" w:type="dxa"/>
            <w:vAlign w:val="bottom"/>
          </w:tcPr>
          <w:p>
            <w:pPr>
              <w:ind w:left="260"/>
              <w:spacing w:after="0"/>
              <w:rPr>
                <w:sz w:val="20"/>
                <w:szCs w:val="20"/>
                <w:color w:val="auto"/>
              </w:rPr>
            </w:pPr>
            <w:r>
              <w:rPr>
                <w:rFonts w:ascii="Arial" w:cs="Arial" w:eastAsia="Arial" w:hAnsi="Arial"/>
                <w:sz w:val="13"/>
                <w:szCs w:val="13"/>
                <w:color w:val="auto"/>
              </w:rPr>
              <w:t>services and solutions</w:t>
            </w:r>
          </w:p>
        </w:tc>
        <w:tc>
          <w:tcPr>
            <w:tcW w:w="0" w:type="dxa"/>
            <w:vAlign w:val="bottom"/>
          </w:tcPr>
          <w:p>
            <w:pPr>
              <w:spacing w:after="0"/>
              <w:rPr>
                <w:sz w:val="1"/>
                <w:szCs w:val="1"/>
                <w:color w:val="auto"/>
              </w:rPr>
            </w:pPr>
          </w:p>
        </w:tc>
      </w:tr>
      <w:tr>
        <w:trPr>
          <w:trHeight w:val="314"/>
        </w:trPr>
        <w:tc>
          <w:tcPr>
            <w:tcW w:w="2020" w:type="dxa"/>
            <w:vAlign w:val="bottom"/>
          </w:tcPr>
          <w:p>
            <w:pPr>
              <w:spacing w:after="0"/>
              <w:rPr>
                <w:sz w:val="20"/>
                <w:szCs w:val="20"/>
                <w:color w:val="auto"/>
              </w:rPr>
            </w:pPr>
            <w:r>
              <w:rPr>
                <w:rFonts w:ascii="Arial" w:cs="Arial" w:eastAsia="Arial" w:hAnsi="Arial"/>
                <w:sz w:val="13"/>
                <w:szCs w:val="13"/>
                <w:color w:val="auto"/>
              </w:rPr>
              <w:t>Addoil Broadcasts Limited</w:t>
            </w:r>
          </w:p>
        </w:tc>
        <w:tc>
          <w:tcPr>
            <w:tcW w:w="1160" w:type="dxa"/>
            <w:vAlign w:val="bottom"/>
          </w:tcPr>
          <w:p>
            <w:pPr>
              <w:ind w:left="60"/>
              <w:spacing w:after="0"/>
              <w:rPr>
                <w:sz w:val="20"/>
                <w:szCs w:val="20"/>
                <w:color w:val="auto"/>
              </w:rPr>
            </w:pPr>
            <w:r>
              <w:rPr>
                <w:rFonts w:ascii="Arial" w:cs="Arial" w:eastAsia="Arial" w:hAnsi="Arial"/>
                <w:sz w:val="13"/>
                <w:szCs w:val="13"/>
                <w:color w:val="auto"/>
              </w:rPr>
              <w:t>Subsidiary</w:t>
            </w:r>
          </w:p>
        </w:tc>
        <w:tc>
          <w:tcPr>
            <w:tcW w:w="1220" w:type="dxa"/>
            <w:vAlign w:val="bottom"/>
          </w:tcPr>
          <w:p>
            <w:pPr>
              <w:ind w:left="420"/>
              <w:spacing w:after="0"/>
              <w:rPr>
                <w:sz w:val="20"/>
                <w:szCs w:val="20"/>
                <w:color w:val="auto"/>
              </w:rPr>
            </w:pPr>
            <w:r>
              <w:rPr>
                <w:rFonts w:ascii="Arial" w:cs="Arial" w:eastAsia="Arial" w:hAnsi="Arial"/>
                <w:sz w:val="13"/>
                <w:szCs w:val="13"/>
                <w:color w:val="auto"/>
              </w:rPr>
              <w:t>100%</w:t>
            </w:r>
          </w:p>
        </w:tc>
        <w:tc>
          <w:tcPr>
            <w:tcW w:w="1460" w:type="dxa"/>
            <w:vAlign w:val="bottom"/>
          </w:tcPr>
          <w:p>
            <w:pPr>
              <w:ind w:left="220"/>
              <w:spacing w:after="0"/>
              <w:rPr>
                <w:sz w:val="20"/>
                <w:szCs w:val="20"/>
                <w:color w:val="auto"/>
              </w:rPr>
            </w:pPr>
            <w:r>
              <w:rPr>
                <w:rFonts w:ascii="Arial" w:cs="Arial" w:eastAsia="Arial" w:hAnsi="Arial"/>
                <w:sz w:val="13"/>
                <w:szCs w:val="13"/>
                <w:color w:val="auto"/>
              </w:rPr>
              <w:t>June 2017</w:t>
            </w:r>
          </w:p>
        </w:tc>
        <w:tc>
          <w:tcPr>
            <w:tcW w:w="1100" w:type="dxa"/>
            <w:vAlign w:val="bottom"/>
          </w:tcPr>
          <w:p>
            <w:pPr>
              <w:ind w:left="220"/>
              <w:spacing w:after="0"/>
              <w:rPr>
                <w:sz w:val="20"/>
                <w:szCs w:val="20"/>
                <w:color w:val="auto"/>
              </w:rPr>
            </w:pPr>
            <w:r>
              <w:rPr>
                <w:rFonts w:ascii="Arial" w:cs="Arial" w:eastAsia="Arial" w:hAnsi="Arial"/>
                <w:sz w:val="13"/>
                <w:szCs w:val="13"/>
                <w:color w:val="auto"/>
              </w:rPr>
              <w:t>Hong Kong</w:t>
            </w:r>
          </w:p>
        </w:tc>
        <w:tc>
          <w:tcPr>
            <w:tcW w:w="2060" w:type="dxa"/>
            <w:vAlign w:val="bottom"/>
          </w:tcPr>
          <w:p>
            <w:pPr>
              <w:ind w:left="260"/>
              <w:spacing w:after="0"/>
              <w:rPr>
                <w:sz w:val="20"/>
                <w:szCs w:val="20"/>
                <w:color w:val="auto"/>
              </w:rPr>
            </w:pPr>
            <w:r>
              <w:rPr>
                <w:rFonts w:ascii="Arial" w:cs="Arial" w:eastAsia="Arial" w:hAnsi="Arial"/>
                <w:sz w:val="13"/>
                <w:szCs w:val="13"/>
                <w:color w:val="auto"/>
                <w:w w:val="93"/>
              </w:rPr>
              <w:t>Developing and operating mobile</w:t>
            </w:r>
          </w:p>
        </w:tc>
        <w:tc>
          <w:tcPr>
            <w:tcW w:w="0" w:type="dxa"/>
            <w:vAlign w:val="bottom"/>
          </w:tcPr>
          <w:p>
            <w:pPr>
              <w:spacing w:after="0"/>
              <w:rPr>
                <w:sz w:val="1"/>
                <w:szCs w:val="1"/>
                <w:color w:val="auto"/>
              </w:rPr>
            </w:pPr>
          </w:p>
        </w:tc>
      </w:tr>
      <w:tr>
        <w:trPr>
          <w:trHeight w:val="135"/>
        </w:trPr>
        <w:tc>
          <w:tcPr>
            <w:tcW w:w="2020" w:type="dxa"/>
            <w:vAlign w:val="bottom"/>
          </w:tcPr>
          <w:p>
            <w:pPr>
              <w:spacing w:after="0" w:line="135" w:lineRule="exact"/>
              <w:rPr>
                <w:sz w:val="20"/>
                <w:szCs w:val="20"/>
                <w:color w:val="auto"/>
              </w:rPr>
            </w:pPr>
            <w:r>
              <w:rPr>
                <w:rFonts w:ascii="Arial" w:cs="Arial" w:eastAsia="Arial" w:hAnsi="Arial"/>
                <w:sz w:val="13"/>
                <w:szCs w:val="13"/>
                <w:color w:val="auto"/>
              </w:rPr>
              <w:t>(“Addoil”)</w:t>
            </w:r>
          </w:p>
        </w:tc>
        <w:tc>
          <w:tcPr>
            <w:tcW w:w="1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60" w:type="dxa"/>
            <w:vAlign w:val="bottom"/>
          </w:tcPr>
          <w:p>
            <w:pPr>
              <w:ind w:left="260"/>
              <w:spacing w:after="0" w:line="135" w:lineRule="exact"/>
              <w:rPr>
                <w:sz w:val="20"/>
                <w:szCs w:val="20"/>
                <w:color w:val="auto"/>
              </w:rPr>
            </w:pPr>
            <w:r>
              <w:rPr>
                <w:rFonts w:ascii="Arial" w:cs="Arial" w:eastAsia="Arial" w:hAnsi="Arial"/>
                <w:sz w:val="13"/>
                <w:szCs w:val="13"/>
                <w:color w:val="auto"/>
              </w:rPr>
              <w:t>application</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20"/>
                <w:szCs w:val="20"/>
                <w:color w:val="auto"/>
              </w:rPr>
            </w:pPr>
            <w:r>
              <w:rPr>
                <w:rFonts w:ascii="Arial" w:cs="Arial" w:eastAsia="Arial" w:hAnsi="Arial"/>
                <w:sz w:val="13"/>
                <w:szCs w:val="13"/>
                <w:color w:val="auto"/>
              </w:rPr>
              <w:t>CMRS Digital Solutions Limited</w:t>
            </w:r>
          </w:p>
        </w:tc>
        <w:tc>
          <w:tcPr>
            <w:tcW w:w="1160" w:type="dxa"/>
            <w:vAlign w:val="bottom"/>
          </w:tcPr>
          <w:p>
            <w:pPr>
              <w:ind w:left="60"/>
              <w:spacing w:after="0"/>
              <w:rPr>
                <w:sz w:val="20"/>
                <w:szCs w:val="20"/>
                <w:color w:val="auto"/>
              </w:rPr>
            </w:pPr>
            <w:r>
              <w:rPr>
                <w:rFonts w:ascii="Arial" w:cs="Arial" w:eastAsia="Arial" w:hAnsi="Arial"/>
                <w:sz w:val="13"/>
                <w:szCs w:val="13"/>
                <w:color w:val="auto"/>
              </w:rPr>
              <w:t>Subsidiary</w:t>
            </w:r>
          </w:p>
        </w:tc>
        <w:tc>
          <w:tcPr>
            <w:tcW w:w="1220" w:type="dxa"/>
            <w:vAlign w:val="bottom"/>
          </w:tcPr>
          <w:p>
            <w:pPr>
              <w:ind w:left="420"/>
              <w:spacing w:after="0"/>
              <w:rPr>
                <w:sz w:val="20"/>
                <w:szCs w:val="20"/>
                <w:color w:val="auto"/>
              </w:rPr>
            </w:pPr>
            <w:r>
              <w:rPr>
                <w:rFonts w:ascii="Arial" w:cs="Arial" w:eastAsia="Arial" w:hAnsi="Arial"/>
                <w:sz w:val="13"/>
                <w:szCs w:val="13"/>
                <w:color w:val="auto"/>
              </w:rPr>
              <w:t>100%</w:t>
            </w:r>
          </w:p>
        </w:tc>
        <w:tc>
          <w:tcPr>
            <w:tcW w:w="1460" w:type="dxa"/>
            <w:vAlign w:val="bottom"/>
          </w:tcPr>
          <w:p>
            <w:pPr>
              <w:jc w:val="center"/>
              <w:ind w:left="373"/>
              <w:spacing w:after="0"/>
              <w:rPr>
                <w:sz w:val="20"/>
                <w:szCs w:val="20"/>
                <w:color w:val="auto"/>
              </w:rPr>
            </w:pPr>
            <w:r>
              <w:rPr>
                <w:rFonts w:ascii="Arial" w:cs="Arial" w:eastAsia="Arial" w:hAnsi="Arial"/>
                <w:sz w:val="13"/>
                <w:szCs w:val="13"/>
                <w:color w:val="auto"/>
                <w:w w:val="99"/>
              </w:rPr>
              <w:t>April 2008</w:t>
            </w:r>
          </w:p>
        </w:tc>
        <w:tc>
          <w:tcPr>
            <w:tcW w:w="1100" w:type="dxa"/>
            <w:vAlign w:val="bottom"/>
          </w:tcPr>
          <w:p>
            <w:pPr>
              <w:ind w:left="220"/>
              <w:spacing w:after="0"/>
              <w:rPr>
                <w:sz w:val="20"/>
                <w:szCs w:val="20"/>
                <w:color w:val="auto"/>
              </w:rPr>
            </w:pPr>
            <w:r>
              <w:rPr>
                <w:rFonts w:ascii="Arial" w:cs="Arial" w:eastAsia="Arial" w:hAnsi="Arial"/>
                <w:sz w:val="13"/>
                <w:szCs w:val="13"/>
                <w:color w:val="auto"/>
              </w:rPr>
              <w:t>Hong Kong</w:t>
            </w:r>
          </w:p>
        </w:tc>
        <w:tc>
          <w:tcPr>
            <w:tcW w:w="2060" w:type="dxa"/>
            <w:vAlign w:val="bottom"/>
          </w:tcPr>
          <w:p>
            <w:pPr>
              <w:ind w:left="260"/>
              <w:spacing w:after="0"/>
              <w:rPr>
                <w:sz w:val="20"/>
                <w:szCs w:val="20"/>
                <w:color w:val="auto"/>
              </w:rPr>
            </w:pPr>
            <w:r>
              <w:rPr>
                <w:rFonts w:ascii="Arial" w:cs="Arial" w:eastAsia="Arial" w:hAnsi="Arial"/>
                <w:sz w:val="13"/>
                <w:szCs w:val="13"/>
                <w:color w:val="auto"/>
              </w:rPr>
              <w:t>Internet marketing</w:t>
            </w:r>
          </w:p>
        </w:tc>
        <w:tc>
          <w:tcPr>
            <w:tcW w:w="0" w:type="dxa"/>
            <w:vAlign w:val="bottom"/>
          </w:tcPr>
          <w:p>
            <w:pPr>
              <w:spacing w:after="0"/>
              <w:rPr>
                <w:sz w:val="1"/>
                <w:szCs w:val="1"/>
                <w:color w:val="auto"/>
              </w:rPr>
            </w:pPr>
          </w:p>
        </w:tc>
      </w:tr>
      <w:tr>
        <w:trPr>
          <w:trHeight w:val="175"/>
        </w:trPr>
        <w:tc>
          <w:tcPr>
            <w:tcW w:w="2020" w:type="dxa"/>
            <w:vAlign w:val="bottom"/>
          </w:tcPr>
          <w:p>
            <w:pPr>
              <w:spacing w:after="0"/>
              <w:rPr>
                <w:sz w:val="20"/>
                <w:szCs w:val="20"/>
                <w:color w:val="auto"/>
              </w:rPr>
            </w:pPr>
            <w:r>
              <w:rPr>
                <w:rFonts w:ascii="Arial" w:cs="Arial" w:eastAsia="Arial" w:hAnsi="Arial"/>
                <w:sz w:val="13"/>
                <w:szCs w:val="13"/>
                <w:color w:val="auto"/>
              </w:rPr>
              <w:t>(“CMRS Digital”)</w:t>
            </w: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60" w:type="dxa"/>
            <w:vAlign w:val="bottom"/>
          </w:tcPr>
          <w:p>
            <w:pPr>
              <w:ind w:left="260"/>
              <w:spacing w:after="0"/>
              <w:rPr>
                <w:sz w:val="20"/>
                <w:szCs w:val="20"/>
                <w:color w:val="auto"/>
              </w:rPr>
            </w:pPr>
            <w:r>
              <w:rPr>
                <w:rFonts w:ascii="Arial" w:cs="Arial" w:eastAsia="Arial" w:hAnsi="Arial"/>
                <w:sz w:val="13"/>
                <w:szCs w:val="13"/>
                <w:color w:val="auto"/>
              </w:rPr>
              <w:t>services and solutions</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20"/>
                <w:szCs w:val="20"/>
                <w:color w:val="auto"/>
              </w:rPr>
            </w:pPr>
            <w:r>
              <w:rPr>
                <w:rFonts w:ascii="Arial" w:cs="Arial" w:eastAsia="Arial" w:hAnsi="Arial"/>
                <w:sz w:val="13"/>
                <w:szCs w:val="13"/>
                <w:color w:val="auto"/>
              </w:rPr>
              <w:t>Beyond Digital Solutions Limited</w:t>
            </w:r>
          </w:p>
        </w:tc>
        <w:tc>
          <w:tcPr>
            <w:tcW w:w="1160" w:type="dxa"/>
            <w:vAlign w:val="bottom"/>
          </w:tcPr>
          <w:p>
            <w:pPr>
              <w:ind w:left="60"/>
              <w:spacing w:after="0"/>
              <w:rPr>
                <w:sz w:val="20"/>
                <w:szCs w:val="20"/>
                <w:color w:val="auto"/>
              </w:rPr>
            </w:pPr>
            <w:r>
              <w:rPr>
                <w:rFonts w:ascii="Arial" w:cs="Arial" w:eastAsia="Arial" w:hAnsi="Arial"/>
                <w:sz w:val="13"/>
                <w:szCs w:val="13"/>
                <w:color w:val="auto"/>
              </w:rPr>
              <w:t>Subsidiary</w:t>
            </w:r>
          </w:p>
        </w:tc>
        <w:tc>
          <w:tcPr>
            <w:tcW w:w="1220" w:type="dxa"/>
            <w:vAlign w:val="bottom"/>
          </w:tcPr>
          <w:p>
            <w:pPr>
              <w:ind w:left="420"/>
              <w:spacing w:after="0"/>
              <w:rPr>
                <w:sz w:val="20"/>
                <w:szCs w:val="20"/>
                <w:color w:val="auto"/>
              </w:rPr>
            </w:pPr>
            <w:r>
              <w:rPr>
                <w:rFonts w:ascii="Arial" w:cs="Arial" w:eastAsia="Arial" w:hAnsi="Arial"/>
                <w:sz w:val="13"/>
                <w:szCs w:val="13"/>
                <w:color w:val="auto"/>
              </w:rPr>
              <w:t>100%</w:t>
            </w:r>
          </w:p>
        </w:tc>
        <w:tc>
          <w:tcPr>
            <w:tcW w:w="1460" w:type="dxa"/>
            <w:vAlign w:val="bottom"/>
          </w:tcPr>
          <w:p>
            <w:pPr>
              <w:jc w:val="center"/>
              <w:ind w:left="373"/>
              <w:spacing w:after="0"/>
              <w:rPr>
                <w:sz w:val="20"/>
                <w:szCs w:val="20"/>
                <w:color w:val="auto"/>
              </w:rPr>
            </w:pPr>
            <w:r>
              <w:rPr>
                <w:rFonts w:ascii="Arial" w:cs="Arial" w:eastAsia="Arial" w:hAnsi="Arial"/>
                <w:sz w:val="13"/>
                <w:szCs w:val="13"/>
                <w:color w:val="auto"/>
                <w:w w:val="99"/>
              </w:rPr>
              <w:t>April 2010</w:t>
            </w:r>
          </w:p>
        </w:tc>
        <w:tc>
          <w:tcPr>
            <w:tcW w:w="1100" w:type="dxa"/>
            <w:vAlign w:val="bottom"/>
          </w:tcPr>
          <w:p>
            <w:pPr>
              <w:ind w:left="220"/>
              <w:spacing w:after="0"/>
              <w:rPr>
                <w:sz w:val="20"/>
                <w:szCs w:val="20"/>
                <w:color w:val="auto"/>
              </w:rPr>
            </w:pPr>
            <w:r>
              <w:rPr>
                <w:rFonts w:ascii="Arial" w:cs="Arial" w:eastAsia="Arial" w:hAnsi="Arial"/>
                <w:sz w:val="13"/>
                <w:szCs w:val="13"/>
                <w:color w:val="auto"/>
              </w:rPr>
              <w:t>Hong Kong</w:t>
            </w:r>
          </w:p>
        </w:tc>
        <w:tc>
          <w:tcPr>
            <w:tcW w:w="2060" w:type="dxa"/>
            <w:vAlign w:val="bottom"/>
          </w:tcPr>
          <w:p>
            <w:pPr>
              <w:ind w:left="260"/>
              <w:spacing w:after="0"/>
              <w:rPr>
                <w:sz w:val="20"/>
                <w:szCs w:val="20"/>
                <w:color w:val="auto"/>
              </w:rPr>
            </w:pPr>
            <w:r>
              <w:rPr>
                <w:rFonts w:ascii="Arial" w:cs="Arial" w:eastAsia="Arial" w:hAnsi="Arial"/>
                <w:sz w:val="13"/>
                <w:szCs w:val="13"/>
                <w:color w:val="auto"/>
              </w:rPr>
              <w:t>Internet marketing</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20"/>
                <w:szCs w:val="20"/>
                <w:color w:val="auto"/>
              </w:rPr>
            </w:pPr>
            <w:r>
              <w:rPr>
                <w:rFonts w:ascii="Arial" w:cs="Arial" w:eastAsia="Arial" w:hAnsi="Arial"/>
                <w:sz w:val="13"/>
                <w:szCs w:val="13"/>
                <w:color w:val="auto"/>
              </w:rPr>
              <w:t>(“Beyond Digital”)</w:t>
            </w: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60" w:type="dxa"/>
            <w:vAlign w:val="bottom"/>
          </w:tcPr>
          <w:p>
            <w:pPr>
              <w:ind w:left="260"/>
              <w:spacing w:after="0"/>
              <w:rPr>
                <w:sz w:val="20"/>
                <w:szCs w:val="20"/>
                <w:color w:val="auto"/>
              </w:rPr>
            </w:pPr>
            <w:r>
              <w:rPr>
                <w:rFonts w:ascii="Arial" w:cs="Arial" w:eastAsia="Arial" w:hAnsi="Arial"/>
                <w:sz w:val="13"/>
                <w:szCs w:val="13"/>
                <w:color w:val="auto"/>
              </w:rPr>
              <w:t>services and solutions</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20"/>
                <w:szCs w:val="20"/>
                <w:color w:val="auto"/>
              </w:rPr>
            </w:pPr>
            <w:r>
              <w:rPr>
                <w:rFonts w:ascii="Arial" w:cs="Arial" w:eastAsia="Arial" w:hAnsi="Arial"/>
                <w:sz w:val="13"/>
                <w:szCs w:val="13"/>
                <w:color w:val="auto"/>
              </w:rPr>
              <w:t>CruiSo Digital Solutions Limited</w:t>
            </w:r>
          </w:p>
        </w:tc>
        <w:tc>
          <w:tcPr>
            <w:tcW w:w="1160" w:type="dxa"/>
            <w:vAlign w:val="bottom"/>
          </w:tcPr>
          <w:p>
            <w:pPr>
              <w:ind w:left="60"/>
              <w:spacing w:after="0"/>
              <w:rPr>
                <w:sz w:val="20"/>
                <w:szCs w:val="20"/>
                <w:color w:val="auto"/>
              </w:rPr>
            </w:pPr>
            <w:r>
              <w:rPr>
                <w:rFonts w:ascii="Arial" w:cs="Arial" w:eastAsia="Arial" w:hAnsi="Arial"/>
                <w:sz w:val="13"/>
                <w:szCs w:val="13"/>
                <w:color w:val="auto"/>
              </w:rPr>
              <w:t>Subsidiary</w:t>
            </w:r>
          </w:p>
        </w:tc>
        <w:tc>
          <w:tcPr>
            <w:tcW w:w="1220" w:type="dxa"/>
            <w:vAlign w:val="bottom"/>
          </w:tcPr>
          <w:p>
            <w:pPr>
              <w:ind w:left="420"/>
              <w:spacing w:after="0"/>
              <w:rPr>
                <w:sz w:val="20"/>
                <w:szCs w:val="20"/>
                <w:color w:val="auto"/>
              </w:rPr>
            </w:pPr>
            <w:r>
              <w:rPr>
                <w:rFonts w:ascii="Arial" w:cs="Arial" w:eastAsia="Arial" w:hAnsi="Arial"/>
                <w:sz w:val="13"/>
                <w:szCs w:val="13"/>
                <w:color w:val="auto"/>
              </w:rPr>
              <w:t>100%</w:t>
            </w:r>
          </w:p>
        </w:tc>
        <w:tc>
          <w:tcPr>
            <w:tcW w:w="1460" w:type="dxa"/>
            <w:vAlign w:val="bottom"/>
          </w:tcPr>
          <w:p>
            <w:pPr>
              <w:jc w:val="center"/>
              <w:ind w:left="373"/>
              <w:spacing w:after="0"/>
              <w:rPr>
                <w:sz w:val="20"/>
                <w:szCs w:val="20"/>
                <w:color w:val="auto"/>
              </w:rPr>
            </w:pPr>
            <w:r>
              <w:rPr>
                <w:rFonts w:ascii="Arial" w:cs="Arial" w:eastAsia="Arial" w:hAnsi="Arial"/>
                <w:sz w:val="13"/>
                <w:szCs w:val="13"/>
                <w:color w:val="auto"/>
                <w:w w:val="94"/>
              </w:rPr>
              <w:t>May 2011</w:t>
            </w:r>
          </w:p>
        </w:tc>
        <w:tc>
          <w:tcPr>
            <w:tcW w:w="1100" w:type="dxa"/>
            <w:vAlign w:val="bottom"/>
          </w:tcPr>
          <w:p>
            <w:pPr>
              <w:ind w:left="220"/>
              <w:spacing w:after="0"/>
              <w:rPr>
                <w:sz w:val="20"/>
                <w:szCs w:val="20"/>
                <w:color w:val="auto"/>
              </w:rPr>
            </w:pPr>
            <w:r>
              <w:rPr>
                <w:rFonts w:ascii="Arial" w:cs="Arial" w:eastAsia="Arial" w:hAnsi="Arial"/>
                <w:sz w:val="13"/>
                <w:szCs w:val="13"/>
                <w:color w:val="auto"/>
              </w:rPr>
              <w:t>Hong Kong</w:t>
            </w:r>
          </w:p>
        </w:tc>
        <w:tc>
          <w:tcPr>
            <w:tcW w:w="2060" w:type="dxa"/>
            <w:vAlign w:val="bottom"/>
          </w:tcPr>
          <w:p>
            <w:pPr>
              <w:ind w:left="260"/>
              <w:spacing w:after="0"/>
              <w:rPr>
                <w:sz w:val="20"/>
                <w:szCs w:val="20"/>
                <w:color w:val="auto"/>
              </w:rPr>
            </w:pPr>
            <w:r>
              <w:rPr>
                <w:rFonts w:ascii="Arial" w:cs="Arial" w:eastAsia="Arial" w:hAnsi="Arial"/>
                <w:sz w:val="13"/>
                <w:szCs w:val="13"/>
                <w:color w:val="auto"/>
              </w:rPr>
              <w:t>Internet marketing</w:t>
            </w:r>
          </w:p>
        </w:tc>
        <w:tc>
          <w:tcPr>
            <w:tcW w:w="0" w:type="dxa"/>
            <w:vAlign w:val="bottom"/>
          </w:tcPr>
          <w:p>
            <w:pPr>
              <w:spacing w:after="0"/>
              <w:rPr>
                <w:sz w:val="1"/>
                <w:szCs w:val="1"/>
                <w:color w:val="auto"/>
              </w:rPr>
            </w:pPr>
          </w:p>
        </w:tc>
      </w:tr>
      <w:tr>
        <w:trPr>
          <w:trHeight w:val="175"/>
        </w:trPr>
        <w:tc>
          <w:tcPr>
            <w:tcW w:w="2020" w:type="dxa"/>
            <w:vAlign w:val="bottom"/>
          </w:tcPr>
          <w:p>
            <w:pPr>
              <w:spacing w:after="0"/>
              <w:rPr>
                <w:sz w:val="20"/>
                <w:szCs w:val="20"/>
                <w:color w:val="auto"/>
              </w:rPr>
            </w:pPr>
            <w:r>
              <w:rPr>
                <w:rFonts w:ascii="Arial" w:cs="Arial" w:eastAsia="Arial" w:hAnsi="Arial"/>
                <w:sz w:val="13"/>
                <w:szCs w:val="13"/>
                <w:color w:val="auto"/>
              </w:rPr>
              <w:t>(“CruiSo Digtal”)</w:t>
            </w: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60" w:type="dxa"/>
            <w:vAlign w:val="bottom"/>
          </w:tcPr>
          <w:p>
            <w:pPr>
              <w:ind w:left="260"/>
              <w:spacing w:after="0"/>
              <w:rPr>
                <w:sz w:val="20"/>
                <w:szCs w:val="20"/>
                <w:color w:val="auto"/>
              </w:rPr>
            </w:pPr>
            <w:r>
              <w:rPr>
                <w:rFonts w:ascii="Arial" w:cs="Arial" w:eastAsia="Arial" w:hAnsi="Arial"/>
                <w:sz w:val="13"/>
                <w:szCs w:val="13"/>
                <w:color w:val="auto"/>
              </w:rPr>
              <w:t>services and solutions</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20"/>
                <w:szCs w:val="20"/>
                <w:color w:val="auto"/>
              </w:rPr>
            </w:pPr>
            <w:r>
              <w:rPr>
                <w:rFonts w:ascii="Arial" w:cs="Arial" w:eastAsia="Arial" w:hAnsi="Arial"/>
                <w:sz w:val="13"/>
                <w:szCs w:val="13"/>
                <w:color w:val="auto"/>
              </w:rPr>
              <w:t>Tetris Media (Shanghai) Co., Ltd.</w:t>
            </w:r>
          </w:p>
        </w:tc>
        <w:tc>
          <w:tcPr>
            <w:tcW w:w="1160" w:type="dxa"/>
            <w:vAlign w:val="bottom"/>
          </w:tcPr>
          <w:p>
            <w:pPr>
              <w:ind w:left="60"/>
              <w:spacing w:after="0"/>
              <w:rPr>
                <w:sz w:val="20"/>
                <w:szCs w:val="20"/>
                <w:color w:val="auto"/>
              </w:rPr>
            </w:pPr>
            <w:r>
              <w:rPr>
                <w:rFonts w:ascii="Arial" w:cs="Arial" w:eastAsia="Arial" w:hAnsi="Arial"/>
                <w:sz w:val="13"/>
                <w:szCs w:val="13"/>
                <w:color w:val="auto"/>
              </w:rPr>
              <w:t>Subsidiary</w:t>
            </w:r>
          </w:p>
        </w:tc>
        <w:tc>
          <w:tcPr>
            <w:tcW w:w="1220" w:type="dxa"/>
            <w:vAlign w:val="bottom"/>
          </w:tcPr>
          <w:p>
            <w:pPr>
              <w:ind w:left="420"/>
              <w:spacing w:after="0"/>
              <w:rPr>
                <w:sz w:val="20"/>
                <w:szCs w:val="20"/>
                <w:color w:val="auto"/>
              </w:rPr>
            </w:pPr>
            <w:r>
              <w:rPr>
                <w:rFonts w:ascii="Arial" w:cs="Arial" w:eastAsia="Arial" w:hAnsi="Arial"/>
                <w:sz w:val="13"/>
                <w:szCs w:val="13"/>
                <w:color w:val="auto"/>
              </w:rPr>
              <w:t>100%</w:t>
            </w:r>
          </w:p>
        </w:tc>
        <w:tc>
          <w:tcPr>
            <w:tcW w:w="1460" w:type="dxa"/>
            <w:vAlign w:val="bottom"/>
          </w:tcPr>
          <w:p>
            <w:pPr>
              <w:jc w:val="center"/>
              <w:ind w:left="373"/>
              <w:spacing w:after="0"/>
              <w:rPr>
                <w:sz w:val="20"/>
                <w:szCs w:val="20"/>
                <w:color w:val="auto"/>
              </w:rPr>
            </w:pPr>
            <w:r>
              <w:rPr>
                <w:rFonts w:ascii="Arial" w:cs="Arial" w:eastAsia="Arial" w:hAnsi="Arial"/>
                <w:sz w:val="13"/>
                <w:szCs w:val="13"/>
                <w:color w:val="auto"/>
                <w:w w:val="99"/>
              </w:rPr>
              <w:t>April 2008</w:t>
            </w:r>
          </w:p>
        </w:tc>
        <w:tc>
          <w:tcPr>
            <w:tcW w:w="1100" w:type="dxa"/>
            <w:vAlign w:val="bottom"/>
          </w:tcPr>
          <w:p>
            <w:pPr>
              <w:ind w:left="220"/>
              <w:spacing w:after="0"/>
              <w:rPr>
                <w:sz w:val="20"/>
                <w:szCs w:val="20"/>
                <w:color w:val="auto"/>
              </w:rPr>
            </w:pPr>
            <w:r>
              <w:rPr>
                <w:rFonts w:ascii="Arial" w:cs="Arial" w:eastAsia="Arial" w:hAnsi="Arial"/>
                <w:sz w:val="13"/>
                <w:szCs w:val="13"/>
                <w:color w:val="auto"/>
              </w:rPr>
              <w:t>Hong Kong</w:t>
            </w:r>
          </w:p>
        </w:tc>
        <w:tc>
          <w:tcPr>
            <w:tcW w:w="2060" w:type="dxa"/>
            <w:vAlign w:val="bottom"/>
          </w:tcPr>
          <w:p>
            <w:pPr>
              <w:ind w:left="260"/>
              <w:spacing w:after="0"/>
              <w:rPr>
                <w:sz w:val="20"/>
                <w:szCs w:val="20"/>
                <w:color w:val="auto"/>
              </w:rPr>
            </w:pPr>
            <w:r>
              <w:rPr>
                <w:rFonts w:ascii="Arial" w:cs="Arial" w:eastAsia="Arial" w:hAnsi="Arial"/>
                <w:sz w:val="13"/>
                <w:szCs w:val="13"/>
                <w:color w:val="auto"/>
              </w:rPr>
              <w:t>Internet marketing</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60" w:type="dxa"/>
            <w:vAlign w:val="bottom"/>
          </w:tcPr>
          <w:p>
            <w:pPr>
              <w:ind w:left="260"/>
              <w:spacing w:after="0"/>
              <w:rPr>
                <w:sz w:val="20"/>
                <w:szCs w:val="20"/>
                <w:color w:val="auto"/>
              </w:rPr>
            </w:pPr>
            <w:r>
              <w:rPr>
                <w:rFonts w:ascii="Arial" w:cs="Arial" w:eastAsia="Arial" w:hAnsi="Arial"/>
                <w:sz w:val="13"/>
                <w:szCs w:val="13"/>
                <w:color w:val="auto"/>
              </w:rPr>
              <w:t>services and solutions</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20"/>
                <w:szCs w:val="20"/>
                <w:color w:val="auto"/>
              </w:rPr>
            </w:pPr>
            <w:r>
              <w:rPr>
                <w:rFonts w:ascii="Arial" w:cs="Arial" w:eastAsia="Arial" w:hAnsi="Arial"/>
                <w:sz w:val="13"/>
                <w:szCs w:val="13"/>
                <w:color w:val="auto"/>
              </w:rPr>
              <w:t>OptAim (Beijing) Information</w:t>
            </w:r>
          </w:p>
        </w:tc>
        <w:tc>
          <w:tcPr>
            <w:tcW w:w="1160" w:type="dxa"/>
            <w:vAlign w:val="bottom"/>
          </w:tcPr>
          <w:p>
            <w:pPr>
              <w:ind w:left="60"/>
              <w:spacing w:after="0"/>
              <w:rPr>
                <w:sz w:val="20"/>
                <w:szCs w:val="20"/>
                <w:color w:val="auto"/>
              </w:rPr>
            </w:pPr>
            <w:r>
              <w:rPr>
                <w:rFonts w:ascii="Arial" w:cs="Arial" w:eastAsia="Arial" w:hAnsi="Arial"/>
                <w:sz w:val="13"/>
                <w:szCs w:val="13"/>
                <w:color w:val="auto"/>
              </w:rPr>
              <w:t>Subsidiary</w:t>
            </w:r>
          </w:p>
        </w:tc>
        <w:tc>
          <w:tcPr>
            <w:tcW w:w="1220" w:type="dxa"/>
            <w:vAlign w:val="bottom"/>
          </w:tcPr>
          <w:p>
            <w:pPr>
              <w:ind w:left="420"/>
              <w:spacing w:after="0"/>
              <w:rPr>
                <w:sz w:val="20"/>
                <w:szCs w:val="20"/>
                <w:color w:val="auto"/>
              </w:rPr>
            </w:pPr>
            <w:r>
              <w:rPr>
                <w:rFonts w:ascii="Arial" w:cs="Arial" w:eastAsia="Arial" w:hAnsi="Arial"/>
                <w:sz w:val="13"/>
                <w:szCs w:val="13"/>
                <w:color w:val="auto"/>
              </w:rPr>
              <w:t>100%</w:t>
            </w:r>
          </w:p>
        </w:tc>
        <w:tc>
          <w:tcPr>
            <w:tcW w:w="1460" w:type="dxa"/>
            <w:vAlign w:val="bottom"/>
          </w:tcPr>
          <w:p>
            <w:pPr>
              <w:jc w:val="center"/>
              <w:ind w:left="373"/>
              <w:spacing w:after="0"/>
              <w:rPr>
                <w:sz w:val="20"/>
                <w:szCs w:val="20"/>
                <w:color w:val="auto"/>
              </w:rPr>
            </w:pPr>
            <w:r>
              <w:rPr>
                <w:rFonts w:ascii="Arial" w:cs="Arial" w:eastAsia="Arial" w:hAnsi="Arial"/>
                <w:sz w:val="13"/>
                <w:szCs w:val="13"/>
                <w:color w:val="auto"/>
                <w:w w:val="92"/>
              </w:rPr>
              <w:t>November 2014</w:t>
            </w:r>
          </w:p>
        </w:tc>
        <w:tc>
          <w:tcPr>
            <w:tcW w:w="1100" w:type="dxa"/>
            <w:vAlign w:val="bottom"/>
          </w:tcPr>
          <w:p>
            <w:pPr>
              <w:ind w:left="220"/>
              <w:spacing w:after="0"/>
              <w:rPr>
                <w:sz w:val="20"/>
                <w:szCs w:val="20"/>
                <w:color w:val="auto"/>
              </w:rPr>
            </w:pPr>
            <w:r>
              <w:rPr>
                <w:rFonts w:ascii="Arial" w:cs="Arial" w:eastAsia="Arial" w:hAnsi="Arial"/>
                <w:sz w:val="13"/>
                <w:szCs w:val="13"/>
                <w:color w:val="auto"/>
              </w:rPr>
              <w:t>The PRC</w:t>
            </w:r>
          </w:p>
        </w:tc>
        <w:tc>
          <w:tcPr>
            <w:tcW w:w="2060" w:type="dxa"/>
            <w:vAlign w:val="bottom"/>
          </w:tcPr>
          <w:p>
            <w:pPr>
              <w:ind w:left="260"/>
              <w:spacing w:after="0"/>
              <w:rPr>
                <w:sz w:val="20"/>
                <w:szCs w:val="20"/>
                <w:color w:val="auto"/>
              </w:rPr>
            </w:pPr>
            <w:r>
              <w:rPr>
                <w:rFonts w:ascii="Arial" w:cs="Arial" w:eastAsia="Arial" w:hAnsi="Arial"/>
                <w:sz w:val="13"/>
                <w:szCs w:val="13"/>
                <w:color w:val="auto"/>
              </w:rPr>
              <w:t>Internet marketing</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20"/>
                <w:szCs w:val="20"/>
                <w:color w:val="auto"/>
              </w:rPr>
            </w:pPr>
            <w:r>
              <w:rPr>
                <w:rFonts w:ascii="Arial" w:cs="Arial" w:eastAsia="Arial" w:hAnsi="Arial"/>
                <w:sz w:val="13"/>
                <w:szCs w:val="13"/>
                <w:color w:val="auto"/>
              </w:rPr>
              <w:t>Technology Co., Ltd. (“OptAim</w:t>
            </w:r>
          </w:p>
        </w:tc>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60" w:type="dxa"/>
            <w:vAlign w:val="bottom"/>
          </w:tcPr>
          <w:p>
            <w:pPr>
              <w:ind w:left="260"/>
              <w:spacing w:after="0"/>
              <w:rPr>
                <w:sz w:val="20"/>
                <w:szCs w:val="20"/>
                <w:color w:val="auto"/>
              </w:rPr>
            </w:pPr>
            <w:r>
              <w:rPr>
                <w:rFonts w:ascii="Arial" w:cs="Arial" w:eastAsia="Arial" w:hAnsi="Arial"/>
                <w:sz w:val="13"/>
                <w:szCs w:val="13"/>
                <w:color w:val="auto"/>
              </w:rPr>
              <w:t>services and solutions</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20"/>
                <w:szCs w:val="20"/>
                <w:color w:val="auto"/>
              </w:rPr>
            </w:pPr>
            <w:r>
              <w:rPr>
                <w:rFonts w:ascii="Arial" w:cs="Arial" w:eastAsia="Arial" w:hAnsi="Arial"/>
                <w:sz w:val="13"/>
                <w:szCs w:val="13"/>
                <w:color w:val="auto"/>
              </w:rPr>
              <w:t>WFOE”)</w:t>
            </w:r>
          </w:p>
        </w:tc>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20"/>
                <w:szCs w:val="20"/>
                <w:color w:val="auto"/>
              </w:rPr>
            </w:pPr>
            <w:r>
              <w:rPr>
                <w:rFonts w:ascii="Arial" w:cs="Arial" w:eastAsia="Arial" w:hAnsi="Arial"/>
                <w:sz w:val="13"/>
                <w:szCs w:val="13"/>
                <w:color w:val="auto"/>
              </w:rPr>
              <w:t>Anhui Zhiyunzhong Information</w:t>
            </w:r>
          </w:p>
        </w:tc>
        <w:tc>
          <w:tcPr>
            <w:tcW w:w="1160" w:type="dxa"/>
            <w:vAlign w:val="bottom"/>
          </w:tcPr>
          <w:p>
            <w:pPr>
              <w:ind w:left="60"/>
              <w:spacing w:after="0"/>
              <w:rPr>
                <w:sz w:val="20"/>
                <w:szCs w:val="20"/>
                <w:color w:val="auto"/>
              </w:rPr>
            </w:pPr>
            <w:r>
              <w:rPr>
                <w:rFonts w:ascii="Arial" w:cs="Arial" w:eastAsia="Arial" w:hAnsi="Arial"/>
                <w:sz w:val="13"/>
                <w:szCs w:val="13"/>
                <w:color w:val="auto"/>
              </w:rPr>
              <w:t>Subsidiary</w:t>
            </w:r>
          </w:p>
        </w:tc>
        <w:tc>
          <w:tcPr>
            <w:tcW w:w="1220" w:type="dxa"/>
            <w:vAlign w:val="bottom"/>
          </w:tcPr>
          <w:p>
            <w:pPr>
              <w:ind w:left="420"/>
              <w:spacing w:after="0"/>
              <w:rPr>
                <w:sz w:val="20"/>
                <w:szCs w:val="20"/>
                <w:color w:val="auto"/>
              </w:rPr>
            </w:pPr>
            <w:r>
              <w:rPr>
                <w:rFonts w:ascii="Arial" w:cs="Arial" w:eastAsia="Arial" w:hAnsi="Arial"/>
                <w:sz w:val="13"/>
                <w:szCs w:val="13"/>
                <w:color w:val="auto"/>
              </w:rPr>
              <w:t>100%</w:t>
            </w:r>
          </w:p>
        </w:tc>
        <w:tc>
          <w:tcPr>
            <w:tcW w:w="1460" w:type="dxa"/>
            <w:vAlign w:val="bottom"/>
          </w:tcPr>
          <w:p>
            <w:pPr>
              <w:jc w:val="center"/>
              <w:ind w:left="373"/>
              <w:spacing w:after="0"/>
              <w:rPr>
                <w:sz w:val="20"/>
                <w:szCs w:val="20"/>
                <w:color w:val="auto"/>
              </w:rPr>
            </w:pPr>
            <w:r>
              <w:rPr>
                <w:rFonts w:ascii="Arial" w:cs="Arial" w:eastAsia="Arial" w:hAnsi="Arial"/>
                <w:sz w:val="13"/>
                <w:szCs w:val="13"/>
                <w:color w:val="auto"/>
                <w:w w:val="92"/>
              </w:rPr>
              <w:t>November 2017</w:t>
            </w:r>
          </w:p>
        </w:tc>
        <w:tc>
          <w:tcPr>
            <w:tcW w:w="1100" w:type="dxa"/>
            <w:vAlign w:val="bottom"/>
          </w:tcPr>
          <w:p>
            <w:pPr>
              <w:ind w:left="220"/>
              <w:spacing w:after="0"/>
              <w:rPr>
                <w:sz w:val="20"/>
                <w:szCs w:val="20"/>
                <w:color w:val="auto"/>
              </w:rPr>
            </w:pPr>
            <w:r>
              <w:rPr>
                <w:rFonts w:ascii="Arial" w:cs="Arial" w:eastAsia="Arial" w:hAnsi="Arial"/>
                <w:sz w:val="13"/>
                <w:szCs w:val="13"/>
                <w:color w:val="auto"/>
              </w:rPr>
              <w:t>The PRC</w:t>
            </w:r>
          </w:p>
        </w:tc>
        <w:tc>
          <w:tcPr>
            <w:tcW w:w="2060" w:type="dxa"/>
            <w:vAlign w:val="bottom"/>
          </w:tcPr>
          <w:p>
            <w:pPr>
              <w:ind w:left="260"/>
              <w:spacing w:after="0"/>
              <w:rPr>
                <w:sz w:val="20"/>
                <w:szCs w:val="20"/>
                <w:color w:val="auto"/>
              </w:rPr>
            </w:pPr>
            <w:r>
              <w:rPr>
                <w:rFonts w:ascii="Arial" w:cs="Arial" w:eastAsia="Arial" w:hAnsi="Arial"/>
                <w:sz w:val="13"/>
                <w:szCs w:val="13"/>
                <w:color w:val="auto"/>
              </w:rPr>
              <w:t>Internet marketing</w:t>
            </w:r>
          </w:p>
        </w:tc>
        <w:tc>
          <w:tcPr>
            <w:tcW w:w="0" w:type="dxa"/>
            <w:vAlign w:val="bottom"/>
          </w:tcPr>
          <w:p>
            <w:pPr>
              <w:spacing w:after="0"/>
              <w:rPr>
                <w:sz w:val="1"/>
                <w:szCs w:val="1"/>
                <w:color w:val="auto"/>
              </w:rPr>
            </w:pPr>
          </w:p>
        </w:tc>
      </w:tr>
      <w:tr>
        <w:trPr>
          <w:trHeight w:val="173"/>
        </w:trPr>
        <w:tc>
          <w:tcPr>
            <w:tcW w:w="2020" w:type="dxa"/>
            <w:vAlign w:val="bottom"/>
          </w:tcPr>
          <w:p>
            <w:pPr>
              <w:spacing w:after="0"/>
              <w:rPr>
                <w:sz w:val="20"/>
                <w:szCs w:val="20"/>
                <w:color w:val="auto"/>
              </w:rPr>
            </w:pPr>
            <w:r>
              <w:rPr>
                <w:rFonts w:ascii="Arial" w:cs="Arial" w:eastAsia="Arial" w:hAnsi="Arial"/>
                <w:sz w:val="13"/>
                <w:szCs w:val="13"/>
                <w:color w:val="auto"/>
              </w:rPr>
              <w:t>Technology Co., Ltd. (“OptAim</w:t>
            </w: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60" w:type="dxa"/>
            <w:vAlign w:val="bottom"/>
          </w:tcPr>
          <w:p>
            <w:pPr>
              <w:ind w:left="260"/>
              <w:spacing w:after="0"/>
              <w:rPr>
                <w:sz w:val="20"/>
                <w:szCs w:val="20"/>
                <w:color w:val="auto"/>
              </w:rPr>
            </w:pPr>
            <w:r>
              <w:rPr>
                <w:rFonts w:ascii="Arial" w:cs="Arial" w:eastAsia="Arial" w:hAnsi="Arial"/>
                <w:sz w:val="13"/>
                <w:szCs w:val="13"/>
                <w:color w:val="auto"/>
              </w:rPr>
              <w:t>services and solutions</w:t>
            </w:r>
          </w:p>
        </w:tc>
        <w:tc>
          <w:tcPr>
            <w:tcW w:w="0" w:type="dxa"/>
            <w:vAlign w:val="bottom"/>
          </w:tcPr>
          <w:p>
            <w:pPr>
              <w:spacing w:after="0"/>
              <w:rPr>
                <w:sz w:val="1"/>
                <w:szCs w:val="1"/>
                <w:color w:val="auto"/>
              </w:rPr>
            </w:pPr>
          </w:p>
        </w:tc>
      </w:tr>
      <w:tr>
        <w:trPr>
          <w:trHeight w:val="172"/>
        </w:trPr>
        <w:tc>
          <w:tcPr>
            <w:tcW w:w="2020" w:type="dxa"/>
            <w:vAlign w:val="bottom"/>
          </w:tcPr>
          <w:p>
            <w:pPr>
              <w:spacing w:after="0"/>
              <w:rPr>
                <w:sz w:val="20"/>
                <w:szCs w:val="20"/>
                <w:color w:val="auto"/>
              </w:rPr>
            </w:pPr>
            <w:r>
              <w:rPr>
                <w:rFonts w:ascii="Arial" w:cs="Arial" w:eastAsia="Arial" w:hAnsi="Arial"/>
                <w:sz w:val="13"/>
                <w:szCs w:val="13"/>
                <w:color w:val="auto"/>
              </w:rPr>
              <w:t>Anhui”)</w:t>
            </w: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38" w:name="page139"/>
    <w:bookmarkEnd w:id="138"/>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239" w:lineRule="exact"/>
        <w:rPr>
          <w:sz w:val="20"/>
          <w:szCs w:val="20"/>
          <w:color w:val="auto"/>
        </w:rPr>
      </w:pPr>
    </w:p>
    <w:p>
      <w:pPr>
        <w:ind w:left="720" w:hanging="712"/>
        <w:spacing w:after="0"/>
        <w:tabs>
          <w:tab w:leader="none" w:pos="7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75" w:lineRule="exact"/>
        <w:rPr>
          <w:rFonts w:ascii="Arial" w:cs="Arial" w:eastAsia="Arial" w:hAnsi="Arial"/>
          <w:sz w:val="18"/>
          <w:szCs w:val="18"/>
          <w:b w:val="1"/>
          <w:bCs w:val="1"/>
          <w:color w:val="auto"/>
        </w:rPr>
      </w:pPr>
    </w:p>
    <w:p>
      <w:pPr>
        <w:ind w:left="74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the financial statements of the Company, its principal subsidiaries and consolidated VIEs and the VIE’s subsidiaries (defined in Note 1(b)) as follows: (Continued)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Arial" w:cs="Arial" w:eastAsia="Arial" w:hAnsi="Arial"/>
                <w:sz w:val="13"/>
                <w:szCs w:val="13"/>
                <w:color w:val="auto"/>
              </w:rPr>
              <w:t>% of direct</w:t>
            </w: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80" w:type="dxa"/>
            <w:vAlign w:val="bottom"/>
          </w:tcPr>
          <w:p>
            <w:pPr>
              <w:ind w:left="540"/>
              <w:spacing w:after="0"/>
              <w:rPr>
                <w:sz w:val="20"/>
                <w:szCs w:val="20"/>
                <w:color w:val="auto"/>
              </w:rPr>
            </w:pPr>
            <w:r>
              <w:rPr>
                <w:rFonts w:ascii="Arial" w:cs="Arial" w:eastAsia="Arial" w:hAnsi="Arial"/>
                <w:sz w:val="13"/>
                <w:szCs w:val="13"/>
                <w:color w:val="auto"/>
              </w:rPr>
              <w:t>or indirect</w:t>
            </w:r>
          </w:p>
        </w:tc>
        <w:tc>
          <w:tcPr>
            <w:tcW w:w="1720" w:type="dxa"/>
            <w:vAlign w:val="bottom"/>
            <w:vMerge w:val="restart"/>
          </w:tcPr>
          <w:p>
            <w:pPr>
              <w:ind w:left="540"/>
              <w:spacing w:after="0"/>
              <w:rPr>
                <w:sz w:val="20"/>
                <w:szCs w:val="20"/>
                <w:color w:val="auto"/>
              </w:rPr>
            </w:pPr>
            <w:r>
              <w:rPr>
                <w:rFonts w:ascii="Arial" w:cs="Arial" w:eastAsia="Arial" w:hAnsi="Arial"/>
                <w:sz w:val="13"/>
                <w:szCs w:val="13"/>
                <w:color w:val="auto"/>
              </w:rPr>
              <w:t>Date of</w:t>
            </w:r>
          </w:p>
        </w:tc>
        <w:tc>
          <w:tcPr>
            <w:tcW w:w="1500" w:type="dxa"/>
            <w:vAlign w:val="bottom"/>
            <w:vMerge w:val="restart"/>
          </w:tcPr>
          <w:p>
            <w:pPr>
              <w:ind w:left="500"/>
              <w:spacing w:after="0"/>
              <w:rPr>
                <w:sz w:val="20"/>
                <w:szCs w:val="20"/>
                <w:color w:val="auto"/>
              </w:rPr>
            </w:pPr>
            <w:r>
              <w:rPr>
                <w:rFonts w:ascii="Arial" w:cs="Arial" w:eastAsia="Arial" w:hAnsi="Arial"/>
                <w:sz w:val="13"/>
                <w:szCs w:val="13"/>
                <w:color w:val="auto"/>
              </w:rPr>
              <w:t>Place of</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80" w:type="dxa"/>
            <w:vAlign w:val="bottom"/>
          </w:tcPr>
          <w:p>
            <w:pPr>
              <w:ind w:left="540"/>
              <w:spacing w:after="0" w:line="135" w:lineRule="exact"/>
              <w:rPr>
                <w:sz w:val="20"/>
                <w:szCs w:val="20"/>
                <w:color w:val="auto"/>
              </w:rPr>
            </w:pPr>
            <w:r>
              <w:rPr>
                <w:rFonts w:ascii="Arial" w:cs="Arial" w:eastAsia="Arial" w:hAnsi="Arial"/>
                <w:sz w:val="13"/>
                <w:szCs w:val="13"/>
                <w:color w:val="auto"/>
              </w:rPr>
              <w:t>economic</w:t>
            </w:r>
          </w:p>
        </w:tc>
        <w:tc>
          <w:tcPr>
            <w:tcW w:w="17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ind w:left="540"/>
              <w:spacing w:after="0"/>
              <w:rPr>
                <w:sz w:val="20"/>
                <w:szCs w:val="20"/>
                <w:color w:val="auto"/>
              </w:rPr>
            </w:pPr>
            <w:r>
              <w:rPr>
                <w:rFonts w:ascii="Arial" w:cs="Arial" w:eastAsia="Arial" w:hAnsi="Arial"/>
                <w:sz w:val="13"/>
                <w:szCs w:val="13"/>
                <w:color w:val="auto"/>
              </w:rPr>
              <w:t>ownership</w:t>
            </w:r>
          </w:p>
        </w:tc>
        <w:tc>
          <w:tcPr>
            <w:tcW w:w="1720" w:type="dxa"/>
            <w:vAlign w:val="bottom"/>
          </w:tcPr>
          <w:p>
            <w:pPr>
              <w:ind w:left="540"/>
              <w:spacing w:after="0"/>
              <w:rPr>
                <w:sz w:val="20"/>
                <w:szCs w:val="20"/>
                <w:color w:val="auto"/>
              </w:rPr>
            </w:pPr>
            <w:r>
              <w:rPr>
                <w:rFonts w:ascii="Arial" w:cs="Arial" w:eastAsia="Arial" w:hAnsi="Arial"/>
                <w:sz w:val="13"/>
                <w:szCs w:val="13"/>
                <w:color w:val="auto"/>
              </w:rPr>
              <w:t>Incorporation/</w:t>
            </w:r>
          </w:p>
        </w:tc>
        <w:tc>
          <w:tcPr>
            <w:tcW w:w="1500" w:type="dxa"/>
            <w:vAlign w:val="bottom"/>
          </w:tcPr>
          <w:p>
            <w:pPr>
              <w:ind w:left="340"/>
              <w:spacing w:after="0"/>
              <w:rPr>
                <w:sz w:val="20"/>
                <w:szCs w:val="20"/>
                <w:color w:val="auto"/>
              </w:rPr>
            </w:pPr>
            <w:r>
              <w:rPr>
                <w:rFonts w:ascii="Arial" w:cs="Arial" w:eastAsia="Arial" w:hAnsi="Arial"/>
                <w:sz w:val="13"/>
                <w:szCs w:val="13"/>
                <w:color w:val="auto"/>
              </w:rPr>
              <w:t>incorporation/</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60" w:type="dxa"/>
            <w:vAlign w:val="bottom"/>
          </w:tcPr>
          <w:p>
            <w:pPr>
              <w:spacing w:after="0"/>
              <w:rPr>
                <w:sz w:val="20"/>
                <w:szCs w:val="20"/>
                <w:color w:val="auto"/>
              </w:rPr>
            </w:pPr>
            <w:r>
              <w:rPr>
                <w:rFonts w:ascii="Arial" w:cs="Arial" w:eastAsia="Arial" w:hAnsi="Arial"/>
                <w:sz w:val="13"/>
                <w:szCs w:val="13"/>
                <w:color w:val="auto"/>
              </w:rPr>
              <w:t>Name</w:t>
            </w:r>
          </w:p>
        </w:tc>
        <w:tc>
          <w:tcPr>
            <w:tcW w:w="1280" w:type="dxa"/>
            <w:vAlign w:val="bottom"/>
          </w:tcPr>
          <w:p>
            <w:pPr>
              <w:ind w:left="40"/>
              <w:spacing w:after="0"/>
              <w:rPr>
                <w:sz w:val="20"/>
                <w:szCs w:val="20"/>
                <w:color w:val="auto"/>
              </w:rPr>
            </w:pPr>
            <w:r>
              <w:rPr>
                <w:rFonts w:ascii="Arial" w:cs="Arial" w:eastAsia="Arial" w:hAnsi="Arial"/>
                <w:sz w:val="13"/>
                <w:szCs w:val="13"/>
                <w:color w:val="auto"/>
              </w:rPr>
              <w:t>Relationship</w:t>
            </w:r>
          </w:p>
        </w:tc>
        <w:tc>
          <w:tcPr>
            <w:tcW w:w="1680" w:type="dxa"/>
            <w:vAlign w:val="bottom"/>
          </w:tcPr>
          <w:p>
            <w:pPr>
              <w:ind w:left="540"/>
              <w:spacing w:after="0"/>
              <w:rPr>
                <w:sz w:val="20"/>
                <w:szCs w:val="20"/>
                <w:color w:val="auto"/>
              </w:rPr>
            </w:pPr>
            <w:r>
              <w:rPr>
                <w:rFonts w:ascii="Arial" w:cs="Arial" w:eastAsia="Arial" w:hAnsi="Arial"/>
                <w:sz w:val="13"/>
                <w:szCs w:val="13"/>
                <w:color w:val="auto"/>
              </w:rPr>
              <w:t>(Note (i))</w:t>
            </w:r>
          </w:p>
        </w:tc>
        <w:tc>
          <w:tcPr>
            <w:tcW w:w="1720" w:type="dxa"/>
            <w:vAlign w:val="bottom"/>
          </w:tcPr>
          <w:p>
            <w:pPr>
              <w:ind w:left="540"/>
              <w:spacing w:after="0"/>
              <w:rPr>
                <w:sz w:val="20"/>
                <w:szCs w:val="20"/>
                <w:color w:val="auto"/>
              </w:rPr>
            </w:pPr>
            <w:r>
              <w:rPr>
                <w:rFonts w:ascii="Arial" w:cs="Arial" w:eastAsia="Arial" w:hAnsi="Arial"/>
                <w:sz w:val="13"/>
                <w:szCs w:val="13"/>
                <w:color w:val="auto"/>
              </w:rPr>
              <w:t>establishment</w:t>
            </w:r>
          </w:p>
        </w:tc>
        <w:tc>
          <w:tcPr>
            <w:tcW w:w="1500" w:type="dxa"/>
            <w:vAlign w:val="bottom"/>
          </w:tcPr>
          <w:p>
            <w:pPr>
              <w:ind w:left="340"/>
              <w:spacing w:after="0"/>
              <w:rPr>
                <w:sz w:val="20"/>
                <w:szCs w:val="20"/>
                <w:color w:val="auto"/>
              </w:rPr>
            </w:pPr>
            <w:r>
              <w:rPr>
                <w:rFonts w:ascii="Arial" w:cs="Arial" w:eastAsia="Arial" w:hAnsi="Arial"/>
                <w:sz w:val="13"/>
                <w:szCs w:val="13"/>
                <w:color w:val="auto"/>
              </w:rPr>
              <w:t>establishment</w:t>
            </w:r>
          </w:p>
        </w:tc>
        <w:tc>
          <w:tcPr>
            <w:tcW w:w="1740" w:type="dxa"/>
            <w:vAlign w:val="bottom"/>
          </w:tcPr>
          <w:p>
            <w:pPr>
              <w:ind w:left="380"/>
              <w:spacing w:after="0"/>
              <w:rPr>
                <w:sz w:val="20"/>
                <w:szCs w:val="20"/>
                <w:color w:val="auto"/>
              </w:rPr>
            </w:pPr>
            <w:r>
              <w:rPr>
                <w:rFonts w:ascii="Arial" w:cs="Arial" w:eastAsia="Arial" w:hAnsi="Arial"/>
                <w:sz w:val="13"/>
                <w:szCs w:val="13"/>
                <w:color w:val="auto"/>
              </w:rPr>
              <w:t>Principal activities</w:t>
            </w:r>
          </w:p>
        </w:tc>
        <w:tc>
          <w:tcPr>
            <w:tcW w:w="0" w:type="dxa"/>
            <w:vAlign w:val="bottom"/>
          </w:tcPr>
          <w:p>
            <w:pPr>
              <w:spacing w:after="0"/>
              <w:rPr>
                <w:sz w:val="1"/>
                <w:szCs w:val="1"/>
                <w:color w:val="auto"/>
              </w:rPr>
            </w:pPr>
          </w:p>
        </w:tc>
      </w:tr>
      <w:tr>
        <w:trPr>
          <w:trHeight w:val="578"/>
        </w:trPr>
        <w:tc>
          <w:tcPr>
            <w:tcW w:w="2460" w:type="dxa"/>
            <w:vAlign w:val="bottom"/>
          </w:tcPr>
          <w:p>
            <w:pPr>
              <w:spacing w:after="0"/>
              <w:rPr>
                <w:sz w:val="20"/>
                <w:szCs w:val="20"/>
                <w:color w:val="auto"/>
              </w:rPr>
            </w:pPr>
            <w:r>
              <w:rPr>
                <w:rFonts w:ascii="Arial" w:cs="Arial" w:eastAsia="Arial" w:hAnsi="Arial"/>
                <w:sz w:val="13"/>
                <w:szCs w:val="13"/>
                <w:color w:val="auto"/>
                <w:w w:val="93"/>
              </w:rPr>
              <w:t>Beijing OptAim Network Technology Co., Ltd.</w:t>
            </w:r>
          </w:p>
        </w:tc>
        <w:tc>
          <w:tcPr>
            <w:tcW w:w="1280" w:type="dxa"/>
            <w:vAlign w:val="bottom"/>
          </w:tcPr>
          <w:p>
            <w:pPr>
              <w:ind w:left="40"/>
              <w:spacing w:after="0"/>
              <w:rPr>
                <w:sz w:val="20"/>
                <w:szCs w:val="20"/>
                <w:color w:val="auto"/>
              </w:rPr>
            </w:pPr>
            <w:r>
              <w:rPr>
                <w:rFonts w:ascii="Arial" w:cs="Arial" w:eastAsia="Arial" w:hAnsi="Arial"/>
                <w:sz w:val="13"/>
                <w:szCs w:val="13"/>
                <w:color w:val="auto"/>
              </w:rPr>
              <w:t>VIE</w:t>
            </w:r>
          </w:p>
        </w:tc>
        <w:tc>
          <w:tcPr>
            <w:tcW w:w="1680" w:type="dxa"/>
            <w:vAlign w:val="bottom"/>
          </w:tcPr>
          <w:p>
            <w:pPr>
              <w:ind w:left="540"/>
              <w:spacing w:after="0"/>
              <w:rPr>
                <w:sz w:val="20"/>
                <w:szCs w:val="20"/>
                <w:color w:val="auto"/>
              </w:rPr>
            </w:pPr>
            <w:r>
              <w:rPr>
                <w:rFonts w:ascii="Arial" w:cs="Arial" w:eastAsia="Arial" w:hAnsi="Arial"/>
                <w:sz w:val="13"/>
                <w:szCs w:val="13"/>
                <w:color w:val="auto"/>
              </w:rPr>
              <w:t>100%</w:t>
            </w:r>
          </w:p>
        </w:tc>
        <w:tc>
          <w:tcPr>
            <w:tcW w:w="1720" w:type="dxa"/>
            <w:vAlign w:val="bottom"/>
          </w:tcPr>
          <w:p>
            <w:pPr>
              <w:ind w:left="540"/>
              <w:spacing w:after="0"/>
              <w:rPr>
                <w:sz w:val="20"/>
                <w:szCs w:val="20"/>
                <w:color w:val="auto"/>
              </w:rPr>
            </w:pPr>
            <w:r>
              <w:rPr>
                <w:rFonts w:ascii="Arial" w:cs="Arial" w:eastAsia="Arial" w:hAnsi="Arial"/>
                <w:sz w:val="13"/>
                <w:szCs w:val="13"/>
                <w:color w:val="auto"/>
              </w:rPr>
              <w:t>September 2012</w:t>
            </w:r>
          </w:p>
        </w:tc>
        <w:tc>
          <w:tcPr>
            <w:tcW w:w="1500" w:type="dxa"/>
            <w:vAlign w:val="bottom"/>
          </w:tcPr>
          <w:p>
            <w:pPr>
              <w:ind w:left="500"/>
              <w:spacing w:after="0"/>
              <w:rPr>
                <w:sz w:val="20"/>
                <w:szCs w:val="20"/>
                <w:color w:val="auto"/>
              </w:rPr>
            </w:pPr>
            <w:r>
              <w:rPr>
                <w:rFonts w:ascii="Arial" w:cs="Arial" w:eastAsia="Arial" w:hAnsi="Arial"/>
                <w:sz w:val="13"/>
                <w:szCs w:val="13"/>
                <w:color w:val="auto"/>
              </w:rPr>
              <w:t>The PRC</w:t>
            </w:r>
          </w:p>
        </w:tc>
        <w:tc>
          <w:tcPr>
            <w:tcW w:w="1740" w:type="dxa"/>
            <w:vAlign w:val="bottom"/>
          </w:tcPr>
          <w:p>
            <w:pPr>
              <w:ind w:left="380"/>
              <w:spacing w:after="0"/>
              <w:rPr>
                <w:sz w:val="20"/>
                <w:szCs w:val="20"/>
                <w:color w:val="auto"/>
              </w:rPr>
            </w:pPr>
            <w:r>
              <w:rPr>
                <w:rFonts w:ascii="Arial" w:cs="Arial" w:eastAsia="Arial" w:hAnsi="Arial"/>
                <w:sz w:val="13"/>
                <w:szCs w:val="13"/>
                <w:color w:val="auto"/>
              </w:rPr>
              <w:t>Internet marketing</w:t>
            </w:r>
          </w:p>
        </w:tc>
        <w:tc>
          <w:tcPr>
            <w:tcW w:w="0" w:type="dxa"/>
            <w:vAlign w:val="bottom"/>
          </w:tcPr>
          <w:p>
            <w:pPr>
              <w:spacing w:after="0"/>
              <w:rPr>
                <w:sz w:val="1"/>
                <w:szCs w:val="1"/>
                <w:color w:val="auto"/>
              </w:rPr>
            </w:pPr>
          </w:p>
        </w:tc>
      </w:tr>
      <w:tr>
        <w:trPr>
          <w:trHeight w:val="176"/>
        </w:trPr>
        <w:tc>
          <w:tcPr>
            <w:tcW w:w="2460" w:type="dxa"/>
            <w:vAlign w:val="bottom"/>
          </w:tcPr>
          <w:p>
            <w:pPr>
              <w:ind w:left="80"/>
              <w:spacing w:after="0"/>
              <w:rPr>
                <w:sz w:val="20"/>
                <w:szCs w:val="20"/>
                <w:color w:val="auto"/>
              </w:rPr>
            </w:pPr>
            <w:r>
              <w:rPr>
                <w:rFonts w:ascii="Arial" w:cs="Arial" w:eastAsia="Arial" w:hAnsi="Arial"/>
                <w:sz w:val="13"/>
                <w:szCs w:val="13"/>
                <w:color w:val="auto"/>
              </w:rPr>
              <w:t>(“Beijing OptAim”)</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40" w:type="dxa"/>
            <w:vAlign w:val="bottom"/>
          </w:tcPr>
          <w:p>
            <w:pPr>
              <w:ind w:left="380"/>
              <w:spacing w:after="0"/>
              <w:rPr>
                <w:sz w:val="20"/>
                <w:szCs w:val="20"/>
                <w:color w:val="auto"/>
              </w:rPr>
            </w:pPr>
            <w:r>
              <w:rPr>
                <w:rFonts w:ascii="Arial" w:cs="Arial" w:eastAsia="Arial" w:hAnsi="Arial"/>
                <w:sz w:val="13"/>
                <w:szCs w:val="13"/>
                <w:color w:val="auto"/>
              </w:rPr>
              <w:t>services and solutions</w:t>
            </w:r>
          </w:p>
        </w:tc>
        <w:tc>
          <w:tcPr>
            <w:tcW w:w="0" w:type="dxa"/>
            <w:vAlign w:val="bottom"/>
          </w:tcPr>
          <w:p>
            <w:pPr>
              <w:spacing w:after="0"/>
              <w:rPr>
                <w:sz w:val="1"/>
                <w:szCs w:val="1"/>
                <w:color w:val="auto"/>
              </w:rPr>
            </w:pPr>
          </w:p>
        </w:tc>
      </w:tr>
      <w:tr>
        <w:trPr>
          <w:trHeight w:val="353"/>
        </w:trPr>
        <w:tc>
          <w:tcPr>
            <w:tcW w:w="2460" w:type="dxa"/>
            <w:vAlign w:val="bottom"/>
          </w:tcPr>
          <w:p>
            <w:pPr>
              <w:spacing w:after="0"/>
              <w:rPr>
                <w:sz w:val="20"/>
                <w:szCs w:val="20"/>
                <w:color w:val="auto"/>
              </w:rPr>
            </w:pPr>
            <w:r>
              <w:rPr>
                <w:rFonts w:ascii="Arial" w:cs="Arial" w:eastAsia="Arial" w:hAnsi="Arial"/>
                <w:sz w:val="13"/>
                <w:szCs w:val="13"/>
                <w:color w:val="auto"/>
                <w:w w:val="91"/>
              </w:rPr>
              <w:t>Zhiyunzhong (Shanghai) Technology Co., Ltd.</w:t>
            </w:r>
          </w:p>
        </w:tc>
        <w:tc>
          <w:tcPr>
            <w:tcW w:w="1280" w:type="dxa"/>
            <w:vAlign w:val="bottom"/>
          </w:tcPr>
          <w:p>
            <w:pPr>
              <w:ind w:left="40"/>
              <w:spacing w:after="0"/>
              <w:rPr>
                <w:sz w:val="20"/>
                <w:szCs w:val="20"/>
                <w:color w:val="auto"/>
              </w:rPr>
            </w:pPr>
            <w:r>
              <w:rPr>
                <w:rFonts w:ascii="Arial" w:cs="Arial" w:eastAsia="Arial" w:hAnsi="Arial"/>
                <w:sz w:val="13"/>
                <w:szCs w:val="13"/>
                <w:color w:val="auto"/>
              </w:rPr>
              <w:t>VIE’s</w:t>
            </w:r>
          </w:p>
        </w:tc>
        <w:tc>
          <w:tcPr>
            <w:tcW w:w="1680" w:type="dxa"/>
            <w:vAlign w:val="bottom"/>
          </w:tcPr>
          <w:p>
            <w:pPr>
              <w:ind w:left="540"/>
              <w:spacing w:after="0"/>
              <w:rPr>
                <w:sz w:val="20"/>
                <w:szCs w:val="20"/>
                <w:color w:val="auto"/>
              </w:rPr>
            </w:pPr>
            <w:r>
              <w:rPr>
                <w:rFonts w:ascii="Arial" w:cs="Arial" w:eastAsia="Arial" w:hAnsi="Arial"/>
                <w:sz w:val="13"/>
                <w:szCs w:val="13"/>
                <w:color w:val="auto"/>
              </w:rPr>
              <w:t>100%</w:t>
            </w:r>
          </w:p>
        </w:tc>
        <w:tc>
          <w:tcPr>
            <w:tcW w:w="1720" w:type="dxa"/>
            <w:vAlign w:val="bottom"/>
          </w:tcPr>
          <w:p>
            <w:pPr>
              <w:ind w:left="540"/>
              <w:spacing w:after="0"/>
              <w:rPr>
                <w:sz w:val="20"/>
                <w:szCs w:val="20"/>
                <w:color w:val="auto"/>
              </w:rPr>
            </w:pPr>
            <w:r>
              <w:rPr>
                <w:rFonts w:ascii="Arial" w:cs="Arial" w:eastAsia="Arial" w:hAnsi="Arial"/>
                <w:sz w:val="13"/>
                <w:szCs w:val="13"/>
                <w:color w:val="auto"/>
              </w:rPr>
              <w:t>September 2014</w:t>
            </w:r>
          </w:p>
        </w:tc>
        <w:tc>
          <w:tcPr>
            <w:tcW w:w="1500" w:type="dxa"/>
            <w:vAlign w:val="bottom"/>
          </w:tcPr>
          <w:p>
            <w:pPr>
              <w:ind w:left="500"/>
              <w:spacing w:after="0"/>
              <w:rPr>
                <w:sz w:val="20"/>
                <w:szCs w:val="20"/>
                <w:color w:val="auto"/>
              </w:rPr>
            </w:pPr>
            <w:r>
              <w:rPr>
                <w:rFonts w:ascii="Arial" w:cs="Arial" w:eastAsia="Arial" w:hAnsi="Arial"/>
                <w:sz w:val="13"/>
                <w:szCs w:val="13"/>
                <w:color w:val="auto"/>
              </w:rPr>
              <w:t>The PRC</w:t>
            </w:r>
          </w:p>
        </w:tc>
        <w:tc>
          <w:tcPr>
            <w:tcW w:w="1740" w:type="dxa"/>
            <w:vAlign w:val="bottom"/>
          </w:tcPr>
          <w:p>
            <w:pPr>
              <w:ind w:left="380"/>
              <w:spacing w:after="0"/>
              <w:rPr>
                <w:sz w:val="20"/>
                <w:szCs w:val="20"/>
                <w:color w:val="auto"/>
              </w:rPr>
            </w:pPr>
            <w:r>
              <w:rPr>
                <w:rFonts w:ascii="Arial" w:cs="Arial" w:eastAsia="Arial" w:hAnsi="Arial"/>
                <w:sz w:val="13"/>
                <w:szCs w:val="13"/>
                <w:color w:val="auto"/>
              </w:rPr>
              <w:t>Internet marketing</w:t>
            </w:r>
          </w:p>
        </w:tc>
        <w:tc>
          <w:tcPr>
            <w:tcW w:w="0" w:type="dxa"/>
            <w:vAlign w:val="bottom"/>
          </w:tcPr>
          <w:p>
            <w:pPr>
              <w:spacing w:after="0"/>
              <w:rPr>
                <w:sz w:val="1"/>
                <w:szCs w:val="1"/>
                <w:color w:val="auto"/>
              </w:rPr>
            </w:pPr>
          </w:p>
        </w:tc>
      </w:tr>
      <w:tr>
        <w:trPr>
          <w:trHeight w:val="160"/>
        </w:trPr>
        <w:tc>
          <w:tcPr>
            <w:tcW w:w="2460" w:type="dxa"/>
            <w:vAlign w:val="bottom"/>
          </w:tcPr>
          <w:p>
            <w:pPr>
              <w:ind w:left="80"/>
              <w:spacing w:after="0"/>
              <w:rPr>
                <w:sz w:val="20"/>
                <w:szCs w:val="20"/>
                <w:color w:val="auto"/>
              </w:rPr>
            </w:pPr>
            <w:r>
              <w:rPr>
                <w:rFonts w:ascii="Arial" w:cs="Arial" w:eastAsia="Arial" w:hAnsi="Arial"/>
                <w:sz w:val="13"/>
                <w:szCs w:val="13"/>
                <w:color w:val="auto"/>
              </w:rPr>
              <w:t>(“Shanghai OptAim”)</w:t>
            </w:r>
          </w:p>
        </w:tc>
        <w:tc>
          <w:tcPr>
            <w:tcW w:w="1280" w:type="dxa"/>
            <w:vAlign w:val="bottom"/>
          </w:tcPr>
          <w:p>
            <w:pPr>
              <w:ind w:left="40"/>
              <w:spacing w:after="0"/>
              <w:rPr>
                <w:sz w:val="20"/>
                <w:szCs w:val="20"/>
                <w:color w:val="auto"/>
              </w:rPr>
            </w:pPr>
            <w:r>
              <w:rPr>
                <w:rFonts w:ascii="Arial" w:cs="Arial" w:eastAsia="Arial" w:hAnsi="Arial"/>
                <w:sz w:val="13"/>
                <w:szCs w:val="13"/>
                <w:color w:val="auto"/>
              </w:rPr>
              <w:t>subsidiary</w:t>
            </w:r>
          </w:p>
        </w:tc>
        <w:tc>
          <w:tcPr>
            <w:tcW w:w="1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40" w:type="dxa"/>
            <w:vAlign w:val="bottom"/>
          </w:tcPr>
          <w:p>
            <w:pPr>
              <w:ind w:left="380"/>
              <w:spacing w:after="0"/>
              <w:rPr>
                <w:sz w:val="20"/>
                <w:szCs w:val="20"/>
                <w:color w:val="auto"/>
              </w:rPr>
            </w:pPr>
            <w:r>
              <w:rPr>
                <w:rFonts w:ascii="Arial" w:cs="Arial" w:eastAsia="Arial" w:hAnsi="Arial"/>
                <w:sz w:val="13"/>
                <w:szCs w:val="13"/>
                <w:color w:val="auto"/>
              </w:rPr>
              <w:t>services and solutions</w:t>
            </w:r>
          </w:p>
        </w:tc>
        <w:tc>
          <w:tcPr>
            <w:tcW w:w="0" w:type="dxa"/>
            <w:vAlign w:val="bottom"/>
          </w:tcPr>
          <w:p>
            <w:pPr>
              <w:spacing w:after="0"/>
              <w:rPr>
                <w:sz w:val="1"/>
                <w:szCs w:val="1"/>
                <w:color w:val="auto"/>
              </w:rPr>
            </w:pPr>
          </w:p>
        </w:tc>
      </w:tr>
      <w:tr>
        <w:trPr>
          <w:trHeight w:val="326"/>
        </w:trPr>
        <w:tc>
          <w:tcPr>
            <w:tcW w:w="2460" w:type="dxa"/>
            <w:vAlign w:val="bottom"/>
          </w:tcPr>
          <w:p>
            <w:pPr>
              <w:spacing w:after="0"/>
              <w:rPr>
                <w:sz w:val="20"/>
                <w:szCs w:val="20"/>
                <w:color w:val="auto"/>
              </w:rPr>
            </w:pPr>
            <w:r>
              <w:rPr>
                <w:rFonts w:ascii="Arial" w:cs="Arial" w:eastAsia="Arial" w:hAnsi="Arial"/>
                <w:sz w:val="13"/>
                <w:szCs w:val="13"/>
                <w:color w:val="auto"/>
              </w:rPr>
              <w:t>Shanghai Myhayo Technology Co., Ltd.</w:t>
            </w:r>
          </w:p>
        </w:tc>
        <w:tc>
          <w:tcPr>
            <w:tcW w:w="1280" w:type="dxa"/>
            <w:vAlign w:val="bottom"/>
          </w:tcPr>
          <w:p>
            <w:pPr>
              <w:ind w:left="40"/>
              <w:spacing w:after="0"/>
              <w:rPr>
                <w:sz w:val="20"/>
                <w:szCs w:val="20"/>
                <w:color w:val="auto"/>
              </w:rPr>
            </w:pPr>
            <w:r>
              <w:rPr>
                <w:rFonts w:ascii="Arial" w:cs="Arial" w:eastAsia="Arial" w:hAnsi="Arial"/>
                <w:sz w:val="13"/>
                <w:szCs w:val="13"/>
                <w:color w:val="auto"/>
              </w:rPr>
              <w:t>VIE’s</w:t>
            </w:r>
          </w:p>
        </w:tc>
        <w:tc>
          <w:tcPr>
            <w:tcW w:w="1680" w:type="dxa"/>
            <w:vAlign w:val="bottom"/>
          </w:tcPr>
          <w:p>
            <w:pPr>
              <w:ind w:left="540"/>
              <w:spacing w:after="0"/>
              <w:rPr>
                <w:sz w:val="20"/>
                <w:szCs w:val="20"/>
                <w:color w:val="auto"/>
              </w:rPr>
            </w:pPr>
            <w:r>
              <w:rPr>
                <w:rFonts w:ascii="Arial" w:cs="Arial" w:eastAsia="Arial" w:hAnsi="Arial"/>
                <w:sz w:val="13"/>
                <w:szCs w:val="13"/>
                <w:color w:val="auto"/>
              </w:rPr>
              <w:t>36.8%</w:t>
            </w:r>
          </w:p>
        </w:tc>
        <w:tc>
          <w:tcPr>
            <w:tcW w:w="1720" w:type="dxa"/>
            <w:vAlign w:val="bottom"/>
          </w:tcPr>
          <w:p>
            <w:pPr>
              <w:ind w:left="540"/>
              <w:spacing w:after="0"/>
              <w:rPr>
                <w:sz w:val="20"/>
                <w:szCs w:val="20"/>
                <w:color w:val="auto"/>
              </w:rPr>
            </w:pPr>
            <w:r>
              <w:rPr>
                <w:rFonts w:ascii="Arial" w:cs="Arial" w:eastAsia="Arial" w:hAnsi="Arial"/>
                <w:sz w:val="13"/>
                <w:szCs w:val="13"/>
                <w:color w:val="auto"/>
              </w:rPr>
              <w:t>May 2017</w:t>
            </w:r>
          </w:p>
        </w:tc>
        <w:tc>
          <w:tcPr>
            <w:tcW w:w="1500" w:type="dxa"/>
            <w:vAlign w:val="bottom"/>
          </w:tcPr>
          <w:p>
            <w:pPr>
              <w:ind w:left="500"/>
              <w:spacing w:after="0"/>
              <w:rPr>
                <w:sz w:val="20"/>
                <w:szCs w:val="20"/>
                <w:color w:val="auto"/>
              </w:rPr>
            </w:pPr>
            <w:r>
              <w:rPr>
                <w:rFonts w:ascii="Arial" w:cs="Arial" w:eastAsia="Arial" w:hAnsi="Arial"/>
                <w:sz w:val="13"/>
                <w:szCs w:val="13"/>
                <w:color w:val="auto"/>
              </w:rPr>
              <w:t>The PRC</w:t>
            </w:r>
          </w:p>
        </w:tc>
        <w:tc>
          <w:tcPr>
            <w:tcW w:w="1740" w:type="dxa"/>
            <w:vAlign w:val="bottom"/>
          </w:tcPr>
          <w:p>
            <w:pPr>
              <w:ind w:left="380"/>
              <w:spacing w:after="0"/>
              <w:rPr>
                <w:sz w:val="20"/>
                <w:szCs w:val="20"/>
                <w:color w:val="auto"/>
              </w:rPr>
            </w:pPr>
            <w:r>
              <w:rPr>
                <w:rFonts w:ascii="Arial" w:cs="Arial" w:eastAsia="Arial" w:hAnsi="Arial"/>
                <w:sz w:val="13"/>
                <w:szCs w:val="13"/>
                <w:color w:val="auto"/>
                <w:w w:val="86"/>
              </w:rPr>
              <w:t>Mobile content aggregator,</w:t>
            </w:r>
          </w:p>
        </w:tc>
        <w:tc>
          <w:tcPr>
            <w:tcW w:w="0" w:type="dxa"/>
            <w:vAlign w:val="bottom"/>
          </w:tcPr>
          <w:p>
            <w:pPr>
              <w:spacing w:after="0"/>
              <w:rPr>
                <w:sz w:val="1"/>
                <w:szCs w:val="1"/>
                <w:color w:val="auto"/>
              </w:rPr>
            </w:pPr>
          </w:p>
        </w:tc>
      </w:tr>
      <w:tr>
        <w:trPr>
          <w:trHeight w:val="136"/>
        </w:trPr>
        <w:tc>
          <w:tcPr>
            <w:tcW w:w="2460" w:type="dxa"/>
            <w:vAlign w:val="bottom"/>
          </w:tcPr>
          <w:p>
            <w:pPr>
              <w:ind w:left="80"/>
              <w:spacing w:after="0" w:line="136" w:lineRule="exact"/>
              <w:rPr>
                <w:sz w:val="20"/>
                <w:szCs w:val="20"/>
                <w:color w:val="auto"/>
              </w:rPr>
            </w:pPr>
            <w:r>
              <w:rPr>
                <w:rFonts w:ascii="Arial" w:cs="Arial" w:eastAsia="Arial" w:hAnsi="Arial"/>
                <w:sz w:val="13"/>
                <w:szCs w:val="13"/>
                <w:color w:val="auto"/>
              </w:rPr>
              <w:t>(“Myhayo”) (Notes (ii), (iii))</w:t>
            </w:r>
          </w:p>
        </w:tc>
        <w:tc>
          <w:tcPr>
            <w:tcW w:w="1280" w:type="dxa"/>
            <w:vAlign w:val="bottom"/>
          </w:tcPr>
          <w:p>
            <w:pPr>
              <w:ind w:left="40"/>
              <w:spacing w:after="0" w:line="136" w:lineRule="exact"/>
              <w:rPr>
                <w:sz w:val="20"/>
                <w:szCs w:val="20"/>
                <w:color w:val="auto"/>
              </w:rPr>
            </w:pPr>
            <w:r>
              <w:rPr>
                <w:rFonts w:ascii="Arial" w:cs="Arial" w:eastAsia="Arial" w:hAnsi="Arial"/>
                <w:sz w:val="13"/>
                <w:szCs w:val="13"/>
                <w:color w:val="auto"/>
              </w:rPr>
              <w:t>subsidiary</w:t>
            </w:r>
          </w:p>
        </w:tc>
        <w:tc>
          <w:tcPr>
            <w:tcW w:w="1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740" w:type="dxa"/>
            <w:vAlign w:val="bottom"/>
          </w:tcPr>
          <w:p>
            <w:pPr>
              <w:ind w:left="380"/>
              <w:spacing w:after="0" w:line="136" w:lineRule="exact"/>
              <w:rPr>
                <w:sz w:val="20"/>
                <w:szCs w:val="20"/>
                <w:color w:val="auto"/>
              </w:rPr>
            </w:pPr>
            <w:r>
              <w:rPr>
                <w:rFonts w:ascii="Arial" w:cs="Arial" w:eastAsia="Arial" w:hAnsi="Arial"/>
                <w:sz w:val="13"/>
                <w:szCs w:val="13"/>
                <w:color w:val="auto"/>
              </w:rPr>
              <w:t>digital advertising and</w:t>
            </w:r>
          </w:p>
        </w:tc>
        <w:tc>
          <w:tcPr>
            <w:tcW w:w="0" w:type="dxa"/>
            <w:vAlign w:val="bottom"/>
          </w:tcPr>
          <w:p>
            <w:pPr>
              <w:spacing w:after="0"/>
              <w:rPr>
                <w:sz w:val="1"/>
                <w:szCs w:val="1"/>
                <w:color w:val="auto"/>
              </w:rPr>
            </w:pPr>
          </w:p>
        </w:tc>
      </w:tr>
      <w:tr>
        <w:trPr>
          <w:trHeight w:val="160"/>
        </w:trPr>
        <w:tc>
          <w:tcPr>
            <w:tcW w:w="2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40" w:type="dxa"/>
            <w:vAlign w:val="bottom"/>
          </w:tcPr>
          <w:p>
            <w:pPr>
              <w:ind w:left="380"/>
              <w:spacing w:after="0"/>
              <w:rPr>
                <w:sz w:val="20"/>
                <w:szCs w:val="20"/>
                <w:color w:val="auto"/>
              </w:rPr>
            </w:pPr>
            <w:r>
              <w:rPr>
                <w:rFonts w:ascii="Arial" w:cs="Arial" w:eastAsia="Arial" w:hAnsi="Arial"/>
                <w:sz w:val="13"/>
                <w:szCs w:val="13"/>
                <w:color w:val="auto"/>
              </w:rPr>
              <w:t>marketing services</w:t>
            </w:r>
          </w:p>
        </w:tc>
        <w:tc>
          <w:tcPr>
            <w:tcW w:w="0" w:type="dxa"/>
            <w:vAlign w:val="bottom"/>
          </w:tcPr>
          <w:p>
            <w:pPr>
              <w:spacing w:after="0"/>
              <w:rPr>
                <w:sz w:val="1"/>
                <w:szCs w:val="1"/>
                <w:color w:val="auto"/>
              </w:rPr>
            </w:pPr>
          </w:p>
        </w:tc>
      </w:tr>
      <w:tr>
        <w:trPr>
          <w:trHeight w:val="325"/>
        </w:trPr>
        <w:tc>
          <w:tcPr>
            <w:tcW w:w="2460" w:type="dxa"/>
            <w:vAlign w:val="bottom"/>
          </w:tcPr>
          <w:p>
            <w:pPr>
              <w:spacing w:after="0"/>
              <w:rPr>
                <w:sz w:val="20"/>
                <w:szCs w:val="20"/>
                <w:color w:val="auto"/>
              </w:rPr>
            </w:pPr>
            <w:r>
              <w:rPr>
                <w:rFonts w:ascii="Arial" w:cs="Arial" w:eastAsia="Arial" w:hAnsi="Arial"/>
                <w:sz w:val="13"/>
                <w:szCs w:val="13"/>
                <w:color w:val="auto"/>
                <w:w w:val="97"/>
              </w:rPr>
              <w:t>Anhui Myhayo Technology Co., Ltd. (“Anhui</w:t>
            </w:r>
          </w:p>
        </w:tc>
        <w:tc>
          <w:tcPr>
            <w:tcW w:w="1280" w:type="dxa"/>
            <w:vAlign w:val="bottom"/>
          </w:tcPr>
          <w:p>
            <w:pPr>
              <w:ind w:left="40"/>
              <w:spacing w:after="0"/>
              <w:rPr>
                <w:sz w:val="20"/>
                <w:szCs w:val="20"/>
                <w:color w:val="auto"/>
              </w:rPr>
            </w:pPr>
            <w:r>
              <w:rPr>
                <w:rFonts w:ascii="Arial" w:cs="Arial" w:eastAsia="Arial" w:hAnsi="Arial"/>
                <w:sz w:val="13"/>
                <w:szCs w:val="13"/>
                <w:color w:val="auto"/>
              </w:rPr>
              <w:t>VIE’s</w:t>
            </w:r>
          </w:p>
        </w:tc>
        <w:tc>
          <w:tcPr>
            <w:tcW w:w="1680" w:type="dxa"/>
            <w:vAlign w:val="bottom"/>
          </w:tcPr>
          <w:p>
            <w:pPr>
              <w:ind w:left="540"/>
              <w:spacing w:after="0"/>
              <w:rPr>
                <w:sz w:val="20"/>
                <w:szCs w:val="20"/>
                <w:color w:val="auto"/>
              </w:rPr>
            </w:pPr>
            <w:r>
              <w:rPr>
                <w:rFonts w:ascii="Arial" w:cs="Arial" w:eastAsia="Arial" w:hAnsi="Arial"/>
                <w:sz w:val="13"/>
                <w:szCs w:val="13"/>
                <w:color w:val="auto"/>
              </w:rPr>
              <w:t>36.8%</w:t>
            </w:r>
          </w:p>
        </w:tc>
        <w:tc>
          <w:tcPr>
            <w:tcW w:w="1720" w:type="dxa"/>
            <w:vAlign w:val="bottom"/>
          </w:tcPr>
          <w:p>
            <w:pPr>
              <w:ind w:left="540"/>
              <w:spacing w:after="0"/>
              <w:rPr>
                <w:sz w:val="20"/>
                <w:szCs w:val="20"/>
                <w:color w:val="auto"/>
              </w:rPr>
            </w:pPr>
            <w:r>
              <w:rPr>
                <w:rFonts w:ascii="Arial" w:cs="Arial" w:eastAsia="Arial" w:hAnsi="Arial"/>
                <w:sz w:val="13"/>
                <w:szCs w:val="13"/>
                <w:color w:val="auto"/>
              </w:rPr>
              <w:t>September 2018</w:t>
            </w:r>
          </w:p>
        </w:tc>
        <w:tc>
          <w:tcPr>
            <w:tcW w:w="1500" w:type="dxa"/>
            <w:vAlign w:val="bottom"/>
          </w:tcPr>
          <w:p>
            <w:pPr>
              <w:ind w:left="500"/>
              <w:spacing w:after="0"/>
              <w:rPr>
                <w:sz w:val="20"/>
                <w:szCs w:val="20"/>
                <w:color w:val="auto"/>
              </w:rPr>
            </w:pPr>
            <w:r>
              <w:rPr>
                <w:rFonts w:ascii="Arial" w:cs="Arial" w:eastAsia="Arial" w:hAnsi="Arial"/>
                <w:sz w:val="13"/>
                <w:szCs w:val="13"/>
                <w:color w:val="auto"/>
              </w:rPr>
              <w:t>The PRC</w:t>
            </w:r>
          </w:p>
        </w:tc>
        <w:tc>
          <w:tcPr>
            <w:tcW w:w="1740" w:type="dxa"/>
            <w:vAlign w:val="bottom"/>
          </w:tcPr>
          <w:p>
            <w:pPr>
              <w:ind w:left="380"/>
              <w:spacing w:after="0"/>
              <w:rPr>
                <w:sz w:val="20"/>
                <w:szCs w:val="20"/>
                <w:color w:val="auto"/>
              </w:rPr>
            </w:pPr>
            <w:r>
              <w:rPr>
                <w:rFonts w:ascii="Arial" w:cs="Arial" w:eastAsia="Arial" w:hAnsi="Arial"/>
                <w:sz w:val="13"/>
                <w:szCs w:val="13"/>
                <w:color w:val="auto"/>
                <w:w w:val="86"/>
              </w:rPr>
              <w:t>Mobile content aggregator,</w:t>
            </w:r>
          </w:p>
        </w:tc>
        <w:tc>
          <w:tcPr>
            <w:tcW w:w="0" w:type="dxa"/>
            <w:vAlign w:val="bottom"/>
          </w:tcPr>
          <w:p>
            <w:pPr>
              <w:spacing w:after="0"/>
              <w:rPr>
                <w:sz w:val="1"/>
                <w:szCs w:val="1"/>
                <w:color w:val="auto"/>
              </w:rPr>
            </w:pPr>
          </w:p>
        </w:tc>
      </w:tr>
      <w:tr>
        <w:trPr>
          <w:trHeight w:val="136"/>
        </w:trPr>
        <w:tc>
          <w:tcPr>
            <w:tcW w:w="2460" w:type="dxa"/>
            <w:vAlign w:val="bottom"/>
          </w:tcPr>
          <w:p>
            <w:pPr>
              <w:spacing w:after="0" w:line="136" w:lineRule="exact"/>
              <w:rPr>
                <w:sz w:val="20"/>
                <w:szCs w:val="20"/>
                <w:color w:val="auto"/>
              </w:rPr>
            </w:pPr>
            <w:r>
              <w:rPr>
                <w:rFonts w:ascii="Arial" w:cs="Arial" w:eastAsia="Arial" w:hAnsi="Arial"/>
                <w:sz w:val="13"/>
                <w:szCs w:val="13"/>
                <w:color w:val="auto"/>
              </w:rPr>
              <w:t>Myhayo”) (Notes (ii) and (iii))</w:t>
            </w:r>
          </w:p>
        </w:tc>
        <w:tc>
          <w:tcPr>
            <w:tcW w:w="1280" w:type="dxa"/>
            <w:vAlign w:val="bottom"/>
          </w:tcPr>
          <w:p>
            <w:pPr>
              <w:ind w:left="40"/>
              <w:spacing w:after="0" w:line="136" w:lineRule="exact"/>
              <w:rPr>
                <w:sz w:val="20"/>
                <w:szCs w:val="20"/>
                <w:color w:val="auto"/>
              </w:rPr>
            </w:pPr>
            <w:r>
              <w:rPr>
                <w:rFonts w:ascii="Arial" w:cs="Arial" w:eastAsia="Arial" w:hAnsi="Arial"/>
                <w:sz w:val="13"/>
                <w:szCs w:val="13"/>
                <w:color w:val="auto"/>
              </w:rPr>
              <w:t>subsidiary</w:t>
            </w:r>
          </w:p>
        </w:tc>
        <w:tc>
          <w:tcPr>
            <w:tcW w:w="1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740" w:type="dxa"/>
            <w:vAlign w:val="bottom"/>
          </w:tcPr>
          <w:p>
            <w:pPr>
              <w:ind w:left="380"/>
              <w:spacing w:after="0" w:line="136" w:lineRule="exact"/>
              <w:rPr>
                <w:sz w:val="20"/>
                <w:szCs w:val="20"/>
                <w:color w:val="auto"/>
              </w:rPr>
            </w:pPr>
            <w:r>
              <w:rPr>
                <w:rFonts w:ascii="Arial" w:cs="Arial" w:eastAsia="Arial" w:hAnsi="Arial"/>
                <w:sz w:val="13"/>
                <w:szCs w:val="13"/>
                <w:color w:val="auto"/>
              </w:rPr>
              <w:t>digital advertising and</w:t>
            </w:r>
          </w:p>
        </w:tc>
        <w:tc>
          <w:tcPr>
            <w:tcW w:w="0" w:type="dxa"/>
            <w:vAlign w:val="bottom"/>
          </w:tcPr>
          <w:p>
            <w:pPr>
              <w:spacing w:after="0"/>
              <w:rPr>
                <w:sz w:val="1"/>
                <w:szCs w:val="1"/>
                <w:color w:val="auto"/>
              </w:rPr>
            </w:pPr>
          </w:p>
        </w:tc>
      </w:tr>
      <w:tr>
        <w:trPr>
          <w:trHeight w:val="134"/>
        </w:trPr>
        <w:tc>
          <w:tcPr>
            <w:tcW w:w="2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740" w:type="dxa"/>
            <w:vAlign w:val="bottom"/>
          </w:tcPr>
          <w:p>
            <w:pPr>
              <w:ind w:left="380"/>
              <w:spacing w:after="0" w:line="134" w:lineRule="exact"/>
              <w:rPr>
                <w:sz w:val="20"/>
                <w:szCs w:val="20"/>
                <w:color w:val="auto"/>
              </w:rPr>
            </w:pPr>
            <w:r>
              <w:rPr>
                <w:rFonts w:ascii="Arial" w:cs="Arial" w:eastAsia="Arial" w:hAnsi="Arial"/>
                <w:sz w:val="13"/>
                <w:szCs w:val="13"/>
                <w:color w:val="auto"/>
              </w:rPr>
              <w:t>marketing services</w:t>
            </w:r>
          </w:p>
        </w:tc>
        <w:tc>
          <w:tcPr>
            <w:tcW w:w="0" w:type="dxa"/>
            <w:vAlign w:val="bottom"/>
          </w:tcPr>
          <w:p>
            <w:pPr>
              <w:spacing w:after="0"/>
              <w:rPr>
                <w:sz w:val="1"/>
                <w:szCs w:val="1"/>
                <w:color w:val="auto"/>
              </w:rPr>
            </w:pPr>
          </w:p>
        </w:tc>
      </w:tr>
      <w:tr>
        <w:trPr>
          <w:trHeight w:val="138"/>
        </w:trPr>
        <w:tc>
          <w:tcPr>
            <w:tcW w:w="2460" w:type="dxa"/>
            <w:vAlign w:val="bottom"/>
          </w:tcPr>
          <w:p>
            <w:pPr>
              <w:spacing w:after="0" w:line="139" w:lineRule="exact"/>
              <w:rPr>
                <w:sz w:val="20"/>
                <w:szCs w:val="20"/>
                <w:color w:val="auto"/>
              </w:rPr>
            </w:pPr>
            <w:r>
              <w:rPr>
                <w:rFonts w:ascii="Arial" w:cs="Arial" w:eastAsia="Arial" w:hAnsi="Arial"/>
                <w:sz w:val="13"/>
                <w:szCs w:val="13"/>
                <w:color w:val="auto"/>
                <w:w w:val="95"/>
              </w:rPr>
              <w:t>Changyi (Shanghai) Information Technology</w:t>
            </w:r>
          </w:p>
        </w:tc>
        <w:tc>
          <w:tcPr>
            <w:tcW w:w="1280" w:type="dxa"/>
            <w:vAlign w:val="bottom"/>
          </w:tcPr>
          <w:p>
            <w:pPr>
              <w:ind w:left="40"/>
              <w:spacing w:after="0" w:line="139" w:lineRule="exact"/>
              <w:rPr>
                <w:sz w:val="20"/>
                <w:szCs w:val="20"/>
                <w:color w:val="auto"/>
              </w:rPr>
            </w:pPr>
            <w:r>
              <w:rPr>
                <w:rFonts w:ascii="Arial" w:cs="Arial" w:eastAsia="Arial" w:hAnsi="Arial"/>
                <w:sz w:val="13"/>
                <w:szCs w:val="13"/>
                <w:color w:val="auto"/>
              </w:rPr>
              <w:t>Subsidiary</w:t>
            </w:r>
          </w:p>
        </w:tc>
        <w:tc>
          <w:tcPr>
            <w:tcW w:w="1680" w:type="dxa"/>
            <w:vAlign w:val="bottom"/>
          </w:tcPr>
          <w:p>
            <w:pPr>
              <w:ind w:left="540"/>
              <w:spacing w:after="0" w:line="139" w:lineRule="exact"/>
              <w:rPr>
                <w:sz w:val="20"/>
                <w:szCs w:val="20"/>
                <w:color w:val="auto"/>
              </w:rPr>
            </w:pPr>
            <w:r>
              <w:rPr>
                <w:rFonts w:ascii="Arial" w:cs="Arial" w:eastAsia="Arial" w:hAnsi="Arial"/>
                <w:sz w:val="13"/>
                <w:szCs w:val="13"/>
                <w:color w:val="auto"/>
              </w:rPr>
              <w:t>59.84%</w:t>
            </w:r>
          </w:p>
        </w:tc>
        <w:tc>
          <w:tcPr>
            <w:tcW w:w="1720" w:type="dxa"/>
            <w:vAlign w:val="bottom"/>
          </w:tcPr>
          <w:p>
            <w:pPr>
              <w:ind w:left="540"/>
              <w:spacing w:after="0" w:line="139" w:lineRule="exact"/>
              <w:rPr>
                <w:sz w:val="20"/>
                <w:szCs w:val="20"/>
                <w:color w:val="auto"/>
              </w:rPr>
            </w:pPr>
            <w:r>
              <w:rPr>
                <w:rFonts w:ascii="Arial" w:cs="Arial" w:eastAsia="Arial" w:hAnsi="Arial"/>
                <w:sz w:val="13"/>
                <w:szCs w:val="13"/>
                <w:color w:val="auto"/>
              </w:rPr>
              <w:t>January 2014</w:t>
            </w:r>
          </w:p>
        </w:tc>
        <w:tc>
          <w:tcPr>
            <w:tcW w:w="1500" w:type="dxa"/>
            <w:vAlign w:val="bottom"/>
          </w:tcPr>
          <w:p>
            <w:pPr>
              <w:ind w:left="500"/>
              <w:spacing w:after="0" w:line="139" w:lineRule="exact"/>
              <w:rPr>
                <w:sz w:val="20"/>
                <w:szCs w:val="20"/>
                <w:color w:val="auto"/>
              </w:rPr>
            </w:pPr>
            <w:r>
              <w:rPr>
                <w:rFonts w:ascii="Arial" w:cs="Arial" w:eastAsia="Arial" w:hAnsi="Arial"/>
                <w:sz w:val="13"/>
                <w:szCs w:val="13"/>
                <w:color w:val="auto"/>
              </w:rPr>
              <w:t>The PRC</w:t>
            </w:r>
          </w:p>
        </w:tc>
        <w:tc>
          <w:tcPr>
            <w:tcW w:w="1740" w:type="dxa"/>
            <w:vAlign w:val="bottom"/>
          </w:tcPr>
          <w:p>
            <w:pPr>
              <w:ind w:left="380"/>
              <w:spacing w:after="0" w:line="139" w:lineRule="exact"/>
              <w:rPr>
                <w:sz w:val="20"/>
                <w:szCs w:val="20"/>
                <w:color w:val="auto"/>
              </w:rPr>
            </w:pPr>
            <w:r>
              <w:rPr>
                <w:rFonts w:ascii="Arial" w:cs="Arial" w:eastAsia="Arial" w:hAnsi="Arial"/>
                <w:sz w:val="13"/>
                <w:szCs w:val="13"/>
                <w:color w:val="auto"/>
              </w:rPr>
              <w:t>SaaS products offering</w:t>
            </w:r>
          </w:p>
        </w:tc>
        <w:tc>
          <w:tcPr>
            <w:tcW w:w="0" w:type="dxa"/>
            <w:vAlign w:val="bottom"/>
          </w:tcPr>
          <w:p>
            <w:pPr>
              <w:spacing w:after="0"/>
              <w:rPr>
                <w:sz w:val="1"/>
                <w:szCs w:val="1"/>
                <w:color w:val="auto"/>
              </w:rPr>
            </w:pPr>
          </w:p>
        </w:tc>
      </w:tr>
      <w:tr>
        <w:trPr>
          <w:trHeight w:val="172"/>
        </w:trPr>
        <w:tc>
          <w:tcPr>
            <w:tcW w:w="2460" w:type="dxa"/>
            <w:vAlign w:val="bottom"/>
          </w:tcPr>
          <w:p>
            <w:pPr>
              <w:spacing w:after="0"/>
              <w:rPr>
                <w:sz w:val="20"/>
                <w:szCs w:val="20"/>
                <w:color w:val="auto"/>
              </w:rPr>
            </w:pPr>
            <w:r>
              <w:rPr>
                <w:rFonts w:ascii="Arial" w:cs="Arial" w:eastAsia="Arial" w:hAnsi="Arial"/>
                <w:sz w:val="13"/>
                <w:szCs w:val="13"/>
                <w:color w:val="auto"/>
              </w:rPr>
              <w:t>Ltd. (“Changyi”) (Note (iv))</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460" w:type="dxa"/>
            <w:vAlign w:val="bottom"/>
          </w:tcPr>
          <w:p>
            <w:pPr>
              <w:spacing w:after="0"/>
              <w:rPr>
                <w:sz w:val="20"/>
                <w:szCs w:val="20"/>
                <w:color w:val="auto"/>
              </w:rPr>
            </w:pPr>
            <w:r>
              <w:rPr>
                <w:rFonts w:ascii="Arial" w:cs="Arial" w:eastAsia="Arial" w:hAnsi="Arial"/>
                <w:sz w:val="13"/>
                <w:szCs w:val="13"/>
                <w:color w:val="auto"/>
                <w:w w:val="92"/>
              </w:rPr>
              <w:t>Xi'an Changzhan Information Technology Ltd.</w:t>
            </w:r>
          </w:p>
        </w:tc>
        <w:tc>
          <w:tcPr>
            <w:tcW w:w="1280" w:type="dxa"/>
            <w:vAlign w:val="bottom"/>
          </w:tcPr>
          <w:p>
            <w:pPr>
              <w:ind w:left="40"/>
              <w:spacing w:after="0"/>
              <w:rPr>
                <w:sz w:val="20"/>
                <w:szCs w:val="20"/>
                <w:color w:val="auto"/>
              </w:rPr>
            </w:pPr>
            <w:r>
              <w:rPr>
                <w:rFonts w:ascii="Arial" w:cs="Arial" w:eastAsia="Arial" w:hAnsi="Arial"/>
                <w:sz w:val="13"/>
                <w:szCs w:val="13"/>
                <w:color w:val="auto"/>
              </w:rPr>
              <w:t>Subsidiary</w:t>
            </w:r>
          </w:p>
        </w:tc>
        <w:tc>
          <w:tcPr>
            <w:tcW w:w="1680" w:type="dxa"/>
            <w:vAlign w:val="bottom"/>
          </w:tcPr>
          <w:p>
            <w:pPr>
              <w:ind w:left="540"/>
              <w:spacing w:after="0"/>
              <w:rPr>
                <w:sz w:val="20"/>
                <w:szCs w:val="20"/>
                <w:color w:val="auto"/>
              </w:rPr>
            </w:pPr>
            <w:r>
              <w:rPr>
                <w:rFonts w:ascii="Arial" w:cs="Arial" w:eastAsia="Arial" w:hAnsi="Arial"/>
                <w:sz w:val="13"/>
                <w:szCs w:val="13"/>
                <w:color w:val="auto"/>
              </w:rPr>
              <w:t>59.84%</w:t>
            </w:r>
          </w:p>
        </w:tc>
        <w:tc>
          <w:tcPr>
            <w:tcW w:w="1720" w:type="dxa"/>
            <w:vAlign w:val="bottom"/>
          </w:tcPr>
          <w:p>
            <w:pPr>
              <w:ind w:left="540"/>
              <w:spacing w:after="0"/>
              <w:rPr>
                <w:sz w:val="20"/>
                <w:szCs w:val="20"/>
                <w:color w:val="auto"/>
              </w:rPr>
            </w:pPr>
            <w:r>
              <w:rPr>
                <w:rFonts w:ascii="Arial" w:cs="Arial" w:eastAsia="Arial" w:hAnsi="Arial"/>
                <w:sz w:val="13"/>
                <w:szCs w:val="13"/>
                <w:color w:val="auto"/>
              </w:rPr>
              <w:t>August 2019</w:t>
            </w:r>
          </w:p>
        </w:tc>
        <w:tc>
          <w:tcPr>
            <w:tcW w:w="1500" w:type="dxa"/>
            <w:vAlign w:val="bottom"/>
          </w:tcPr>
          <w:p>
            <w:pPr>
              <w:ind w:left="500"/>
              <w:spacing w:after="0"/>
              <w:rPr>
                <w:sz w:val="20"/>
                <w:szCs w:val="20"/>
                <w:color w:val="auto"/>
              </w:rPr>
            </w:pPr>
            <w:r>
              <w:rPr>
                <w:rFonts w:ascii="Arial" w:cs="Arial" w:eastAsia="Arial" w:hAnsi="Arial"/>
                <w:sz w:val="13"/>
                <w:szCs w:val="13"/>
                <w:color w:val="auto"/>
              </w:rPr>
              <w:t>The PRC</w:t>
            </w:r>
          </w:p>
        </w:tc>
        <w:tc>
          <w:tcPr>
            <w:tcW w:w="1740" w:type="dxa"/>
            <w:vAlign w:val="bottom"/>
          </w:tcPr>
          <w:p>
            <w:pPr>
              <w:ind w:left="380"/>
              <w:spacing w:after="0"/>
              <w:rPr>
                <w:sz w:val="20"/>
                <w:szCs w:val="20"/>
                <w:color w:val="auto"/>
              </w:rPr>
            </w:pPr>
            <w:r>
              <w:rPr>
                <w:rFonts w:ascii="Arial" w:cs="Arial" w:eastAsia="Arial" w:hAnsi="Arial"/>
                <w:sz w:val="13"/>
                <w:szCs w:val="13"/>
                <w:color w:val="auto"/>
              </w:rPr>
              <w:t>SaaS products offering</w:t>
            </w:r>
          </w:p>
        </w:tc>
        <w:tc>
          <w:tcPr>
            <w:tcW w:w="0" w:type="dxa"/>
            <w:vAlign w:val="bottom"/>
          </w:tcPr>
          <w:p>
            <w:pPr>
              <w:spacing w:after="0"/>
              <w:rPr>
                <w:sz w:val="1"/>
                <w:szCs w:val="1"/>
                <w:color w:val="auto"/>
              </w:rPr>
            </w:pPr>
          </w:p>
        </w:tc>
      </w:tr>
      <w:tr>
        <w:trPr>
          <w:trHeight w:val="160"/>
        </w:trPr>
        <w:tc>
          <w:tcPr>
            <w:tcW w:w="2460" w:type="dxa"/>
            <w:vAlign w:val="bottom"/>
          </w:tcPr>
          <w:p>
            <w:pPr>
              <w:ind w:left="80"/>
              <w:spacing w:after="0"/>
              <w:rPr>
                <w:sz w:val="20"/>
                <w:szCs w:val="20"/>
                <w:color w:val="auto"/>
              </w:rPr>
            </w:pPr>
            <w:r>
              <w:rPr>
                <w:rFonts w:ascii="Arial" w:cs="Arial" w:eastAsia="Arial" w:hAnsi="Arial"/>
                <w:sz w:val="13"/>
                <w:szCs w:val="13"/>
                <w:color w:val="auto"/>
              </w:rPr>
              <w:t>(“Xian Changyi”)</w:t>
            </w:r>
          </w:p>
        </w:tc>
        <w:tc>
          <w:tcPr>
            <w:tcW w:w="1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6"/>
        </w:trPr>
        <w:tc>
          <w:tcPr>
            <w:tcW w:w="2460" w:type="dxa"/>
            <w:vAlign w:val="bottom"/>
          </w:tcPr>
          <w:p>
            <w:pPr>
              <w:spacing w:after="0"/>
              <w:rPr>
                <w:sz w:val="20"/>
                <w:szCs w:val="20"/>
                <w:color w:val="auto"/>
              </w:rPr>
            </w:pPr>
            <w:r>
              <w:rPr>
                <w:rFonts w:ascii="Arial" w:cs="Arial" w:eastAsia="Arial" w:hAnsi="Arial"/>
                <w:sz w:val="13"/>
                <w:szCs w:val="13"/>
                <w:color w:val="auto"/>
                <w:w w:val="95"/>
              </w:rPr>
              <w:t>Optimal Power Limited (“Optimal”) (Note (v))</w:t>
            </w:r>
          </w:p>
        </w:tc>
        <w:tc>
          <w:tcPr>
            <w:tcW w:w="1280" w:type="dxa"/>
            <w:vAlign w:val="bottom"/>
          </w:tcPr>
          <w:p>
            <w:pPr>
              <w:ind w:left="40"/>
              <w:spacing w:after="0"/>
              <w:rPr>
                <w:sz w:val="20"/>
                <w:szCs w:val="20"/>
                <w:color w:val="auto"/>
              </w:rPr>
            </w:pPr>
            <w:r>
              <w:rPr>
                <w:rFonts w:ascii="Arial" w:cs="Arial" w:eastAsia="Arial" w:hAnsi="Arial"/>
                <w:sz w:val="13"/>
                <w:szCs w:val="13"/>
                <w:color w:val="auto"/>
              </w:rPr>
              <w:t>Subsidiary</w:t>
            </w:r>
          </w:p>
        </w:tc>
        <w:tc>
          <w:tcPr>
            <w:tcW w:w="1680" w:type="dxa"/>
            <w:vAlign w:val="bottom"/>
          </w:tcPr>
          <w:p>
            <w:pPr>
              <w:ind w:left="540"/>
              <w:spacing w:after="0"/>
              <w:rPr>
                <w:sz w:val="20"/>
                <w:szCs w:val="20"/>
                <w:color w:val="auto"/>
              </w:rPr>
            </w:pPr>
            <w:r>
              <w:rPr>
                <w:rFonts w:ascii="Arial" w:cs="Arial" w:eastAsia="Arial" w:hAnsi="Arial"/>
                <w:sz w:val="13"/>
                <w:szCs w:val="13"/>
                <w:color w:val="auto"/>
              </w:rPr>
              <w:t>100%</w:t>
            </w:r>
          </w:p>
        </w:tc>
        <w:tc>
          <w:tcPr>
            <w:tcW w:w="1720" w:type="dxa"/>
            <w:vAlign w:val="bottom"/>
          </w:tcPr>
          <w:p>
            <w:pPr>
              <w:ind w:left="540"/>
              <w:spacing w:after="0"/>
              <w:rPr>
                <w:sz w:val="20"/>
                <w:szCs w:val="20"/>
                <w:color w:val="auto"/>
              </w:rPr>
            </w:pPr>
            <w:r>
              <w:rPr>
                <w:rFonts w:ascii="Arial" w:cs="Arial" w:eastAsia="Arial" w:hAnsi="Arial"/>
                <w:sz w:val="13"/>
                <w:szCs w:val="13"/>
                <w:color w:val="auto"/>
              </w:rPr>
              <w:t>September 2019</w:t>
            </w:r>
          </w:p>
        </w:tc>
        <w:tc>
          <w:tcPr>
            <w:tcW w:w="1500" w:type="dxa"/>
            <w:vAlign w:val="bottom"/>
          </w:tcPr>
          <w:p>
            <w:pPr>
              <w:ind w:left="500"/>
              <w:spacing w:after="0"/>
              <w:rPr>
                <w:sz w:val="20"/>
                <w:szCs w:val="20"/>
                <w:color w:val="auto"/>
              </w:rPr>
            </w:pPr>
            <w:r>
              <w:rPr>
                <w:rFonts w:ascii="Arial" w:cs="Arial" w:eastAsia="Arial" w:hAnsi="Arial"/>
                <w:sz w:val="13"/>
                <w:szCs w:val="13"/>
                <w:color w:val="auto"/>
              </w:rPr>
              <w:t>BVI</w:t>
            </w:r>
          </w:p>
        </w:tc>
        <w:tc>
          <w:tcPr>
            <w:tcW w:w="1740" w:type="dxa"/>
            <w:vAlign w:val="bottom"/>
          </w:tcPr>
          <w:p>
            <w:pPr>
              <w:ind w:left="380"/>
              <w:spacing w:after="0"/>
              <w:rPr>
                <w:sz w:val="20"/>
                <w:szCs w:val="20"/>
                <w:color w:val="auto"/>
              </w:rPr>
            </w:pPr>
            <w:r>
              <w:rPr>
                <w:rFonts w:ascii="Arial" w:cs="Arial" w:eastAsia="Arial" w:hAnsi="Arial"/>
                <w:sz w:val="13"/>
                <w:szCs w:val="13"/>
                <w:color w:val="auto"/>
              </w:rPr>
              <w:t>Investment holding</w:t>
            </w:r>
          </w:p>
        </w:tc>
        <w:tc>
          <w:tcPr>
            <w:tcW w:w="0" w:type="dxa"/>
            <w:vAlign w:val="bottom"/>
          </w:tcPr>
          <w:p>
            <w:pPr>
              <w:spacing w:after="0"/>
              <w:rPr>
                <w:sz w:val="1"/>
                <w:szCs w:val="1"/>
                <w:color w:val="auto"/>
              </w:rPr>
            </w:pPr>
          </w:p>
        </w:tc>
      </w:tr>
      <w:tr>
        <w:trPr>
          <w:trHeight w:val="283"/>
        </w:trPr>
        <w:tc>
          <w:tcPr>
            <w:tcW w:w="3740" w:type="dxa"/>
            <w:vAlign w:val="bottom"/>
            <w:gridSpan w:val="2"/>
          </w:tcPr>
          <w:p>
            <w:pPr>
              <w:spacing w:after="0"/>
              <w:rPr>
                <w:sz w:val="20"/>
                <w:szCs w:val="20"/>
                <w:color w:val="auto"/>
              </w:rPr>
            </w:pPr>
            <w:r>
              <w:rPr>
                <w:rFonts w:ascii="Arial" w:cs="Arial" w:eastAsia="Arial" w:hAnsi="Arial"/>
                <w:sz w:val="13"/>
                <w:szCs w:val="13"/>
                <w:color w:val="auto"/>
              </w:rPr>
              <w:t>Full Lucky International Limited (“Full Lucky”) Subsidiary</w:t>
            </w:r>
          </w:p>
        </w:tc>
        <w:tc>
          <w:tcPr>
            <w:tcW w:w="1680" w:type="dxa"/>
            <w:vAlign w:val="bottom"/>
          </w:tcPr>
          <w:p>
            <w:pPr>
              <w:ind w:left="540"/>
              <w:spacing w:after="0"/>
              <w:rPr>
                <w:sz w:val="20"/>
                <w:szCs w:val="20"/>
                <w:color w:val="auto"/>
              </w:rPr>
            </w:pPr>
            <w:r>
              <w:rPr>
                <w:rFonts w:ascii="Arial" w:cs="Arial" w:eastAsia="Arial" w:hAnsi="Arial"/>
                <w:sz w:val="13"/>
                <w:szCs w:val="13"/>
                <w:color w:val="auto"/>
              </w:rPr>
              <w:t>100%</w:t>
            </w:r>
          </w:p>
        </w:tc>
        <w:tc>
          <w:tcPr>
            <w:tcW w:w="1720" w:type="dxa"/>
            <w:vAlign w:val="bottom"/>
          </w:tcPr>
          <w:p>
            <w:pPr>
              <w:ind w:left="540"/>
              <w:spacing w:after="0"/>
              <w:rPr>
                <w:sz w:val="20"/>
                <w:szCs w:val="20"/>
                <w:color w:val="auto"/>
              </w:rPr>
            </w:pPr>
            <w:r>
              <w:rPr>
                <w:rFonts w:ascii="Arial" w:cs="Arial" w:eastAsia="Arial" w:hAnsi="Arial"/>
                <w:sz w:val="13"/>
                <w:szCs w:val="13"/>
                <w:color w:val="auto"/>
              </w:rPr>
              <w:t>January 2019</w:t>
            </w:r>
          </w:p>
        </w:tc>
        <w:tc>
          <w:tcPr>
            <w:tcW w:w="1500" w:type="dxa"/>
            <w:vAlign w:val="bottom"/>
          </w:tcPr>
          <w:p>
            <w:pPr>
              <w:ind w:left="500"/>
              <w:spacing w:after="0"/>
              <w:rPr>
                <w:sz w:val="20"/>
                <w:szCs w:val="20"/>
                <w:color w:val="auto"/>
              </w:rPr>
            </w:pPr>
            <w:r>
              <w:rPr>
                <w:rFonts w:ascii="Arial" w:cs="Arial" w:eastAsia="Arial" w:hAnsi="Arial"/>
                <w:sz w:val="13"/>
                <w:szCs w:val="13"/>
                <w:color w:val="auto"/>
              </w:rPr>
              <w:t>Hong Kong</w:t>
            </w:r>
          </w:p>
        </w:tc>
        <w:tc>
          <w:tcPr>
            <w:tcW w:w="1740" w:type="dxa"/>
            <w:vAlign w:val="bottom"/>
          </w:tcPr>
          <w:p>
            <w:pPr>
              <w:ind w:left="380"/>
              <w:spacing w:after="0"/>
              <w:rPr>
                <w:sz w:val="20"/>
                <w:szCs w:val="20"/>
                <w:color w:val="auto"/>
              </w:rPr>
            </w:pPr>
            <w:r>
              <w:rPr>
                <w:rFonts w:ascii="Arial" w:cs="Arial" w:eastAsia="Arial" w:hAnsi="Arial"/>
                <w:sz w:val="13"/>
                <w:szCs w:val="13"/>
                <w:color w:val="auto"/>
                <w:w w:val="86"/>
              </w:rPr>
              <w:t>Mobile content aggregator,</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740" w:type="dxa"/>
            <w:vAlign w:val="bottom"/>
          </w:tcPr>
          <w:p>
            <w:pPr>
              <w:ind w:left="380"/>
              <w:spacing w:after="0" w:line="135" w:lineRule="exact"/>
              <w:rPr>
                <w:sz w:val="20"/>
                <w:szCs w:val="20"/>
                <w:color w:val="auto"/>
              </w:rPr>
            </w:pPr>
            <w:r>
              <w:rPr>
                <w:rFonts w:ascii="Arial" w:cs="Arial" w:eastAsia="Arial" w:hAnsi="Arial"/>
                <w:sz w:val="13"/>
                <w:szCs w:val="13"/>
                <w:color w:val="auto"/>
              </w:rPr>
              <w:t>digital advertising and</w:t>
            </w:r>
          </w:p>
        </w:tc>
        <w:tc>
          <w:tcPr>
            <w:tcW w:w="0" w:type="dxa"/>
            <w:vAlign w:val="bottom"/>
          </w:tcPr>
          <w:p>
            <w:pPr>
              <w:spacing w:after="0"/>
              <w:rPr>
                <w:sz w:val="1"/>
                <w:szCs w:val="1"/>
                <w:color w:val="auto"/>
              </w:rPr>
            </w:pPr>
          </w:p>
        </w:tc>
      </w:tr>
      <w:tr>
        <w:trPr>
          <w:trHeight w:val="160"/>
        </w:trPr>
        <w:tc>
          <w:tcPr>
            <w:tcW w:w="2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40" w:type="dxa"/>
            <w:vAlign w:val="bottom"/>
          </w:tcPr>
          <w:p>
            <w:pPr>
              <w:ind w:left="380"/>
              <w:spacing w:after="0"/>
              <w:rPr>
                <w:sz w:val="20"/>
                <w:szCs w:val="20"/>
                <w:color w:val="auto"/>
              </w:rPr>
            </w:pPr>
            <w:r>
              <w:rPr>
                <w:rFonts w:ascii="Arial" w:cs="Arial" w:eastAsia="Arial" w:hAnsi="Arial"/>
                <w:sz w:val="13"/>
                <w:szCs w:val="13"/>
                <w:color w:val="auto"/>
              </w:rPr>
              <w:t>marketing services</w:t>
            </w:r>
          </w:p>
        </w:tc>
        <w:tc>
          <w:tcPr>
            <w:tcW w:w="0" w:type="dxa"/>
            <w:vAlign w:val="bottom"/>
          </w:tcPr>
          <w:p>
            <w:pPr>
              <w:spacing w:after="0"/>
              <w:rPr>
                <w:sz w:val="1"/>
                <w:szCs w:val="1"/>
                <w:color w:val="auto"/>
              </w:rPr>
            </w:pPr>
          </w:p>
        </w:tc>
      </w:tr>
      <w:tr>
        <w:trPr>
          <w:trHeight w:val="351"/>
        </w:trPr>
        <w:tc>
          <w:tcPr>
            <w:tcW w:w="2460" w:type="dxa"/>
            <w:vAlign w:val="bottom"/>
          </w:tcPr>
          <w:p>
            <w:pPr>
              <w:spacing w:after="0"/>
              <w:rPr>
                <w:sz w:val="20"/>
                <w:szCs w:val="20"/>
                <w:color w:val="auto"/>
              </w:rPr>
            </w:pPr>
            <w:r>
              <w:rPr>
                <w:rFonts w:ascii="Arial" w:cs="Arial" w:eastAsia="Arial" w:hAnsi="Arial"/>
                <w:sz w:val="13"/>
                <w:szCs w:val="13"/>
                <w:color w:val="auto"/>
              </w:rPr>
              <w:t>Arda Holdings Limited</w:t>
            </w:r>
          </w:p>
        </w:tc>
        <w:tc>
          <w:tcPr>
            <w:tcW w:w="1280" w:type="dxa"/>
            <w:vAlign w:val="bottom"/>
          </w:tcPr>
          <w:p>
            <w:pPr>
              <w:ind w:left="40"/>
              <w:spacing w:after="0"/>
              <w:rPr>
                <w:sz w:val="20"/>
                <w:szCs w:val="20"/>
                <w:color w:val="auto"/>
              </w:rPr>
            </w:pPr>
            <w:r>
              <w:rPr>
                <w:rFonts w:ascii="Arial" w:cs="Arial" w:eastAsia="Arial" w:hAnsi="Arial"/>
                <w:sz w:val="13"/>
                <w:szCs w:val="13"/>
                <w:color w:val="auto"/>
              </w:rPr>
              <w:t>VIE</w:t>
            </w:r>
          </w:p>
        </w:tc>
        <w:tc>
          <w:tcPr>
            <w:tcW w:w="1680" w:type="dxa"/>
            <w:vAlign w:val="bottom"/>
          </w:tcPr>
          <w:p>
            <w:pPr>
              <w:ind w:left="540"/>
              <w:spacing w:after="0"/>
              <w:rPr>
                <w:sz w:val="20"/>
                <w:szCs w:val="20"/>
                <w:color w:val="auto"/>
              </w:rPr>
            </w:pPr>
            <w:r>
              <w:rPr>
                <w:rFonts w:ascii="Arial" w:cs="Arial" w:eastAsia="Arial" w:hAnsi="Arial"/>
                <w:sz w:val="13"/>
                <w:szCs w:val="13"/>
                <w:color w:val="auto"/>
              </w:rPr>
              <w:t>100%</w:t>
            </w:r>
          </w:p>
        </w:tc>
        <w:tc>
          <w:tcPr>
            <w:tcW w:w="1720" w:type="dxa"/>
            <w:vAlign w:val="bottom"/>
          </w:tcPr>
          <w:p>
            <w:pPr>
              <w:ind w:left="540"/>
              <w:spacing w:after="0"/>
              <w:rPr>
                <w:sz w:val="20"/>
                <w:szCs w:val="20"/>
                <w:color w:val="auto"/>
              </w:rPr>
            </w:pPr>
            <w:r>
              <w:rPr>
                <w:rFonts w:ascii="Arial" w:cs="Arial" w:eastAsia="Arial" w:hAnsi="Arial"/>
                <w:sz w:val="13"/>
                <w:szCs w:val="13"/>
                <w:color w:val="auto"/>
              </w:rPr>
              <w:t>May 2010</w:t>
            </w:r>
          </w:p>
        </w:tc>
        <w:tc>
          <w:tcPr>
            <w:tcW w:w="1500" w:type="dxa"/>
            <w:vAlign w:val="bottom"/>
          </w:tcPr>
          <w:p>
            <w:pPr>
              <w:ind w:left="500"/>
              <w:spacing w:after="0"/>
              <w:rPr>
                <w:sz w:val="20"/>
                <w:szCs w:val="20"/>
                <w:color w:val="auto"/>
              </w:rPr>
            </w:pPr>
            <w:r>
              <w:rPr>
                <w:rFonts w:ascii="Arial" w:cs="Arial" w:eastAsia="Arial" w:hAnsi="Arial"/>
                <w:sz w:val="13"/>
                <w:szCs w:val="13"/>
                <w:color w:val="auto"/>
              </w:rPr>
              <w:t>BVI</w:t>
            </w:r>
          </w:p>
        </w:tc>
        <w:tc>
          <w:tcPr>
            <w:tcW w:w="1740" w:type="dxa"/>
            <w:vAlign w:val="bottom"/>
          </w:tcPr>
          <w:p>
            <w:pPr>
              <w:ind w:left="380"/>
              <w:spacing w:after="0"/>
              <w:rPr>
                <w:sz w:val="20"/>
                <w:szCs w:val="20"/>
                <w:color w:val="auto"/>
              </w:rPr>
            </w:pPr>
            <w:r>
              <w:rPr>
                <w:rFonts w:ascii="Arial" w:cs="Arial" w:eastAsia="Arial" w:hAnsi="Arial"/>
                <w:sz w:val="13"/>
                <w:szCs w:val="13"/>
                <w:color w:val="auto"/>
              </w:rPr>
              <w:t>Treasury management</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w:t>
      </w:r>
    </w:p>
    <w:p>
      <w:pPr>
        <w:spacing w:after="0" w:line="171" w:lineRule="exact"/>
        <w:rPr>
          <w:sz w:val="20"/>
          <w:szCs w:val="20"/>
          <w:color w:val="auto"/>
        </w:rPr>
      </w:pPr>
    </w:p>
    <w:p>
      <w:pPr>
        <w:jc w:val="both"/>
        <w:ind w:left="1440" w:hanging="717"/>
        <w:spacing w:after="0" w:line="235" w:lineRule="auto"/>
        <w:tabs>
          <w:tab w:leader="none" w:pos="1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Save for the impacts from the transactions detailed in Notes (iii), (iv) and (iv) below, there was no change in the Company’s percentage of direct or indirect economic ownership over the principal subsidiaries and consolidated VIEs and the VIE’s subsidiaries during the years ended December 31, 2018, 2019 and 2020.</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239" w:lineRule="exact"/>
        <w:rPr>
          <w:sz w:val="20"/>
          <w:szCs w:val="20"/>
          <w:color w:val="auto"/>
        </w:rPr>
      </w:pPr>
    </w:p>
    <w:p>
      <w:pPr>
        <w:ind w:left="720" w:hanging="712"/>
        <w:spacing w:after="0"/>
        <w:tabs>
          <w:tab w:leader="none" w:pos="72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Note: (Continued)</w:t>
      </w:r>
    </w:p>
    <w:p>
      <w:pPr>
        <w:spacing w:after="0" w:line="144" w:lineRule="exact"/>
        <w:rPr>
          <w:sz w:val="20"/>
          <w:szCs w:val="20"/>
          <w:color w:val="auto"/>
        </w:rPr>
      </w:pPr>
    </w:p>
    <w:p>
      <w:pPr>
        <w:jc w:val="both"/>
        <w:ind w:left="1440" w:hanging="717"/>
        <w:spacing w:after="0" w:line="224" w:lineRule="auto"/>
        <w:tabs>
          <w:tab w:leader="none" w:pos="14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Although the Company owns less than 50% ownership in these entities, these entities are consolidated as the Company obtains control with its controlling voting right at the level of both shareholders and board of directors pursuant to agreements with other investors of these entities.</w:t>
      </w:r>
    </w:p>
    <w:p>
      <w:pPr>
        <w:spacing w:after="0" w:line="122" w:lineRule="exact"/>
        <w:rPr>
          <w:rFonts w:ascii="Arial" w:cs="Arial" w:eastAsia="Arial" w:hAnsi="Arial"/>
          <w:sz w:val="18"/>
          <w:szCs w:val="18"/>
          <w:color w:val="auto"/>
        </w:rPr>
      </w:pPr>
    </w:p>
    <w:p>
      <w:pPr>
        <w:jc w:val="both"/>
        <w:ind w:left="1440" w:hanging="717"/>
        <w:spacing w:after="0" w:line="258" w:lineRule="auto"/>
        <w:tabs>
          <w:tab w:leader="none" w:pos="14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Company acquired 40% equity interest of Anhui Myhayo and Shanghai Myhayo in November 2018 (Note 4(a)). In August 2019 and August 2020, there were contribution from non-controlling interests of US$2,905 to Anhui Myhayo and US$73 to Shanghai Myhayo, respectively, whereby the Company's (i) equity interest in Anhui Myhayo was diluted to 36.8% in August 2019 and (ii) equity interest in Shanghai Myhayo was diluted to 36.8% in August 2020. These transactions did not result in a loss of the Company’s control over Anhui Myhayo and Shanghai Myhayo and were accounted for as transactions with non-controlling interests, resulting in an increase in equity by US$2,905 and US$73 for the years ended December 31, 2019 and 2020, respectively.</w:t>
      </w:r>
    </w:p>
    <w:p>
      <w:pPr>
        <w:spacing w:after="0" w:line="136" w:lineRule="exact"/>
        <w:rPr>
          <w:rFonts w:ascii="Arial" w:cs="Arial" w:eastAsia="Arial" w:hAnsi="Arial"/>
          <w:sz w:val="16"/>
          <w:szCs w:val="16"/>
          <w:color w:val="auto"/>
        </w:rPr>
      </w:pPr>
    </w:p>
    <w:p>
      <w:pPr>
        <w:jc w:val="both"/>
        <w:ind w:left="1440" w:hanging="717"/>
        <w:spacing w:after="0" w:line="225" w:lineRule="auto"/>
        <w:tabs>
          <w:tab w:leader="none" w:pos="14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acquired 34.38% equity interest of Changyi, which held 100% equity interest of Suzhou Changyi, Xian Changyi, Shanghai Changyu and Anhui Changyi, in January 2019 (Note 4(b)). During the years ended December 31, 2019 and 2020, the Company has further completed the following transactions in relation to Changyi.</w:t>
      </w:r>
    </w:p>
    <w:p>
      <w:pPr>
        <w:ind w:left="1800" w:hanging="348"/>
        <w:spacing w:after="0" w:line="219" w:lineRule="auto"/>
        <w:tabs>
          <w:tab w:leader="none" w:pos="18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May 2019, the Company injected a total cash of RMB15 million (equivalent to US$2,217) to Changyi as paid-up capital, upon which the Company's equity interest in Changyi increased to 41.46%.</w:t>
      </w:r>
    </w:p>
    <w:p>
      <w:pPr>
        <w:jc w:val="both"/>
        <w:ind w:left="1800" w:hanging="348"/>
        <w:spacing w:after="0" w:line="219" w:lineRule="auto"/>
        <w:tabs>
          <w:tab w:leader="none" w:pos="18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September 2020, the Company further injected a total cash of RMB65 million (equivalent to US$9,477) to Changyi as paid-up capital, resulting in a transfer of non-controlling interests of US$1,716 to additional paid-in capital for the year ended December 31, 2020. The Company’s equity interest in Changyi increased further to 52.62%.</w:t>
      </w:r>
    </w:p>
    <w:p>
      <w:pPr>
        <w:jc w:val="both"/>
        <w:ind w:left="1800" w:hanging="348"/>
        <w:spacing w:after="0" w:line="226" w:lineRule="auto"/>
        <w:tabs>
          <w:tab w:leader="none" w:pos="18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December 2020, the Company acquired 7.22% equity interest of Changyi from non-controlling interests using 313,011 Class A ordinary shares of the Company with a fair market value of US$4,176, resulting in a transfer of non-controlling interests of US$1,658 to additional paid-in capital for the year ended December 31, 2020. The Company’s equity interests in Changyi increased further to 59.84%.</w:t>
      </w:r>
    </w:p>
    <w:p>
      <w:pPr>
        <w:spacing w:after="0" w:line="149" w:lineRule="exact"/>
        <w:rPr>
          <w:sz w:val="20"/>
          <w:szCs w:val="20"/>
          <w:color w:val="auto"/>
        </w:rPr>
      </w:pPr>
    </w:p>
    <w:p>
      <w:pPr>
        <w:ind w:left="1460"/>
        <w:spacing w:after="0" w:line="246" w:lineRule="auto"/>
        <w:rPr>
          <w:sz w:val="20"/>
          <w:szCs w:val="20"/>
          <w:color w:val="auto"/>
        </w:rPr>
      </w:pPr>
      <w:r>
        <w:rPr>
          <w:rFonts w:ascii="Arial" w:cs="Arial" w:eastAsia="Arial" w:hAnsi="Arial"/>
          <w:sz w:val="18"/>
          <w:szCs w:val="18"/>
          <w:color w:val="auto"/>
        </w:rPr>
        <w:t>These transactions did not change the Company’s control over Changyi and were accounted for as transactions with non-controlling interests.</w:t>
      </w:r>
    </w:p>
    <w:p>
      <w:pPr>
        <w:spacing w:after="0" w:line="143" w:lineRule="exact"/>
        <w:rPr>
          <w:sz w:val="20"/>
          <w:szCs w:val="20"/>
          <w:color w:val="auto"/>
        </w:rPr>
      </w:pPr>
    </w:p>
    <w:p>
      <w:pPr>
        <w:jc w:val="both"/>
        <w:ind w:left="1440" w:hanging="717"/>
        <w:spacing w:after="0" w:line="228" w:lineRule="auto"/>
        <w:tabs>
          <w:tab w:leader="none" w:pos="14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acquired 80% equity interest of Optimal in May 2020 (Note 4(d)). In December 2020, the Company acquired the remaining 20% equity interest of Optimal from the non-controlling interest shareholder at a cash consideration of US$7,003, whereby the Company’s equity interests in Optimal increased to 100%. This was accounted for as a transaction with non-controlling interests with an increase in additional paid-in capital of US$1,137 and a reduction in non-controlling interests of US$8,140 for the year ended December 31, 2020.</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85" w:lineRule="exact"/>
        <w:rPr>
          <w:sz w:val="20"/>
          <w:szCs w:val="20"/>
          <w:color w:val="auto"/>
        </w:rPr>
      </w:pPr>
    </w:p>
    <w:p>
      <w:pPr>
        <w:ind w:left="720" w:hanging="712"/>
        <w:spacing w:after="0"/>
        <w:tabs>
          <w:tab w:leader="none" w:pos="7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subsidiaries</w:t>
      </w:r>
    </w:p>
    <w:p>
      <w:pPr>
        <w:spacing w:after="0" w:line="188" w:lineRule="exact"/>
        <w:rPr>
          <w:rFonts w:ascii="Arial" w:cs="Arial" w:eastAsia="Arial" w:hAnsi="Arial"/>
          <w:sz w:val="18"/>
          <w:szCs w:val="18"/>
          <w:b w:val="1"/>
          <w:bCs w:val="1"/>
          <w:color w:val="auto"/>
        </w:rPr>
      </w:pPr>
    </w:p>
    <w:p>
      <w:pPr>
        <w:jc w:val="both"/>
        <w:ind w:left="7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and its subsidiaries Shanghai OptAim, Shanghai Myhayo and Anhui Myhayo (together, “OptAim VIE”). OptAim WFOE, a wholly-owned subsidiary of the Company, or a wholly foreign owned enterprise (“WFOE”) of the Company, entered into a series of contractual agreements among Beijing OptAim and Beijing OptAim’s legal shareholders.</w:t>
      </w:r>
    </w:p>
    <w:p>
      <w:pPr>
        <w:spacing w:after="0" w:line="165"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OptAim VIE</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Company’s relationships with Beijing OptAim and its shareholders are governed by the following contractual arrangements:</w:t>
      </w:r>
    </w:p>
    <w:p>
      <w:pPr>
        <w:spacing w:after="0" w:line="185" w:lineRule="exact"/>
        <w:rPr>
          <w:sz w:val="20"/>
          <w:szCs w:val="20"/>
          <w:color w:val="auto"/>
        </w:rPr>
      </w:pPr>
    </w:p>
    <w:p>
      <w:pPr>
        <w:ind w:left="1440" w:hanging="717"/>
        <w:spacing w:after="0"/>
        <w:tabs>
          <w:tab w:leader="none" w:pos="14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85" w:lineRule="exact"/>
        <w:rPr>
          <w:sz w:val="20"/>
          <w:szCs w:val="20"/>
          <w:color w:val="auto"/>
        </w:rPr>
      </w:pPr>
    </w:p>
    <w:p>
      <w:pPr>
        <w:jc w:val="both"/>
        <w:ind w:left="1460"/>
        <w:spacing w:after="0" w:line="257" w:lineRule="auto"/>
        <w:rPr>
          <w:sz w:val="20"/>
          <w:szCs w:val="20"/>
          <w:color w:val="auto"/>
        </w:rPr>
      </w:pPr>
      <w:r>
        <w:rPr>
          <w:rFonts w:ascii="Arial" w:cs="Arial" w:eastAsia="Arial" w:hAnsi="Arial"/>
          <w:sz w:val="18"/>
          <w:szCs w:val="18"/>
          <w:color w:val="auto"/>
        </w:rPr>
        <w:t>Under the cooperative agreement between OptAim WFOE, Beijing OptAim and Shanghai OptAim, OptAim WFOE has the exclusive right to provide to Beijing OptAim and Shanghai OptAim, among 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w:t>
      </w:r>
    </w:p>
    <w:p>
      <w:pPr>
        <w:spacing w:after="0" w:line="161" w:lineRule="exact"/>
        <w:rPr>
          <w:sz w:val="20"/>
          <w:szCs w:val="20"/>
          <w:color w:val="auto"/>
        </w:rPr>
      </w:pPr>
    </w:p>
    <w:p>
      <w:pPr>
        <w:ind w:left="1440" w:hanging="717"/>
        <w:spacing w:after="0"/>
        <w:tabs>
          <w:tab w:leader="none" w:pos="14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85" w:lineRule="exact"/>
        <w:rPr>
          <w:sz w:val="20"/>
          <w:szCs w:val="20"/>
          <w:color w:val="auto"/>
        </w:rPr>
      </w:pPr>
    </w:p>
    <w:p>
      <w:pPr>
        <w:jc w:val="both"/>
        <w:ind w:left="1460"/>
        <w:spacing w:after="0" w:line="254" w:lineRule="auto"/>
        <w:rPr>
          <w:sz w:val="20"/>
          <w:szCs w:val="20"/>
          <w:color w:val="auto"/>
        </w:rPr>
      </w:pPr>
      <w:r>
        <w:rPr>
          <w:rFonts w:ascii="Arial" w:cs="Arial" w:eastAsia="Arial" w:hAnsi="Arial"/>
          <w:sz w:val="18"/>
          <w:szCs w:val="18"/>
          <w:color w:val="auto"/>
        </w:rPr>
        <w:t>The parties to the purchase option agreement are OptAim WFOE, Beijing OptAim and each of the shareholders of Beijing OptAim. Under the purchase option agreement, each of the shareholders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154" w:lineRule="exact"/>
        <w:rPr>
          <w:sz w:val="20"/>
          <w:szCs w:val="20"/>
          <w:color w:val="auto"/>
        </w:rPr>
      </w:pPr>
    </w:p>
    <w:p>
      <w:pPr>
        <w:ind w:left="1440" w:hanging="717"/>
        <w:spacing w:after="0"/>
        <w:tabs>
          <w:tab w:leader="none" w:pos="14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85" w:lineRule="exact"/>
        <w:rPr>
          <w:sz w:val="20"/>
          <w:szCs w:val="20"/>
          <w:color w:val="auto"/>
        </w:rPr>
      </w:pPr>
    </w:p>
    <w:p>
      <w:pPr>
        <w:jc w:val="both"/>
        <w:ind w:left="1460"/>
        <w:spacing w:after="0" w:line="279" w:lineRule="auto"/>
        <w:rPr>
          <w:sz w:val="20"/>
          <w:szCs w:val="20"/>
          <w:color w:val="auto"/>
        </w:rPr>
      </w:pPr>
      <w:r>
        <w:rPr>
          <w:rFonts w:ascii="Arial" w:cs="Arial" w:eastAsia="Arial" w:hAnsi="Arial"/>
          <w:sz w:val="17"/>
          <w:szCs w:val="17"/>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131" w:lineRule="exact"/>
        <w:rPr>
          <w:sz w:val="20"/>
          <w:szCs w:val="20"/>
          <w:color w:val="auto"/>
        </w:rPr>
      </w:pPr>
    </w:p>
    <w:p>
      <w:pPr>
        <w:ind w:left="1440" w:hanging="717"/>
        <w:spacing w:after="0"/>
        <w:tabs>
          <w:tab w:leader="none" w:pos="14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85" w:lineRule="exact"/>
        <w:rPr>
          <w:sz w:val="20"/>
          <w:szCs w:val="20"/>
          <w:color w:val="auto"/>
        </w:rPr>
      </w:pPr>
    </w:p>
    <w:p>
      <w:pPr>
        <w:jc w:val="both"/>
        <w:ind w:left="1460"/>
        <w:spacing w:after="0" w:line="272" w:lineRule="auto"/>
        <w:rPr>
          <w:sz w:val="20"/>
          <w:szCs w:val="20"/>
          <w:color w:val="auto"/>
        </w:rPr>
      </w:pPr>
      <w:r>
        <w:rPr>
          <w:rFonts w:ascii="Arial" w:cs="Arial" w:eastAsia="Arial" w:hAnsi="Arial"/>
          <w:sz w:val="17"/>
          <w:szCs w:val="17"/>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720" w:hanging="712"/>
        <w:spacing w:after="0"/>
        <w:tabs>
          <w:tab w:leader="none" w:pos="7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239" w:lineRule="exact"/>
        <w:rPr>
          <w:sz w:val="20"/>
          <w:szCs w:val="20"/>
          <w:color w:val="auto"/>
        </w:rPr>
      </w:pPr>
    </w:p>
    <w:p>
      <w:pPr>
        <w:ind w:left="720" w:hanging="712"/>
        <w:spacing w:after="0"/>
        <w:tabs>
          <w:tab w:leader="none" w:pos="7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subsidiaries (Continued)</w:t>
      </w:r>
    </w:p>
    <w:p>
      <w:pPr>
        <w:spacing w:after="0" w:line="189" w:lineRule="exact"/>
        <w:rPr>
          <w:sz w:val="20"/>
          <w:szCs w:val="20"/>
          <w:color w:val="auto"/>
        </w:rPr>
      </w:pPr>
    </w:p>
    <w:p>
      <w:pPr>
        <w:ind w:left="1440" w:hanging="717"/>
        <w:spacing w:after="0"/>
        <w:tabs>
          <w:tab w:leader="none" w:pos="14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Pledge Agreement (Continued)</w:t>
      </w:r>
    </w:p>
    <w:p>
      <w:pPr>
        <w:spacing w:after="0" w:line="171" w:lineRule="exact"/>
        <w:rPr>
          <w:sz w:val="20"/>
          <w:szCs w:val="20"/>
          <w:color w:val="auto"/>
        </w:rPr>
      </w:pPr>
    </w:p>
    <w:p>
      <w:pPr>
        <w:ind w:left="1460"/>
        <w:spacing w:after="0" w:line="235" w:lineRule="auto"/>
        <w:rPr>
          <w:sz w:val="20"/>
          <w:szCs w:val="20"/>
          <w:color w:val="auto"/>
        </w:rPr>
      </w:pPr>
      <w:r>
        <w:rPr>
          <w:rFonts w:ascii="Arial" w:cs="Arial" w:eastAsia="Arial" w:hAnsi="Arial"/>
          <w:sz w:val="18"/>
          <w:szCs w:val="18"/>
          <w:color w:val="auto"/>
        </w:rPr>
        <w:t>The shareholders of Beijing OptAim have completed the registration of the equity pledge with the relevant office of the Administration for Industry and Commerce in accordance with the PRC Property Rights Law on June 21, 2017.</w:t>
      </w:r>
    </w:p>
    <w:p>
      <w:pPr>
        <w:spacing w:after="0" w:line="351" w:lineRule="exact"/>
        <w:rPr>
          <w:sz w:val="20"/>
          <w:szCs w:val="20"/>
          <w:color w:val="auto"/>
        </w:rPr>
      </w:pPr>
    </w:p>
    <w:p>
      <w:pPr>
        <w:ind w:left="740"/>
        <w:spacing w:after="0" w:line="277" w:lineRule="auto"/>
        <w:rPr>
          <w:sz w:val="20"/>
          <w:szCs w:val="20"/>
          <w:color w:val="auto"/>
        </w:rPr>
      </w:pPr>
      <w:r>
        <w:rPr>
          <w:rFonts w:ascii="Arial" w:cs="Arial" w:eastAsia="Arial" w:hAnsi="Arial"/>
          <w:sz w:val="18"/>
          <w:szCs w:val="18"/>
          <w:color w:val="auto"/>
        </w:rPr>
        <w:t>Through the aforementioned contractual agreements, OptAim VIE is considered VIE in accordance with Generally Accepted Accounting Principles in the United States (“US GAAP”) because the Company, through OptAim WFOE, has the ability to:</w:t>
      </w:r>
    </w:p>
    <w:p>
      <w:pPr>
        <w:spacing w:after="0" w:line="143" w:lineRule="exact"/>
        <w:rPr>
          <w:sz w:val="20"/>
          <w:szCs w:val="20"/>
          <w:color w:val="auto"/>
        </w:rPr>
      </w:pPr>
    </w:p>
    <w:p>
      <w:pPr>
        <w:ind w:left="1440" w:hanging="717"/>
        <w:spacing w:after="0" w:line="277" w:lineRule="auto"/>
        <w:tabs>
          <w:tab w:leader="none" w:pos="14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129" w:lineRule="exact"/>
        <w:rPr>
          <w:rFonts w:ascii="Arial" w:cs="Arial" w:eastAsia="Arial" w:hAnsi="Arial"/>
          <w:sz w:val="18"/>
          <w:szCs w:val="18"/>
          <w:color w:val="auto"/>
        </w:rPr>
      </w:pPr>
    </w:p>
    <w:p>
      <w:pPr>
        <w:ind w:left="1440" w:hanging="717"/>
        <w:spacing w:after="0" w:line="277" w:lineRule="auto"/>
        <w:tabs>
          <w:tab w:leader="none" w:pos="14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the OptAim VIE as if it was their sole shareholder; and</w:t>
      </w:r>
    </w:p>
    <w:p>
      <w:pPr>
        <w:spacing w:after="0" w:line="129" w:lineRule="exact"/>
        <w:rPr>
          <w:rFonts w:ascii="Arial" w:cs="Arial" w:eastAsia="Arial" w:hAnsi="Arial"/>
          <w:sz w:val="18"/>
          <w:szCs w:val="18"/>
          <w:color w:val="auto"/>
        </w:rPr>
      </w:pPr>
    </w:p>
    <w:p>
      <w:pPr>
        <w:ind w:left="1440" w:hanging="717"/>
        <w:spacing w:after="0"/>
        <w:tabs>
          <w:tab w:leader="none" w:pos="14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85" w:lineRule="exact"/>
        <w:rPr>
          <w:sz w:val="20"/>
          <w:szCs w:val="20"/>
          <w:color w:val="auto"/>
        </w:rPr>
      </w:pPr>
    </w:p>
    <w:p>
      <w:pPr>
        <w:jc w:val="both"/>
        <w:ind w:left="740" w:right="20"/>
        <w:spacing w:after="0" w:line="263"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OptAim VIE. As a result, OptAim VIE’s results of operations, assets and liabilities have been included in the Group’s consolidated financial statements.</w:t>
      </w:r>
    </w:p>
    <w:p>
      <w:pPr>
        <w:spacing w:after="0" w:line="143" w:lineRule="exact"/>
        <w:rPr>
          <w:sz w:val="20"/>
          <w:szCs w:val="20"/>
          <w:color w:val="auto"/>
        </w:rPr>
      </w:pPr>
    </w:p>
    <w:p>
      <w:pPr>
        <w:jc w:val="both"/>
        <w:ind w:left="740"/>
        <w:spacing w:after="0" w:line="301" w:lineRule="auto"/>
        <w:rPr>
          <w:sz w:val="20"/>
          <w:szCs w:val="20"/>
          <w:color w:val="auto"/>
        </w:rPr>
      </w:pPr>
      <w:r>
        <w:rPr>
          <w:rFonts w:ascii="Arial" w:cs="Arial" w:eastAsia="Arial" w:hAnsi="Arial"/>
          <w:sz w:val="16"/>
          <w:szCs w:val="16"/>
          <w:color w:val="auto"/>
        </w:rPr>
        <w:t>As of December 31, 2019 and 2020, the total assets of OptAim VIE were US$9,733 and US$7,346, respectively, mainly comprising cash and cash equivalents, accounts receivable, property and equipment, intangible assets, right-of-use assets and other assets. As of December 31, 2019 and 2020, the total liabilities of the OptAim VIE were US$2,993 and US$4,104 respectively, mainly comprising accounts payable, deferred revenue, lease liabilities, bank borrowings, income tax payable, accrued liabilities and other current liabilities, and deferred tax liabilities.</w:t>
      </w:r>
    </w:p>
    <w:p>
      <w:pPr>
        <w:spacing w:after="0" w:line="117" w:lineRule="exact"/>
        <w:rPr>
          <w:sz w:val="20"/>
          <w:szCs w:val="20"/>
          <w:color w:val="auto"/>
        </w:rPr>
      </w:pPr>
    </w:p>
    <w:p>
      <w:pPr>
        <w:jc w:val="both"/>
        <w:ind w:left="740"/>
        <w:spacing w:after="0" w:line="293" w:lineRule="auto"/>
        <w:rPr>
          <w:sz w:val="20"/>
          <w:szCs w:val="20"/>
          <w:color w:val="auto"/>
        </w:rPr>
      </w:pPr>
      <w:r>
        <w:rPr>
          <w:rFonts w:ascii="Arial" w:cs="Arial" w:eastAsia="Arial" w:hAnsi="Arial"/>
          <w:sz w:val="16"/>
          <w:szCs w:val="16"/>
          <w:color w:val="auto"/>
        </w:rPr>
        <w:t>In accordance with the aforementioned agreements, the Company has the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OptAim VIE amounting to US$2,081 and US$2,081, respectively, as of December 31, 2019 and 2020. As Beijing OptAim and its subsidiaries were incorporated as limited liability companies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137" w:lineRule="exact"/>
        <w:rPr>
          <w:sz w:val="20"/>
          <w:szCs w:val="20"/>
          <w:color w:val="auto"/>
        </w:rPr>
      </w:pPr>
    </w:p>
    <w:p>
      <w:pPr>
        <w:jc w:val="both"/>
        <w:ind w:left="740"/>
        <w:spacing w:after="0" w:line="277" w:lineRule="auto"/>
        <w:rPr>
          <w:sz w:val="20"/>
          <w:szCs w:val="20"/>
          <w:color w:val="auto"/>
        </w:rPr>
      </w:pPr>
      <w:r>
        <w:rPr>
          <w:rFonts w:ascii="Arial" w:cs="Arial" w:eastAsia="Arial" w:hAnsi="Arial"/>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13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85" w:lineRule="exact"/>
        <w:rPr>
          <w:sz w:val="20"/>
          <w:szCs w:val="20"/>
          <w:color w:val="auto"/>
        </w:rPr>
      </w:pPr>
    </w:p>
    <w:p>
      <w:pPr>
        <w:jc w:val="both"/>
        <w:ind w:left="740"/>
        <w:spacing w:after="0" w:line="279" w:lineRule="auto"/>
        <w:rPr>
          <w:sz w:val="20"/>
          <w:szCs w:val="20"/>
          <w:color w:val="auto"/>
        </w:rPr>
      </w:pPr>
      <w:r>
        <w:rPr>
          <w:rFonts w:ascii="Arial" w:cs="Arial" w:eastAsia="Arial" w:hAnsi="Arial"/>
          <w:sz w:val="17"/>
          <w:szCs w:val="17"/>
          <w:color w:val="auto"/>
        </w:rPr>
        <w:t>The Company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144"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The Company’s ability to control the OptAim VIE also depends on the power of attorney and the effect of the share pledge under the Pledge Agreement and OptAim WFOE has to vote on all matters requiring shareholder approval in OptAim VIE. As noted above, the Company believes this power of attorney is legally enforceable but may not be as effective as direct equity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225" w:lineRule="exact"/>
        <w:rPr>
          <w:sz w:val="20"/>
          <w:szCs w:val="20"/>
          <w:color w:val="auto"/>
        </w:rPr>
      </w:pPr>
    </w:p>
    <w:p>
      <w:pPr>
        <w:ind w:left="720" w:hanging="712"/>
        <w:spacing w:after="0"/>
        <w:tabs>
          <w:tab w:leader="none" w:pos="72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Share offerings in 2020</w:t>
      </w:r>
    </w:p>
    <w:p>
      <w:pPr>
        <w:spacing w:after="0" w:line="144" w:lineRule="exact"/>
        <w:rPr>
          <w:rFonts w:ascii="Arial" w:cs="Arial" w:eastAsia="Arial" w:hAnsi="Arial"/>
          <w:sz w:val="18"/>
          <w:szCs w:val="18"/>
          <w:b w:val="1"/>
          <w:bCs w:val="1"/>
          <w:color w:val="auto"/>
        </w:rPr>
      </w:pPr>
    </w:p>
    <w:p>
      <w:pPr>
        <w:ind w:left="1440" w:hanging="717"/>
        <w:spacing w:after="0"/>
        <w:tabs>
          <w:tab w:leader="none" w:pos="1440" w:val="left"/>
        </w:tabs>
        <w:numPr>
          <w:ilvl w:val="1"/>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Private investment in public equity offering (“PIPE”)</w:t>
      </w:r>
    </w:p>
    <w:p>
      <w:pPr>
        <w:spacing w:after="0" w:line="216" w:lineRule="exact"/>
        <w:rPr>
          <w:sz w:val="20"/>
          <w:szCs w:val="20"/>
          <w:color w:val="auto"/>
        </w:rPr>
      </w:pPr>
    </w:p>
    <w:p>
      <w:pPr>
        <w:ind w:left="1460"/>
        <w:spacing w:after="0" w:line="277" w:lineRule="auto"/>
        <w:rPr>
          <w:sz w:val="20"/>
          <w:szCs w:val="20"/>
          <w:color w:val="auto"/>
        </w:rPr>
      </w:pPr>
      <w:r>
        <w:rPr>
          <w:rFonts w:ascii="Arial" w:cs="Arial" w:eastAsia="Arial" w:hAnsi="Arial"/>
          <w:sz w:val="18"/>
          <w:szCs w:val="18"/>
          <w:color w:val="auto"/>
        </w:rPr>
        <w:t>The Company completed a PIPE offering on June 22, 2020 and issued a total of 2,107,400 Class A ordinary shares. The net proceeds received by the Company, after deducting offering expenses of US$3,469, amounted to US$18,531.</w:t>
      </w:r>
    </w:p>
    <w:p>
      <w:pPr>
        <w:spacing w:after="0" w:line="126" w:lineRule="exact"/>
        <w:rPr>
          <w:sz w:val="20"/>
          <w:szCs w:val="20"/>
          <w:color w:val="auto"/>
        </w:rPr>
      </w:pPr>
    </w:p>
    <w:p>
      <w:pPr>
        <w:ind w:left="1440" w:hanging="717"/>
        <w:spacing w:after="0"/>
        <w:tabs>
          <w:tab w:leader="none" w:pos="14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Follow-on offering</w:t>
      </w:r>
    </w:p>
    <w:p>
      <w:pPr>
        <w:spacing w:after="0" w:line="175" w:lineRule="exact"/>
        <w:rPr>
          <w:sz w:val="20"/>
          <w:szCs w:val="20"/>
          <w:color w:val="auto"/>
        </w:rPr>
      </w:pPr>
    </w:p>
    <w:p>
      <w:pPr>
        <w:jc w:val="both"/>
        <w:ind w:left="1460"/>
        <w:spacing w:after="0" w:line="296" w:lineRule="auto"/>
        <w:rPr>
          <w:sz w:val="20"/>
          <w:szCs w:val="20"/>
          <w:color w:val="auto"/>
        </w:rPr>
      </w:pPr>
      <w:r>
        <w:rPr>
          <w:rFonts w:ascii="Arial" w:cs="Arial" w:eastAsia="Arial" w:hAnsi="Arial"/>
          <w:sz w:val="16"/>
          <w:szCs w:val="16"/>
          <w:color w:val="auto"/>
        </w:rPr>
        <w:t>The Company completed a follow-on offering of 8,500,001 American Depositary Shares (“ADSs”) (equivalent to 4,250,001 Class A ordinary shares) at a public offering price of US$8.50 per ADS on September 8, 2020. Each ADS represents 0.5 common share. Of the ADSs sold in the follow-on offering, 6,877,214 ADSs (equivalent to 3,438,607 Class A ordinary shares) were newly issued and sold by the Company and 1,622,787 ADSs (equivalent to 811,394 Class A ordinary shares) were sold by an existing shareholder. The net proceeds received by the Company, after deducting offering expenses of US$5,070, amounted to US$53,386.</w:t>
      </w:r>
    </w:p>
    <w:p>
      <w:pPr>
        <w:spacing w:after="0" w:line="117" w:lineRule="exact"/>
        <w:rPr>
          <w:sz w:val="20"/>
          <w:szCs w:val="20"/>
          <w:color w:val="auto"/>
        </w:rPr>
      </w:pPr>
    </w:p>
    <w:p>
      <w:pPr>
        <w:ind w:left="720" w:hanging="712"/>
        <w:spacing w:after="0"/>
        <w:tabs>
          <w:tab w:leader="none" w:pos="72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85" w:lineRule="exact"/>
        <w:rPr>
          <w:sz w:val="20"/>
          <w:szCs w:val="20"/>
          <w:color w:val="auto"/>
        </w:rPr>
      </w:pPr>
    </w:p>
    <w:p>
      <w:pPr>
        <w:ind w:left="720" w:hanging="712"/>
        <w:spacing w:after="0"/>
        <w:tabs>
          <w:tab w:leader="none" w:pos="7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88" w:lineRule="exact"/>
        <w:rPr>
          <w:rFonts w:ascii="Arial" w:cs="Arial" w:eastAsia="Arial" w:hAnsi="Arial"/>
          <w:sz w:val="18"/>
          <w:szCs w:val="18"/>
          <w:b w:val="1"/>
          <w:bCs w:val="1"/>
          <w:color w:val="auto"/>
        </w:rPr>
      </w:pPr>
    </w:p>
    <w:p>
      <w:pPr>
        <w:ind w:lef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139" w:lineRule="exact"/>
        <w:rPr>
          <w:rFonts w:ascii="Arial" w:cs="Arial" w:eastAsia="Arial" w:hAnsi="Arial"/>
          <w:sz w:val="18"/>
          <w:szCs w:val="18"/>
          <w:b w:val="1"/>
          <w:bCs w:val="1"/>
          <w:color w:val="auto"/>
        </w:rPr>
      </w:pPr>
    </w:p>
    <w:p>
      <w:pPr>
        <w:ind w:left="720" w:hanging="712"/>
        <w:spacing w:after="0"/>
        <w:tabs>
          <w:tab w:leader="none" w:pos="7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88" w:lineRule="exact"/>
        <w:rPr>
          <w:rFonts w:ascii="Arial" w:cs="Arial" w:eastAsia="Arial" w:hAnsi="Arial"/>
          <w:sz w:val="18"/>
          <w:szCs w:val="18"/>
          <w:b w:val="1"/>
          <w:bCs w:val="1"/>
          <w:color w:val="auto"/>
        </w:rPr>
      </w:pPr>
    </w:p>
    <w:p>
      <w:pPr>
        <w:jc w:val="both"/>
        <w:ind w:left="7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146" w:lineRule="exact"/>
        <w:rPr>
          <w:rFonts w:ascii="Arial" w:cs="Arial" w:eastAsia="Arial" w:hAnsi="Arial"/>
          <w:sz w:val="18"/>
          <w:szCs w:val="18"/>
          <w:b w:val="1"/>
          <w:bCs w:val="1"/>
          <w:color w:val="auto"/>
        </w:rPr>
      </w:pPr>
    </w:p>
    <w:p>
      <w:pPr>
        <w:jc w:val="both"/>
        <w:ind w:left="7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believes that revenue recognition, rebates, consolidation of VIE, determination of share-based compensation, measurement of and convertible notes and derivative liability, impairment assessment of long-lived assets and intangible assets, and fair value determination related to the accounting for business combinations reflect more significant judgments and estimates used in the preparation of its consolidated financial statements.</w:t>
      </w:r>
    </w:p>
    <w:p>
      <w:pPr>
        <w:spacing w:after="0" w:line="146"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93" w:lineRule="exact"/>
        <w:rPr>
          <w:sz w:val="20"/>
          <w:szCs w:val="20"/>
          <w:color w:val="auto"/>
        </w:rPr>
      </w:pPr>
    </w:p>
    <w:p>
      <w:pPr>
        <w:ind w:left="720" w:hanging="712"/>
        <w:spacing w:after="0"/>
        <w:tabs>
          <w:tab w:leader="none" w:pos="72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58" w:lineRule="exact"/>
        <w:rPr>
          <w:sz w:val="20"/>
          <w:szCs w:val="20"/>
          <w:color w:val="auto"/>
        </w:rPr>
      </w:pPr>
    </w:p>
    <w:p>
      <w:pPr>
        <w:ind w:left="720" w:hanging="712"/>
        <w:spacing w:after="0"/>
        <w:tabs>
          <w:tab w:leader="none" w:pos="7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188"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Group’s consolidated financial statements include the financial statements of the Company, its subsidiaries, its VIEs and a VIE’s subsidiaries for which the Company or its subsidiary is the primary beneficiary. All transactions and balances among the Company, its subsidiaries, its VIEs and a VIE’s subsidiaries have been eliminated upon consolidation.</w:t>
      </w:r>
    </w:p>
    <w:p>
      <w:pPr>
        <w:spacing w:after="0" w:line="156" w:lineRule="exact"/>
        <w:rPr>
          <w:rFonts w:ascii="Arial" w:cs="Arial" w:eastAsia="Arial" w:hAnsi="Arial"/>
          <w:sz w:val="18"/>
          <w:szCs w:val="18"/>
          <w:b w:val="1"/>
          <w:bCs w:val="1"/>
          <w:color w:val="auto"/>
        </w:rPr>
      </w:pPr>
    </w:p>
    <w:p>
      <w:pPr>
        <w:jc w:val="both"/>
        <w:ind w:left="7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24" w:lineRule="exact"/>
        <w:rPr>
          <w:rFonts w:ascii="Arial" w:cs="Arial" w:eastAsia="Arial" w:hAnsi="Arial"/>
          <w:sz w:val="18"/>
          <w:szCs w:val="18"/>
          <w:b w:val="1"/>
          <w:bCs w:val="1"/>
          <w:color w:val="auto"/>
        </w:rPr>
      </w:pPr>
    </w:p>
    <w:p>
      <w:pPr>
        <w:jc w:val="both"/>
        <w:ind w:left="7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subsidiaries, and has been determined to be the primary beneficiary of the VIE.</w:t>
      </w:r>
    </w:p>
    <w:p>
      <w:pPr>
        <w:spacing w:after="0" w:line="151"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Non-controlling interests are recognized to reflect the portion of their equity that is not attributable, directly or indirectly, to the Company as the controlling shareholder. Non-controlling interests in the results and equity of subsidiaries are shown separately in the consolidated statement of comprehensive loss, statement of changes in equity and balance sheet, respectively.</w:t>
      </w:r>
    </w:p>
    <w:p>
      <w:pPr>
        <w:spacing w:after="0" w:line="152" w:lineRule="exact"/>
        <w:rPr>
          <w:rFonts w:ascii="Arial" w:cs="Arial" w:eastAsia="Arial" w:hAnsi="Arial"/>
          <w:sz w:val="18"/>
          <w:szCs w:val="18"/>
          <w:b w:val="1"/>
          <w:bCs w:val="1"/>
          <w:color w:val="auto"/>
        </w:rPr>
      </w:pPr>
    </w:p>
    <w:p>
      <w:pPr>
        <w:ind w:left="720" w:hanging="712"/>
        <w:spacing w:after="0"/>
        <w:tabs>
          <w:tab w:leader="none" w:pos="7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88"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reporting currency of the Company is the United States dollars (“US$”). The Company is a holding company engaged in capital raising and financing activities denominated in US$. As such, the Company’s functional currency has been determined to be the US$. The functional currency of the Company’s subsidiaries is the local currency of the country in which they are domiciled.</w:t>
      </w:r>
    </w:p>
    <w:p>
      <w:pPr>
        <w:spacing w:after="0" w:line="183" w:lineRule="exact"/>
        <w:rPr>
          <w:rFonts w:ascii="Arial" w:cs="Arial" w:eastAsia="Arial" w:hAnsi="Arial"/>
          <w:sz w:val="18"/>
          <w:szCs w:val="18"/>
          <w:b w:val="1"/>
          <w:bCs w:val="1"/>
          <w:color w:val="auto"/>
        </w:rPr>
      </w:pPr>
    </w:p>
    <w:p>
      <w:pPr>
        <w:jc w:val="both"/>
        <w:ind w:left="7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gains,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statements of changes in shareholders’ equity and comprehensive loss.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98" w:lineRule="exact"/>
        <w:rPr>
          <w:sz w:val="20"/>
          <w:szCs w:val="20"/>
          <w:color w:val="auto"/>
        </w:rPr>
      </w:pPr>
    </w:p>
    <w:p>
      <w:pPr>
        <w:ind w:left="720" w:hanging="712"/>
        <w:spacing w:after="0"/>
        <w:tabs>
          <w:tab w:leader="none" w:pos="72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88" w:lineRule="exact"/>
        <w:rPr>
          <w:rFonts w:ascii="Arial" w:cs="Arial" w:eastAsia="Arial" w:hAnsi="Arial"/>
          <w:sz w:val="18"/>
          <w:szCs w:val="18"/>
          <w:b w:val="1"/>
          <w:bCs w:val="1"/>
          <w:color w:val="auto"/>
        </w:rPr>
      </w:pPr>
    </w:p>
    <w:p>
      <w:pPr>
        <w:jc w:val="both"/>
        <w:ind w:left="7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When available, the Company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 Valuation techniques used to measure fair value must maximize the use of observable inputs and minimize the use of unobservable inputs.</w:t>
      </w:r>
    </w:p>
    <w:p>
      <w:pPr>
        <w:spacing w:after="0" w:line="165" w:lineRule="exact"/>
        <w:rPr>
          <w:rFonts w:ascii="Arial" w:cs="Arial" w:eastAsia="Arial" w:hAnsi="Arial"/>
          <w:sz w:val="18"/>
          <w:szCs w:val="18"/>
          <w:b w:val="1"/>
          <w:bCs w:val="1"/>
          <w:color w:val="auto"/>
        </w:rPr>
      </w:pPr>
    </w:p>
    <w:p>
      <w:pPr>
        <w:ind w:left="7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Fair value measurements are based on a fair value hierarchy, based on three levels of inputs, of which the first two are considered observable and the last unobservable, that may be used to measure fair value which are the following:</w:t>
      </w:r>
    </w:p>
    <w:p>
      <w:pPr>
        <w:spacing w:after="0" w:line="170" w:lineRule="exact"/>
        <w:rPr>
          <w:rFonts w:ascii="Arial" w:cs="Arial" w:eastAsia="Arial" w:hAnsi="Arial"/>
          <w:sz w:val="18"/>
          <w:szCs w:val="18"/>
          <w:b w:val="1"/>
          <w:bCs w:val="1"/>
          <w:color w:val="auto"/>
        </w:rPr>
      </w:pPr>
    </w:p>
    <w:p>
      <w:pPr>
        <w:ind w:lef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129" w:lineRule="exact"/>
        <w:rPr>
          <w:rFonts w:ascii="Arial" w:cs="Arial" w:eastAsia="Arial" w:hAnsi="Arial"/>
          <w:sz w:val="18"/>
          <w:szCs w:val="18"/>
          <w:b w:val="1"/>
          <w:bCs w:val="1"/>
          <w:color w:val="auto"/>
        </w:rPr>
      </w:pPr>
    </w:p>
    <w:p>
      <w:pPr>
        <w:jc w:val="both"/>
        <w:ind w:left="7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such as quoted market prices for similar assets and liabilities;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4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6"/>
          <w:szCs w:val="16"/>
          <w:color w:val="auto"/>
        </w:rPr>
        <w:t>Level 3 — Unobservable inputs to the valuation methodology that are significant to the measurement of the fair value of the assets or liabilities.</w:t>
      </w:r>
    </w:p>
    <w:p>
      <w:pPr>
        <w:spacing w:after="0" w:line="221"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Observable inputs are based on market data obtained from independent sources. The Company’s contingent consideration (Note 4 (e)), derivative liabilities and convertible notes (Note 18) are measured using unobservable inputs that require a high level of judgment to determine fair value, and thus classified as Level 3 (Note 3(c)).</w:t>
      </w:r>
    </w:p>
    <w:p>
      <w:pPr>
        <w:spacing w:after="0" w:line="143" w:lineRule="exact"/>
        <w:rPr>
          <w:rFonts w:ascii="Arial" w:cs="Arial" w:eastAsia="Arial" w:hAnsi="Arial"/>
          <w:sz w:val="18"/>
          <w:szCs w:val="18"/>
          <w:b w:val="1"/>
          <w:bCs w:val="1"/>
          <w:color w:val="auto"/>
        </w:rPr>
      </w:pPr>
    </w:p>
    <w:p>
      <w:pPr>
        <w:jc w:val="both"/>
        <w:ind w:left="7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values its investments in wealth management products issued by banks and pledged deposits placed with a financial institution classified as short-term investments in the consolidated balance sheets (Note 2(k)) using quoted subscription or redemption prices published by the banks and financial institution. Accordingly, the Company classifies the valuation techniques that use these inputs as Level 2.</w:t>
      </w:r>
    </w:p>
    <w:p>
      <w:pPr>
        <w:spacing w:after="0" w:line="200" w:lineRule="exact"/>
        <w:rPr>
          <w:rFonts w:ascii="Arial" w:cs="Arial" w:eastAsia="Arial" w:hAnsi="Arial"/>
          <w:sz w:val="18"/>
          <w:szCs w:val="18"/>
          <w:b w:val="1"/>
          <w:bCs w:val="1"/>
          <w:color w:val="auto"/>
        </w:rPr>
      </w:pPr>
    </w:p>
    <w:p>
      <w:pPr>
        <w:spacing w:after="0" w:line="340" w:lineRule="exact"/>
        <w:rPr>
          <w:rFonts w:ascii="Arial" w:cs="Arial" w:eastAsia="Arial" w:hAnsi="Arial"/>
          <w:sz w:val="18"/>
          <w:szCs w:val="18"/>
          <w:b w:val="1"/>
          <w:bCs w:val="1"/>
          <w:color w:val="auto"/>
        </w:rPr>
      </w:pPr>
    </w:p>
    <w:p>
      <w:pPr>
        <w:jc w:val="both"/>
        <w:ind w:left="7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cash and cash equivalents, time deposits, restricted cash, accounts receivable, amount due from an equity investee, rebates receivable, accounts payable, other financial assets and liabilities approximate their fair values due to the short-term nature of these instruments. Based on the borrowing rates currently available to the Group for debt with similar terms, the carrying amounts of the short-term bank borrowings approximate their fair values (using Level 2 inputs).</w:t>
      </w:r>
    </w:p>
    <w:p>
      <w:pPr>
        <w:spacing w:after="0" w:line="146" w:lineRule="exact"/>
        <w:rPr>
          <w:rFonts w:ascii="Arial" w:cs="Arial" w:eastAsia="Arial" w:hAnsi="Arial"/>
          <w:sz w:val="18"/>
          <w:szCs w:val="18"/>
          <w:b w:val="1"/>
          <w:bCs w:val="1"/>
          <w:color w:val="auto"/>
        </w:rPr>
      </w:pPr>
    </w:p>
    <w:p>
      <w:pPr>
        <w:ind w:left="74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The Group values its listed equity securities using quoted prices for the underlying securities in active markets. Accordingly, the Group classifies the valuation techniques that use these inputs as Level 1.</w:t>
      </w:r>
    </w:p>
    <w:p>
      <w:pPr>
        <w:spacing w:after="0" w:line="134"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Group measures an equity investment accounted for using the equity method at fair value on a non-recurring basis only if an impairment charge were to be recognized. For the years ended December 31, 2019 and 2020, no impairments were recorded on the asset required to be measured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58" w:lineRule="exact"/>
        <w:rPr>
          <w:sz w:val="20"/>
          <w:szCs w:val="20"/>
          <w:color w:val="auto"/>
        </w:rPr>
      </w:pPr>
    </w:p>
    <w:p>
      <w:pPr>
        <w:ind w:left="720" w:hanging="712"/>
        <w:spacing w:after="0"/>
        <w:tabs>
          <w:tab w:leader="none" w:pos="72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(Continued)</w:t>
      </w:r>
    </w:p>
    <w:p>
      <w:pPr>
        <w:spacing w:after="0" w:line="229" w:lineRule="exact"/>
        <w:rPr>
          <w:rFonts w:ascii="Arial" w:cs="Arial" w:eastAsia="Arial" w:hAnsi="Arial"/>
          <w:sz w:val="18"/>
          <w:szCs w:val="18"/>
          <w:b w:val="1"/>
          <w:bCs w:val="1"/>
          <w:color w:val="auto"/>
        </w:rPr>
      </w:pPr>
    </w:p>
    <w:p>
      <w:pPr>
        <w:jc w:val="both"/>
        <w:ind w:left="7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Equity investments accounted for using the net asset value per share as a practical expedient (Note 2(j)) and measurement alternative (Note 2(m)) are generally not categorized in the fair value hierarchy. However, if equity investments without readily determinable fair values accounted for using the measurement alternative were re-measured during the year, they would be classified within Level 3 in the fair value hierarchy because the Group estimated the value of the investments based on valuation methods using the observable transaction price at the transaction date and other unobservable inputs.</w:t>
      </w:r>
    </w:p>
    <w:p>
      <w:pPr>
        <w:spacing w:after="0" w:line="174" w:lineRule="exact"/>
        <w:rPr>
          <w:rFonts w:ascii="Arial" w:cs="Arial" w:eastAsia="Arial" w:hAnsi="Arial"/>
          <w:sz w:val="18"/>
          <w:szCs w:val="18"/>
          <w:b w:val="1"/>
          <w:bCs w:val="1"/>
          <w:color w:val="auto"/>
        </w:rPr>
      </w:pPr>
    </w:p>
    <w:p>
      <w:pPr>
        <w:jc w:val="both"/>
        <w:ind w:left="740"/>
        <w:spacing w:after="0" w:line="236" w:lineRule="auto"/>
        <w:rPr>
          <w:rFonts w:ascii="Arial" w:cs="Arial" w:eastAsia="Arial" w:hAnsi="Arial"/>
          <w:sz w:val="18"/>
          <w:szCs w:val="18"/>
          <w:b w:val="1"/>
          <w:bCs w:val="1"/>
          <w:color w:val="auto"/>
        </w:rPr>
      </w:pPr>
      <w:r>
        <w:rPr>
          <w:rFonts w:ascii="Arial" w:cs="Arial" w:eastAsia="Arial" w:hAnsi="Arial"/>
          <w:sz w:val="16"/>
          <w:szCs w:val="16"/>
          <w:color w:val="auto"/>
        </w:rPr>
        <w:t>The Group adopted Accounting Standards Update (“ASU”) No. 2018-13, Fair Value Measurement (Topic 820): Disclosure Framework— Changes to the Disclosure Requirements for Fair Value Measurement (“ASU 2018-13”), which eliminates, adds and modifies certain disclosure requirements for fair value measurements, on January 1, 2020. ASU 2018-13 removed the following disclosure requirements: (i) the amount of, and reasons for, transfers between Level 1 and Level 2 of the fair value hierarchy; (ii) the policy for timing of transfers between levels; and (iii) the valuation processes for Level 3 fair value measurements. This ASU added the following disclosure requirements: (i) the changes in unrealized gains and losses for the period included in other comprehensive income (“OCI”) for recurring Level 3 fair value measurements held at the end of the reporting period; and (ii) the range and weighted average of significant unobservable inputs used to develop Level 3 fair value measurements. The Group has considered the guidance in its disclosures on reconciliation of the changes in level 3 instruments under the fair value hierarchy for the years ended December 2019 and 2020. See Note 3(c) for additional information.</w:t>
      </w:r>
    </w:p>
    <w:p>
      <w:pPr>
        <w:spacing w:after="0" w:line="176" w:lineRule="exact"/>
        <w:rPr>
          <w:rFonts w:ascii="Arial" w:cs="Arial" w:eastAsia="Arial" w:hAnsi="Arial"/>
          <w:sz w:val="18"/>
          <w:szCs w:val="18"/>
          <w:b w:val="1"/>
          <w:bCs w:val="1"/>
          <w:color w:val="auto"/>
        </w:rPr>
      </w:pPr>
    </w:p>
    <w:p>
      <w:pPr>
        <w:ind w:left="720" w:hanging="712"/>
        <w:spacing w:after="0"/>
        <w:tabs>
          <w:tab w:leader="none" w:pos="72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restricted cash</w:t>
      </w:r>
    </w:p>
    <w:p>
      <w:pPr>
        <w:spacing w:after="0" w:line="188" w:lineRule="exact"/>
        <w:rPr>
          <w:rFonts w:ascii="Arial" w:cs="Arial" w:eastAsia="Arial" w:hAnsi="Arial"/>
          <w:sz w:val="18"/>
          <w:szCs w:val="18"/>
          <w:b w:val="1"/>
          <w:bCs w:val="1"/>
          <w:color w:val="auto"/>
        </w:rPr>
      </w:pPr>
    </w:p>
    <w:p>
      <w:pPr>
        <w:ind w:lef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143" w:lineRule="exact"/>
        <w:rPr>
          <w:rFonts w:ascii="Arial" w:cs="Arial" w:eastAsia="Arial" w:hAnsi="Arial"/>
          <w:sz w:val="18"/>
          <w:szCs w:val="18"/>
          <w:b w:val="1"/>
          <w:bCs w:val="1"/>
          <w:color w:val="auto"/>
        </w:rPr>
      </w:pPr>
    </w:p>
    <w:p>
      <w:pPr>
        <w:jc w:val="both"/>
        <w:ind w:left="7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Restricted cash represented bank deposits in accounts that are restricted as to withdrawal or usage. For restriction which is expected to be released within one year of the balance sheet date, the respective restricted cash balance is classified as current. As of December 31, 2019 and 2020, the Group’s restricted cash mainly represents balance held in restricted bank accounts as required by certain loan agreements and escrow amount deposited for a business acquisition.</w:t>
      </w:r>
    </w:p>
    <w:p>
      <w:pPr>
        <w:spacing w:after="0" w:line="146" w:lineRule="exact"/>
        <w:rPr>
          <w:rFonts w:ascii="Arial" w:cs="Arial" w:eastAsia="Arial" w:hAnsi="Arial"/>
          <w:sz w:val="18"/>
          <w:szCs w:val="18"/>
          <w:b w:val="1"/>
          <w:bCs w:val="1"/>
          <w:color w:val="auto"/>
        </w:rPr>
      </w:pPr>
    </w:p>
    <w:p>
      <w:pPr>
        <w:jc w:val="both"/>
        <w:ind w:left="7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November 2016, the Financial Accounting Standard Board (“FASB”) issued ASU No. 2016-18, Statements of Cash Flows (Topic 230): Restricted Cash, which requires companies to include amounts generally described as restricted cash and restricted cash equivalents in cash and cash equivalents when reconciling beginning-of-period and end-of-period total amounts presented in the statement of cash flows. The Group has adopted this new guidance on January 1, 2018, using the retrospective transition method.</w:t>
      </w:r>
    </w:p>
    <w:p>
      <w:pPr>
        <w:spacing w:after="0" w:line="132"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Following the adoption of this guidance in 2018:</w:t>
      </w:r>
    </w:p>
    <w:p>
      <w:pPr>
        <w:spacing w:after="0" w:line="157" w:lineRule="exact"/>
        <w:rPr>
          <w:rFonts w:ascii="Arial" w:cs="Arial" w:eastAsia="Arial" w:hAnsi="Arial"/>
          <w:sz w:val="18"/>
          <w:szCs w:val="18"/>
          <w:b w:val="1"/>
          <w:bCs w:val="1"/>
          <w:color w:val="auto"/>
        </w:rPr>
      </w:pPr>
    </w:p>
    <w:p>
      <w:pPr>
        <w:ind w:left="1440" w:hanging="717"/>
        <w:spacing w:after="0" w:line="258" w:lineRule="auto"/>
        <w:tabs>
          <w:tab w:leader="none" w:pos="14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Amounts generally described as restricted cash were presented with cash and cash equivalents when reconciling the beginning-of-period and end-of-period total amounts shown on the consolidated statements of cash flows.</w:t>
      </w:r>
    </w:p>
    <w:p>
      <w:pPr>
        <w:spacing w:after="0" w:line="1" w:lineRule="exact"/>
        <w:rPr>
          <w:rFonts w:ascii="Arial" w:cs="Arial" w:eastAsia="Arial" w:hAnsi="Arial"/>
          <w:sz w:val="18"/>
          <w:szCs w:val="18"/>
          <w:color w:val="auto"/>
        </w:rPr>
      </w:pPr>
    </w:p>
    <w:p>
      <w:pPr>
        <w:ind w:left="1440" w:hanging="717"/>
        <w:spacing w:after="0" w:line="260" w:lineRule="auto"/>
        <w:tabs>
          <w:tab w:leader="none" w:pos="14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No impact to the consolidated statements of cash flows for the year ended December 31, 2018 as there was no restricted cash during the year.</w:t>
      </w:r>
    </w:p>
    <w:p>
      <w:pPr>
        <w:spacing w:after="0" w:line="131" w:lineRule="exact"/>
        <w:rPr>
          <w:rFonts w:ascii="Arial" w:cs="Arial" w:eastAsia="Arial" w:hAnsi="Arial"/>
          <w:sz w:val="18"/>
          <w:szCs w:val="18"/>
          <w:color w:val="auto"/>
        </w:rPr>
      </w:pPr>
    </w:p>
    <w:p>
      <w:pPr>
        <w:ind w:left="1440" w:hanging="717"/>
        <w:spacing w:after="0"/>
        <w:tabs>
          <w:tab w:leader="none" w:pos="144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The Group also added a reconciliation of cash, cash equivalents, and restricted cash to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39" w:lineRule="exact"/>
        <w:rPr>
          <w:sz w:val="20"/>
          <w:szCs w:val="20"/>
          <w:color w:val="auto"/>
        </w:rPr>
      </w:pPr>
    </w:p>
    <w:p>
      <w:pPr>
        <w:ind w:left="720" w:hanging="712"/>
        <w:spacing w:after="0"/>
        <w:tabs>
          <w:tab w:leader="none" w:pos="72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Time deposits</w:t>
      </w:r>
    </w:p>
    <w:p>
      <w:pPr>
        <w:spacing w:after="0" w:line="188"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Time deposits represent demand deposits placed with banks with original maturities of more than three months but less than one year. Interest income is recognized using the effective interest method in the consolidated statements of comprehensive loss during the periods. Time deposits are valued based on the prevailing interest rates in the market.</w:t>
      </w:r>
    </w:p>
    <w:p>
      <w:pPr>
        <w:spacing w:after="0" w:line="152" w:lineRule="exact"/>
        <w:rPr>
          <w:rFonts w:ascii="Arial" w:cs="Arial" w:eastAsia="Arial" w:hAnsi="Arial"/>
          <w:sz w:val="18"/>
          <w:szCs w:val="18"/>
          <w:b w:val="1"/>
          <w:bCs w:val="1"/>
          <w:color w:val="auto"/>
        </w:rPr>
      </w:pPr>
    </w:p>
    <w:p>
      <w:pPr>
        <w:ind w:left="720" w:hanging="712"/>
        <w:spacing w:after="0"/>
        <w:tabs>
          <w:tab w:leader="none" w:pos="72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88" w:lineRule="exact"/>
        <w:rPr>
          <w:rFonts w:ascii="Arial" w:cs="Arial" w:eastAsia="Arial" w:hAnsi="Arial"/>
          <w:sz w:val="18"/>
          <w:szCs w:val="18"/>
          <w:b w:val="1"/>
          <w:bCs w:val="1"/>
          <w:color w:val="auto"/>
        </w:rPr>
      </w:pPr>
    </w:p>
    <w:p>
      <w:pPr>
        <w:jc w:val="both"/>
        <w:ind w:left="7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presented net of allowance for credit losses. The Group evaluates its accounts receivable for expected credit losses on a regular basis. The Group maintains an estimated allowance for credit losses which reflects its best estimate of amounts that potentially will not be collected. The Group uses various credit quality indicators including but not limited to historical collection experience and credit-worthiness of the customers as well as the age of the receivables balance to monitor the Group’s receivables within the scope of expected credit losses model and use these as a basis to develop the Group’s expected loss estimates. Additionally, the Group makes specific allowance in the period based on any specific knowledge the Group has acquired that might indicate that an individual account is uncollectible. The facts and circumstances of each account may require the Group to use substantial judgment in assessing its collectability. See Note 2(j) for current expected credit losses upon adoption of ASC 326.</w:t>
      </w:r>
    </w:p>
    <w:p>
      <w:pPr>
        <w:spacing w:after="0" w:line="133" w:lineRule="exact"/>
        <w:rPr>
          <w:rFonts w:ascii="Arial" w:cs="Arial" w:eastAsia="Arial" w:hAnsi="Arial"/>
          <w:sz w:val="18"/>
          <w:szCs w:val="18"/>
          <w:b w:val="1"/>
          <w:bCs w:val="1"/>
          <w:color w:val="auto"/>
        </w:rPr>
      </w:pPr>
    </w:p>
    <w:p>
      <w:pPr>
        <w:ind w:left="720" w:hanging="712"/>
        <w:spacing w:after="0"/>
        <w:tabs>
          <w:tab w:leader="none" w:pos="72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Rebates receivable</w:t>
      </w:r>
    </w:p>
    <w:p>
      <w:pPr>
        <w:spacing w:after="0" w:line="188" w:lineRule="exact"/>
        <w:rPr>
          <w:rFonts w:ascii="Arial" w:cs="Arial" w:eastAsia="Arial" w:hAnsi="Arial"/>
          <w:sz w:val="18"/>
          <w:szCs w:val="18"/>
          <w:b w:val="1"/>
          <w:bCs w:val="1"/>
          <w:color w:val="auto"/>
        </w:rPr>
      </w:pPr>
    </w:p>
    <w:p>
      <w:pPr>
        <w:ind w:lef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Rebates receivable represent sales rebates that have already been earned but not received from third party publishers. The Group earns its rebates from purchasing advertising spaces from these website publishers.</w:t>
      </w:r>
    </w:p>
    <w:p>
      <w:pPr>
        <w:spacing w:after="0" w:line="166" w:lineRule="exact"/>
        <w:rPr>
          <w:rFonts w:ascii="Arial" w:cs="Arial" w:eastAsia="Arial" w:hAnsi="Arial"/>
          <w:sz w:val="18"/>
          <w:szCs w:val="18"/>
          <w:b w:val="1"/>
          <w:bCs w:val="1"/>
          <w:color w:val="auto"/>
        </w:rPr>
      </w:pPr>
    </w:p>
    <w:p>
      <w:pPr>
        <w:ind w:left="720" w:hanging="712"/>
        <w:spacing w:after="0"/>
        <w:tabs>
          <w:tab w:leader="none" w:pos="72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Current expected credit losses upon adoption of ASC 326</w:t>
      </w:r>
    </w:p>
    <w:p>
      <w:pPr>
        <w:spacing w:after="0" w:line="215" w:lineRule="exact"/>
        <w:rPr>
          <w:rFonts w:ascii="Arial" w:cs="Arial" w:eastAsia="Arial" w:hAnsi="Arial"/>
          <w:sz w:val="18"/>
          <w:szCs w:val="18"/>
          <w:b w:val="1"/>
          <w:bCs w:val="1"/>
          <w:color w:val="auto"/>
        </w:rPr>
      </w:pPr>
    </w:p>
    <w:p>
      <w:pPr>
        <w:jc w:val="both"/>
        <w:ind w:left="740"/>
        <w:spacing w:after="0" w:line="254" w:lineRule="auto"/>
        <w:rPr>
          <w:rFonts w:ascii="Arial" w:cs="Arial" w:eastAsia="Arial" w:hAnsi="Arial"/>
          <w:sz w:val="18"/>
          <w:szCs w:val="18"/>
          <w:b w:val="1"/>
          <w:bCs w:val="1"/>
          <w:color w:val="auto"/>
        </w:rPr>
      </w:pPr>
      <w:r>
        <w:rPr>
          <w:rFonts w:ascii="Arial" w:cs="Arial" w:eastAsia="Arial" w:hAnsi="Arial"/>
          <w:sz w:val="16"/>
          <w:szCs w:val="16"/>
          <w:color w:val="auto"/>
        </w:rPr>
        <w:t>In 2016, the FASB issued ASU No. 2016-13, “Financial Instruments—Credit Losses (Topic 326): Measurement of Credit Losses on Financial Instruments” (“ASC 326”), which amends previously issued guidance regarding the impairment of financial instruments by creating an impairment model that is based on expected losses rather than incurred losses. Subsequently, the FASB issued ASU No. 2018-19, Codification Improvements to Topic 326, to clarify that receivables arising from operating leases are within the scope of lease accounting standards. Further, the FASB issued ASU No. 2019-04, ASU No. 2019-05, ASU 2019-10, ASU 2019-11, ASU 2020-02 and ASU 2020-03 to provide additional guidance on the credit losses standard. The Group adopted ASC 326 and several associated ASUs on January 1, 2020 using a modified retrospective approach, resulting in a net adjustment of US$3,972 to the opening balance of accumulated losses with a corresponding credit loss provision over accounts receivable being recognized in the consolidated balance sheet as of January 1, 2020. As of December 31, 2020, the credit loss provision for accounts receivable being recognized in consolidated balance sheet amounted to US$11,749.</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39" w:lineRule="exact"/>
        <w:rPr>
          <w:sz w:val="20"/>
          <w:szCs w:val="20"/>
          <w:color w:val="auto"/>
        </w:rPr>
      </w:pPr>
    </w:p>
    <w:p>
      <w:pPr>
        <w:ind w:left="720" w:hanging="712"/>
        <w:spacing w:after="0"/>
        <w:tabs>
          <w:tab w:leader="none" w:pos="72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Current expected credit losses upon adoption of ASC 326 (Continued)</w:t>
      </w:r>
    </w:p>
    <w:p>
      <w:pPr>
        <w:spacing w:after="0" w:line="188" w:lineRule="exact"/>
        <w:rPr>
          <w:rFonts w:ascii="Arial" w:cs="Arial" w:eastAsia="Arial" w:hAnsi="Arial"/>
          <w:sz w:val="18"/>
          <w:szCs w:val="18"/>
          <w:b w:val="1"/>
          <w:bCs w:val="1"/>
          <w:color w:val="auto"/>
        </w:rPr>
      </w:pPr>
    </w:p>
    <w:p>
      <w:pPr>
        <w:jc w:val="both"/>
        <w:ind w:left="740"/>
        <w:spacing w:after="0" w:line="237" w:lineRule="auto"/>
        <w:rPr>
          <w:rFonts w:ascii="Arial" w:cs="Arial" w:eastAsia="Arial" w:hAnsi="Arial"/>
          <w:sz w:val="18"/>
          <w:szCs w:val="18"/>
          <w:b w:val="1"/>
          <w:bCs w:val="1"/>
          <w:color w:val="auto"/>
        </w:rPr>
      </w:pPr>
      <w:r>
        <w:rPr>
          <w:rFonts w:ascii="Arial" w:cs="Arial" w:eastAsia="Arial" w:hAnsi="Arial"/>
          <w:sz w:val="17"/>
          <w:szCs w:val="17"/>
          <w:color w:val="auto"/>
        </w:rPr>
        <w:t>The Group’s accounts receivable, amount due from an equity investee, rebates receivable and other current assets are within the scope of ASC Topic 326. The Group has identified the relevant risk characteristics of its customers and the related receivables and other current assets which include size, type of the services the Group provides, or a combination of these characteristics. Receivables with similar risk characteristics have been grouped into pools for collective evaluation. Receivables that do not share risk characteristics are evaluated on an individual basis. Receivables evaluated individually are not included in the collective evaluation. For each pool for collective evaluation, the Group considers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the Group’s receivables. Additionally, external data and macroeconomic factors are also considered. This is assessed at each quarter based on the Group’s specific facts and circumstances.</w:t>
      </w:r>
    </w:p>
    <w:p>
      <w:pPr>
        <w:spacing w:after="0" w:line="175"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presents the movement in the allowance for credit losses for the years ended December 31, 2018, 2019 and 2020.</w:t>
      </w:r>
    </w:p>
    <w:p>
      <w:pPr>
        <w:spacing w:after="0" w:line="210"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6140" w:type="dxa"/>
            <w:vAlign w:val="bottom"/>
          </w:tcPr>
          <w:p>
            <w:pPr>
              <w:spacing w:after="0"/>
              <w:rPr>
                <w:sz w:val="19"/>
                <w:szCs w:val="19"/>
                <w:color w:val="auto"/>
              </w:rPr>
            </w:pPr>
          </w:p>
        </w:tc>
        <w:tc>
          <w:tcPr>
            <w:tcW w:w="3440" w:type="dxa"/>
            <w:vAlign w:val="bottom"/>
            <w:gridSpan w:val="5"/>
          </w:tcPr>
          <w:p>
            <w:pPr>
              <w:ind w:left="820"/>
              <w:spacing w:after="0"/>
              <w:rPr>
                <w:sz w:val="20"/>
                <w:szCs w:val="20"/>
                <w:color w:val="auto"/>
              </w:rPr>
            </w:pPr>
            <w:r>
              <w:rPr>
                <w:rFonts w:ascii="Arial" w:cs="Arial" w:eastAsia="Arial" w:hAnsi="Arial"/>
                <w:sz w:val="18"/>
                <w:szCs w:val="18"/>
                <w:color w:val="auto"/>
                <w:w w:val="93"/>
              </w:rPr>
              <w:t>For the years ended December 31,</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29"/>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year prior to ASC Topic 326</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3,469</w:t>
            </w:r>
          </w:p>
        </w:tc>
        <w:tc>
          <w:tcPr>
            <w:tcW w:w="100" w:type="dxa"/>
            <w:vAlign w:val="bottom"/>
            <w:shd w:val="clear" w:color="auto" w:fill="CFF0FC"/>
          </w:tcPr>
          <w:p>
            <w:pPr>
              <w:spacing w:after="0"/>
              <w:rPr>
                <w:sz w:val="19"/>
                <w:szCs w:val="19"/>
                <w:color w:val="auto"/>
              </w:rPr>
            </w:pPr>
          </w:p>
        </w:tc>
      </w:tr>
      <w:tr>
        <w:trPr>
          <w:trHeight w:val="230"/>
        </w:trPr>
        <w:tc>
          <w:tcPr>
            <w:tcW w:w="6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Adoption of ASC Topic 326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Borders>
              <w:bottom w:val="single" w:sz="8" w:color="CFF0FC"/>
            </w:tcBorders>
          </w:tcPr>
          <w:p>
            <w:pPr>
              <w:spacing w:after="0"/>
              <w:rPr>
                <w:sz w:val="19"/>
                <w:szCs w:val="19"/>
                <w:color w:val="auto"/>
              </w:rPr>
            </w:pP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year</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7,441</w:t>
            </w:r>
          </w:p>
        </w:tc>
        <w:tc>
          <w:tcPr>
            <w:tcW w:w="100" w:type="dxa"/>
            <w:vAlign w:val="bottom"/>
            <w:shd w:val="clear" w:color="auto" w:fill="CFF0FC"/>
          </w:tcPr>
          <w:p>
            <w:pPr>
              <w:spacing w:after="0"/>
              <w:rPr>
                <w:sz w:val="19"/>
                <w:szCs w:val="19"/>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Provision for the year</w:t>
            </w: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1,995</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6,587</w:t>
            </w:r>
          </w:p>
        </w:tc>
        <w:tc>
          <w:tcPr>
            <w:tcW w:w="100" w:type="dxa"/>
            <w:vAlign w:val="bottom"/>
          </w:tcPr>
          <w:p>
            <w:pPr>
              <w:spacing w:after="0"/>
              <w:rPr>
                <w:sz w:val="19"/>
                <w:szCs w:val="19"/>
                <w:color w:val="auto"/>
              </w:rPr>
            </w:pPr>
          </w:p>
        </w:tc>
      </w:tr>
      <w:tr>
        <w:trPr>
          <w:trHeight w:val="229"/>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written off</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(2,621)</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Exchange differences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r>
      <w:tr>
        <w:trPr>
          <w:trHeight w:val="223"/>
        </w:trPr>
        <w:tc>
          <w:tcPr>
            <w:tcW w:w="6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the end of year</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720" w:hanging="712"/>
        <w:spacing w:after="0"/>
        <w:tabs>
          <w:tab w:leader="none" w:pos="72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29" w:lineRule="exact"/>
        <w:rPr>
          <w:rFonts w:ascii="Arial" w:cs="Arial" w:eastAsia="Arial" w:hAnsi="Arial"/>
          <w:sz w:val="18"/>
          <w:szCs w:val="18"/>
          <w:b w:val="1"/>
          <w:bCs w:val="1"/>
          <w:color w:val="auto"/>
        </w:rPr>
      </w:pPr>
    </w:p>
    <w:p>
      <w:pPr>
        <w:ind w:lef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Short-term investments represent the Group’s investments in listed equity securities, fund investments, wealth management products, and pledged deposits.</w:t>
      </w:r>
    </w:p>
    <w:p>
      <w:pPr>
        <w:spacing w:after="0" w:line="170" w:lineRule="exact"/>
        <w:rPr>
          <w:rFonts w:ascii="Arial" w:cs="Arial" w:eastAsia="Arial" w:hAnsi="Arial"/>
          <w:sz w:val="18"/>
          <w:szCs w:val="18"/>
          <w:b w:val="1"/>
          <w:bCs w:val="1"/>
          <w:color w:val="auto"/>
        </w:rPr>
      </w:pPr>
    </w:p>
    <w:p>
      <w:pPr>
        <w:ind w:left="1440" w:hanging="717"/>
        <w:spacing w:after="0"/>
        <w:tabs>
          <w:tab w:leader="none" w:pos="14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Fund investments</w:t>
      </w:r>
    </w:p>
    <w:p>
      <w:pPr>
        <w:spacing w:after="0" w:line="225" w:lineRule="exact"/>
        <w:rPr>
          <w:sz w:val="20"/>
          <w:szCs w:val="20"/>
          <w:color w:val="auto"/>
        </w:rPr>
      </w:pPr>
    </w:p>
    <w:p>
      <w:pPr>
        <w:jc w:val="both"/>
        <w:ind w:left="1460"/>
        <w:spacing w:after="0" w:line="291" w:lineRule="auto"/>
        <w:rPr>
          <w:sz w:val="20"/>
          <w:szCs w:val="20"/>
          <w:color w:val="auto"/>
        </w:rPr>
      </w:pPr>
      <w:r>
        <w:rPr>
          <w:rFonts w:ascii="Arial" w:cs="Arial" w:eastAsia="Arial" w:hAnsi="Arial"/>
          <w:sz w:val="16"/>
          <w:szCs w:val="16"/>
          <w:color w:val="auto"/>
        </w:rPr>
        <w:t>Fund investments over which the Group does not have the ability to exercise significant influence, are required to be measured at fair value under ASC 321 “Investments—Equity Securities” (“ASC 321”). The Group has adopted the practical expedient in ASC 820 “Fair Value Measurements and Disclosures” (“ASC 820”) to estimate fair value using the net asset value per share (or its equivalent) of these investments which were without readily determinable fair value. Fund investments included in the consolidated balance sheet as short-term investments as of December 31, 2020 amounted to US$11,097 and the change in fair value recorded in consolidated statement of comprehensive loss under “other gains, net” for the year ended December 31, 2020 amounted to US$187. There were no fund investments as of December 31, 2019 and no change in fair values for the years ended December 31, 2018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44" w:lineRule="exact"/>
        <w:rPr>
          <w:sz w:val="20"/>
          <w:szCs w:val="20"/>
          <w:color w:val="auto"/>
        </w:rPr>
      </w:pPr>
    </w:p>
    <w:p>
      <w:pPr>
        <w:ind w:left="720" w:hanging="712"/>
        <w:spacing w:after="0"/>
        <w:tabs>
          <w:tab w:leader="none" w:pos="72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 (Continued)</w:t>
      </w:r>
    </w:p>
    <w:p>
      <w:pPr>
        <w:spacing w:after="0" w:line="148" w:lineRule="exact"/>
        <w:rPr>
          <w:sz w:val="20"/>
          <w:szCs w:val="20"/>
          <w:color w:val="auto"/>
        </w:rPr>
      </w:pPr>
    </w:p>
    <w:p>
      <w:pPr>
        <w:ind w:left="1440" w:hanging="717"/>
        <w:spacing w:after="0"/>
        <w:tabs>
          <w:tab w:leader="none" w:pos="14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Listed equity securities</w:t>
      </w:r>
    </w:p>
    <w:p>
      <w:pPr>
        <w:spacing w:after="0" w:line="144" w:lineRule="exact"/>
        <w:rPr>
          <w:sz w:val="20"/>
          <w:szCs w:val="20"/>
          <w:color w:val="auto"/>
        </w:rPr>
      </w:pPr>
    </w:p>
    <w:p>
      <w:pPr>
        <w:jc w:val="both"/>
        <w:ind w:left="1460"/>
        <w:spacing w:after="0" w:line="214" w:lineRule="auto"/>
        <w:rPr>
          <w:sz w:val="20"/>
          <w:szCs w:val="20"/>
          <w:color w:val="auto"/>
        </w:rPr>
      </w:pPr>
      <w:r>
        <w:rPr>
          <w:rFonts w:ascii="Arial" w:cs="Arial" w:eastAsia="Arial" w:hAnsi="Arial"/>
          <w:sz w:val="18"/>
          <w:szCs w:val="18"/>
          <w:color w:val="auto"/>
        </w:rPr>
        <w:t>Investments in listed equity securities are reported at fair value in the consolidated balance sheets and the unrealized gains and losses are recorded in the consolidated statements of comprehensive loss under ASU 2016-01. Listed equity securities recorded in the consolidated balance sheet as short-term investments as of December 31, 2020 amounted to US$2,342 and the change in fair value recorded in the consolidated statement of comprehensive loss under “other gains, net” for the year ended December 31, 2020 amounted to US$1,157. There were no listed equity securities as of December 31, 2019 and no change in fair values for the years ended December 31, 2018 and 2019.</w:t>
      </w:r>
    </w:p>
    <w:p>
      <w:pPr>
        <w:spacing w:after="0" w:line="121" w:lineRule="exact"/>
        <w:rPr>
          <w:sz w:val="20"/>
          <w:szCs w:val="20"/>
          <w:color w:val="auto"/>
        </w:rPr>
      </w:pPr>
    </w:p>
    <w:p>
      <w:pPr>
        <w:ind w:left="1440" w:hanging="717"/>
        <w:spacing w:after="0"/>
        <w:tabs>
          <w:tab w:leader="none" w:pos="14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Wealth management products</w:t>
      </w:r>
    </w:p>
    <w:p>
      <w:pPr>
        <w:spacing w:after="0" w:line="144" w:lineRule="exact"/>
        <w:rPr>
          <w:sz w:val="20"/>
          <w:szCs w:val="20"/>
          <w:color w:val="auto"/>
        </w:rPr>
      </w:pPr>
    </w:p>
    <w:p>
      <w:pPr>
        <w:jc w:val="both"/>
        <w:ind w:left="1460"/>
        <w:spacing w:after="0" w:line="241" w:lineRule="auto"/>
        <w:rPr>
          <w:sz w:val="20"/>
          <w:szCs w:val="20"/>
          <w:color w:val="auto"/>
        </w:rPr>
      </w:pPr>
      <w:r>
        <w:rPr>
          <w:rFonts w:ascii="Arial" w:cs="Arial" w:eastAsia="Arial" w:hAnsi="Arial"/>
          <w:sz w:val="16"/>
          <w:szCs w:val="16"/>
          <w:color w:val="auto"/>
        </w:rPr>
        <w:t>Wealth management products are issued by banks in the PRC which are redeemable by the Group at any time. They are unsecured with variable interest rates and primarily invested in debt securities issued by the PRC government, corporate debt securities and central bank bills. The Group measures these investments at fair value using the quoted subscription or redemption prices published by the bank. Wealth management products recorded in the consolidated balance sheet as short-term investments as of December 31, 2020 amounted to US$700 (2019: US$Nil) and the change in fair values recorded in the consolidated statement of comprehensive loss under “other gains, net” amounted to US$25, US$107 and US$52 for the years ended December 31, 2018, 2019 and 2020, respectively.</w:t>
      </w:r>
    </w:p>
    <w:p>
      <w:pPr>
        <w:spacing w:after="0" w:line="120" w:lineRule="exact"/>
        <w:rPr>
          <w:sz w:val="20"/>
          <w:szCs w:val="20"/>
          <w:color w:val="auto"/>
        </w:rPr>
      </w:pPr>
    </w:p>
    <w:p>
      <w:pPr>
        <w:ind w:left="1440" w:hanging="717"/>
        <w:spacing w:after="0"/>
        <w:tabs>
          <w:tab w:leader="none" w:pos="14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Pledged deposits</w:t>
      </w:r>
    </w:p>
    <w:p>
      <w:pPr>
        <w:spacing w:after="0" w:line="144" w:lineRule="exact"/>
        <w:rPr>
          <w:sz w:val="20"/>
          <w:szCs w:val="20"/>
          <w:color w:val="auto"/>
        </w:rPr>
      </w:pPr>
    </w:p>
    <w:p>
      <w:pPr>
        <w:jc w:val="both"/>
        <w:ind w:left="1460"/>
        <w:spacing w:after="0" w:line="225" w:lineRule="auto"/>
        <w:rPr>
          <w:sz w:val="20"/>
          <w:szCs w:val="20"/>
          <w:color w:val="auto"/>
        </w:rPr>
      </w:pPr>
      <w:r>
        <w:rPr>
          <w:rFonts w:ascii="Arial" w:cs="Arial" w:eastAsia="Arial" w:hAnsi="Arial"/>
          <w:sz w:val="17"/>
          <w:szCs w:val="17"/>
          <w:color w:val="auto"/>
        </w:rPr>
        <w:t>Investments in pledged deposits are placed with a financial institution in Hong Kong which are redeemable by the Group at any time with 1-day notice, secured by certain listed equity securities and interest bearing at a fixed rate of 0.2% per annum. The Group measures these investments at fair value using the quoted subscription or redemption prices published by the financial institution. Pledged deposits recorded in the consolidated balance sheet as short-term investments as of December 31, 2020 amounted to US$9,581 and the change in fair values recorded in the consolidated statement of comprehensive loss under “other gains, net” for the year ended December 31, 2020 amounted to US $8. There were no pledged deposits as of December 31, 2019 and no change in fair values for the years ended December 31, 2018 and 2019.</w:t>
      </w:r>
    </w:p>
    <w:p>
      <w:pPr>
        <w:spacing w:after="0" w:line="117" w:lineRule="exact"/>
        <w:rPr>
          <w:sz w:val="20"/>
          <w:szCs w:val="20"/>
          <w:color w:val="auto"/>
        </w:rPr>
      </w:pPr>
    </w:p>
    <w:p>
      <w:pPr>
        <w:ind w:left="720" w:hanging="712"/>
        <w:spacing w:after="0"/>
        <w:tabs>
          <w:tab w:leader="none" w:pos="72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an equity investee</w:t>
      </w:r>
    </w:p>
    <w:p>
      <w:pPr>
        <w:spacing w:after="0" w:line="148" w:lineRule="exact"/>
        <w:rPr>
          <w:rFonts w:ascii="Arial" w:cs="Arial" w:eastAsia="Arial" w:hAnsi="Arial"/>
          <w:sz w:val="18"/>
          <w:szCs w:val="18"/>
          <w:b w:val="1"/>
          <w:bCs w:val="1"/>
          <w:color w:val="auto"/>
        </w:rPr>
      </w:pPr>
    </w:p>
    <w:p>
      <w:pPr>
        <w:jc w:val="both"/>
        <w:ind w:left="740"/>
        <w:spacing w:after="0" w:line="237" w:lineRule="auto"/>
        <w:rPr>
          <w:rFonts w:ascii="Arial" w:cs="Arial" w:eastAsia="Arial" w:hAnsi="Arial"/>
          <w:sz w:val="18"/>
          <w:szCs w:val="18"/>
          <w:b w:val="1"/>
          <w:bCs w:val="1"/>
          <w:color w:val="auto"/>
        </w:rPr>
      </w:pPr>
      <w:r>
        <w:rPr>
          <w:rFonts w:ascii="Arial" w:cs="Arial" w:eastAsia="Arial" w:hAnsi="Arial"/>
          <w:sz w:val="17"/>
          <w:szCs w:val="17"/>
          <w:color w:val="auto"/>
        </w:rPr>
        <w:t>Investment in an equity investee represents the Group's investment in a privately held company. The Group applies the equity method to account for an equity investment in common stock or in-substance common stock, according to ASC 323 “Investment — Equity Method and Joint Ventures,” over which it has significant influence but does not own a majority equity interest or otherwise control.</w:t>
      </w:r>
    </w:p>
    <w:p>
      <w:pPr>
        <w:spacing w:after="0" w:line="122" w:lineRule="exact"/>
        <w:rPr>
          <w:rFonts w:ascii="Arial" w:cs="Arial" w:eastAsia="Arial" w:hAnsi="Arial"/>
          <w:sz w:val="18"/>
          <w:szCs w:val="18"/>
          <w:b w:val="1"/>
          <w:bCs w:val="1"/>
          <w:color w:val="auto"/>
        </w:rPr>
      </w:pPr>
    </w:p>
    <w:p>
      <w:pPr>
        <w:jc w:val="both"/>
        <w:ind w:left="740"/>
        <w:spacing w:after="0" w:line="239" w:lineRule="auto"/>
        <w:rPr>
          <w:rFonts w:ascii="Arial" w:cs="Arial" w:eastAsia="Arial" w:hAnsi="Arial"/>
          <w:sz w:val="18"/>
          <w:szCs w:val="18"/>
          <w:b w:val="1"/>
          <w:bCs w:val="1"/>
          <w:color w:val="auto"/>
        </w:rPr>
      </w:pPr>
      <w:r>
        <w:rPr>
          <w:rFonts w:ascii="Arial" w:cs="Arial" w:eastAsia="Arial" w:hAnsi="Arial"/>
          <w:sz w:val="16"/>
          <w:szCs w:val="16"/>
          <w:color w:val="auto"/>
        </w:rPr>
        <w:t>Under the equity method, the Group initially records the investments at cost and the difference between the cost of the equity investee and the fair value of the underlying net assets of the equity investee is recognized as equity method goodwill and intangible assets acquired, which is included in the equity method investments on the consolidated balance sheets. The Group subsequently adjusts the carrying amount of the investments to recognize its (i) proportionate share of each equity investee’s post-acquisition net income or loss into earnings, (ii) share of post-acquisition movements in accumulated other comprehensive income into other comprehensive income, and (iii) cash distributions from investees, after the date of investment. When the Group's share of loss in the equity investee equals or exceeds its interest in the equity investee, the Group does not recognize further loss, unless the Group has incurred obligations or made payments or guarantees on behalf of the equity investee.</w:t>
      </w:r>
    </w:p>
    <w:p>
      <w:pPr>
        <w:spacing w:after="0" w:line="161" w:lineRule="exact"/>
        <w:rPr>
          <w:rFonts w:ascii="Arial" w:cs="Arial" w:eastAsia="Arial" w:hAnsi="Arial"/>
          <w:sz w:val="18"/>
          <w:szCs w:val="18"/>
          <w:b w:val="1"/>
          <w:bCs w:val="1"/>
          <w:color w:val="auto"/>
        </w:rPr>
      </w:pPr>
    </w:p>
    <w:p>
      <w:pPr>
        <w:jc w:val="both"/>
        <w:ind w:left="740"/>
        <w:spacing w:after="0" w:line="224" w:lineRule="auto"/>
        <w:rPr>
          <w:rFonts w:ascii="Arial" w:cs="Arial" w:eastAsia="Arial" w:hAnsi="Arial"/>
          <w:sz w:val="18"/>
          <w:szCs w:val="18"/>
          <w:b w:val="1"/>
          <w:bCs w:val="1"/>
          <w:color w:val="auto"/>
        </w:rPr>
      </w:pPr>
      <w:r>
        <w:rPr>
          <w:rFonts w:ascii="Arial" w:cs="Arial" w:eastAsia="Arial" w:hAnsi="Arial"/>
          <w:sz w:val="18"/>
          <w:szCs w:val="18"/>
          <w:color w:val="auto"/>
        </w:rPr>
        <w:t>The Group evaluates its equity method investment for impairment under ASC 323-10. An impairment loss on the equity method investment is recognized in the consolidated statement of comprehensive loss when the decline in value is determined to be other-than-temporary. No impairment loss has been recorded during the years ended December 31, 2018, 2019 and 2020.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ind w:left="73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32"/>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32"/>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12" w:hanging="712"/>
        <w:spacing w:after="0"/>
        <w:tabs>
          <w:tab w:leader="none" w:pos="712"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58" w:lineRule="exact"/>
        <w:rPr>
          <w:sz w:val="20"/>
          <w:szCs w:val="20"/>
          <w:color w:val="auto"/>
        </w:rPr>
      </w:pPr>
    </w:p>
    <w:p>
      <w:pPr>
        <w:ind w:left="712" w:hanging="712"/>
        <w:spacing w:after="0"/>
        <w:tabs>
          <w:tab w:leader="none" w:pos="712"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investments</w:t>
      </w:r>
    </w:p>
    <w:p>
      <w:pPr>
        <w:spacing w:after="0" w:line="229" w:lineRule="exact"/>
        <w:rPr>
          <w:rFonts w:ascii="Arial" w:cs="Arial" w:eastAsia="Arial" w:hAnsi="Arial"/>
          <w:sz w:val="18"/>
          <w:szCs w:val="18"/>
          <w:b w:val="1"/>
          <w:bCs w:val="1"/>
          <w:color w:val="auto"/>
        </w:rPr>
      </w:pPr>
    </w:p>
    <w:p>
      <w:pPr>
        <w:ind w:left="732"/>
        <w:spacing w:after="0"/>
        <w:rPr>
          <w:rFonts w:ascii="Arial" w:cs="Arial" w:eastAsia="Arial" w:hAnsi="Arial"/>
          <w:sz w:val="18"/>
          <w:szCs w:val="18"/>
          <w:b w:val="1"/>
          <w:bCs w:val="1"/>
          <w:color w:val="auto"/>
        </w:rPr>
      </w:pPr>
      <w:r>
        <w:rPr>
          <w:rFonts w:ascii="Arial" w:cs="Arial" w:eastAsia="Arial" w:hAnsi="Arial"/>
          <w:sz w:val="16"/>
          <w:szCs w:val="16"/>
          <w:color w:val="auto"/>
        </w:rPr>
        <w:t>The Group’s other long-term investments as of December 31, 2019 and 2020 consist of equity securities without readily determinable fair value.</w:t>
      </w:r>
    </w:p>
    <w:p>
      <w:pPr>
        <w:spacing w:after="0" w:line="248" w:lineRule="exact"/>
        <w:rPr>
          <w:rFonts w:ascii="Arial" w:cs="Arial" w:eastAsia="Arial" w:hAnsi="Arial"/>
          <w:sz w:val="18"/>
          <w:szCs w:val="18"/>
          <w:b w:val="1"/>
          <w:bCs w:val="1"/>
          <w:color w:val="auto"/>
        </w:rPr>
      </w:pPr>
    </w:p>
    <w:p>
      <w:pPr>
        <w:jc w:val="both"/>
        <w:ind w:left="73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adopted Accounting Standards Codification (“ASC”) 321 “Investments—Equity Securities” on January 1, 2018 and is required to measure its equity investments at fair value and any changes in fair value are recognized in earnings. For equity securities without readily determinable fair value and does not qualify for the existing practical expedient in ASC 820 to estimate fair value using the net asset value per share (or its equivalent) of the investments, the Group elected to use the measurement alternative to measure its equity investments at cost, less any impairment, plus or minus changes resulting from observable price changes in orderly transactions for identical or similar investments of the same issuer, if any.</w:t>
      </w:r>
    </w:p>
    <w:p>
      <w:pPr>
        <w:spacing w:after="0" w:line="188" w:lineRule="exact"/>
        <w:rPr>
          <w:rFonts w:ascii="Arial" w:cs="Arial" w:eastAsia="Arial" w:hAnsi="Arial"/>
          <w:sz w:val="18"/>
          <w:szCs w:val="18"/>
          <w:b w:val="1"/>
          <w:bCs w:val="1"/>
          <w:color w:val="auto"/>
        </w:rPr>
      </w:pPr>
    </w:p>
    <w:p>
      <w:pPr>
        <w:ind w:left="712" w:hanging="712"/>
        <w:spacing w:after="0"/>
        <w:tabs>
          <w:tab w:leader="none" w:pos="712"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88" w:lineRule="exact"/>
        <w:rPr>
          <w:rFonts w:ascii="Arial" w:cs="Arial" w:eastAsia="Arial" w:hAnsi="Arial"/>
          <w:sz w:val="18"/>
          <w:szCs w:val="18"/>
          <w:b w:val="1"/>
          <w:bCs w:val="1"/>
          <w:color w:val="auto"/>
        </w:rPr>
      </w:pPr>
    </w:p>
    <w:p>
      <w:pPr>
        <w:ind w:left="7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ectPr>
          <w:pgSz w:w="11900" w:h="16838" w:orient="portrait"/>
          <w:cols w:equalWidth="0" w:num="1">
            <w:col w:w="11232"/>
          </w:cols>
          <w:pgMar w:left="328" w:top="121" w:right="339" w:bottom="1440" w:gutter="0" w:footer="0" w:header="0"/>
        </w:sectPr>
      </w:pPr>
    </w:p>
    <w:p>
      <w:pPr>
        <w:spacing w:after="0" w:line="170" w:lineRule="exact"/>
        <w:rPr>
          <w:sz w:val="20"/>
          <w:szCs w:val="20"/>
          <w:color w:val="auto"/>
        </w:rPr>
      </w:pPr>
    </w:p>
    <w:p>
      <w:pPr>
        <w:ind w:left="852"/>
        <w:spacing w:after="0"/>
        <w:rPr>
          <w:sz w:val="20"/>
          <w:szCs w:val="20"/>
          <w:color w:val="auto"/>
        </w:rPr>
      </w:pPr>
      <w:r>
        <w:rPr>
          <w:rFonts w:ascii="Arial" w:cs="Arial" w:eastAsia="Arial" w:hAnsi="Arial"/>
          <w:sz w:val="16"/>
          <w:szCs w:val="16"/>
          <w:color w:val="auto"/>
        </w:rPr>
        <w:t>Leasehold improvements</w:t>
      </w:r>
    </w:p>
    <w:p>
      <w:pPr>
        <w:spacing w:after="0" w:line="46" w:lineRule="exact"/>
        <w:rPr>
          <w:sz w:val="20"/>
          <w:szCs w:val="20"/>
          <w:color w:val="auto"/>
        </w:rPr>
      </w:pPr>
    </w:p>
    <w:p>
      <w:pPr>
        <w:ind w:left="852"/>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852"/>
        <w:spacing w:after="0"/>
        <w:rPr>
          <w:sz w:val="20"/>
          <w:szCs w:val="20"/>
          <w:color w:val="auto"/>
        </w:rPr>
      </w:pPr>
      <w:r>
        <w:rPr>
          <w:rFonts w:ascii="Arial" w:cs="Arial" w:eastAsia="Arial" w:hAnsi="Arial"/>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Over the shorter of lease term or 2 – 5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 –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200" w:lineRule="exact"/>
        <w:rPr>
          <w:sz w:val="20"/>
          <w:szCs w:val="20"/>
          <w:color w:val="auto"/>
        </w:rPr>
      </w:pPr>
    </w:p>
    <w:p>
      <w:pPr>
        <w:sectPr>
          <w:pgSz w:w="11900" w:h="16838" w:orient="portrait"/>
          <w:cols w:equalWidth="0" w:num="2">
            <w:col w:w="3592" w:space="720"/>
            <w:col w:w="6920"/>
          </w:cols>
          <w:pgMar w:left="328" w:top="121" w:right="339" w:bottom="1440" w:gutter="0" w:footer="0" w:header="0"/>
          <w:type w:val="continuous"/>
        </w:sectPr>
      </w:pPr>
    </w:p>
    <w:p>
      <w:pPr>
        <w:spacing w:after="0" w:line="11" w:lineRule="exact"/>
        <w:rPr>
          <w:sz w:val="20"/>
          <w:szCs w:val="20"/>
          <w:color w:val="auto"/>
        </w:rPr>
      </w:pPr>
    </w:p>
    <w:p>
      <w:pPr>
        <w:jc w:val="both"/>
        <w:ind w:left="732"/>
        <w:spacing w:after="0" w:line="263" w:lineRule="auto"/>
        <w:rPr>
          <w:sz w:val="20"/>
          <w:szCs w:val="20"/>
          <w:color w:val="auto"/>
        </w:rPr>
      </w:pPr>
      <w:r>
        <w:rPr>
          <w:rFonts w:ascii="Arial" w:cs="Arial" w:eastAsia="Arial" w:hAnsi="Arial"/>
          <w:sz w:val="18"/>
          <w:szCs w:val="18"/>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 of comprehensive loss.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150" w:name="page151"/>
    <w:bookmarkEnd w:id="150"/>
    <w:p>
      <w:pPr>
        <w:ind w:left="73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32"/>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32"/>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12" w:hanging="712"/>
        <w:spacing w:after="0"/>
        <w:tabs>
          <w:tab w:leader="none" w:pos="712"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98" w:lineRule="exact"/>
        <w:rPr>
          <w:sz w:val="20"/>
          <w:szCs w:val="20"/>
          <w:color w:val="auto"/>
        </w:rPr>
      </w:pPr>
    </w:p>
    <w:p>
      <w:pPr>
        <w:ind w:left="712" w:hanging="712"/>
        <w:spacing w:after="0"/>
        <w:tabs>
          <w:tab w:leader="none" w:pos="712"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rFonts w:ascii="Arial" w:cs="Arial" w:eastAsia="Arial" w:hAnsi="Arial"/>
          <w:sz w:val="18"/>
          <w:szCs w:val="18"/>
          <w:b w:val="1"/>
          <w:bCs w:val="1"/>
          <w:color w:val="auto"/>
        </w:rPr>
      </w:pPr>
    </w:p>
    <w:p>
      <w:pPr>
        <w:ind w:left="712"/>
        <w:spacing w:after="0"/>
        <w:rPr>
          <w:rFonts w:ascii="Arial" w:cs="Arial" w:eastAsia="Arial" w:hAnsi="Arial"/>
          <w:sz w:val="18"/>
          <w:szCs w:val="18"/>
          <w:b w:val="1"/>
          <w:bCs w:val="1"/>
          <w:color w:val="auto"/>
        </w:rPr>
      </w:pPr>
      <w:r>
        <w:rPr>
          <w:rFonts w:ascii="Arial" w:cs="Arial" w:eastAsia="Arial" w:hAnsi="Arial"/>
          <w:sz w:val="18"/>
          <w:szCs w:val="18"/>
          <w:color w:val="auto"/>
        </w:rPr>
        <w:t>(i</w:t>
      </w:r>
      <w:r>
        <w:rPr>
          <w:rFonts w:ascii="Arial" w:cs="Arial" w:eastAsia="Arial" w:hAnsi="Arial"/>
          <w:sz w:val="18"/>
          <w:szCs w:val="18"/>
          <w:b w:val="1"/>
          <w:bCs w:val="1"/>
          <w:color w:val="auto"/>
        </w:rPr>
        <w:t>)</w:t>
      </w:r>
      <w:r>
        <w:rPr>
          <w:rFonts w:ascii="Arial" w:cs="Arial" w:eastAsia="Arial" w:hAnsi="Arial"/>
          <w:sz w:val="16"/>
          <w:szCs w:val="16"/>
          <w:color w:val="auto"/>
        </w:rPr>
        <w:t>Business combinations</w:t>
      </w:r>
    </w:p>
    <w:p>
      <w:pPr>
        <w:spacing w:after="0" w:line="189" w:lineRule="exact"/>
        <w:rPr>
          <w:sz w:val="20"/>
          <w:szCs w:val="20"/>
          <w:color w:val="auto"/>
        </w:rPr>
      </w:pPr>
    </w:p>
    <w:p>
      <w:pPr>
        <w:jc w:val="both"/>
        <w:ind w:left="1452"/>
        <w:spacing w:after="0" w:line="286" w:lineRule="auto"/>
        <w:rPr>
          <w:sz w:val="20"/>
          <w:szCs w:val="20"/>
          <w:color w:val="auto"/>
        </w:rPr>
      </w:pPr>
      <w:r>
        <w:rPr>
          <w:rFonts w:ascii="Arial" w:cs="Arial" w:eastAsia="Arial" w:hAnsi="Arial"/>
          <w:sz w:val="16"/>
          <w:szCs w:val="16"/>
          <w:color w:val="auto"/>
        </w:rPr>
        <w:t>The Group accounts for acquisitions of entities that include inputs and processes and have the ability to create outputs as business combinations. The Group accounts for its business combinations using the acquisition method of accounting in accordance with ASC 805 “Business Combinations” (“ASC 805”). The cost of an acquisition is measured as the aggregate of the fair values at the date of exchange of the assets given, liabilities incurred, and equity instruments issued.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comprehensive loss as gain on bargain purchase. During the measurement period, which can be up to one year from the acquisition date, the Group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 of comprehensive loss.</w:t>
      </w:r>
    </w:p>
    <w:p>
      <w:pPr>
        <w:spacing w:after="0" w:line="174" w:lineRule="exact"/>
        <w:rPr>
          <w:sz w:val="20"/>
          <w:szCs w:val="20"/>
          <w:color w:val="auto"/>
        </w:rPr>
      </w:pPr>
    </w:p>
    <w:p>
      <w:pPr>
        <w:ind w:left="1432" w:hanging="717"/>
        <w:spacing w:after="0"/>
        <w:tabs>
          <w:tab w:leader="none" w:pos="143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Assets acquisition</w:t>
      </w:r>
    </w:p>
    <w:p>
      <w:pPr>
        <w:spacing w:after="0" w:line="225" w:lineRule="exact"/>
        <w:rPr>
          <w:sz w:val="20"/>
          <w:szCs w:val="20"/>
          <w:color w:val="auto"/>
        </w:rPr>
      </w:pPr>
    </w:p>
    <w:p>
      <w:pPr>
        <w:jc w:val="both"/>
        <w:ind w:left="1452"/>
        <w:spacing w:after="0" w:line="257" w:lineRule="auto"/>
        <w:rPr>
          <w:sz w:val="20"/>
          <w:szCs w:val="20"/>
          <w:color w:val="auto"/>
        </w:rPr>
      </w:pPr>
      <w:r>
        <w:rPr>
          <w:rFonts w:ascii="Arial" w:cs="Arial" w:eastAsia="Arial" w:hAnsi="Arial"/>
          <w:sz w:val="18"/>
          <w:szCs w:val="18"/>
          <w:color w:val="auto"/>
        </w:rPr>
        <w:t>ASC 805-10-55-5A, which sets forth a screen test, provides that if substantially all of the fair value of the assets acquired is concentrated in a single identifiable asset or group of similar identifiable assets, the assets acquired are not considered to be a business. The acquisition should be accounted for by the Company as an asset acquisition in accordance with ASC 805-50, rather than as a business combination. Under an asset acquisition, the cost to acquire the group of assets is allocated to the individual assets acquired or liabilities assumed based on their relative fair values.</w:t>
      </w:r>
    </w:p>
    <w:p>
      <w:pPr>
        <w:spacing w:after="0" w:line="184" w:lineRule="exact"/>
        <w:rPr>
          <w:sz w:val="20"/>
          <w:szCs w:val="20"/>
          <w:color w:val="auto"/>
        </w:rPr>
      </w:pPr>
    </w:p>
    <w:p>
      <w:pPr>
        <w:ind w:left="712" w:hanging="712"/>
        <w:spacing w:after="0"/>
        <w:tabs>
          <w:tab w:leader="none" w:pos="712"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202" w:lineRule="exact"/>
        <w:rPr>
          <w:rFonts w:ascii="Arial" w:cs="Arial" w:eastAsia="Arial" w:hAnsi="Arial"/>
          <w:sz w:val="18"/>
          <w:szCs w:val="18"/>
          <w:b w:val="1"/>
          <w:bCs w:val="1"/>
          <w:color w:val="auto"/>
        </w:rPr>
      </w:pPr>
    </w:p>
    <w:p>
      <w:pPr>
        <w:jc w:val="both"/>
        <w:ind w:left="732"/>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Intangible assets mainly consist of computer software licenses purchased from external parties and computer software and systems, developed technologies, customer relationship, brand name, contract backlog and advertising contract acquired through the acquisitions of subsidiaries. Identifiable intangible assets are carried at acquisition cost less accumulated amortization and impairment loss, if any. Amortization of finite lived intangible assets is computed using the straight-line method over the following estimated useful lives, which are as follows:</w:t>
      </w:r>
    </w:p>
    <w:p>
      <w:pPr>
        <w:sectPr>
          <w:pgSz w:w="11900" w:h="16838" w:orient="portrait"/>
          <w:cols w:equalWidth="0" w:num="1">
            <w:col w:w="11232"/>
          </w:cols>
          <w:pgMar w:left="328" w:top="121" w:right="339" w:bottom="1440" w:gutter="0" w:footer="0" w:header="0"/>
        </w:sectPr>
      </w:pPr>
    </w:p>
    <w:p>
      <w:pPr>
        <w:spacing w:after="0" w:line="157" w:lineRule="exact"/>
        <w:rPr>
          <w:sz w:val="20"/>
          <w:szCs w:val="20"/>
          <w:color w:val="auto"/>
        </w:rPr>
      </w:pPr>
    </w:p>
    <w:p>
      <w:pPr>
        <w:ind w:left="832"/>
        <w:spacing w:after="0"/>
        <w:rPr>
          <w:sz w:val="20"/>
          <w:szCs w:val="20"/>
          <w:color w:val="auto"/>
        </w:rPr>
      </w:pPr>
      <w:r>
        <w:rPr>
          <w:rFonts w:ascii="Arial" w:cs="Arial" w:eastAsia="Arial" w:hAnsi="Arial"/>
          <w:sz w:val="16"/>
          <w:szCs w:val="16"/>
          <w:color w:val="auto"/>
        </w:rPr>
        <w:t>Computer software and systems</w:t>
      </w:r>
    </w:p>
    <w:p>
      <w:pPr>
        <w:spacing w:after="0" w:line="46" w:lineRule="exact"/>
        <w:rPr>
          <w:sz w:val="20"/>
          <w:szCs w:val="20"/>
          <w:color w:val="auto"/>
        </w:rPr>
      </w:pPr>
    </w:p>
    <w:p>
      <w:pPr>
        <w:ind w:left="832"/>
        <w:spacing w:after="0"/>
        <w:rPr>
          <w:sz w:val="20"/>
          <w:szCs w:val="20"/>
          <w:color w:val="auto"/>
        </w:rPr>
      </w:pPr>
      <w:r>
        <w:rPr>
          <w:rFonts w:ascii="Arial" w:cs="Arial" w:eastAsia="Arial" w:hAnsi="Arial"/>
          <w:sz w:val="18"/>
          <w:szCs w:val="18"/>
          <w:color w:val="auto"/>
        </w:rPr>
        <w:t>Developed technologies</w:t>
      </w:r>
    </w:p>
    <w:p>
      <w:pPr>
        <w:spacing w:after="0" w:line="9" w:lineRule="exact"/>
        <w:rPr>
          <w:sz w:val="20"/>
          <w:szCs w:val="20"/>
          <w:color w:val="auto"/>
        </w:rPr>
      </w:pPr>
    </w:p>
    <w:p>
      <w:pPr>
        <w:ind w:left="832"/>
        <w:spacing w:after="0"/>
        <w:rPr>
          <w:sz w:val="20"/>
          <w:szCs w:val="20"/>
          <w:color w:val="auto"/>
        </w:rPr>
      </w:pPr>
      <w:r>
        <w:rPr>
          <w:rFonts w:ascii="Arial" w:cs="Arial" w:eastAsia="Arial" w:hAnsi="Arial"/>
          <w:sz w:val="18"/>
          <w:szCs w:val="18"/>
          <w:color w:val="auto"/>
        </w:rPr>
        <w:t>Customer relationship</w:t>
      </w:r>
    </w:p>
    <w:p>
      <w:pPr>
        <w:spacing w:after="0" w:line="23" w:lineRule="exact"/>
        <w:rPr>
          <w:sz w:val="20"/>
          <w:szCs w:val="20"/>
          <w:color w:val="auto"/>
        </w:rPr>
      </w:pPr>
    </w:p>
    <w:p>
      <w:pPr>
        <w:ind w:left="832"/>
        <w:spacing w:after="0"/>
        <w:rPr>
          <w:sz w:val="20"/>
          <w:szCs w:val="20"/>
          <w:color w:val="auto"/>
        </w:rPr>
      </w:pPr>
      <w:r>
        <w:rPr>
          <w:rFonts w:ascii="Arial" w:cs="Arial" w:eastAsia="Arial" w:hAnsi="Arial"/>
          <w:sz w:val="18"/>
          <w:szCs w:val="18"/>
          <w:color w:val="auto"/>
        </w:rPr>
        <w:t>Brand name</w:t>
      </w:r>
    </w:p>
    <w:p>
      <w:pPr>
        <w:spacing w:after="0" w:line="23" w:lineRule="exact"/>
        <w:rPr>
          <w:sz w:val="20"/>
          <w:szCs w:val="20"/>
          <w:color w:val="auto"/>
        </w:rPr>
      </w:pPr>
    </w:p>
    <w:p>
      <w:pPr>
        <w:ind w:left="832"/>
        <w:spacing w:after="0"/>
        <w:rPr>
          <w:sz w:val="20"/>
          <w:szCs w:val="20"/>
          <w:color w:val="auto"/>
        </w:rPr>
      </w:pPr>
      <w:r>
        <w:rPr>
          <w:rFonts w:ascii="Arial" w:cs="Arial" w:eastAsia="Arial" w:hAnsi="Arial"/>
          <w:sz w:val="18"/>
          <w:szCs w:val="18"/>
          <w:color w:val="auto"/>
        </w:rPr>
        <w:t>Contract backlog</w:t>
      </w:r>
    </w:p>
    <w:p>
      <w:pPr>
        <w:spacing w:after="0" w:line="23" w:lineRule="exact"/>
        <w:rPr>
          <w:sz w:val="20"/>
          <w:szCs w:val="20"/>
          <w:color w:val="auto"/>
        </w:rPr>
      </w:pPr>
    </w:p>
    <w:p>
      <w:pPr>
        <w:ind w:left="832"/>
        <w:spacing w:after="0"/>
        <w:rPr>
          <w:sz w:val="20"/>
          <w:szCs w:val="20"/>
          <w:color w:val="auto"/>
        </w:rPr>
      </w:pPr>
      <w:r>
        <w:rPr>
          <w:rFonts w:ascii="Arial" w:cs="Arial" w:eastAsia="Arial" w:hAnsi="Arial"/>
          <w:sz w:val="18"/>
          <w:szCs w:val="18"/>
          <w:color w:val="auto"/>
        </w:rPr>
        <w:t>Advertising contract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2 – 5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4 – 5 years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4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 years</w:t>
      </w:r>
    </w:p>
    <w:p>
      <w:pPr>
        <w:spacing w:after="0" w:line="200" w:lineRule="exact"/>
        <w:rPr>
          <w:sz w:val="20"/>
          <w:szCs w:val="20"/>
          <w:color w:val="auto"/>
        </w:rPr>
      </w:pPr>
    </w:p>
    <w:p>
      <w:pPr>
        <w:sectPr>
          <w:pgSz w:w="11900" w:h="16838" w:orient="portrait"/>
          <w:cols w:equalWidth="0" w:num="2">
            <w:col w:w="3852" w:space="720"/>
            <w:col w:w="6660"/>
          </w:cols>
          <w:pgMar w:left="328" w:top="121" w:right="33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151" w:name="page152"/>
    <w:bookmarkEnd w:id="151"/>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98" w:lineRule="exact"/>
        <w:rPr>
          <w:sz w:val="20"/>
          <w:szCs w:val="20"/>
          <w:color w:val="auto"/>
        </w:rPr>
      </w:pPr>
    </w:p>
    <w:p>
      <w:pPr>
        <w:ind w:left="720" w:hanging="712"/>
        <w:spacing w:after="0"/>
        <w:tabs>
          <w:tab w:leader="none" w:pos="72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goodwill</w:t>
      </w:r>
    </w:p>
    <w:p>
      <w:pPr>
        <w:spacing w:after="0" w:line="229" w:lineRule="exact"/>
        <w:rPr>
          <w:rFonts w:ascii="Arial" w:cs="Arial" w:eastAsia="Arial" w:hAnsi="Arial"/>
          <w:sz w:val="18"/>
          <w:szCs w:val="18"/>
          <w:b w:val="1"/>
          <w:bCs w:val="1"/>
          <w:color w:val="auto"/>
        </w:rPr>
      </w:pPr>
    </w:p>
    <w:p>
      <w:pPr>
        <w:jc w:val="both"/>
        <w:ind w:left="7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Group adopted ASU No. 2017-04, Intangibles — Goodwill and Other (Topic 350): Simplifying the Test for Goodwill Impairment on January 1, 2020, and in accordance with the FASB, a company first has the option to assess qualitative factors to determine whether it is more likely than not that the fair value of a reporting unit is less than its carrying amount. In the qualitative assessment, the Company considers primary factors such as industry and market considerations, overall financial performance of the reporting unit, and other specific information related to the operations, business plans and strategies of the reporting unit, including consideration of the impact of the COVID-19. If the Company decides, as a result of its qualitative assessment, that it is more likely than not that the fair value of a reporting unit is less than its carrying amount, the quantitative impairment test is mandatory. Otherwise, no further testing is required. The quantitative impairment test consists of a comparison of the fair value of each reporting unit with its carrying amount, including goodwill. If the carrying amount of each reporting unit exceeds its fair value, an impairment loss equal to the difference will be recorded. Application of a goodwill impairment test requires significant management judgment, including the identification of reporting units, assigning assets and liabilities to reporting units, assigning goodwill to reporting units, and determining the fair value of each reporting unit. The judgment in estimating the fair value of reporting units includes estimating future cash flows, determining appropriate discount rates and making other assumptions. Changes in these estimates and assumptions could materially affect the determination of fair value for each reporting unit. The Group performs goodwill impairment testing at the reporting unit level on December 31 annually. No impairment of goodwill was recognized for the years ended December 31, 2018, 2019 and 2020.</w:t>
      </w:r>
    </w:p>
    <w:p>
      <w:pPr>
        <w:spacing w:after="0" w:line="166" w:lineRule="exact"/>
        <w:rPr>
          <w:rFonts w:ascii="Arial" w:cs="Arial" w:eastAsia="Arial" w:hAnsi="Arial"/>
          <w:sz w:val="18"/>
          <w:szCs w:val="18"/>
          <w:b w:val="1"/>
          <w:bCs w:val="1"/>
          <w:color w:val="auto"/>
        </w:rPr>
      </w:pPr>
    </w:p>
    <w:p>
      <w:pPr>
        <w:ind w:left="720" w:hanging="712"/>
        <w:spacing w:after="0"/>
        <w:tabs>
          <w:tab w:leader="none" w:pos="72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other long-lived assets and intangible assets</w:t>
      </w:r>
    </w:p>
    <w:p>
      <w:pPr>
        <w:spacing w:after="0" w:line="229" w:lineRule="exact"/>
        <w:rPr>
          <w:rFonts w:ascii="Arial" w:cs="Arial" w:eastAsia="Arial" w:hAnsi="Arial"/>
          <w:sz w:val="18"/>
          <w:szCs w:val="18"/>
          <w:b w:val="1"/>
          <w:bCs w:val="1"/>
          <w:color w:val="auto"/>
        </w:rPr>
      </w:pPr>
    </w:p>
    <w:p>
      <w:pPr>
        <w:jc w:val="both"/>
        <w:ind w:left="7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For other long-lived assets including property and equipment and amortizable intangible assets,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98" w:lineRule="exact"/>
        <w:rPr>
          <w:sz w:val="20"/>
          <w:szCs w:val="20"/>
          <w:color w:val="auto"/>
        </w:rPr>
      </w:pPr>
    </w:p>
    <w:p>
      <w:pPr>
        <w:ind w:left="720" w:hanging="712"/>
        <w:spacing w:after="0"/>
        <w:tabs>
          <w:tab w:leader="none" w:pos="72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Lease accounting</w:t>
      </w:r>
    </w:p>
    <w:p>
      <w:pPr>
        <w:spacing w:after="0" w:line="229" w:lineRule="exact"/>
        <w:rPr>
          <w:rFonts w:ascii="Arial" w:cs="Arial" w:eastAsia="Arial" w:hAnsi="Arial"/>
          <w:sz w:val="18"/>
          <w:szCs w:val="18"/>
          <w:b w:val="1"/>
          <w:bCs w:val="1"/>
          <w:color w:val="auto"/>
        </w:rPr>
      </w:pPr>
    </w:p>
    <w:p>
      <w:pPr>
        <w:jc w:val="both"/>
        <w:ind w:left="7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On January 1, 2019, the Group adopted ASC 842, which requires the recognition of the right-of-use assets (“ROU assets”), and related lease liabilities on the consolidated balance sheets using a modified retrospective approach. The consolidated financial statements related to periods prior to January 1, 2019 were not restated, and continue to be reported under ASC Topic 840—Leases ("ASC 840"), which did not require the recognition of operating lease liabilities on the consolidated balance sheets. As a result the consolidated financial statements related to periods prior to January 1, 2019 are not entirely comparative with current and future periods. As permitted under ASC 842, the Group elected several practical expedients that permit the Group to not reassess (1) whether existing contracts are or contain a lease, (2) the classification of existing leases, and (3) whether previously capitalized costs continue to qualify as initial indirect costs. In addition, the Group has elected not to recognize short-term leases on the consolidated balance sheets. In addition, the Group did not use hindsight to determine lease term.</w:t>
      </w:r>
    </w:p>
    <w:p>
      <w:pPr>
        <w:spacing w:after="0" w:line="165"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For the identified leases, the Group used its incremental borrowing rate to discount the related future payment obligations as of January 1, 2019 to determine its lease liability as of the adoption date. As of the adoption date on January 1, 2019, the Group recognized lease liabilities of US$2,634 and corresponding ROU assets of US$2,634, with no equity impact from the adoption.</w:t>
      </w:r>
    </w:p>
    <w:p>
      <w:pPr>
        <w:spacing w:after="0" w:line="183" w:lineRule="exact"/>
        <w:rPr>
          <w:rFonts w:ascii="Arial" w:cs="Arial" w:eastAsia="Arial" w:hAnsi="Arial"/>
          <w:sz w:val="18"/>
          <w:szCs w:val="18"/>
          <w:b w:val="1"/>
          <w:bCs w:val="1"/>
          <w:color w:val="auto"/>
        </w:rPr>
      </w:pPr>
    </w:p>
    <w:p>
      <w:pPr>
        <w:jc w:val="both"/>
        <w:ind w:left="7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 records rent expense for operating leases, including leases of office premises, on a straight-line basis over the lease term. The Group begins recognition of rent expense on the commencement date, which is generally the date that the asset is made available for use. The lease liability is included in lease liabilities, current and lease liabilities, non-current within the consolidated balance sheets, which are reduced as lease related payments are made. The ROU asset is amortized on a periodic basis over the expected term of the lease. See Note 14 for additional information.</w:t>
      </w:r>
    </w:p>
    <w:p>
      <w:pPr>
        <w:spacing w:after="0" w:line="129" w:lineRule="exact"/>
        <w:rPr>
          <w:rFonts w:ascii="Arial" w:cs="Arial" w:eastAsia="Arial" w:hAnsi="Arial"/>
          <w:sz w:val="18"/>
          <w:szCs w:val="18"/>
          <w:b w:val="1"/>
          <w:bCs w:val="1"/>
          <w:color w:val="auto"/>
        </w:rPr>
      </w:pPr>
    </w:p>
    <w:p>
      <w:pPr>
        <w:ind w:left="720" w:hanging="712"/>
        <w:spacing w:after="0"/>
        <w:tabs>
          <w:tab w:leader="none" w:pos="72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48" w:lineRule="exact"/>
        <w:rPr>
          <w:rFonts w:ascii="Arial" w:cs="Arial" w:eastAsia="Arial" w:hAnsi="Arial"/>
          <w:sz w:val="18"/>
          <w:szCs w:val="18"/>
          <w:b w:val="1"/>
          <w:bCs w:val="1"/>
          <w:color w:val="auto"/>
        </w:rPr>
      </w:pPr>
    </w:p>
    <w:p>
      <w:pPr>
        <w:ind w:left="740" w:right="20"/>
        <w:spacing w:after="0" w:line="258" w:lineRule="auto"/>
        <w:rPr>
          <w:rFonts w:ascii="Arial" w:cs="Arial" w:eastAsia="Arial" w:hAnsi="Arial"/>
          <w:sz w:val="18"/>
          <w:szCs w:val="18"/>
          <w:b w:val="1"/>
          <w:bCs w:val="1"/>
          <w:color w:val="auto"/>
        </w:rPr>
      </w:pPr>
      <w:r>
        <w:rPr>
          <w:rFonts w:ascii="Arial" w:cs="Arial" w:eastAsia="Arial" w:hAnsi="Arial"/>
          <w:sz w:val="17"/>
          <w:szCs w:val="17"/>
          <w:color w:val="auto"/>
        </w:rPr>
        <w:t>The Group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102" w:lineRule="exact"/>
        <w:rPr>
          <w:rFonts w:ascii="Arial" w:cs="Arial" w:eastAsia="Arial" w:hAnsi="Arial"/>
          <w:sz w:val="18"/>
          <w:szCs w:val="18"/>
          <w:b w:val="1"/>
          <w:bCs w:val="1"/>
          <w:color w:val="auto"/>
        </w:rPr>
      </w:pPr>
    </w:p>
    <w:p>
      <w:pPr>
        <w:ind w:left="720" w:hanging="712"/>
        <w:spacing w:after="0"/>
        <w:tabs>
          <w:tab w:leader="none" w:pos="72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w:t>
      </w:r>
    </w:p>
    <w:p>
      <w:pPr>
        <w:spacing w:after="0" w:line="148" w:lineRule="exact"/>
        <w:rPr>
          <w:rFonts w:ascii="Arial" w:cs="Arial" w:eastAsia="Arial" w:hAnsi="Arial"/>
          <w:sz w:val="18"/>
          <w:szCs w:val="18"/>
          <w:b w:val="1"/>
          <w:bCs w:val="1"/>
          <w:color w:val="auto"/>
        </w:rPr>
      </w:pPr>
    </w:p>
    <w:p>
      <w:pPr>
        <w:jc w:val="both"/>
        <w:ind w:left="740"/>
        <w:spacing w:after="0" w:line="225" w:lineRule="auto"/>
        <w:rPr>
          <w:rFonts w:ascii="Arial" w:cs="Arial" w:eastAsia="Arial" w:hAnsi="Arial"/>
          <w:sz w:val="18"/>
          <w:szCs w:val="18"/>
          <w:b w:val="1"/>
          <w:bCs w:val="1"/>
          <w:color w:val="auto"/>
        </w:rPr>
      </w:pPr>
      <w:r>
        <w:rPr>
          <w:rFonts w:ascii="Arial" w:cs="Arial" w:eastAsia="Arial" w:hAnsi="Arial"/>
          <w:sz w:val="17"/>
          <w:szCs w:val="17"/>
          <w:color w:val="auto"/>
        </w:rPr>
        <w:t>ASC 815, “Accounting for Derivative Instruments and Hedging Activities” (“ASC 815”) requires every derivative financial instrument (including certain derivative financial instruments embedded in other contracts) to be recorded on the balance sheet at fair value as either an asset or a liability. ASC 815 also requires that changes in the fair value of recorded derivatives be recognized currently in earnings unless specific hedge accounting criteria are met. The Group’s derivative financial instrument included the call option written to the investor to purchase the convertible notes issued in July 2020 classifies as “derivative liabilities” (the “Call Option”). For the year ended December 31, 2020, the Group recognized fair value losses of US$11,466 on the derivative liabilities. The Call Option was exercised by the investor on July 30, 2020. There was no derivative financial instrument as of December 31, 2019 and 2020.</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44" w:lineRule="exact"/>
        <w:rPr>
          <w:sz w:val="20"/>
          <w:szCs w:val="20"/>
          <w:color w:val="auto"/>
        </w:rPr>
      </w:pPr>
    </w:p>
    <w:p>
      <w:pPr>
        <w:ind w:left="720" w:hanging="712"/>
        <w:spacing w:after="0"/>
        <w:tabs>
          <w:tab w:leader="none" w:pos="72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48" w:lineRule="exact"/>
        <w:rPr>
          <w:rFonts w:ascii="Arial" w:cs="Arial" w:eastAsia="Arial" w:hAnsi="Arial"/>
          <w:sz w:val="18"/>
          <w:szCs w:val="18"/>
          <w:b w:val="1"/>
          <w:bCs w:val="1"/>
          <w:color w:val="auto"/>
        </w:rPr>
      </w:pPr>
    </w:p>
    <w:p>
      <w:pPr>
        <w:jc w:val="both"/>
        <w:ind w:left="740"/>
        <w:spacing w:after="0" w:line="219" w:lineRule="auto"/>
        <w:rPr>
          <w:rFonts w:ascii="Arial" w:cs="Arial" w:eastAsia="Arial" w:hAnsi="Arial"/>
          <w:sz w:val="18"/>
          <w:szCs w:val="18"/>
          <w:b w:val="1"/>
          <w:bCs w:val="1"/>
          <w:color w:val="auto"/>
        </w:rPr>
      </w:pPr>
      <w:r>
        <w:rPr>
          <w:rFonts w:ascii="Arial" w:cs="Arial" w:eastAsia="Arial" w:hAnsi="Arial"/>
          <w:sz w:val="18"/>
          <w:szCs w:val="18"/>
          <w:color w:val="auto"/>
        </w:rPr>
        <w:t>The Group determines the appropriate accounting treatment of its convertible notes in accordance with the terms in relation to the conversion feature, call and put option, and beneficial conversion feature (“BCF”). After considering the impact of such features, the Group may account for such instrument as a liability in its entirety, or separate the instrument into debt and equity components following the respective guidance described under ASC 815 and ASC 470 “Debt”.</w:t>
      </w:r>
    </w:p>
    <w:p>
      <w:pPr>
        <w:spacing w:after="0" w:line="122" w:lineRule="exact"/>
        <w:rPr>
          <w:rFonts w:ascii="Arial" w:cs="Arial" w:eastAsia="Arial" w:hAnsi="Arial"/>
          <w:sz w:val="18"/>
          <w:szCs w:val="18"/>
          <w:b w:val="1"/>
          <w:bCs w:val="1"/>
          <w:color w:val="auto"/>
        </w:rPr>
      </w:pPr>
    </w:p>
    <w:p>
      <w:pPr>
        <w:jc w:val="both"/>
        <w:ind w:left="740"/>
        <w:spacing w:after="0" w:line="225" w:lineRule="auto"/>
        <w:rPr>
          <w:rFonts w:ascii="Arial" w:cs="Arial" w:eastAsia="Arial" w:hAnsi="Arial"/>
          <w:sz w:val="18"/>
          <w:szCs w:val="18"/>
          <w:b w:val="1"/>
          <w:bCs w:val="1"/>
          <w:color w:val="auto"/>
        </w:rPr>
      </w:pPr>
      <w:r>
        <w:rPr>
          <w:rFonts w:ascii="Arial" w:cs="Arial" w:eastAsia="Arial" w:hAnsi="Arial"/>
          <w:sz w:val="17"/>
          <w:szCs w:val="17"/>
          <w:color w:val="auto"/>
        </w:rPr>
        <w:t>The conversion features of the convertible notes of the Group meets the definition of a derivative whereby no BCF shall be separately accounted for. Moreover, the Group has elected the fair value option for convertible notes accounted for as a liability in its entirety whereby the conversion features that meet the definition of a derivative are not bifurcated given that the entire debt instrument is legally a single contract therefore not to be separated into parts for purposes of applying the fair value option. Such fair value option permits the irrevocable election on an instrument-by-instrument basis at initial recognition of an asset or liability or upon an event, that gives rise to a new basis of accounting for that instrument. The convertible notes accounted for under the fair value option are carried at fair value with realized or unrealized gains and losses recorded in the consolidated statements of comprehensive loss.</w:t>
      </w:r>
    </w:p>
    <w:p>
      <w:pPr>
        <w:spacing w:after="0" w:line="121" w:lineRule="exact"/>
        <w:rPr>
          <w:rFonts w:ascii="Arial" w:cs="Arial" w:eastAsia="Arial" w:hAnsi="Arial"/>
          <w:sz w:val="18"/>
          <w:szCs w:val="18"/>
          <w:b w:val="1"/>
          <w:bCs w:val="1"/>
          <w:color w:val="auto"/>
        </w:rPr>
      </w:pPr>
    </w:p>
    <w:p>
      <w:pPr>
        <w:ind w:left="74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Convertible notes are classified as current liabilities if they are convertible or redeemable on demand or if their due date is or will be within one year from the balance sheet date.</w:t>
      </w:r>
    </w:p>
    <w:p>
      <w:pPr>
        <w:spacing w:after="0" w:line="171" w:lineRule="exact"/>
        <w:rPr>
          <w:rFonts w:ascii="Arial" w:cs="Arial" w:eastAsia="Arial" w:hAnsi="Arial"/>
          <w:sz w:val="18"/>
          <w:szCs w:val="18"/>
          <w:b w:val="1"/>
          <w:bCs w:val="1"/>
          <w:color w:val="auto"/>
        </w:rPr>
      </w:pPr>
    </w:p>
    <w:p>
      <w:pPr>
        <w:ind w:left="720" w:hanging="712"/>
        <w:spacing w:after="0"/>
        <w:tabs>
          <w:tab w:leader="none" w:pos="72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shares</w:t>
      </w:r>
    </w:p>
    <w:p>
      <w:pPr>
        <w:spacing w:after="0" w:line="188" w:lineRule="exact"/>
        <w:rPr>
          <w:rFonts w:ascii="Arial" w:cs="Arial" w:eastAsia="Arial" w:hAnsi="Arial"/>
          <w:sz w:val="18"/>
          <w:szCs w:val="18"/>
          <w:b w:val="1"/>
          <w:bCs w:val="1"/>
          <w:color w:val="auto"/>
        </w:rPr>
      </w:pPr>
    </w:p>
    <w:p>
      <w:pPr>
        <w:jc w:val="both"/>
        <w:ind w:left="7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accounted for those shares repurchased as treasury shares at cost in accordance with ASC 505-30, and the treasury shares acquired are shown separately in shareholders’ equity as the Company has not yet decided on the ultimate disposition of those shares. If and when the Company cancels the treasury shares, the difference between the original issuance price and the repurchase price will be debited into additional paid-in capital.</w:t>
      </w:r>
    </w:p>
    <w:p>
      <w:pPr>
        <w:spacing w:after="0" w:line="128" w:lineRule="exact"/>
        <w:rPr>
          <w:rFonts w:ascii="Arial" w:cs="Arial" w:eastAsia="Arial" w:hAnsi="Arial"/>
          <w:sz w:val="18"/>
          <w:szCs w:val="18"/>
          <w:b w:val="1"/>
          <w:bCs w:val="1"/>
          <w:color w:val="auto"/>
        </w:rPr>
      </w:pPr>
    </w:p>
    <w:p>
      <w:pPr>
        <w:ind w:left="720" w:hanging="712"/>
        <w:spacing w:after="0"/>
        <w:tabs>
          <w:tab w:leader="none" w:pos="72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cost of revenues</w:t>
      </w:r>
    </w:p>
    <w:p>
      <w:pPr>
        <w:spacing w:after="0" w:line="148"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presents our revenue recognized from contracts with customers disaggregated by the four types of pricing models: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400" w:type="dxa"/>
            <w:vAlign w:val="bottom"/>
            <w:gridSpan w:val="5"/>
          </w:tcPr>
          <w:p>
            <w:pPr>
              <w:ind w:left="820"/>
              <w:spacing w:after="0"/>
              <w:rPr>
                <w:sz w:val="20"/>
                <w:szCs w:val="20"/>
                <w:color w:val="auto"/>
              </w:rPr>
            </w:pPr>
            <w:r>
              <w:rPr>
                <w:rFonts w:ascii="Arial" w:cs="Arial" w:eastAsia="Arial" w:hAnsi="Arial"/>
                <w:sz w:val="18"/>
                <w:szCs w:val="18"/>
                <w:color w:val="auto"/>
                <w:w w:val="91"/>
              </w:rPr>
              <w:t>For the years ended December 31,</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Recognized over time</w:t>
            </w:r>
          </w:p>
        </w:tc>
        <w:tc>
          <w:tcPr>
            <w:tcW w:w="28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280" w:type="dxa"/>
            <w:vAlign w:val="bottom"/>
          </w:tcPr>
          <w:p>
            <w:pPr>
              <w:ind w:left="260"/>
              <w:spacing w:after="0"/>
              <w:rPr>
                <w:sz w:val="20"/>
                <w:szCs w:val="20"/>
                <w:color w:val="auto"/>
              </w:rPr>
            </w:pPr>
            <w:r>
              <w:rPr>
                <w:rFonts w:ascii="Arial" w:cs="Arial" w:eastAsia="Arial" w:hAnsi="Arial"/>
                <w:sz w:val="18"/>
                <w:szCs w:val="18"/>
                <w:color w:val="auto"/>
              </w:rPr>
              <w:t>- Sales agent</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8,671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6,563</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Cost-plus</w:t>
            </w:r>
          </w:p>
        </w:tc>
        <w:tc>
          <w:tcPr>
            <w:tcW w:w="4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12,192</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17,146</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3280" w:type="dxa"/>
            <w:vAlign w:val="bottom"/>
          </w:tcPr>
          <w:p>
            <w:pPr>
              <w:ind w:left="260"/>
              <w:spacing w:after="0"/>
              <w:rPr>
                <w:sz w:val="20"/>
                <w:szCs w:val="20"/>
                <w:color w:val="auto"/>
              </w:rPr>
            </w:pPr>
            <w:r>
              <w:rPr>
                <w:rFonts w:ascii="Arial" w:cs="Arial" w:eastAsia="Arial" w:hAnsi="Arial"/>
                <w:sz w:val="18"/>
                <w:szCs w:val="18"/>
                <w:color w:val="auto"/>
              </w:rPr>
              <w:t>- SaaS products offering</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8,687</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280" w:type="dxa"/>
            <w:vAlign w:val="bottom"/>
            <w:tcBorders>
              <w:top w:val="single" w:sz="8" w:color="CFF0FC"/>
            </w:tcBorders>
            <w:shd w:val="clear" w:color="auto" w:fill="CFF0FC"/>
          </w:tcPr>
          <w:p>
            <w:pPr>
              <w:spacing w:after="0"/>
              <w:rPr>
                <w:sz w:val="19"/>
                <w:szCs w:val="19"/>
                <w:color w:val="auto"/>
              </w:rPr>
            </w:pPr>
          </w:p>
        </w:tc>
        <w:tc>
          <w:tcPr>
            <w:tcW w:w="28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20,863</w:t>
            </w: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32,396</w:t>
            </w:r>
          </w:p>
        </w:tc>
        <w:tc>
          <w:tcPr>
            <w:tcW w:w="2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vMerge w:val="restart"/>
          </w:tcPr>
          <w:p>
            <w:pPr>
              <w:spacing w:after="0"/>
              <w:rPr>
                <w:sz w:val="19"/>
                <w:szCs w:val="19"/>
                <w:color w:val="auto"/>
              </w:rPr>
            </w:pPr>
          </w:p>
        </w:tc>
        <w:tc>
          <w:tcPr>
            <w:tcW w:w="3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vMerge w:val="continue"/>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Recognized at point in time</w:t>
            </w:r>
          </w:p>
        </w:tc>
        <w:tc>
          <w:tcPr>
            <w:tcW w:w="28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280" w:type="dxa"/>
            <w:vAlign w:val="bottom"/>
          </w:tcPr>
          <w:p>
            <w:pPr>
              <w:ind w:left="260"/>
              <w:spacing w:after="0"/>
              <w:rPr>
                <w:sz w:val="20"/>
                <w:szCs w:val="20"/>
                <w:color w:val="auto"/>
              </w:rPr>
            </w:pPr>
            <w:r>
              <w:rPr>
                <w:rFonts w:ascii="Arial" w:cs="Arial" w:eastAsia="Arial" w:hAnsi="Arial"/>
                <w:sz w:val="18"/>
                <w:szCs w:val="18"/>
                <w:color w:val="auto"/>
              </w:rPr>
              <w:t>- Specified actions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139,154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165,263</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SaaS products offering</w:t>
            </w:r>
          </w:p>
        </w:tc>
        <w:tc>
          <w:tcPr>
            <w:tcW w:w="4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280" w:type="dxa"/>
            <w:vAlign w:val="bottom"/>
            <w:tcBorders>
              <w:bottom w:val="single" w:sz="8" w:color="CFF0FC"/>
            </w:tcBorders>
          </w:tcPr>
          <w:p>
            <w:pPr>
              <w:spacing w:after="0"/>
              <w:rPr>
                <w:sz w:val="19"/>
                <w:szCs w:val="19"/>
                <w:color w:val="auto"/>
              </w:rPr>
            </w:pPr>
          </w:p>
        </w:tc>
        <w:tc>
          <w:tcPr>
            <w:tcW w:w="2860" w:type="dxa"/>
            <w:vAlign w:val="bottom"/>
            <w:tcBorders>
              <w:bottom w:val="single" w:sz="8" w:color="CFF0FC"/>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139,154</w:t>
            </w:r>
          </w:p>
        </w:tc>
        <w:tc>
          <w:tcPr>
            <w:tcW w:w="240" w:type="dxa"/>
            <w:vAlign w:val="bottom"/>
            <w:tcBorders>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167,012</w:t>
            </w:r>
          </w:p>
        </w:tc>
        <w:tc>
          <w:tcPr>
            <w:tcW w:w="24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193,628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160,017</w:t>
            </w:r>
          </w:p>
        </w:tc>
        <w:tc>
          <w:tcPr>
            <w:tcW w:w="2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199,408</w:t>
            </w: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254,745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8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300" w:type="dxa"/>
            <w:vAlign w:val="bottom"/>
            <w:gridSpan w:val="3"/>
          </w:tcPr>
          <w:p>
            <w:pPr>
              <w:ind w:left="1300"/>
              <w:spacing w:after="0"/>
              <w:rPr>
                <w:sz w:val="20"/>
                <w:szCs w:val="20"/>
                <w:color w:val="auto"/>
              </w:rPr>
            </w:pPr>
            <w:r>
              <w:rPr>
                <w:rFonts w:ascii="Arial" w:cs="Arial" w:eastAsia="Arial" w:hAnsi="Arial"/>
                <w:sz w:val="18"/>
                <w:szCs w:val="18"/>
                <w:color w:val="auto"/>
              </w:rPr>
              <w:t>F-28</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98" w:lineRule="exact"/>
        <w:rPr>
          <w:sz w:val="20"/>
          <w:szCs w:val="20"/>
          <w:color w:val="auto"/>
        </w:rPr>
      </w:pPr>
    </w:p>
    <w:p>
      <w:pPr>
        <w:ind w:left="720" w:hanging="712"/>
        <w:spacing w:after="0"/>
        <w:tabs>
          <w:tab w:leader="none" w:pos="72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cost of revenues (Continued)</w:t>
      </w:r>
    </w:p>
    <w:p>
      <w:pPr>
        <w:spacing w:after="0" w:line="215" w:lineRule="exact"/>
        <w:rPr>
          <w:rFonts w:ascii="Arial" w:cs="Arial" w:eastAsia="Arial" w:hAnsi="Arial"/>
          <w:sz w:val="18"/>
          <w:szCs w:val="18"/>
          <w:b w:val="1"/>
          <w:bCs w:val="1"/>
          <w:color w:val="auto"/>
        </w:rPr>
      </w:pPr>
    </w:p>
    <w:p>
      <w:pPr>
        <w:jc w:val="both"/>
        <w:ind w:left="7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Group’s Marketing Solutions service offerings are the provisions of online marketing services. The Group utilizes a combination of pricing models and revenue is recognized when the related services are delivered based on the specific terms of the contract, which are commonly based on (i) agreed incentive to be earned for being a sales agent of a publisher, (ii) cost-plus or (iii) specified actions (i.e. cost per impression (“CPM”), cost per click (“CPC”), cost per action (“CPA”), cost per sale (“CPS”), cost per lead (“CPL”) or return on investment (“ROI”)) and related campaign budgets, depending on the customers’ preferences and their campaigns launched. Subsequent to the acquisition of Changyi and its subsidiary Suzhou Changyi (together, “Changyi Group”) on January 1, 2019, the Group also offers the Enterprise Solutions via the offering of SaaS products.</w:t>
      </w:r>
    </w:p>
    <w:p>
      <w:pPr>
        <w:spacing w:after="0" w:line="208" w:lineRule="exact"/>
        <w:rPr>
          <w:rFonts w:ascii="Arial" w:cs="Arial" w:eastAsia="Arial" w:hAnsi="Arial"/>
          <w:sz w:val="18"/>
          <w:szCs w:val="18"/>
          <w:b w:val="1"/>
          <w:bCs w:val="1"/>
          <w:color w:val="auto"/>
        </w:rPr>
      </w:pPr>
    </w:p>
    <w:p>
      <w:pPr>
        <w:jc w:val="both"/>
        <w:ind w:left="7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recognizes revenue when the Group satisfies a performance obligation by transferring a promised service to a customer. The Group considers the following when determining if a contract exists under which the performance obligations have been satisfied: (i) contract approval by all parties, (ii) identification of each party’s rights regarding the goods or services to be transferred, (iii) specified payment terms, (iv) commercial substance of the contract, and (v) collectability of substantially all of the consideration is probable. Collectability is assessed based on a number of factors, including the creditworthiness of a customer, the size and nature of a customer’s business and transaction history. Revenues are recorded net of value-added taxes.</w:t>
      </w:r>
    </w:p>
    <w:p>
      <w:pPr>
        <w:spacing w:after="0" w:line="151"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Sales agent</w:t>
      </w:r>
    </w:p>
    <w:p>
      <w:pPr>
        <w:spacing w:after="0" w:line="198" w:lineRule="exact"/>
        <w:rPr>
          <w:rFonts w:ascii="Arial" w:cs="Arial" w:eastAsia="Arial" w:hAnsi="Arial"/>
          <w:sz w:val="18"/>
          <w:szCs w:val="18"/>
          <w:b w:val="1"/>
          <w:bCs w:val="1"/>
          <w:color w:val="auto"/>
        </w:rPr>
      </w:pPr>
    </w:p>
    <w:p>
      <w:pPr>
        <w:jc w:val="both"/>
        <w:ind w:left="7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In the arrangement with a particular publisher, the Group acts as a sales agent for this publisher in selling marketing spaces to marketing clients. In return, the Group earns incentives from this publisher based on contractually stipulated amounts when certain spending thresholds are achieved. The Group considers this particular publisher as a customer and record such incentives as net revenues. Incentives from this publisher are calculated on both a quarterly and an annual basis in accordance with the terms as set out in the arrangement.</w:t>
      </w:r>
    </w:p>
    <w:p>
      <w:pPr>
        <w:spacing w:after="0" w:line="103" w:lineRule="exact"/>
        <w:rPr>
          <w:rFonts w:ascii="Arial" w:cs="Arial" w:eastAsia="Arial" w:hAnsi="Arial"/>
          <w:sz w:val="18"/>
          <w:szCs w:val="18"/>
          <w:b w:val="1"/>
          <w:bCs w:val="1"/>
          <w:color w:val="auto"/>
        </w:rPr>
      </w:pPr>
    </w:p>
    <w:p>
      <w:pPr>
        <w:jc w:val="both"/>
        <w:ind w:left="740"/>
        <w:spacing w:after="0" w:line="249" w:lineRule="auto"/>
        <w:rPr>
          <w:rFonts w:ascii="Arial" w:cs="Arial" w:eastAsia="Arial" w:hAnsi="Arial"/>
          <w:sz w:val="18"/>
          <w:szCs w:val="18"/>
          <w:b w:val="1"/>
          <w:bCs w:val="1"/>
          <w:color w:val="auto"/>
        </w:rPr>
      </w:pPr>
      <w:r>
        <w:rPr>
          <w:rFonts w:ascii="Arial" w:cs="Arial" w:eastAsia="Arial" w:hAnsi="Arial"/>
          <w:sz w:val="16"/>
          <w:szCs w:val="16"/>
          <w:color w:val="auto"/>
        </w:rPr>
        <w:t>Revenue under this arrangement is recognized over time given the Group considers this particular publisher simultaneously receives and consumes the benefits provided by the Group's performance as the Group performs. In other words, when the Group purchases marketing spaces on behalf of the marketing clients throughout the marketing campaigns as requested by them, this particular publisher simultaneously receives and consumes the benefit of the marketing spaces being purchased and therefore the Group is entitled to incentive payment from this publisher.</w:t>
      </w:r>
    </w:p>
    <w:p>
      <w:pPr>
        <w:spacing w:after="0" w:line="113" w:lineRule="exact"/>
        <w:rPr>
          <w:rFonts w:ascii="Arial" w:cs="Arial" w:eastAsia="Arial" w:hAnsi="Arial"/>
          <w:sz w:val="18"/>
          <w:szCs w:val="18"/>
          <w:b w:val="1"/>
          <w:bCs w:val="1"/>
          <w:color w:val="auto"/>
        </w:rPr>
      </w:pPr>
    </w:p>
    <w:p>
      <w:pPr>
        <w:jc w:val="both"/>
        <w:ind w:left="740"/>
        <w:spacing w:after="0" w:line="224" w:lineRule="auto"/>
        <w:rPr>
          <w:rFonts w:ascii="Arial" w:cs="Arial" w:eastAsia="Arial" w:hAnsi="Arial"/>
          <w:sz w:val="18"/>
          <w:szCs w:val="18"/>
          <w:b w:val="1"/>
          <w:bCs w:val="1"/>
          <w:color w:val="auto"/>
        </w:rPr>
      </w:pPr>
      <w:r>
        <w:rPr>
          <w:rFonts w:ascii="Arial" w:cs="Arial" w:eastAsia="Arial" w:hAnsi="Arial"/>
          <w:sz w:val="18"/>
          <w:szCs w:val="18"/>
          <w:color w:val="auto"/>
        </w:rPr>
        <w:t>The Group grants rebates to marketing clients under the sales agent arrangement. The majority of marketing clients under this arrangement are not customers under either the cost-plus arrangement or specified actions arrangement. The Group records rebates granted to such marketing clients as reduction of revenue.</w:t>
      </w:r>
    </w:p>
    <w:p>
      <w:pPr>
        <w:spacing w:after="0" w:line="122"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w:t>
      </w:r>
    </w:p>
    <w:p>
      <w:pPr>
        <w:spacing w:after="0" w:line="144" w:lineRule="exact"/>
        <w:rPr>
          <w:rFonts w:ascii="Arial" w:cs="Arial" w:eastAsia="Arial" w:hAnsi="Arial"/>
          <w:sz w:val="18"/>
          <w:szCs w:val="18"/>
          <w:b w:val="1"/>
          <w:bCs w:val="1"/>
          <w:color w:val="auto"/>
        </w:rPr>
      </w:pPr>
    </w:p>
    <w:p>
      <w:pPr>
        <w:jc w:val="both"/>
        <w:ind w:left="740"/>
        <w:spacing w:after="0" w:line="236" w:lineRule="auto"/>
        <w:rPr>
          <w:rFonts w:ascii="Arial" w:cs="Arial" w:eastAsia="Arial" w:hAnsi="Arial"/>
          <w:sz w:val="18"/>
          <w:szCs w:val="18"/>
          <w:b w:val="1"/>
          <w:bCs w:val="1"/>
          <w:color w:val="auto"/>
        </w:rPr>
      </w:pPr>
      <w:r>
        <w:rPr>
          <w:rFonts w:ascii="Arial" w:cs="Arial" w:eastAsia="Arial" w:hAnsi="Arial"/>
          <w:sz w:val="16"/>
          <w:szCs w:val="16"/>
          <w:color w:val="auto"/>
        </w:rPr>
        <w:t>For cost-plus advertisement campaigns, sales are recognized at the fair value of the amount received. Discounts granted to marketing clients under cost-plus marketing campaigns are recorded as a reduction of revenue. The determination of whether revenue should be reported on a gross or net basis is based on an assessment of whether the Group is acting as the principal or an agent in the transactions. In the normal course of business, the Group acts as an intermediary in executing transactions between website publishers and marketing clients. The specified service in the cost-plus arrangement is the provision of marketing space, which is controlled by the website publishers, rather than the Group. The Group assists the marketing clients to place orders with specific website publishers based on specification set out the marketing clients. The Group does not have the ability to direct the use of marketing space and does not have any inventory risk. Pricing is generally based on the actual advertising spending incurred by the marketing clients plus a margin. Accordingly, the Group concludes that it is not the principal in these arrangements and reports revenue earned and costs incurred related to these transactions on a net basis.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85" w:lineRule="exact"/>
        <w:rPr>
          <w:sz w:val="20"/>
          <w:szCs w:val="20"/>
          <w:color w:val="auto"/>
        </w:rPr>
      </w:pPr>
    </w:p>
    <w:p>
      <w:pPr>
        <w:ind w:left="740" w:right="6380" w:hanging="732"/>
        <w:spacing w:after="0" w:line="432" w:lineRule="auto"/>
        <w:tabs>
          <w:tab w:leader="none" w:pos="729"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and cost of revenues (Continued) </w:t>
      </w:r>
      <w:r>
        <w:rPr>
          <w:rFonts w:ascii="Arial" w:cs="Arial" w:eastAsia="Arial" w:hAnsi="Arial"/>
          <w:sz w:val="18"/>
          <w:szCs w:val="18"/>
          <w:i w:val="1"/>
          <w:iCs w:val="1"/>
          <w:color w:val="auto"/>
        </w:rPr>
        <w:t>Cost-plus (Continued)</w:t>
      </w:r>
    </w:p>
    <w:p>
      <w:pPr>
        <w:spacing w:after="0" w:line="1" w:lineRule="exact"/>
        <w:rPr>
          <w:rFonts w:ascii="Arial" w:cs="Arial" w:eastAsia="Arial" w:hAnsi="Arial"/>
          <w:sz w:val="18"/>
          <w:szCs w:val="18"/>
          <w:b w:val="1"/>
          <w:bCs w:val="1"/>
          <w:color w:val="auto"/>
        </w:rPr>
      </w:pPr>
    </w:p>
    <w:p>
      <w:pPr>
        <w:jc w:val="both"/>
        <w:ind w:left="740"/>
        <w:spacing w:after="0" w:line="219" w:lineRule="auto"/>
        <w:rPr>
          <w:rFonts w:ascii="Arial" w:cs="Arial" w:eastAsia="Arial" w:hAnsi="Arial"/>
          <w:sz w:val="18"/>
          <w:szCs w:val="18"/>
          <w:b w:val="1"/>
          <w:bCs w:val="1"/>
          <w:color w:val="auto"/>
        </w:rPr>
      </w:pPr>
      <w:r>
        <w:rPr>
          <w:rFonts w:ascii="Arial" w:cs="Arial" w:eastAsia="Arial" w:hAnsi="Arial"/>
          <w:sz w:val="18"/>
          <w:szCs w:val="18"/>
          <w:color w:val="auto"/>
        </w:rPr>
        <w:t>Revenue under this arrangement is recognized over time as the Group considers its customers simultaneously receive and consume the benefits provided by the Group's performance. At the time the Group purchases marketing spaces during the contract term for its customers, the customers’ advertisements could be placed throughout the marketing campaign. Revenue recognition under this arrangement is not based on an occurrence of significant act or milestone method.</w:t>
      </w:r>
    </w:p>
    <w:p>
      <w:pPr>
        <w:spacing w:after="0" w:line="122" w:lineRule="exact"/>
        <w:rPr>
          <w:rFonts w:ascii="Arial" w:cs="Arial" w:eastAsia="Arial" w:hAnsi="Arial"/>
          <w:sz w:val="18"/>
          <w:szCs w:val="18"/>
          <w:b w:val="1"/>
          <w:bCs w:val="1"/>
          <w:color w:val="auto"/>
        </w:rPr>
      </w:pPr>
    </w:p>
    <w:p>
      <w:pPr>
        <w:jc w:val="both"/>
        <w:ind w:left="740"/>
        <w:spacing w:after="0" w:line="225" w:lineRule="auto"/>
        <w:rPr>
          <w:rFonts w:ascii="Arial" w:cs="Arial" w:eastAsia="Arial" w:hAnsi="Arial"/>
          <w:sz w:val="18"/>
          <w:szCs w:val="18"/>
          <w:b w:val="1"/>
          <w:bCs w:val="1"/>
          <w:color w:val="auto"/>
        </w:rPr>
      </w:pPr>
      <w:r>
        <w:rPr>
          <w:rFonts w:ascii="Arial" w:cs="Arial" w:eastAsia="Arial" w:hAnsi="Arial"/>
          <w:sz w:val="17"/>
          <w:szCs w:val="17"/>
          <w:color w:val="auto"/>
        </w:rPr>
        <w:t>Throughout the various services delivered to clients under the cost-plus arrangements, the Group earns rebates from publishers and grant rebates to marketing clients. The rebates that the Group grants to marketing clients under cost-plus arrangement are recorded as reduction of revenue and are recorded based on the amount the marketing clients would ultimately need to spend to earn the corresponding level of rebates. The Group is also able to reasonably estimate the spending the customers can ultimately achieve based on the historical spending patterns of the customers with similar arrangements. The rebates that the Group receives from publishers under the cost-plus arrangements are recorded as revenue. These rebates are recognized when a particular milestone is achieved (i.e. applying the relevant rebates based on the level of spending threshold actually achieved) and spending has actually occurred.</w:t>
      </w:r>
    </w:p>
    <w:p>
      <w:pPr>
        <w:spacing w:after="0" w:line="121"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Specified actions</w:t>
      </w:r>
    </w:p>
    <w:p>
      <w:pPr>
        <w:spacing w:after="0" w:line="144" w:lineRule="exact"/>
        <w:rPr>
          <w:rFonts w:ascii="Arial" w:cs="Arial" w:eastAsia="Arial" w:hAnsi="Arial"/>
          <w:sz w:val="18"/>
          <w:szCs w:val="18"/>
          <w:b w:val="1"/>
          <w:bCs w:val="1"/>
          <w:color w:val="auto"/>
        </w:rPr>
      </w:pPr>
    </w:p>
    <w:p>
      <w:pPr>
        <w:jc w:val="both"/>
        <w:ind w:left="740"/>
        <w:spacing w:after="0" w:line="236" w:lineRule="auto"/>
        <w:rPr>
          <w:rFonts w:ascii="Arial" w:cs="Arial" w:eastAsia="Arial" w:hAnsi="Arial"/>
          <w:sz w:val="18"/>
          <w:szCs w:val="18"/>
          <w:b w:val="1"/>
          <w:bCs w:val="1"/>
          <w:color w:val="auto"/>
        </w:rPr>
      </w:pPr>
      <w:r>
        <w:rPr>
          <w:rFonts w:ascii="Arial" w:cs="Arial" w:eastAsia="Arial" w:hAnsi="Arial"/>
          <w:sz w:val="16"/>
          <w:szCs w:val="16"/>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For the specified actions advertisement campaigns, the Group is the principal as it has the obligation to deliver successful actions requested by marketing clients. Also, the Group will only be paid if successful actions can be delivered and is exposed to risk of loss. In terms of pricing, the Group has complete latitude in establishing the selling prices of each of the CPM, CPC, CPA, CPS, CPL or ROI pricing model. The Group's margin may vary as the costs incurred to deliver successful actions may vary and is therefore exposed to risk of loss whereby validating its degree of responsibility to its customers. Although the inventory risk under specified actions arrangement is considered to be low, the Group concludes that it is the principal in such arrangement as it is the principal ultimately responsible for delivering successful actions and in charge of establishing the price per action. Accordingly, the Group reports revenue earned and costs incurred related to these transactions on a gross basis.</w:t>
      </w:r>
    </w:p>
    <w:p>
      <w:pPr>
        <w:spacing w:after="0" w:line="140" w:lineRule="exact"/>
        <w:rPr>
          <w:rFonts w:ascii="Arial" w:cs="Arial" w:eastAsia="Arial" w:hAnsi="Arial"/>
          <w:sz w:val="18"/>
          <w:szCs w:val="18"/>
          <w:b w:val="1"/>
          <w:bCs w:val="1"/>
          <w:color w:val="auto"/>
        </w:rPr>
      </w:pPr>
    </w:p>
    <w:p>
      <w:pPr>
        <w:jc w:val="both"/>
        <w:ind w:left="740"/>
        <w:spacing w:after="0" w:line="212" w:lineRule="auto"/>
        <w:rPr>
          <w:rFonts w:ascii="Arial" w:cs="Arial" w:eastAsia="Arial" w:hAnsi="Arial"/>
          <w:sz w:val="18"/>
          <w:szCs w:val="18"/>
          <w:b w:val="1"/>
          <w:bCs w:val="1"/>
          <w:color w:val="auto"/>
        </w:rPr>
      </w:pPr>
      <w:r>
        <w:rPr>
          <w:rFonts w:ascii="Arial" w:cs="Arial" w:eastAsia="Arial" w:hAnsi="Arial"/>
          <w:sz w:val="18"/>
          <w:szCs w:val="18"/>
          <w:color w:val="auto"/>
        </w:rPr>
        <w:t>Revenues under this arrangement is recognized at point-in-time when the Group is able to deliver the specified actions as requested by the customers. Upon the occurrence of the specified actions, the customers take control of the specified actions and this is when the Group recognizes the corresponding revenue. Unlike the cost-plus arrangement, when the Group purchases marketing spaces in order to deliver the specified actions, the customers do not receive and consume the benefit as the benefit to be received by the customers is the occurrence of the specified actions. Also, the Group does not create or enhance an asset that the customers control as the marketing spaces ultimately belong to the publishers. The Group does not have any right to payment for simply purchasing the marketing spaces and would only be compensated upon delivery of the specified actions.</w:t>
      </w:r>
    </w:p>
    <w:p>
      <w:pPr>
        <w:spacing w:after="0" w:line="124" w:lineRule="exact"/>
        <w:rPr>
          <w:rFonts w:ascii="Arial" w:cs="Arial" w:eastAsia="Arial" w:hAnsi="Arial"/>
          <w:sz w:val="18"/>
          <w:szCs w:val="18"/>
          <w:b w:val="1"/>
          <w:bCs w:val="1"/>
          <w:color w:val="auto"/>
        </w:rPr>
      </w:pPr>
    </w:p>
    <w:p>
      <w:pPr>
        <w:jc w:val="both"/>
        <w:ind w:left="740"/>
        <w:spacing w:after="0" w:line="214" w:lineRule="auto"/>
        <w:rPr>
          <w:rFonts w:ascii="Arial" w:cs="Arial" w:eastAsia="Arial" w:hAnsi="Arial"/>
          <w:sz w:val="18"/>
          <w:szCs w:val="18"/>
          <w:b w:val="1"/>
          <w:bCs w:val="1"/>
          <w:color w:val="auto"/>
        </w:rPr>
      </w:pPr>
      <w:r>
        <w:rPr>
          <w:rFonts w:ascii="Arial" w:cs="Arial" w:eastAsia="Arial" w:hAnsi="Arial"/>
          <w:sz w:val="18"/>
          <w:szCs w:val="18"/>
          <w:color w:val="auto"/>
        </w:rPr>
        <w:t>The Group also grants rebates to marketing clients under the specified actions arrangement. Same as the treatment under cost-plus arrangement, the rebates that the Group grants to marketing clients under cost-plus arrangement are recorded as reduction of revenue and are recorded based on the amount the marketing clients would ultimately need to spend to earn the corresponding level of rebates. The rebates that the Group receives from publishers under the specified actions arrangement are recorded as a reduction of cost of revenues. These rebates are recognized when a particular milestone is achieved (i.e. applying the relevant rebates based on the level of spending threshold actually achieved) and spending has actually occurred.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85" w:lineRule="exact"/>
        <w:rPr>
          <w:sz w:val="20"/>
          <w:szCs w:val="20"/>
          <w:color w:val="auto"/>
        </w:rPr>
      </w:pPr>
    </w:p>
    <w:p>
      <w:pPr>
        <w:ind w:left="740" w:right="6380" w:hanging="732"/>
        <w:spacing w:after="0" w:line="417" w:lineRule="auto"/>
        <w:tabs>
          <w:tab w:leader="none" w:pos="729"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and cost of revenues (Continued) </w:t>
      </w:r>
      <w:r>
        <w:rPr>
          <w:rFonts w:ascii="Arial" w:cs="Arial" w:eastAsia="Arial" w:hAnsi="Arial"/>
          <w:sz w:val="18"/>
          <w:szCs w:val="18"/>
          <w:i w:val="1"/>
          <w:iCs w:val="1"/>
          <w:color w:val="auto"/>
        </w:rPr>
        <w:t>Specified actions (Continued)</w:t>
      </w:r>
    </w:p>
    <w:p>
      <w:pPr>
        <w:jc w:val="both"/>
        <w:ind w:left="740"/>
        <w:spacing w:after="0" w:line="212" w:lineRule="auto"/>
        <w:rPr>
          <w:rFonts w:ascii="Arial" w:cs="Arial" w:eastAsia="Arial" w:hAnsi="Arial"/>
          <w:sz w:val="18"/>
          <w:szCs w:val="18"/>
          <w:b w:val="1"/>
          <w:bCs w:val="1"/>
          <w:color w:val="auto"/>
        </w:rPr>
      </w:pPr>
      <w:r>
        <w:rPr>
          <w:rFonts w:ascii="Arial" w:cs="Arial" w:eastAsia="Arial" w:hAnsi="Arial"/>
          <w:sz w:val="18"/>
          <w:szCs w:val="18"/>
          <w:color w:val="auto"/>
        </w:rPr>
        <w:t>Cost of revenues consists of the costs to purchase space for the online marketing operations, amortization expenses related to the Group's computer software and systems, salaries and benefits of relevant operations and support personnel and depreciation of relevant property and equipment depreciation. The Group becomes obligated to make payments related to website publishers in the period the marketing impressions and click-through occur. Such expenses are classified as cost of revenues in the consolidated statements of comprehensive loss as incurred. Cost of revenues also includes rebates received from website publishers which are recorded as a reduction of cost of revenues when the Group is acting as a principal in a transaction. Following recent reforms of PRC tax laws, business tax is gradually being replaced by VAT, which is recorded as a reduction of revenue.</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SaaS products offering</w:t>
      </w:r>
    </w:p>
    <w:p>
      <w:pPr>
        <w:spacing w:after="0" w:line="171" w:lineRule="exact"/>
        <w:rPr>
          <w:sz w:val="20"/>
          <w:szCs w:val="20"/>
          <w:color w:val="auto"/>
        </w:rPr>
      </w:pPr>
    </w:p>
    <w:p>
      <w:pPr>
        <w:jc w:val="both"/>
        <w:ind w:left="740"/>
        <w:spacing w:after="0" w:line="214" w:lineRule="auto"/>
        <w:rPr>
          <w:sz w:val="20"/>
          <w:szCs w:val="20"/>
          <w:color w:val="auto"/>
        </w:rPr>
      </w:pPr>
      <w:r>
        <w:rPr>
          <w:rFonts w:ascii="Arial" w:cs="Arial" w:eastAsia="Arial" w:hAnsi="Arial"/>
          <w:sz w:val="18"/>
          <w:szCs w:val="18"/>
          <w:color w:val="auto"/>
        </w:rPr>
        <w:t>Under this arrangement, the Group offers SaaS products which are cloud-hosted software offering Enterprise Solutions to customers through provision of software licenses and retail and customer relationship management (“CRM”) solutions. Revenues under this arrangement primarily consist of fees for (i) licensing to provide customers with access to one or more of the existing cloud applications for e-commerce, marketing and customer management, (ii) the development of new cloud applications customized for individual customer, and (iii) various combinations of technical support and maintenance services provided by the Group. Contracts with customers under this arrangement are generally with a term of 1 to 24 months.</w:t>
      </w:r>
    </w:p>
    <w:p>
      <w:pPr>
        <w:spacing w:after="0" w:line="189" w:lineRule="exact"/>
        <w:rPr>
          <w:sz w:val="20"/>
          <w:szCs w:val="20"/>
          <w:color w:val="auto"/>
        </w:rPr>
      </w:pPr>
    </w:p>
    <w:p>
      <w:pPr>
        <w:jc w:val="both"/>
        <w:ind w:left="740"/>
        <w:spacing w:after="0" w:line="266" w:lineRule="auto"/>
        <w:rPr>
          <w:sz w:val="20"/>
          <w:szCs w:val="20"/>
          <w:color w:val="auto"/>
        </w:rPr>
      </w:pPr>
      <w:r>
        <w:rPr>
          <w:rFonts w:ascii="Arial" w:cs="Arial" w:eastAsia="Arial" w:hAnsi="Arial"/>
          <w:sz w:val="16"/>
          <w:szCs w:val="16"/>
          <w:color w:val="auto"/>
        </w:rPr>
        <w:t>Revenues from licensing of existing cloud applications are generally recognized ratably over time over the contract term beginning on the date that the licensing service is made available to the customer, whereby the Group considers that its customers simultaneously receive and consume the benefits provided by the use of existing cloud applications. The Group does not have other right to consideration in exchange for goods or service that the Group has transferred to a customer when that right is conditional on something other than the passage of time.</w:t>
      </w:r>
    </w:p>
    <w:p>
      <w:pPr>
        <w:spacing w:after="0" w:line="129" w:lineRule="exact"/>
        <w:rPr>
          <w:sz w:val="20"/>
          <w:szCs w:val="20"/>
          <w:color w:val="auto"/>
        </w:rPr>
      </w:pPr>
    </w:p>
    <w:p>
      <w:pPr>
        <w:jc w:val="both"/>
        <w:ind w:left="740"/>
        <w:spacing w:after="0" w:line="231" w:lineRule="auto"/>
        <w:rPr>
          <w:sz w:val="20"/>
          <w:szCs w:val="20"/>
          <w:color w:val="auto"/>
        </w:rPr>
      </w:pPr>
      <w:r>
        <w:rPr>
          <w:rFonts w:ascii="Arial" w:cs="Arial" w:eastAsia="Arial" w:hAnsi="Arial"/>
          <w:sz w:val="18"/>
          <w:szCs w:val="18"/>
          <w:color w:val="auto"/>
        </w:rPr>
        <w:t>Revenues of developing new cloud applications exclusively customized for customers is recognized at point-in-time when the Group is able to deliver the cloud applications to customers. The Group considers the transfer of control of new cloud applications to customer, which represents a distinct performance obligation, to be completed when such cloud applications are on-premise and fully functional such that the customer can use and benefit from the cloud applications on its own.</w:t>
      </w:r>
    </w:p>
    <w:p>
      <w:pPr>
        <w:spacing w:after="0" w:line="135" w:lineRule="exact"/>
        <w:rPr>
          <w:sz w:val="20"/>
          <w:szCs w:val="20"/>
          <w:color w:val="auto"/>
        </w:rPr>
      </w:pPr>
    </w:p>
    <w:p>
      <w:pPr>
        <w:jc w:val="both"/>
        <w:ind w:left="740"/>
        <w:spacing w:after="0" w:line="228" w:lineRule="auto"/>
        <w:rPr>
          <w:sz w:val="20"/>
          <w:szCs w:val="20"/>
          <w:color w:val="auto"/>
        </w:rPr>
      </w:pPr>
      <w:r>
        <w:rPr>
          <w:rFonts w:ascii="Arial" w:cs="Arial" w:eastAsia="Arial" w:hAnsi="Arial"/>
          <w:sz w:val="18"/>
          <w:szCs w:val="18"/>
          <w:color w:val="auto"/>
        </w:rPr>
        <w:t>Besides, the Group also provides certain additional maintenance services along with the above arrangements of cloud application development and licensing, such as technical support and bug fixes. These additional maintenance services are considered to be a series of distinct services that are substantially the same and have the same duration and measure of progress; therefore, the Group concludes that they represent a separate combined performance obligation. Revenues from such additional maintenance services are recognized ratably over-time over the contract period.</w:t>
      </w:r>
    </w:p>
    <w:p>
      <w:pPr>
        <w:spacing w:after="0" w:line="151" w:lineRule="exact"/>
        <w:rPr>
          <w:sz w:val="20"/>
          <w:szCs w:val="20"/>
          <w:color w:val="auto"/>
        </w:rPr>
      </w:pPr>
    </w:p>
    <w:p>
      <w:pPr>
        <w:jc w:val="both"/>
        <w:ind w:left="740"/>
        <w:spacing w:after="0" w:line="307" w:lineRule="auto"/>
        <w:rPr>
          <w:sz w:val="20"/>
          <w:szCs w:val="20"/>
          <w:color w:val="auto"/>
        </w:rPr>
      </w:pPr>
      <w:r>
        <w:rPr>
          <w:rFonts w:ascii="Arial" w:cs="Arial" w:eastAsia="Arial" w:hAnsi="Arial"/>
          <w:sz w:val="16"/>
          <w:szCs w:val="16"/>
          <w:color w:val="auto"/>
        </w:rPr>
        <w:t>The respective stand-alone selling prices of each of these performance obligations are determined based upon observable prices in stand-alone transactions and contractually stated price whereby no allocation of selling prices among individual performance obligations are required.</w:t>
      </w:r>
    </w:p>
    <w:p>
      <w:pPr>
        <w:spacing w:after="0" w:line="83" w:lineRule="exact"/>
        <w:rPr>
          <w:sz w:val="20"/>
          <w:szCs w:val="20"/>
          <w:color w:val="auto"/>
        </w:rPr>
      </w:pPr>
    </w:p>
    <w:p>
      <w:pPr>
        <w:jc w:val="both"/>
        <w:ind w:left="740"/>
        <w:spacing w:after="0" w:line="307" w:lineRule="auto"/>
        <w:rPr>
          <w:sz w:val="20"/>
          <w:szCs w:val="20"/>
          <w:color w:val="auto"/>
        </w:rPr>
      </w:pPr>
      <w:r>
        <w:rPr>
          <w:rFonts w:ascii="Arial" w:cs="Arial" w:eastAsia="Arial" w:hAnsi="Arial"/>
          <w:sz w:val="16"/>
          <w:szCs w:val="16"/>
          <w:color w:val="auto"/>
        </w:rPr>
        <w:t>Cost of revenues for SaaS products primarily comprises amortization expenses related to the Group’s computer software and systems, salaries and benefits of relevant operations and support personnel, depreciation of relevant property and equipment and other direct service costs.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85" w:lineRule="exact"/>
        <w:rPr>
          <w:sz w:val="20"/>
          <w:szCs w:val="20"/>
          <w:color w:val="auto"/>
        </w:rPr>
      </w:pPr>
    </w:p>
    <w:p>
      <w:pPr>
        <w:ind w:left="740" w:right="6380" w:hanging="732"/>
        <w:spacing w:after="0" w:line="487" w:lineRule="auto"/>
        <w:tabs>
          <w:tab w:leader="none" w:pos="729"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and cost of revenues (Continued) </w:t>
      </w:r>
      <w:r>
        <w:rPr>
          <w:rFonts w:ascii="Arial" w:cs="Arial" w:eastAsia="Arial" w:hAnsi="Arial"/>
          <w:sz w:val="18"/>
          <w:szCs w:val="18"/>
          <w:i w:val="1"/>
          <w:iCs w:val="1"/>
          <w:color w:val="auto"/>
        </w:rPr>
        <w:t>Contract balances</w:t>
      </w:r>
    </w:p>
    <w:p>
      <w:pPr>
        <w:jc w:val="both"/>
        <w:ind w:left="7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Timing of revenue recognition may differ from the timing of invoicing to customers. Accounts receivable represent amounts invoiced and revenue recognized prior to invoicing when the Group has satisfied its performance obligations and has the unconditional right to payment. The Group normally does not have contract assets, which are primarily unbilled accounts receivable that are conditional on something other than the passage of time.</w:t>
      </w:r>
    </w:p>
    <w:p>
      <w:pPr>
        <w:spacing w:after="0" w:line="146" w:lineRule="exact"/>
        <w:rPr>
          <w:rFonts w:ascii="Arial" w:cs="Arial" w:eastAsia="Arial" w:hAnsi="Arial"/>
          <w:sz w:val="18"/>
          <w:szCs w:val="18"/>
          <w:b w:val="1"/>
          <w:bCs w:val="1"/>
          <w:color w:val="auto"/>
        </w:rPr>
      </w:pPr>
    </w:p>
    <w:p>
      <w:pPr>
        <w:jc w:val="both"/>
        <w:ind w:left="7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Deferred revenue represents contract liabilities which related to unsatisfied performance obligations at the end of the period. Due to the generally short-term duration of the contracts, the majority of the performance obligations are satisfied in the following reporting period. Revenue recognized during the years ended December 31, 2019 and 2020, respectively, relating to deferred revenue as of January 1, 2019 and 2020 was US$15,768 and US$15,760, respectively. For the amount remained as deferred revenue as of January 1, 2019 and 2020, respectively, but not recognized as revenue during the years ended December 31, 2019 and 2020, respectively, there is still a contractual obligation for the Group to provide service whereby the Group is not obliged to make any refund of the amount received from customers. Such amount will be recognized as revenue when all of the revenue recognition criteria are met.</w:t>
      </w:r>
    </w:p>
    <w:p>
      <w:pPr>
        <w:spacing w:after="0" w:line="177" w:lineRule="exact"/>
        <w:rPr>
          <w:rFonts w:ascii="Arial" w:cs="Arial" w:eastAsia="Arial" w:hAnsi="Arial"/>
          <w:sz w:val="18"/>
          <w:szCs w:val="18"/>
          <w:b w:val="1"/>
          <w:bCs w:val="1"/>
          <w:color w:val="auto"/>
        </w:rPr>
      </w:pPr>
    </w:p>
    <w:p>
      <w:pPr>
        <w:ind w:left="740" w:right="2380"/>
        <w:spacing w:after="0" w:line="477" w:lineRule="auto"/>
        <w:rPr>
          <w:rFonts w:ascii="Arial" w:cs="Arial" w:eastAsia="Arial" w:hAnsi="Arial"/>
          <w:sz w:val="18"/>
          <w:szCs w:val="18"/>
          <w:b w:val="1"/>
          <w:bCs w:val="1"/>
          <w:color w:val="auto"/>
        </w:rPr>
      </w:pPr>
      <w:r>
        <w:rPr>
          <w:rFonts w:ascii="Arial" w:cs="Arial" w:eastAsia="Arial" w:hAnsi="Arial"/>
          <w:sz w:val="18"/>
          <w:szCs w:val="18"/>
          <w:color w:val="auto"/>
        </w:rPr>
        <w:t xml:space="preserve">Revenue recognized in the current period from performance obligations related to prior periods was not material. </w:t>
      </w:r>
      <w:r>
        <w:rPr>
          <w:rFonts w:ascii="Arial" w:cs="Arial" w:eastAsia="Arial" w:hAnsi="Arial"/>
          <w:sz w:val="18"/>
          <w:szCs w:val="18"/>
          <w:i w:val="1"/>
          <w:iCs w:val="1"/>
          <w:color w:val="auto"/>
        </w:rPr>
        <w:t>Practical Expedients</w:t>
      </w: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The Group has used the following practical expedients as allowed under ASC 606:</w:t>
      </w:r>
    </w:p>
    <w:p>
      <w:pPr>
        <w:spacing w:after="0" w:line="198" w:lineRule="exact"/>
        <w:rPr>
          <w:rFonts w:ascii="Arial" w:cs="Arial" w:eastAsia="Arial" w:hAnsi="Arial"/>
          <w:sz w:val="18"/>
          <w:szCs w:val="18"/>
          <w:b w:val="1"/>
          <w:bCs w:val="1"/>
          <w:color w:val="auto"/>
        </w:rPr>
      </w:pPr>
    </w:p>
    <w:p>
      <w:pPr>
        <w:ind w:left="1440" w:hanging="717"/>
        <w:spacing w:after="0" w:line="277" w:lineRule="auto"/>
        <w:tabs>
          <w:tab w:leader="none" w:pos="14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transaction price allocated to the performance obligations that are unsatisfied, or partially unsatisfied, has not been disclosed as substantially all of the Group’s contracts have a duration of one year or less.</w:t>
      </w:r>
    </w:p>
    <w:p>
      <w:pPr>
        <w:spacing w:after="0" w:line="129" w:lineRule="exact"/>
        <w:rPr>
          <w:rFonts w:ascii="Arial" w:cs="Arial" w:eastAsia="Arial" w:hAnsi="Arial"/>
          <w:sz w:val="18"/>
          <w:szCs w:val="18"/>
          <w:color w:val="auto"/>
        </w:rPr>
      </w:pPr>
    </w:p>
    <w:p>
      <w:pPr>
        <w:jc w:val="both"/>
        <w:ind w:left="1440" w:hanging="717"/>
        <w:spacing w:after="0" w:line="263" w:lineRule="auto"/>
        <w:tabs>
          <w:tab w:leader="none" w:pos="14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Payment terms and conditions vary by contract type, although terms generally include a requirement of prepayment or payment within one year or less. In instances where the timing of revenue recognition differs from the timing of invoicing, the Group has determined that its contracts generally do not include a significant financing component.</w:t>
      </w:r>
    </w:p>
    <w:p>
      <w:pPr>
        <w:spacing w:after="0" w:line="143" w:lineRule="exact"/>
        <w:rPr>
          <w:rFonts w:ascii="Arial" w:cs="Arial" w:eastAsia="Arial" w:hAnsi="Arial"/>
          <w:sz w:val="18"/>
          <w:szCs w:val="18"/>
          <w:color w:val="auto"/>
        </w:rPr>
      </w:pPr>
    </w:p>
    <w:p>
      <w:pPr>
        <w:ind w:left="1440" w:hanging="717"/>
        <w:spacing w:after="0" w:line="277" w:lineRule="auto"/>
        <w:tabs>
          <w:tab w:leader="none" w:pos="14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Group generally expenses sales commissions when incurred because the amortization period would be one year or less. These costs are recorded within sales and marketing expenses.</w:t>
      </w:r>
    </w:p>
    <w:p>
      <w:pPr>
        <w:spacing w:after="0" w:line="152" w:lineRule="exact"/>
        <w:rPr>
          <w:rFonts w:ascii="Arial" w:cs="Arial" w:eastAsia="Arial" w:hAnsi="Arial"/>
          <w:sz w:val="18"/>
          <w:szCs w:val="18"/>
          <w:color w:val="auto"/>
        </w:rPr>
      </w:pPr>
    </w:p>
    <w:p>
      <w:pPr>
        <w:ind w:left="720" w:hanging="712"/>
        <w:spacing w:after="0"/>
        <w:tabs>
          <w:tab w:leader="none" w:pos="72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w:t>
      </w:r>
    </w:p>
    <w:p>
      <w:pPr>
        <w:spacing w:after="0" w:line="202" w:lineRule="exact"/>
        <w:rPr>
          <w:rFonts w:ascii="Arial" w:cs="Arial" w:eastAsia="Arial" w:hAnsi="Arial"/>
          <w:sz w:val="18"/>
          <w:szCs w:val="18"/>
          <w:b w:val="1"/>
          <w:bCs w:val="1"/>
          <w:color w:val="auto"/>
        </w:rPr>
      </w:pPr>
    </w:p>
    <w:p>
      <w:pPr>
        <w:jc w:val="both"/>
        <w:ind w:left="7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Prepaid media costs represent prepayments for online space paid by the Group to third party publishers of websites. Upon utilization, media costs are recognized in cost of revenues when the Group is determined as acting as the principal. However, when the Group is determined as acting as the agent, those costs are recognized as deduction to revenue by the Group. These prepayments are classified as current considering the corresponding online spaces are expected to be purchased and utilized within twelve months from the date of payments.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44" w:lineRule="exact"/>
        <w:rPr>
          <w:sz w:val="20"/>
          <w:szCs w:val="20"/>
          <w:color w:val="auto"/>
        </w:rPr>
      </w:pPr>
    </w:p>
    <w:p>
      <w:pPr>
        <w:ind w:left="720" w:hanging="712"/>
        <w:spacing w:after="0"/>
        <w:tabs>
          <w:tab w:leader="none" w:pos="72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61"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6"/>
          <w:szCs w:val="16"/>
          <w:color w:val="auto"/>
        </w:rPr>
        <w:t>Research and development expenses consist primarily of (i) salary and welfare for research and development personnel, (ii) leases expenses and</w:t>
      </w:r>
    </w:p>
    <w:p>
      <w:pPr>
        <w:spacing w:after="0" w:line="46" w:lineRule="exact"/>
        <w:rPr>
          <w:rFonts w:ascii="Arial" w:cs="Arial" w:eastAsia="Arial" w:hAnsi="Arial"/>
          <w:sz w:val="18"/>
          <w:szCs w:val="18"/>
          <w:b w:val="1"/>
          <w:bCs w:val="1"/>
          <w:color w:val="auto"/>
        </w:rPr>
      </w:pPr>
    </w:p>
    <w:p>
      <w:pPr>
        <w:jc w:val="both"/>
        <w:ind w:left="740" w:hanging="5"/>
        <w:spacing w:after="0" w:line="255" w:lineRule="auto"/>
        <w:tabs>
          <w:tab w:leader="none" w:pos="107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149"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The Group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w:t>
      </w:r>
    </w:p>
    <w:p>
      <w:pPr>
        <w:spacing w:after="0" w:line="157" w:lineRule="exact"/>
        <w:rPr>
          <w:sz w:val="20"/>
          <w:szCs w:val="20"/>
          <w:color w:val="auto"/>
        </w:rPr>
      </w:pPr>
    </w:p>
    <w:p>
      <w:pPr>
        <w:jc w:val="both"/>
        <w:ind w:left="740"/>
        <w:spacing w:after="0" w:line="291" w:lineRule="auto"/>
        <w:rPr>
          <w:sz w:val="20"/>
          <w:szCs w:val="20"/>
          <w:color w:val="auto"/>
        </w:rPr>
      </w:pPr>
      <w:r>
        <w:rPr>
          <w:rFonts w:ascii="Arial" w:cs="Arial" w:eastAsia="Arial" w:hAnsi="Arial"/>
          <w:sz w:val="16"/>
          <w:szCs w:val="16"/>
          <w:color w:val="auto"/>
        </w:rPr>
        <w:t>The Group incurred development costs in connection with an internal-use enterprise resource planning (“ERP”) software to further enhance management to monitor the business. While internal and external costs incurred during the preliminary project stage are expensed as incurred, costs relating to activities during the application development stages have been capitalized. For the years ended December 31, 2018, 2019 and 2020, the Group has capitalized development costs related to ERP software of US$119, US$229 and US$156, respectively, as intangible assets. In addition, the Group incurred other research and development costs in relation to other internal use software used to support its operations. Any development costs qualified for capitalization were immaterial for the periods presented. For the years ended December 31, 2018, 2019 and 2020, the Group has not capitalized any other costs related to internal use software other than the ERP software.</w:t>
      </w:r>
    </w:p>
    <w:p>
      <w:pPr>
        <w:spacing w:after="0" w:line="162" w:lineRule="exact"/>
        <w:rPr>
          <w:sz w:val="20"/>
          <w:szCs w:val="20"/>
          <w:color w:val="auto"/>
        </w:rPr>
      </w:pPr>
    </w:p>
    <w:p>
      <w:pPr>
        <w:ind w:left="720" w:hanging="712"/>
        <w:spacing w:after="0"/>
        <w:tabs>
          <w:tab w:leader="none" w:pos="72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189"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Sales and marketing expenses consist primarily of (i) advertising and marketing expenses, and (ii) salary and welfare for sales and marketing personnel. Advertising expenses are recorded as sales and marketing expenses when incurred, and totaled US$4,574, US$13,084 and US$8,658 for the years ended December 31, 2018, 2019 and 2020, respectively.</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(ab)</w:t>
      </w:r>
      <w:r>
        <w:rPr>
          <w:sz w:val="20"/>
          <w:szCs w:val="20"/>
          <w:color w:val="auto"/>
        </w:rPr>
        <w:tab/>
      </w:r>
      <w:r>
        <w:rPr>
          <w:rFonts w:ascii="Arial" w:cs="Arial" w:eastAsia="Arial" w:hAnsi="Arial"/>
          <w:sz w:val="18"/>
          <w:szCs w:val="18"/>
          <w:b w:val="1"/>
          <w:bCs w:val="1"/>
          <w:color w:val="auto"/>
        </w:rPr>
        <w:t>General and administrative expenses</w:t>
      </w:r>
    </w:p>
    <w:p>
      <w:pPr>
        <w:spacing w:after="0" w:line="162" w:lineRule="exact"/>
        <w:rPr>
          <w:sz w:val="20"/>
          <w:szCs w:val="20"/>
          <w:color w:val="auto"/>
        </w:rPr>
      </w:pPr>
    </w:p>
    <w:p>
      <w:pPr>
        <w:jc w:val="both"/>
        <w:ind w:left="740"/>
        <w:spacing w:after="0" w:line="277" w:lineRule="auto"/>
        <w:rPr>
          <w:sz w:val="20"/>
          <w:szCs w:val="20"/>
          <w:color w:val="auto"/>
        </w:rPr>
      </w:pPr>
      <w:r>
        <w:rPr>
          <w:rFonts w:ascii="Arial" w:cs="Arial" w:eastAsia="Arial" w:hAnsi="Arial"/>
          <w:sz w:val="18"/>
          <w:szCs w:val="18"/>
          <w:color w:val="auto"/>
        </w:rPr>
        <w:t>General and administrative expenses consist primarily of (i) salary and welfare for general and administrative personnel, (ii) professional service fees, and (iii) allowance for credit losses.</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(ac)</w:t>
      </w:r>
      <w:r>
        <w:rPr>
          <w:sz w:val="20"/>
          <w:szCs w:val="20"/>
          <w:color w:val="auto"/>
        </w:rPr>
        <w:tab/>
      </w:r>
      <w:r>
        <w:rPr>
          <w:rFonts w:ascii="Arial" w:cs="Arial" w:eastAsia="Arial" w:hAnsi="Arial"/>
          <w:sz w:val="18"/>
          <w:szCs w:val="18"/>
          <w:b w:val="1"/>
          <w:bCs w:val="1"/>
          <w:color w:val="auto"/>
        </w:rPr>
        <w:t>Employee social security and welfare benefits</w:t>
      </w:r>
    </w:p>
    <w:p>
      <w:pPr>
        <w:spacing w:after="0" w:line="162" w:lineRule="exact"/>
        <w:rPr>
          <w:sz w:val="20"/>
          <w:szCs w:val="20"/>
          <w:color w:val="auto"/>
        </w:rPr>
      </w:pPr>
    </w:p>
    <w:p>
      <w:pPr>
        <w:jc w:val="both"/>
        <w:ind w:left="740"/>
        <w:spacing w:after="0" w:line="259" w:lineRule="auto"/>
        <w:rPr>
          <w:sz w:val="20"/>
          <w:szCs w:val="20"/>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146" w:lineRule="exact"/>
        <w:rPr>
          <w:sz w:val="20"/>
          <w:szCs w:val="20"/>
          <w:color w:val="auto"/>
        </w:rPr>
      </w:pPr>
    </w:p>
    <w:p>
      <w:pPr>
        <w:jc w:val="both"/>
        <w:ind w:left="740"/>
        <w:spacing w:after="0" w:line="277" w:lineRule="auto"/>
        <w:rPr>
          <w:sz w:val="20"/>
          <w:szCs w:val="20"/>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13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Group also makes payments to other defined contribution plans for employees employed by subsidiaries outside the PRC.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(ad)</w:t>
      </w:r>
      <w:r>
        <w:rPr>
          <w:sz w:val="20"/>
          <w:szCs w:val="20"/>
          <w:color w:val="auto"/>
        </w:rPr>
        <w:tab/>
      </w:r>
      <w:r>
        <w:rPr>
          <w:rFonts w:ascii="Arial" w:cs="Arial" w:eastAsia="Arial" w:hAnsi="Arial"/>
          <w:sz w:val="18"/>
          <w:szCs w:val="18"/>
          <w:b w:val="1"/>
          <w:bCs w:val="1"/>
          <w:color w:val="auto"/>
        </w:rPr>
        <w:t>Non-controlling interests</w:t>
      </w:r>
    </w:p>
    <w:p>
      <w:pPr>
        <w:spacing w:after="0" w:line="162" w:lineRule="exact"/>
        <w:rPr>
          <w:sz w:val="20"/>
          <w:szCs w:val="20"/>
          <w:color w:val="auto"/>
        </w:rPr>
      </w:pPr>
    </w:p>
    <w:p>
      <w:pPr>
        <w:jc w:val="both"/>
        <w:ind w:left="740"/>
        <w:spacing w:after="0" w:line="286" w:lineRule="auto"/>
        <w:rPr>
          <w:sz w:val="20"/>
          <w:szCs w:val="20"/>
          <w:color w:val="auto"/>
        </w:rPr>
      </w:pPr>
      <w:r>
        <w:rPr>
          <w:rFonts w:ascii="Arial" w:cs="Arial" w:eastAsia="Arial" w:hAnsi="Arial"/>
          <w:sz w:val="17"/>
          <w:szCs w:val="17"/>
          <w:color w:val="auto"/>
        </w:rPr>
        <w:t>The non-controlling interests are presented in the consolidated balance sheets, separately from equity attributable to the shareholders of the Company. Non-controlling interests are presented on the face of the consolidated statement of comprehensive loss as an allocation of the total income or loss for the year between non-controlling interests holders and the shareholders of the Company.</w:t>
      </w:r>
    </w:p>
    <w:p>
      <w:pPr>
        <w:spacing w:after="0" w:line="1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(ae)</w:t>
      </w:r>
      <w:r>
        <w:rPr>
          <w:sz w:val="20"/>
          <w:szCs w:val="20"/>
          <w:color w:val="auto"/>
        </w:rPr>
        <w:tab/>
      </w: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left="740"/>
        <w:spacing w:after="0" w:line="308" w:lineRule="auto"/>
        <w:rPr>
          <w:sz w:val="20"/>
          <w:szCs w:val="20"/>
          <w:color w:val="auto"/>
        </w:rPr>
      </w:pPr>
      <w:r>
        <w:rPr>
          <w:rFonts w:ascii="Arial" w:cs="Arial" w:eastAsia="Arial" w:hAnsi="Arial"/>
          <w:sz w:val="17"/>
          <w:szCs w:val="17"/>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w:t>
      </w:r>
    </w:p>
    <w:p>
      <w:pPr>
        <w:spacing w:after="0" w:line="106" w:lineRule="exact"/>
        <w:rPr>
          <w:sz w:val="20"/>
          <w:szCs w:val="20"/>
          <w:color w:val="auto"/>
        </w:rPr>
      </w:pPr>
    </w:p>
    <w:p>
      <w:pPr>
        <w:jc w:val="both"/>
        <w:ind w:left="740"/>
        <w:spacing w:after="0" w:line="273" w:lineRule="auto"/>
        <w:rPr>
          <w:sz w:val="20"/>
          <w:szCs w:val="20"/>
          <w:color w:val="auto"/>
        </w:rPr>
      </w:pPr>
      <w:r>
        <w:rPr>
          <w:rFonts w:ascii="Arial" w:cs="Arial" w:eastAsia="Arial" w:hAnsi="Arial"/>
          <w:sz w:val="17"/>
          <w:szCs w:val="17"/>
          <w:color w:val="auto"/>
        </w:rPr>
        <w:t>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137"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Uncertain tax positions</w:t>
      </w:r>
    </w:p>
    <w:p>
      <w:pPr>
        <w:spacing w:after="0" w:line="198" w:lineRule="exact"/>
        <w:rPr>
          <w:sz w:val="20"/>
          <w:szCs w:val="20"/>
          <w:color w:val="auto"/>
        </w:rPr>
      </w:pPr>
    </w:p>
    <w:p>
      <w:pPr>
        <w:jc w:val="both"/>
        <w:ind w:left="740"/>
        <w:spacing w:after="0" w:line="290" w:lineRule="auto"/>
        <w:rPr>
          <w:sz w:val="20"/>
          <w:szCs w:val="20"/>
          <w:color w:val="auto"/>
        </w:rPr>
      </w:pPr>
      <w:r>
        <w:rPr>
          <w:rFonts w:ascii="Arial" w:cs="Arial" w:eastAsia="Arial" w:hAnsi="Arial"/>
          <w:sz w:val="16"/>
          <w:szCs w:val="16"/>
          <w:color w:val="auto"/>
        </w:rPr>
        <w:t>The guidance on accounting for uncertainties in income taxes prescribes a more likely than not threshold for financial statement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sheets and under other expenses in its statements of comprehensive loss. The Group did not recognize any significant interest and penalties associated with uncertain tax positions for the years ended December 31, 2018, 2019 and 2020. As of December 31, 2019 and 2020, the Group did not have any significant unrecognized uncertain tax positions.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(af)</w:t>
      </w:r>
      <w:r>
        <w:rPr>
          <w:sz w:val="20"/>
          <w:szCs w:val="20"/>
          <w:color w:val="auto"/>
        </w:rPr>
        <w:tab/>
      </w:r>
      <w:r>
        <w:rPr>
          <w:rFonts w:ascii="Arial" w:cs="Arial" w:eastAsia="Arial" w:hAnsi="Arial"/>
          <w:sz w:val="18"/>
          <w:szCs w:val="18"/>
          <w:b w:val="1"/>
          <w:bCs w:val="1"/>
          <w:color w:val="auto"/>
        </w:rPr>
        <w:t>Share-based compensation</w:t>
      </w:r>
    </w:p>
    <w:p>
      <w:pPr>
        <w:spacing w:after="0" w:line="189" w:lineRule="exact"/>
        <w:rPr>
          <w:sz w:val="20"/>
          <w:szCs w:val="20"/>
          <w:color w:val="auto"/>
        </w:rPr>
      </w:pPr>
    </w:p>
    <w:p>
      <w:pPr>
        <w:jc w:val="both"/>
        <w:ind w:left="740"/>
        <w:spacing w:after="0" w:line="254" w:lineRule="auto"/>
        <w:rPr>
          <w:sz w:val="20"/>
          <w:szCs w:val="20"/>
          <w:color w:val="auto"/>
        </w:rPr>
      </w:pPr>
      <w:r>
        <w:rPr>
          <w:rFonts w:ascii="Arial" w:cs="Arial" w:eastAsia="Arial" w:hAnsi="Arial"/>
          <w:sz w:val="18"/>
          <w:szCs w:val="18"/>
          <w:color w:val="auto"/>
        </w:rPr>
        <w:t>The Company grants stock-based awards, including share options, restricted share units and warrants of the Company, to eligible employees, officers, directors, and non-employee consultants. The Company accounts for share-based awards granted to employees in accordance with ASC 718, "Compensation - Stock Compensation" and share-based awards granted to non-employees in accordance with ASC subtopic, 505-50 (“ASC 505-50”), “Equity-Based Payments to Non-Employees”. ASC 505. On January 1, 2019, the Group adopted ASU 2018-07, Compensation—Stock Compensation (Topic 718): Improvement to Nonemployee Share-based Payment Accounting to amend the accounting for share-based payment awards issued to non-employees. Under ASU 2018-07, the accounting for awards to non-employees are similar to the model for employee awards.</w:t>
      </w:r>
    </w:p>
    <w:p>
      <w:pPr>
        <w:spacing w:after="0" w:line="141"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Option and RSUs granted to employees</w:t>
      </w:r>
    </w:p>
    <w:p>
      <w:pPr>
        <w:spacing w:after="0" w:line="158" w:lineRule="exact"/>
        <w:rPr>
          <w:sz w:val="20"/>
          <w:szCs w:val="20"/>
          <w:color w:val="auto"/>
        </w:rPr>
      </w:pPr>
    </w:p>
    <w:p>
      <w:pPr>
        <w:jc w:val="both"/>
        <w:ind w:left="740"/>
        <w:spacing w:after="0" w:line="272" w:lineRule="auto"/>
        <w:rPr>
          <w:sz w:val="20"/>
          <w:szCs w:val="20"/>
          <w:color w:val="auto"/>
        </w:rPr>
      </w:pPr>
      <w:r>
        <w:rPr>
          <w:rFonts w:ascii="Arial" w:cs="Arial" w:eastAsia="Arial" w:hAnsi="Arial"/>
          <w:sz w:val="17"/>
          <w:szCs w:val="17"/>
          <w:color w:val="auto"/>
        </w:rPr>
        <w:t>Under the fair value recognition provisions of ASC 718-10, share-based compensation costs are measured at the grant date. The share-based compensation expenses have been categorized as either general and administrative expenses, sales and marketing expenses or research and development expenses, depending on the job functions of the grantees. For the options and RSUs granted to employees, the compensation expense is recognized using the graded-vesting attribution approach over the requisite service period, which is generally the vesting period. 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 The fair value of RSUs is determined with reference to the fair value of the underlying shares.</w:t>
      </w:r>
    </w:p>
    <w:p>
      <w:pPr>
        <w:spacing w:after="0" w:line="150"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Option modification</w:t>
      </w:r>
    </w:p>
    <w:p>
      <w:pPr>
        <w:spacing w:after="0" w:line="185" w:lineRule="exact"/>
        <w:rPr>
          <w:sz w:val="20"/>
          <w:szCs w:val="20"/>
          <w:color w:val="auto"/>
        </w:rPr>
      </w:pPr>
    </w:p>
    <w:p>
      <w:pPr>
        <w:jc w:val="both"/>
        <w:ind w:left="740"/>
        <w:spacing w:after="0" w:line="255" w:lineRule="auto"/>
        <w:rPr>
          <w:sz w:val="20"/>
          <w:szCs w:val="20"/>
          <w:color w:val="auto"/>
        </w:rPr>
      </w:pPr>
      <w:r>
        <w:rPr>
          <w:rFonts w:ascii="Arial" w:cs="Arial" w:eastAsia="Arial" w:hAnsi="Arial"/>
          <w:sz w:val="18"/>
          <w:szCs w:val="18"/>
          <w:color w:val="auto"/>
        </w:rPr>
        <w:t>According to ASC 718, a change in any of the terms or conditions of equity based awards shall be accounted for as a modification of the award. Therefore, the Group calculates incremental compensation cost of a modification as the excess of the fair value of the modified option over the fair value of the original option immediately before its terms are modified. For vested options, the Group would recognize incremental compensation costs on the date of modification and for unvested options, the Group would recognize, prospectively and over the remaining requisite service period, the sum of the incremental compensation costs and the remaining unrecognized compensation costs for the original award.</w:t>
      </w:r>
    </w:p>
    <w:p>
      <w:pPr>
        <w:spacing w:after="0" w:line="327"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Option, RSUs and warrants granted to non-employees</w:t>
      </w:r>
    </w:p>
    <w:p>
      <w:pPr>
        <w:spacing w:after="0" w:line="185" w:lineRule="exact"/>
        <w:rPr>
          <w:sz w:val="20"/>
          <w:szCs w:val="20"/>
          <w:color w:val="auto"/>
        </w:rPr>
      </w:pPr>
    </w:p>
    <w:p>
      <w:pPr>
        <w:jc w:val="both"/>
        <w:ind w:left="740"/>
        <w:spacing w:after="0" w:line="290" w:lineRule="auto"/>
        <w:rPr>
          <w:sz w:val="20"/>
          <w:szCs w:val="20"/>
          <w:color w:val="auto"/>
        </w:rPr>
      </w:pPr>
      <w:r>
        <w:rPr>
          <w:rFonts w:ascii="Arial" w:cs="Arial" w:eastAsia="Arial" w:hAnsi="Arial"/>
          <w:sz w:val="16"/>
          <w:szCs w:val="16"/>
          <w:color w:val="auto"/>
        </w:rPr>
        <w:t>Effective January 1, 2019, the Company adopted ASU No. 2018-07, Compensation—Stock Compensation (Topic 718): Improvements to Nonemployee Share-Based Payment Accounting (“ASU 2018-07”), which expands the scope of Topic 718 to include share-based payment awards to nonemployees. As a result, stock-based awards granted to consultants and non-employees are accounted for in the same manner as awards granted to employees as described above. The impact of adoption of this new guidance did not have a material impact on the Group’s consolidated financial statements. Prior to the adoption of ASU 2018-07, for share-based awards granted to non-employees, the Company accounted for the related share-based compensation expenses in accordance with ASC subtopic, 505-50 (“ASC 505-50”), “Equity-Based Payments to Non-Employees”. Under the provision of ASC 505-50, these options, RSUs and warrants are measured as of the earlier of the date at which either: (1) commitment for performance by the non-employee has been reached; or (2) the non-employee’s performance is complete.</w:t>
      </w:r>
    </w:p>
    <w:p>
      <w:pPr>
        <w:spacing w:after="0" w:line="125"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Options and warrants of the Company issued to non-employees are measured based on fair value of the options and warrants which are determined by using the binomial option pricing model and RSUs of the Company issued to non-employees are measured based on fair value of the RSUs which are determined with reference to the fair value of the underlying shares.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(ag)</w:t>
      </w:r>
      <w:r>
        <w:rPr>
          <w:sz w:val="20"/>
          <w:szCs w:val="20"/>
          <w:color w:val="auto"/>
        </w:rPr>
        <w:tab/>
      </w:r>
      <w:r>
        <w:rPr>
          <w:rFonts w:ascii="Arial" w:cs="Arial" w:eastAsia="Arial" w:hAnsi="Arial"/>
          <w:sz w:val="18"/>
          <w:szCs w:val="18"/>
          <w:b w:val="1"/>
          <w:bCs w:val="1"/>
          <w:color w:val="auto"/>
        </w:rPr>
        <w:t>Government subsidies</w:t>
      </w:r>
    </w:p>
    <w:p>
      <w:pPr>
        <w:spacing w:after="0" w:line="148" w:lineRule="exact"/>
        <w:rPr>
          <w:sz w:val="20"/>
          <w:szCs w:val="20"/>
          <w:color w:val="auto"/>
        </w:rPr>
      </w:pPr>
    </w:p>
    <w:p>
      <w:pPr>
        <w:jc w:val="both"/>
        <w:ind w:left="720"/>
        <w:spacing w:after="0" w:line="235" w:lineRule="auto"/>
        <w:rPr>
          <w:sz w:val="20"/>
          <w:szCs w:val="20"/>
          <w:color w:val="auto"/>
        </w:rPr>
      </w:pPr>
      <w:r>
        <w:rPr>
          <w:rFonts w:ascii="Arial" w:cs="Arial" w:eastAsia="Arial" w:hAnsi="Arial"/>
          <w:sz w:val="18"/>
          <w:szCs w:val="18"/>
          <w:color w:val="auto"/>
        </w:rPr>
        <w:t>The Group receives subsidies from the local PRC government for general use. General-use subsidies which are not subject to any conditions or specific use requirements are recorded as subsidy income in the consolidated statements of comprehensive loss.</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(ah)</w:t>
      </w:r>
      <w:r>
        <w:rPr>
          <w:sz w:val="20"/>
          <w:szCs w:val="20"/>
          <w:color w:val="auto"/>
        </w:rPr>
        <w:tab/>
      </w:r>
      <w:r>
        <w:rPr>
          <w:rFonts w:ascii="Arial" w:cs="Arial" w:eastAsia="Arial" w:hAnsi="Arial"/>
          <w:sz w:val="18"/>
          <w:szCs w:val="18"/>
          <w:b w:val="1"/>
          <w:bCs w:val="1"/>
          <w:color w:val="auto"/>
        </w:rPr>
        <w:t>Statutory reserves</w:t>
      </w:r>
    </w:p>
    <w:p>
      <w:pPr>
        <w:spacing w:after="0" w:line="162"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The Company’s subsidiaries, a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157"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143" w:lineRule="exact"/>
        <w:rPr>
          <w:sz w:val="20"/>
          <w:szCs w:val="20"/>
          <w:color w:val="auto"/>
        </w:rPr>
      </w:pPr>
    </w:p>
    <w:p>
      <w:pPr>
        <w:jc w:val="both"/>
        <w:ind w:left="740"/>
        <w:spacing w:after="0" w:line="342" w:lineRule="auto"/>
        <w:rPr>
          <w:sz w:val="20"/>
          <w:szCs w:val="20"/>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spacing w:after="0" w:line="8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There are no legal requirements in the PRC to fund these reserves by transfer of cash to restricted accounts, and the Group was not done so.</w:t>
      </w:r>
    </w:p>
    <w:p>
      <w:pPr>
        <w:spacing w:after="0" w:line="221"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(ai)</w:t>
      </w:r>
      <w:r>
        <w:rPr>
          <w:sz w:val="20"/>
          <w:szCs w:val="20"/>
          <w:color w:val="auto"/>
        </w:rPr>
        <w:tab/>
      </w:r>
      <w:r>
        <w:rPr>
          <w:rFonts w:ascii="Arial" w:cs="Arial" w:eastAsia="Arial" w:hAnsi="Arial"/>
          <w:sz w:val="18"/>
          <w:szCs w:val="18"/>
          <w:b w:val="1"/>
          <w:bCs w:val="1"/>
          <w:color w:val="auto"/>
        </w:rPr>
        <w:t>Related parties</w:t>
      </w:r>
    </w:p>
    <w:p>
      <w:pPr>
        <w:spacing w:after="0" w:line="189"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8"/>
          <w:szCs w:val="18"/>
          <w:b w:val="1"/>
          <w:bCs w:val="1"/>
          <w:color w:val="auto"/>
        </w:rPr>
        <w:t>Dividends</w:t>
      </w:r>
    </w:p>
    <w:p>
      <w:pPr>
        <w:spacing w:after="0" w:line="189"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Dividends are recognized when declared. No dividends were declared for the years ended December 31, 2018, 2019 and 2020, respectively. The Group does not have any present plan to pay any dividends on ordinary shares in the foreseeable future. The Group currently intends to retain the available funds and any future earnings to operate and expand its business.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720" w:hanging="712"/>
        <w:spacing w:after="0"/>
        <w:tabs>
          <w:tab w:leader="none" w:pos="72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(ak)</w:t>
      </w:r>
      <w:r>
        <w:rPr>
          <w:sz w:val="20"/>
          <w:szCs w:val="20"/>
          <w:color w:val="auto"/>
        </w:rPr>
        <w:tab/>
      </w:r>
      <w:r>
        <w:rPr>
          <w:rFonts w:ascii="Arial" w:cs="Arial" w:eastAsia="Arial" w:hAnsi="Arial"/>
          <w:sz w:val="18"/>
          <w:szCs w:val="18"/>
          <w:b w:val="1"/>
          <w:bCs w:val="1"/>
          <w:color w:val="auto"/>
        </w:rPr>
        <w:t>Loss per share</w:t>
      </w:r>
    </w:p>
    <w:p>
      <w:pPr>
        <w:spacing w:after="0" w:line="189" w:lineRule="exact"/>
        <w:rPr>
          <w:sz w:val="20"/>
          <w:szCs w:val="20"/>
          <w:color w:val="auto"/>
        </w:rPr>
      </w:pPr>
    </w:p>
    <w:p>
      <w:pPr>
        <w:jc w:val="both"/>
        <w:ind w:left="740"/>
        <w:spacing w:after="0" w:line="279" w:lineRule="auto"/>
        <w:rPr>
          <w:sz w:val="20"/>
          <w:szCs w:val="20"/>
          <w:color w:val="auto"/>
        </w:rPr>
      </w:pPr>
      <w:r>
        <w:rPr>
          <w:rFonts w:ascii="Arial" w:cs="Arial" w:eastAsia="Arial" w:hAnsi="Arial"/>
          <w:sz w:val="17"/>
          <w:szCs w:val="17"/>
          <w:color w:val="auto"/>
        </w:rPr>
        <w:t>Basic loss per share is computed by dividing net loss attributable to holders of ordinary shares by the weighted average number of ordinary shares outstanding during the year using the two class method. The Group uses the two-class method to calculate net loss per share though both classes share the same rights in dividends. Therefore, basic and diluted loss per share are the same for both classes of ordinary shares. Using the two class method, net loss is allocated between ordinary shares based on their participating rights.</w:t>
      </w:r>
    </w:p>
    <w:p>
      <w:pPr>
        <w:spacing w:after="0" w:line="144" w:lineRule="exact"/>
        <w:rPr>
          <w:sz w:val="20"/>
          <w:szCs w:val="20"/>
          <w:color w:val="auto"/>
        </w:rPr>
      </w:pPr>
    </w:p>
    <w:p>
      <w:pPr>
        <w:jc w:val="both"/>
        <w:ind w:left="740"/>
        <w:spacing w:after="0" w:line="275" w:lineRule="auto"/>
        <w:rPr>
          <w:sz w:val="20"/>
          <w:szCs w:val="20"/>
          <w:color w:val="auto"/>
        </w:rPr>
      </w:pPr>
      <w:r>
        <w:rPr>
          <w:rFonts w:ascii="Arial" w:cs="Arial" w:eastAsia="Arial" w:hAnsi="Arial"/>
          <w:sz w:val="17"/>
          <w:szCs w:val="17"/>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notes and ordinary shares issuable upon the conversion of the stock options and warrants and vesting of RSUs, using the treasury stock method.</w:t>
      </w:r>
    </w:p>
    <w:p>
      <w:pPr>
        <w:spacing w:after="0" w:line="1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(al)</w:t>
      </w:r>
      <w:r>
        <w:rPr>
          <w:sz w:val="20"/>
          <w:szCs w:val="20"/>
          <w:color w:val="auto"/>
        </w:rPr>
        <w:tab/>
      </w:r>
      <w:r>
        <w:rPr>
          <w:rFonts w:ascii="Arial" w:cs="Arial" w:eastAsia="Arial" w:hAnsi="Arial"/>
          <w:sz w:val="18"/>
          <w:szCs w:val="18"/>
          <w:b w:val="1"/>
          <w:bCs w:val="1"/>
          <w:color w:val="auto"/>
        </w:rPr>
        <w:t>Comprehensive loss</w:t>
      </w:r>
    </w:p>
    <w:p>
      <w:pPr>
        <w:spacing w:after="0" w:line="121" w:lineRule="exact"/>
        <w:rPr>
          <w:sz w:val="20"/>
          <w:szCs w:val="20"/>
          <w:color w:val="auto"/>
        </w:rPr>
      </w:pPr>
    </w:p>
    <w:p>
      <w:pPr>
        <w:jc w:val="both"/>
        <w:ind w:left="740"/>
        <w:spacing w:after="0" w:line="308" w:lineRule="auto"/>
        <w:rPr>
          <w:sz w:val="20"/>
          <w:szCs w:val="20"/>
          <w:color w:val="auto"/>
        </w:rPr>
      </w:pPr>
      <w:r>
        <w:rPr>
          <w:rFonts w:ascii="Arial" w:cs="Arial" w:eastAsia="Arial" w:hAnsi="Arial"/>
          <w:sz w:val="17"/>
          <w:szCs w:val="17"/>
          <w:color w:val="auto"/>
        </w:rPr>
        <w:t>Comprehensive loss is defined as the change in shareholders’ equity of the Group during a period arising from transactions and other events and circumstances excluding transactions resulting from investments by shareholders and distributions to shareholders.</w:t>
      </w:r>
    </w:p>
    <w:p>
      <w:pPr>
        <w:spacing w:after="0" w:line="79" w:lineRule="exact"/>
        <w:rPr>
          <w:sz w:val="20"/>
          <w:szCs w:val="20"/>
          <w:color w:val="auto"/>
        </w:rPr>
      </w:pPr>
    </w:p>
    <w:p>
      <w:pPr>
        <w:jc w:val="both"/>
        <w:ind w:left="740"/>
        <w:spacing w:after="0" w:line="277" w:lineRule="auto"/>
        <w:rPr>
          <w:sz w:val="20"/>
          <w:szCs w:val="20"/>
          <w:color w:val="auto"/>
        </w:rPr>
      </w:pPr>
      <w:r>
        <w:rPr>
          <w:rFonts w:ascii="Arial" w:cs="Arial" w:eastAsia="Arial" w:hAnsi="Arial"/>
          <w:sz w:val="18"/>
          <w:szCs w:val="18"/>
          <w:color w:val="auto"/>
        </w:rPr>
        <w:t>Comprehensive loss is reported in the consolidated statements of comprehensive loss. Accumulated other comprehensive losses of the Group include the foreign currency translation adjustments.</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(am)</w:t>
      </w:r>
      <w:r>
        <w:rPr>
          <w:sz w:val="20"/>
          <w:szCs w:val="20"/>
          <w:color w:val="auto"/>
        </w:rPr>
        <w:tab/>
      </w:r>
      <w:r>
        <w:rPr>
          <w:rFonts w:ascii="Arial" w:cs="Arial" w:eastAsia="Arial" w:hAnsi="Arial"/>
          <w:sz w:val="18"/>
          <w:szCs w:val="18"/>
          <w:b w:val="1"/>
          <w:bCs w:val="1"/>
          <w:color w:val="auto"/>
        </w:rPr>
        <w:t>Segment reporting</w:t>
      </w:r>
    </w:p>
    <w:p>
      <w:pPr>
        <w:spacing w:after="0" w:line="175" w:lineRule="exact"/>
        <w:rPr>
          <w:sz w:val="20"/>
          <w:szCs w:val="20"/>
          <w:color w:val="auto"/>
        </w:rPr>
      </w:pPr>
    </w:p>
    <w:p>
      <w:pPr>
        <w:jc w:val="both"/>
        <w:ind w:left="740"/>
        <w:spacing w:after="0" w:line="224"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CODM is comprised of certain members of the Company's management team.</w:t>
      </w:r>
    </w:p>
    <w:p>
      <w:pPr>
        <w:spacing w:after="0" w:line="122" w:lineRule="exact"/>
        <w:rPr>
          <w:sz w:val="20"/>
          <w:szCs w:val="20"/>
          <w:color w:val="auto"/>
        </w:rPr>
      </w:pPr>
    </w:p>
    <w:p>
      <w:pPr>
        <w:jc w:val="both"/>
        <w:ind w:left="740"/>
        <w:spacing w:after="0" w:line="237" w:lineRule="auto"/>
        <w:rPr>
          <w:sz w:val="20"/>
          <w:szCs w:val="20"/>
          <w:color w:val="auto"/>
        </w:rPr>
      </w:pPr>
      <w:r>
        <w:rPr>
          <w:rFonts w:ascii="Arial" w:cs="Arial" w:eastAsia="Arial" w:hAnsi="Arial"/>
          <w:sz w:val="17"/>
          <w:szCs w:val="17"/>
          <w:color w:val="auto"/>
        </w:rPr>
        <w:t>The Group’s organizational structure is based on a number of factors that the CODM uses to evaluate, view and run its business operations which include, but are not limited to, customer base, homogeneity of products and technology. The Group’s operating segments are based on this organizational structure and information reviewed by the Group’s CODM to evaluate the operating segment results.</w:t>
      </w:r>
    </w:p>
    <w:p>
      <w:pPr>
        <w:spacing w:after="0" w:line="123" w:lineRule="exact"/>
        <w:rPr>
          <w:sz w:val="20"/>
          <w:szCs w:val="20"/>
          <w:color w:val="auto"/>
        </w:rPr>
      </w:pPr>
    </w:p>
    <w:p>
      <w:pPr>
        <w:jc w:val="both"/>
        <w:ind w:left="740"/>
        <w:spacing w:after="0" w:line="237" w:lineRule="auto"/>
        <w:rPr>
          <w:sz w:val="20"/>
          <w:szCs w:val="20"/>
          <w:color w:val="auto"/>
        </w:rPr>
      </w:pPr>
      <w:r>
        <w:rPr>
          <w:rFonts w:ascii="Arial" w:cs="Arial" w:eastAsia="Arial" w:hAnsi="Arial"/>
          <w:sz w:val="17"/>
          <w:szCs w:val="17"/>
          <w:color w:val="auto"/>
        </w:rPr>
        <w:t>Effective in the first quarter of 2019, the Group changed its segment disclosure to separately report the financial results of its Enterprise Solutions business in light of the acquisition of Changyi on January 1, 2019. This segment primarily reflects the results of the Group’s SaaS products offering. At the same time, the Group named its pre-existing online marketing service business as Marketing Solution business.</w:t>
      </w:r>
    </w:p>
    <w:p>
      <w:pPr>
        <w:spacing w:after="0" w:line="136" w:lineRule="exact"/>
        <w:rPr>
          <w:sz w:val="20"/>
          <w:szCs w:val="20"/>
          <w:color w:val="auto"/>
        </w:rPr>
      </w:pPr>
    </w:p>
    <w:p>
      <w:pPr>
        <w:jc w:val="both"/>
        <w:ind w:left="740"/>
        <w:spacing w:after="0" w:line="216" w:lineRule="auto"/>
        <w:rPr>
          <w:sz w:val="20"/>
          <w:szCs w:val="20"/>
          <w:color w:val="auto"/>
        </w:rPr>
      </w:pPr>
      <w:r>
        <w:rPr>
          <w:rFonts w:ascii="Arial" w:cs="Arial" w:eastAsia="Arial" w:hAnsi="Arial"/>
          <w:sz w:val="18"/>
          <w:szCs w:val="18"/>
          <w:color w:val="auto"/>
        </w:rPr>
        <w:t>Therefore, the Group now reports two operating segments: 1) Marketing Solutions, and 2) Enterprise Solutions. This change in segment reporting aligns with the manner in which the Group’s CODM currently receives and uses financial information to allocate resources and evaluate the performance of reporting segments. This change in segment presentation does not affect consolidated balance sheets, consolidated statements of comprehensive loss or consolidated statements of cash flows. The Group retrospectively revised prior period segment information, to conform to current period presentation.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720" w:hanging="712"/>
        <w:spacing w:after="0"/>
        <w:tabs>
          <w:tab w:leader="none" w:pos="72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(an)</w:t>
      </w:r>
      <w:r>
        <w:rPr>
          <w:sz w:val="20"/>
          <w:szCs w:val="20"/>
          <w:color w:val="auto"/>
        </w:rPr>
        <w:tab/>
      </w: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jc w:val="both"/>
        <w:ind w:left="740"/>
        <w:spacing w:after="0" w:line="227"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amendments in this ASU simplify the accounting for income taxes by removing certain exceptions to the general principles in Topic 740. The amendments also improve consistent application of and simplify GAAP for other areas of Topic 740 by clarifying and amending existing guidance. The amendments are effective for public entities in fiscal years beginning after December 15, 2020, including interim periods within those fiscal years. Early adoption is permitted. The Group did not early adopt and is currently evaluating the impact of adopting this ASU on its consolidated financial statements.</w:t>
      </w:r>
    </w:p>
    <w:p>
      <w:pPr>
        <w:spacing w:after="0" w:line="148" w:lineRule="exact"/>
        <w:rPr>
          <w:sz w:val="20"/>
          <w:szCs w:val="20"/>
          <w:color w:val="auto"/>
        </w:rPr>
      </w:pPr>
    </w:p>
    <w:p>
      <w:pPr>
        <w:jc w:val="both"/>
        <w:ind w:left="740"/>
        <w:spacing w:after="0" w:line="225" w:lineRule="auto"/>
        <w:rPr>
          <w:sz w:val="20"/>
          <w:szCs w:val="20"/>
          <w:color w:val="auto"/>
        </w:rPr>
      </w:pPr>
      <w:r>
        <w:rPr>
          <w:rFonts w:ascii="Arial" w:cs="Arial" w:eastAsia="Arial" w:hAnsi="Arial"/>
          <w:sz w:val="18"/>
          <w:szCs w:val="18"/>
          <w:color w:val="auto"/>
        </w:rPr>
        <w:t>In January 2020, the FASB issued ASU No. 2020-01, “Investments—Equity Securities (Topic 321), Investments—Equity Method and Joint Ventures (Topic 323), and Derivatives and Hedging (Topic 815)”, that clarifies the interactions between Topic 321, Topic 323, and Topic 815. The amendments in this ASU affect the application of the measurement alternative for certain equity securities and the equity method of accounting, and guidance for certain forward contracts and purchased options to purchase securities, that, upon settlement or exercise, would be accounted for under the equity method of accounting. The ASU is effective for public entities in fiscal years beginning after December 15, 2021, including interim periods within those fiscal years. Early adoption is permitted. The Group did not early adopt and is currently evaluating the impact of adopting this ASU on its consolidated financial statements.</w:t>
      </w:r>
    </w:p>
    <w:p>
      <w:pPr>
        <w:spacing w:after="0" w:line="167" w:lineRule="exact"/>
        <w:rPr>
          <w:sz w:val="20"/>
          <w:szCs w:val="20"/>
          <w:color w:val="auto"/>
        </w:rPr>
      </w:pPr>
    </w:p>
    <w:p>
      <w:pPr>
        <w:jc w:val="both"/>
        <w:ind w:left="740"/>
        <w:spacing w:after="0" w:line="257"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The amendments in this update are effective for all entities as of March 12, 2020 through December 31, 2022. The amendments in this update provide optional expedients and exceptions for applying generally accepted accounting principles (“GAAP”) to contracts, hedging relationships, and other transactions affected by reference rate reform if certain criteria are met. The ASU is currently not expected to have a material impact on the consolidated financial statements.</w:t>
      </w:r>
    </w:p>
    <w:p>
      <w:pPr>
        <w:spacing w:after="0" w:line="147" w:lineRule="exact"/>
        <w:rPr>
          <w:sz w:val="20"/>
          <w:szCs w:val="20"/>
          <w:color w:val="auto"/>
        </w:rPr>
      </w:pPr>
    </w:p>
    <w:p>
      <w:pPr>
        <w:jc w:val="both"/>
        <w:ind w:left="740"/>
        <w:spacing w:after="0" w:line="254" w:lineRule="auto"/>
        <w:rPr>
          <w:sz w:val="20"/>
          <w:szCs w:val="20"/>
          <w:color w:val="auto"/>
        </w:rPr>
      </w:pPr>
      <w:r>
        <w:rPr>
          <w:rFonts w:ascii="Arial" w:cs="Arial" w:eastAsia="Arial" w:hAnsi="Arial"/>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which 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The ASU is effective for public in fiscal years beginning after December 15, 2023, including interim periods within those fiscal years. Early adoption is permitted, , but no earlier than fiscal years beginning after December 15, 2020, and interim periods within those fiscal years. The Group did not early adopt and is currently evaluating the impact of adopting this ASU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40" w:hanging="732"/>
        <w:spacing w:after="0"/>
        <w:tabs>
          <w:tab w:leader="none" w:pos="7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71" w:lineRule="exact"/>
        <w:rPr>
          <w:sz w:val="20"/>
          <w:szCs w:val="20"/>
          <w:color w:val="auto"/>
        </w:rPr>
      </w:pPr>
    </w:p>
    <w:p>
      <w:pPr>
        <w:ind w:left="860" w:hanging="852"/>
        <w:spacing w:after="0"/>
        <w:tabs>
          <w:tab w:leader="none" w:pos="8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216" w:lineRule="exact"/>
        <w:rPr>
          <w:sz w:val="20"/>
          <w:szCs w:val="20"/>
          <w:color w:val="auto"/>
        </w:rPr>
      </w:pPr>
    </w:p>
    <w:p>
      <w:pPr>
        <w:jc w:val="both"/>
        <w:ind w:left="740"/>
        <w:spacing w:after="0" w:line="250" w:lineRule="auto"/>
        <w:rPr>
          <w:sz w:val="20"/>
          <w:szCs w:val="20"/>
          <w:color w:val="auto"/>
        </w:rPr>
      </w:pPr>
      <w:r>
        <w:rPr>
          <w:rFonts w:ascii="Arial" w:cs="Arial" w:eastAsia="Arial" w:hAnsi="Arial"/>
          <w:sz w:val="16"/>
          <w:szCs w:val="16"/>
          <w:color w:val="auto"/>
        </w:rPr>
        <w:t>The China market in which the Group operates poses certain macro-economic and regulatory risks and uncertainties. These uncertainties extend to the ability of the Group to engage in online marketing businesses through contractual arrangements in the PRC since the internet and marketing services industries remain regulated. The Group conducts certain of its operations in the PRC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Group,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Group’s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Group believes that the structure for operating its business in the PRC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Group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w:t>
      </w:r>
    </w:p>
    <w:p>
      <w:pPr>
        <w:spacing w:after="0" w:line="144"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184" w:lineRule="exact"/>
        <w:rPr>
          <w:sz w:val="20"/>
          <w:szCs w:val="20"/>
          <w:color w:val="auto"/>
        </w:rPr>
      </w:pPr>
    </w:p>
    <w:p>
      <w:pPr>
        <w:ind w:left="1440" w:hanging="717"/>
        <w:spacing w:after="0"/>
        <w:tabs>
          <w:tab w:leader="none" w:pos="14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225" w:lineRule="exact"/>
        <w:rPr>
          <w:rFonts w:ascii="Arial" w:cs="Arial" w:eastAsia="Arial" w:hAnsi="Arial"/>
          <w:sz w:val="18"/>
          <w:szCs w:val="18"/>
          <w:color w:val="auto"/>
        </w:rPr>
      </w:pPr>
    </w:p>
    <w:p>
      <w:pPr>
        <w:ind w:left="1440" w:hanging="717"/>
        <w:spacing w:after="0"/>
        <w:tabs>
          <w:tab w:leader="none" w:pos="14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OptAim VIE;</w:t>
      </w:r>
    </w:p>
    <w:p>
      <w:pPr>
        <w:spacing w:after="0" w:line="225" w:lineRule="exact"/>
        <w:rPr>
          <w:rFonts w:ascii="Arial" w:cs="Arial" w:eastAsia="Arial" w:hAnsi="Arial"/>
          <w:sz w:val="18"/>
          <w:szCs w:val="18"/>
          <w:color w:val="auto"/>
        </w:rPr>
      </w:pPr>
    </w:p>
    <w:p>
      <w:pPr>
        <w:ind w:left="1440" w:hanging="717"/>
        <w:spacing w:after="0" w:line="277" w:lineRule="auto"/>
        <w:tabs>
          <w:tab w:leader="none" w:pos="14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imposing fines, confiscating the income of the OptAim VIE or the Company’s PRC subsidiaries, or imposing other requirements with which the Company or its PRC subsidiaries and OptAim VIE may not be able to comply;</w:t>
      </w:r>
    </w:p>
    <w:p>
      <w:pPr>
        <w:spacing w:after="0" w:line="170" w:lineRule="exact"/>
        <w:rPr>
          <w:rFonts w:ascii="Arial" w:cs="Arial" w:eastAsia="Arial" w:hAnsi="Arial"/>
          <w:sz w:val="18"/>
          <w:szCs w:val="18"/>
          <w:color w:val="auto"/>
        </w:rPr>
      </w:pPr>
    </w:p>
    <w:p>
      <w:pPr>
        <w:jc w:val="both"/>
        <w:ind w:left="1440" w:hanging="717"/>
        <w:spacing w:after="0" w:line="263" w:lineRule="auto"/>
        <w:tabs>
          <w:tab w:leader="none" w:pos="14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183" w:lineRule="exact"/>
        <w:rPr>
          <w:rFonts w:ascii="Arial" w:cs="Arial" w:eastAsia="Arial" w:hAnsi="Arial"/>
          <w:sz w:val="18"/>
          <w:szCs w:val="18"/>
          <w:color w:val="auto"/>
        </w:rPr>
      </w:pPr>
    </w:p>
    <w:p>
      <w:pPr>
        <w:ind w:left="1440" w:hanging="717"/>
        <w:spacing w:after="0"/>
        <w:tabs>
          <w:tab w:leader="none" w:pos="14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the PRC.</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93" w:lineRule="exact"/>
        <w:rPr>
          <w:sz w:val="20"/>
          <w:szCs w:val="20"/>
          <w:color w:val="auto"/>
        </w:rPr>
      </w:pPr>
    </w:p>
    <w:p>
      <w:pPr>
        <w:ind w:left="740" w:hanging="732"/>
        <w:spacing w:after="0"/>
        <w:tabs>
          <w:tab w:leader="none" w:pos="7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44" w:lineRule="exact"/>
        <w:rPr>
          <w:sz w:val="20"/>
          <w:szCs w:val="20"/>
          <w:color w:val="auto"/>
        </w:rPr>
      </w:pPr>
    </w:p>
    <w:p>
      <w:pPr>
        <w:ind w:left="860" w:hanging="852"/>
        <w:spacing w:after="0"/>
        <w:tabs>
          <w:tab w:leader="none" w:pos="8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202" w:lineRule="exact"/>
        <w:rPr>
          <w:sz w:val="20"/>
          <w:szCs w:val="20"/>
          <w:color w:val="auto"/>
        </w:rPr>
      </w:pPr>
    </w:p>
    <w:p>
      <w:pPr>
        <w:jc w:val="both"/>
        <w:ind w:left="740"/>
        <w:spacing w:after="0" w:line="269" w:lineRule="auto"/>
        <w:rPr>
          <w:sz w:val="20"/>
          <w:szCs w:val="20"/>
          <w:color w:val="auto"/>
        </w:rPr>
      </w:pPr>
      <w:r>
        <w:rPr>
          <w:rFonts w:ascii="Arial" w:cs="Arial" w:eastAsia="Arial" w:hAnsi="Arial"/>
          <w:sz w:val="17"/>
          <w:szCs w:val="17"/>
          <w:color w:val="auto"/>
        </w:rPr>
        <w:t>If the imposition of any of these penalties precludes the Group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w:t>
      </w:r>
    </w:p>
    <w:p>
      <w:pPr>
        <w:spacing w:after="0" w:line="185" w:lineRule="exact"/>
        <w:rPr>
          <w:sz w:val="20"/>
          <w:szCs w:val="20"/>
          <w:color w:val="auto"/>
        </w:rPr>
      </w:pPr>
    </w:p>
    <w:p>
      <w:pPr>
        <w:jc w:val="both"/>
        <w:ind w:left="740"/>
        <w:spacing w:after="0" w:line="253" w:lineRule="auto"/>
        <w:rPr>
          <w:sz w:val="20"/>
          <w:szCs w:val="20"/>
          <w:color w:val="auto"/>
        </w:rPr>
      </w:pPr>
      <w:r>
        <w:rPr>
          <w:rFonts w:ascii="Arial" w:cs="Arial" w:eastAsia="Arial" w:hAnsi="Arial"/>
          <w:sz w:val="18"/>
          <w:szCs w:val="18"/>
          <w:color w:val="auto"/>
        </w:rPr>
        <w:t>On January 19, 2015, the Ministry of Commerce (“MOFCOM”), released for public comment a proposed PRC law, the Draft Foreign Investment Law, that appeared to include VIEs within the scope of entities that could be considered to be foreign investment enterprises (“FIEs”), that would be subject to restrictions under existing PRC law on foreign investment in certain categories of industry. The National People’s Congress approved the Foreign Investment Law on March 15, 2019, effective on January 1, 2020. The Foreign Investment Law removes all references to the terms of “de facto control” or “contractual control” as defined in the draft published in 2015. However, the Foreign Investment Law has a catch-all provision under the definition of “foreign investment” which includes investments made by foreign investors in China through means stipulated in laws or administrative regulations or other methods prescribed by the State Council. In the event that the State Council in the future promulgates laws and regulations that deem investments made by foreign investors through contractual arrangements as “foreign investment,” the Group’s ability to use the contractual arrangements with its VIEs and the Group’s ability to conduct business through the VIEs could be severely limited.</w:t>
      </w:r>
    </w:p>
    <w:p>
      <w:pPr>
        <w:spacing w:after="0" w:line="194"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The Company’s ability to control the VIEs also depends on the powers of attorney the founders have to vote on all matters requiring shareholder approval in the VIEs. As noted above, these powers of attorney are believed to be legally enforceable but may not be as effective as direct equity ownership.</w:t>
      </w:r>
    </w:p>
    <w:p>
      <w:pPr>
        <w:spacing w:after="0" w:line="184" w:lineRule="exact"/>
        <w:rPr>
          <w:sz w:val="20"/>
          <w:szCs w:val="20"/>
          <w:color w:val="auto"/>
        </w:rPr>
      </w:pPr>
    </w:p>
    <w:p>
      <w:pPr>
        <w:jc w:val="both"/>
        <w:ind w:left="740"/>
        <w:spacing w:after="0" w:line="257" w:lineRule="auto"/>
        <w:rPr>
          <w:sz w:val="20"/>
          <w:szCs w:val="20"/>
          <w:color w:val="auto"/>
        </w:rPr>
      </w:pPr>
      <w:r>
        <w:rPr>
          <w:rFonts w:ascii="Arial" w:cs="Arial" w:eastAsia="Arial" w:hAnsi="Arial"/>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the PRC,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93" w:lineRule="exact"/>
        <w:rPr>
          <w:sz w:val="20"/>
          <w:szCs w:val="20"/>
          <w:color w:val="auto"/>
        </w:rPr>
      </w:pPr>
    </w:p>
    <w:p>
      <w:pPr>
        <w:ind w:left="720" w:hanging="712"/>
        <w:spacing w:after="0"/>
        <w:tabs>
          <w:tab w:leader="none" w:pos="72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71" w:lineRule="exact"/>
        <w:rPr>
          <w:sz w:val="20"/>
          <w:szCs w:val="20"/>
          <w:color w:val="auto"/>
        </w:rPr>
      </w:pPr>
    </w:p>
    <w:p>
      <w:pPr>
        <w:ind w:left="720" w:hanging="712"/>
        <w:spacing w:after="0"/>
        <w:tabs>
          <w:tab w:leader="none" w:pos="72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229" w:lineRule="exact"/>
        <w:rPr>
          <w:rFonts w:ascii="Arial" w:cs="Arial" w:eastAsia="Arial" w:hAnsi="Arial"/>
          <w:sz w:val="18"/>
          <w:szCs w:val="18"/>
          <w:b w:val="1"/>
          <w:bCs w:val="1"/>
          <w:color w:val="auto"/>
        </w:rPr>
      </w:pPr>
    </w:p>
    <w:p>
      <w:pPr>
        <w:jc w:val="both"/>
        <w:ind w:left="7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OptAim VIE’s assets comprise both recognized and unrecognized revenue-producing assets. The recognized revenue-producing assets include leasehold improvements, computers and network equipment and self-developed computer software which are recognized in the Group ’s consolidated balance sheet. The unrecognized revenue-producing assets mainly consist of patents, trademarks and assembled workforce which are not recorded in the financial statements of OptAim VIE as it did not meet the recognition criteria set in ASC 350-30-25.</w:t>
      </w:r>
    </w:p>
    <w:p>
      <w:pPr>
        <w:spacing w:after="0" w:line="130" w:lineRule="exact"/>
        <w:rPr>
          <w:rFonts w:ascii="Arial" w:cs="Arial" w:eastAsia="Arial" w:hAnsi="Arial"/>
          <w:sz w:val="18"/>
          <w:szCs w:val="18"/>
          <w:b w:val="1"/>
          <w:bCs w:val="1"/>
          <w:color w:val="auto"/>
        </w:rPr>
      </w:pPr>
    </w:p>
    <w:p>
      <w:pPr>
        <w:ind w:left="74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The following financial information of the OptAim VIE excluding the intercompany items with the Company’s subsidiaries was included in the accompanying financial statements as of December 31, 2019 and 2020 and for the years ended December 31, 2018, 2019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480" w:type="dxa"/>
            <w:vAlign w:val="bottom"/>
            <w:gridSpan w:val="3"/>
          </w:tcPr>
          <w:p>
            <w:pPr>
              <w:ind w:left="820"/>
              <w:spacing w:after="0"/>
              <w:rPr>
                <w:sz w:val="20"/>
                <w:szCs w:val="20"/>
                <w:color w:val="auto"/>
              </w:rPr>
            </w:pPr>
            <w:r>
              <w:rPr>
                <w:rFonts w:ascii="Arial" w:cs="Arial" w:eastAsia="Arial" w:hAnsi="Arial"/>
                <w:sz w:val="18"/>
                <w:szCs w:val="18"/>
                <w:color w:val="auto"/>
              </w:rPr>
              <w:t>As of December 31,</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1,654</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4,328</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Prepaid media costs</w:t>
            </w:r>
          </w:p>
        </w:tc>
        <w:tc>
          <w:tcPr>
            <w:tcW w:w="4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2,424</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current assets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current assets</w:t>
            </w:r>
          </w:p>
        </w:tc>
        <w:tc>
          <w:tcPr>
            <w:tcW w:w="314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vMerge w:val="continue"/>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Non-current assets</w:t>
            </w:r>
          </w:p>
        </w:tc>
        <w:tc>
          <w:tcPr>
            <w:tcW w:w="3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4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Right-of-use assets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4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80" w:type="dxa"/>
            <w:vAlign w:val="bottom"/>
            <w:gridSpan w:val="2"/>
          </w:tcPr>
          <w:p>
            <w:pPr>
              <w:ind w:left="1000"/>
              <w:spacing w:after="0"/>
              <w:rPr>
                <w:sz w:val="20"/>
                <w:szCs w:val="20"/>
                <w:color w:val="auto"/>
              </w:rPr>
            </w:pPr>
            <w:r>
              <w:rPr>
                <w:rFonts w:ascii="Arial" w:cs="Arial" w:eastAsia="Arial" w:hAnsi="Arial"/>
                <w:sz w:val="18"/>
                <w:szCs w:val="18"/>
                <w:b w:val="1"/>
                <w:bCs w:val="1"/>
                <w:color w:val="auto"/>
              </w:rPr>
              <w:t>Total non-current assets</w:t>
            </w:r>
          </w:p>
        </w:tc>
        <w:tc>
          <w:tcPr>
            <w:tcW w:w="314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60" w:type="dxa"/>
            <w:vAlign w:val="bottom"/>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00" w:type="dxa"/>
            <w:vAlign w:val="bottom"/>
            <w:vMerge w:val="restart"/>
          </w:tcPr>
          <w:p>
            <w:pPr>
              <w:spacing w:after="0"/>
              <w:rPr>
                <w:sz w:val="18"/>
                <w:szCs w:val="18"/>
                <w:color w:val="auto"/>
              </w:rPr>
            </w:pPr>
          </w:p>
        </w:tc>
        <w:tc>
          <w:tcPr>
            <w:tcW w:w="3880" w:type="dxa"/>
            <w:vAlign w:val="bottom"/>
            <w:tcBorders>
              <w:top w:val="single" w:sz="8" w:color="CFF0FC"/>
            </w:tcBorders>
            <w:shd w:val="clear" w:color="auto" w:fill="CFF0FC"/>
          </w:tcPr>
          <w:p>
            <w:pPr>
              <w:spacing w:after="0"/>
              <w:rPr>
                <w:sz w:val="18"/>
                <w:szCs w:val="18"/>
                <w:color w:val="auto"/>
              </w:rPr>
            </w:pPr>
          </w:p>
        </w:tc>
        <w:tc>
          <w:tcPr>
            <w:tcW w:w="31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vMerge w:val="continue"/>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9,733</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7,346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000" w:type="dxa"/>
            <w:vAlign w:val="bottom"/>
            <w:vMerge w:val="restart"/>
          </w:tcPr>
          <w:p>
            <w:pPr>
              <w:spacing w:after="0"/>
              <w:rPr>
                <w:sz w:val="18"/>
                <w:szCs w:val="18"/>
                <w:color w:val="auto"/>
              </w:rPr>
            </w:pPr>
          </w:p>
        </w:tc>
        <w:tc>
          <w:tcPr>
            <w:tcW w:w="3880" w:type="dxa"/>
            <w:vAlign w:val="bottom"/>
            <w:tcBorders>
              <w:top w:val="single" w:sz="8" w:color="CFF0FC"/>
            </w:tcBorders>
            <w:shd w:val="clear" w:color="auto" w:fill="CFF0FC"/>
          </w:tcPr>
          <w:p>
            <w:pPr>
              <w:spacing w:after="0"/>
              <w:rPr>
                <w:sz w:val="18"/>
                <w:szCs w:val="18"/>
                <w:color w:val="auto"/>
              </w:rPr>
            </w:pPr>
          </w:p>
        </w:tc>
        <w:tc>
          <w:tcPr>
            <w:tcW w:w="31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3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Accounts payable</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4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Lease liabilities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Bank borrowing</w:t>
            </w:r>
          </w:p>
        </w:tc>
        <w:tc>
          <w:tcPr>
            <w:tcW w:w="4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tax payable</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 and other current liabilities</w:t>
            </w:r>
          </w:p>
        </w:tc>
        <w:tc>
          <w:tcPr>
            <w:tcW w:w="4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80" w:type="dxa"/>
            <w:vAlign w:val="bottom"/>
            <w:gridSpan w:val="2"/>
          </w:tcPr>
          <w:p>
            <w:pPr>
              <w:ind w:left="1000"/>
              <w:spacing w:after="0"/>
              <w:rPr>
                <w:sz w:val="20"/>
                <w:szCs w:val="20"/>
                <w:color w:val="auto"/>
              </w:rPr>
            </w:pPr>
            <w:r>
              <w:rPr>
                <w:rFonts w:ascii="Arial" w:cs="Arial" w:eastAsia="Arial" w:hAnsi="Arial"/>
                <w:sz w:val="18"/>
                <w:szCs w:val="18"/>
                <w:b w:val="1"/>
                <w:bCs w:val="1"/>
                <w:color w:val="auto"/>
              </w:rPr>
              <w:t>Total current liabilities</w:t>
            </w:r>
          </w:p>
        </w:tc>
        <w:tc>
          <w:tcPr>
            <w:tcW w:w="314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260" w:type="dxa"/>
            <w:vAlign w:val="bottom"/>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00" w:type="dxa"/>
            <w:vAlign w:val="bottom"/>
            <w:vMerge w:val="restart"/>
          </w:tcPr>
          <w:p>
            <w:pPr>
              <w:spacing w:after="0"/>
              <w:rPr>
                <w:sz w:val="18"/>
                <w:szCs w:val="18"/>
                <w:color w:val="auto"/>
              </w:rPr>
            </w:pPr>
          </w:p>
        </w:tc>
        <w:tc>
          <w:tcPr>
            <w:tcW w:w="3880" w:type="dxa"/>
            <w:vAlign w:val="bottom"/>
            <w:tcBorders>
              <w:top w:val="single" w:sz="8" w:color="CFF0FC"/>
            </w:tcBorders>
            <w:shd w:val="clear" w:color="auto" w:fill="CFF0FC"/>
          </w:tcPr>
          <w:p>
            <w:pPr>
              <w:spacing w:after="0"/>
              <w:rPr>
                <w:sz w:val="18"/>
                <w:szCs w:val="18"/>
                <w:color w:val="auto"/>
              </w:rPr>
            </w:pPr>
          </w:p>
        </w:tc>
        <w:tc>
          <w:tcPr>
            <w:tcW w:w="31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3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4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Lease liabilities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non-current liabilities</w:t>
            </w:r>
          </w:p>
        </w:tc>
        <w:tc>
          <w:tcPr>
            <w:tcW w:w="314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vMerge w:val="continue"/>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3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2,993</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10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620" w:type="dxa"/>
            <w:vAlign w:val="bottom"/>
            <w:gridSpan w:val="4"/>
          </w:tcPr>
          <w:p>
            <w:pPr>
              <w:ind w:left="580"/>
              <w:spacing w:after="0"/>
              <w:rPr>
                <w:sz w:val="20"/>
                <w:szCs w:val="20"/>
                <w:color w:val="auto"/>
              </w:rPr>
            </w:pPr>
            <w:r>
              <w:rPr>
                <w:rFonts w:ascii="Arial" w:cs="Arial" w:eastAsia="Arial" w:hAnsi="Arial"/>
                <w:sz w:val="18"/>
                <w:szCs w:val="18"/>
                <w:color w:val="auto"/>
              </w:rPr>
              <w:t>F-41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Arial" w:cs="Arial" w:eastAsia="Arial" w:hAnsi="Arial"/>
                <w:sz w:val="18"/>
                <w:szCs w:val="18"/>
                <w:b w:val="1"/>
                <w:bCs w:val="1"/>
                <w:color w:val="auto"/>
              </w:rPr>
              <w:t>(a)</w:t>
            </w:r>
          </w:p>
        </w:tc>
        <w:tc>
          <w:tcPr>
            <w:tcW w:w="6540" w:type="dxa"/>
            <w:vAlign w:val="bottom"/>
            <w:gridSpan w:val="2"/>
          </w:tcPr>
          <w:p>
            <w:pPr>
              <w:ind w:left="240"/>
              <w:spacing w:after="0"/>
              <w:rPr>
                <w:sz w:val="20"/>
                <w:szCs w:val="20"/>
                <w:color w:val="auto"/>
              </w:rPr>
            </w:pPr>
            <w:r>
              <w:rPr>
                <w:rFonts w:ascii="Arial" w:cs="Arial" w:eastAsia="Arial" w:hAnsi="Arial"/>
                <w:sz w:val="18"/>
                <w:szCs w:val="18"/>
                <w:b w:val="1"/>
                <w:bCs w:val="1"/>
                <w:color w:val="auto"/>
              </w:rPr>
              <w:t>PRC regulations (Continued)</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440" w:type="dxa"/>
            <w:vAlign w:val="bottom"/>
            <w:gridSpan w:val="5"/>
          </w:tcPr>
          <w:p>
            <w:pPr>
              <w:ind w:left="820"/>
              <w:spacing w:after="0"/>
              <w:rPr>
                <w:sz w:val="20"/>
                <w:szCs w:val="20"/>
                <w:color w:val="auto"/>
              </w:rPr>
            </w:pPr>
            <w:r>
              <w:rPr>
                <w:rFonts w:ascii="Arial" w:cs="Arial" w:eastAsia="Arial" w:hAnsi="Arial"/>
                <w:sz w:val="18"/>
                <w:szCs w:val="18"/>
                <w:color w:val="auto"/>
                <w:w w:val="93"/>
              </w:rPr>
              <w:t>For the years ended December 31,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400" w:type="dxa"/>
            <w:vAlign w:val="bottom"/>
            <w:vMerge w:val="restart"/>
          </w:tcPr>
          <w:p>
            <w:pPr>
              <w:spacing w:after="0"/>
              <w:rPr>
                <w:sz w:val="4"/>
                <w:szCs w:val="4"/>
                <w:color w:val="auto"/>
              </w:rPr>
            </w:pPr>
          </w:p>
        </w:tc>
        <w:tc>
          <w:tcPr>
            <w:tcW w:w="6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20,670</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(451)</w:t>
            </w:r>
          </w:p>
        </w:tc>
        <w:tc>
          <w:tcPr>
            <w:tcW w:w="5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by/(used in) operating activities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(142)</w:t>
            </w:r>
          </w:p>
        </w:tc>
        <w:tc>
          <w:tcPr>
            <w:tcW w:w="5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5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activity</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6540" w:type="dxa"/>
            <w:vAlign w:val="bottom"/>
            <w:gridSpan w:val="2"/>
          </w:tcPr>
          <w:p>
            <w:pPr>
              <w:ind w:left="400"/>
              <w:spacing w:after="0"/>
              <w:rPr>
                <w:sz w:val="20"/>
                <w:szCs w:val="20"/>
                <w:color w:val="auto"/>
              </w:rPr>
            </w:pPr>
            <w:r>
              <w:rPr>
                <w:rFonts w:ascii="Arial" w:cs="Arial" w:eastAsia="Arial" w:hAnsi="Arial"/>
                <w:sz w:val="18"/>
                <w:szCs w:val="18"/>
                <w:color w:val="auto"/>
              </w:rPr>
              <w:t>Net increase/(decrease) in cash and cash equivalents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right="20"/>
        <w:spacing w:after="0" w:line="342" w:lineRule="auto"/>
        <w:rPr>
          <w:sz w:val="20"/>
          <w:szCs w:val="20"/>
          <w:color w:val="auto"/>
        </w:rPr>
      </w:pPr>
      <w:r>
        <w:rPr>
          <w:rFonts w:ascii="Arial" w:cs="Arial" w:eastAsia="Arial" w:hAnsi="Arial"/>
          <w:sz w:val="16"/>
          <w:szCs w:val="16"/>
          <w:color w:val="auto"/>
        </w:rPr>
        <w:t>In accordance with the VIE arrangements, the Group has the power to direct activities of the OptAim VIE, and can have assets transferred out of the OptAim VIE. Therefore, the Group considers that there are no assets of the OptAim VIE that can be used only to settle their obligations.</w:t>
      </w:r>
    </w:p>
    <w:p>
      <w:pPr>
        <w:spacing w:after="0" w:line="79" w:lineRule="exact"/>
        <w:rPr>
          <w:sz w:val="20"/>
          <w:szCs w:val="20"/>
          <w:color w:val="auto"/>
        </w:rPr>
      </w:pPr>
    </w:p>
    <w:p>
      <w:pPr>
        <w:ind w:left="720" w:hanging="712"/>
        <w:spacing w:after="0"/>
        <w:tabs>
          <w:tab w:leader="none" w:pos="72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229" w:lineRule="exact"/>
        <w:rPr>
          <w:rFonts w:ascii="Arial" w:cs="Arial" w:eastAsia="Arial" w:hAnsi="Arial"/>
          <w:sz w:val="18"/>
          <w:szCs w:val="18"/>
          <w:b w:val="1"/>
          <w:bCs w:val="1"/>
          <w:color w:val="auto"/>
        </w:rPr>
      </w:pPr>
    </w:p>
    <w:p>
      <w:pPr>
        <w:jc w:val="both"/>
        <w:ind w:left="7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statements of shareholders’ equity.</w:t>
      </w:r>
    </w:p>
    <w:p>
      <w:pPr>
        <w:spacing w:after="0" w:line="186"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183" w:lineRule="exact"/>
        <w:rPr>
          <w:rFonts w:ascii="Arial" w:cs="Arial" w:eastAsia="Arial" w:hAnsi="Arial"/>
          <w:sz w:val="18"/>
          <w:szCs w:val="18"/>
          <w:b w:val="1"/>
          <w:bCs w:val="1"/>
          <w:color w:val="auto"/>
        </w:rPr>
      </w:pPr>
    </w:p>
    <w:p>
      <w:pPr>
        <w:jc w:val="both"/>
        <w:ind w:left="7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revenues and expenses of the Group’s subsidiaries, VIE and VIE’s subsidiaries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191" w:lineRule="exact"/>
        <w:rPr>
          <w:rFonts w:ascii="Arial" w:cs="Arial" w:eastAsia="Arial" w:hAnsi="Arial"/>
          <w:sz w:val="18"/>
          <w:szCs w:val="18"/>
          <w:b w:val="1"/>
          <w:bCs w:val="1"/>
          <w:color w:val="auto"/>
        </w:rPr>
      </w:pPr>
    </w:p>
    <w:p>
      <w:pPr>
        <w:jc w:val="both"/>
        <w:ind w:left="7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71" w:lineRule="exact"/>
        <w:rPr>
          <w:sz w:val="20"/>
          <w:szCs w:val="20"/>
          <w:color w:val="auto"/>
        </w:rPr>
      </w:pPr>
    </w:p>
    <w:p>
      <w:pPr>
        <w:ind w:left="720" w:hanging="712"/>
        <w:spacing w:after="0"/>
        <w:tabs>
          <w:tab w:leader="none" w:pos="72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88" w:lineRule="exact"/>
        <w:rPr>
          <w:rFonts w:ascii="Arial" w:cs="Arial" w:eastAsia="Arial" w:hAnsi="Arial"/>
          <w:sz w:val="18"/>
          <w:szCs w:val="18"/>
          <w:b w:val="1"/>
          <w:bCs w:val="1"/>
          <w:color w:val="auto"/>
        </w:rPr>
      </w:pPr>
    </w:p>
    <w:p>
      <w:pPr>
        <w:ind w:left="1440" w:hanging="717"/>
        <w:spacing w:after="0"/>
        <w:tabs>
          <w:tab w:leader="none" w:pos="14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Financial assets and liabilities measured at fair value</w:t>
      </w:r>
    </w:p>
    <w:p>
      <w:pPr>
        <w:spacing w:after="0" w:line="225" w:lineRule="exact"/>
        <w:rPr>
          <w:sz w:val="20"/>
          <w:szCs w:val="20"/>
          <w:color w:val="auto"/>
        </w:rPr>
      </w:pPr>
    </w:p>
    <w:p>
      <w:pPr>
        <w:jc w:val="both"/>
        <w:ind w:left="1460"/>
        <w:spacing w:after="0" w:line="263" w:lineRule="auto"/>
        <w:rPr>
          <w:sz w:val="20"/>
          <w:szCs w:val="20"/>
          <w:color w:val="auto"/>
        </w:rPr>
      </w:pPr>
      <w:r>
        <w:rPr>
          <w:rFonts w:ascii="Arial" w:cs="Arial" w:eastAsia="Arial" w:hAnsi="Arial"/>
          <w:sz w:val="18"/>
          <w:szCs w:val="18"/>
          <w:color w:val="auto"/>
        </w:rPr>
        <w:t>The following table sets forth, by level within the fair value hierarchy (Note 2(e)), financial assets and liabilities measured at fair value as of December 31, 2019 and 2020. As required by ASC 820, financial assets and financial liabilities are classified in their entirety based on the lowest level of input that is significant to the respective fair value measurement.</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Quoted</w:t>
            </w:r>
          </w:p>
        </w:tc>
        <w:tc>
          <w:tcPr>
            <w:tcW w:w="2740" w:type="dxa"/>
            <w:vAlign w:val="bottom"/>
            <w:gridSpan w:val="4"/>
          </w:tcPr>
          <w:p>
            <w:pPr>
              <w:jc w:val="right"/>
              <w:ind w:right="380"/>
              <w:spacing w:after="0"/>
              <w:rPr>
                <w:sz w:val="20"/>
                <w:szCs w:val="20"/>
                <w:color w:val="auto"/>
              </w:rPr>
            </w:pPr>
            <w:r>
              <w:rPr>
                <w:rFonts w:ascii="Arial" w:cs="Arial" w:eastAsia="Arial" w:hAnsi="Arial"/>
                <w:sz w:val="18"/>
                <w:szCs w:val="18"/>
                <w:color w:val="auto"/>
                <w:w w:val="93"/>
              </w:rPr>
              <w:t>Fair value measurements using</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prices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in active</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Significant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market for</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Significant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identical</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observable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unobservable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assets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inputs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inputs</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Total fair</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(Level 1)</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(Level 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(Level 3)</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December 31, 2019</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Convertible notes at fair value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(49,008)</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(49,008)</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720"/>
        <w:spacing w:after="0"/>
        <w:rPr>
          <w:sz w:val="20"/>
          <w:szCs w:val="20"/>
          <w:color w:val="auto"/>
        </w:rPr>
      </w:pPr>
      <w:r>
        <w:rPr>
          <w:rFonts w:ascii="Arial" w:cs="Arial" w:eastAsia="Arial" w:hAnsi="Arial"/>
          <w:sz w:val="18"/>
          <w:szCs w:val="18"/>
          <w:b w:val="1"/>
          <w:bCs w:val="1"/>
          <w:color w:val="auto"/>
        </w:rPr>
        <w:t>As of December 31, 2020</w:t>
      </w:r>
    </w:p>
    <w:p>
      <w:pPr>
        <w:spacing w:after="0" w:line="3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Short-term investments</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Contingent consideration payable</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jc w:val="right"/>
              <w:spacing w:after="0"/>
              <w:rPr>
                <w:sz w:val="20"/>
                <w:szCs w:val="20"/>
                <w:color w:val="auto"/>
              </w:rPr>
            </w:pPr>
            <w:r>
              <w:rPr>
                <w:rFonts w:ascii="Arial" w:cs="Arial" w:eastAsia="Arial" w:hAnsi="Arial"/>
                <w:sz w:val="18"/>
                <w:szCs w:val="18"/>
                <w:color w:val="auto"/>
              </w:rPr>
              <w:t>2,342</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10,281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12,623</w:t>
            </w:r>
          </w:p>
        </w:tc>
        <w:tc>
          <w:tcPr>
            <w:tcW w:w="60" w:type="dxa"/>
            <w:vAlign w:val="bottom"/>
          </w:tcPr>
          <w:p>
            <w:pPr>
              <w:spacing w:after="0"/>
              <w:rPr>
                <w:sz w:val="20"/>
                <w:szCs w:val="20"/>
                <w:color w:val="auto"/>
              </w:rPr>
            </w:pPr>
          </w:p>
        </w:tc>
      </w:tr>
      <w:tr>
        <w:trPr>
          <w:trHeight w:val="243"/>
        </w:trPr>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(7,755)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(7,755)</w:t>
            </w:r>
          </w:p>
        </w:tc>
      </w:tr>
      <w:tr>
        <w:trPr>
          <w:trHeight w:val="20"/>
        </w:trPr>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1140" w:type="dxa"/>
            <w:vAlign w:val="bottom"/>
          </w:tcPr>
          <w:p>
            <w:pPr>
              <w:jc w:val="right"/>
              <w:spacing w:after="0"/>
              <w:rPr>
                <w:sz w:val="20"/>
                <w:szCs w:val="20"/>
                <w:color w:val="auto"/>
              </w:rPr>
            </w:pPr>
            <w:r>
              <w:rPr>
                <w:rFonts w:ascii="Arial" w:cs="Arial" w:eastAsia="Arial" w:hAnsi="Arial"/>
                <w:sz w:val="18"/>
                <w:szCs w:val="18"/>
                <w:color w:val="auto"/>
              </w:rPr>
              <w:t>2,342</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10,281</w:t>
            </w:r>
          </w:p>
        </w:tc>
        <w:tc>
          <w:tcPr>
            <w:tcW w:w="2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(7,755)</w:t>
            </w:r>
          </w:p>
        </w:tc>
        <w:tc>
          <w:tcPr>
            <w:tcW w:w="1140" w:type="dxa"/>
            <w:vAlign w:val="bottom"/>
          </w:tcPr>
          <w:p>
            <w:pPr>
              <w:jc w:val="right"/>
              <w:spacing w:after="0"/>
              <w:rPr>
                <w:sz w:val="20"/>
                <w:szCs w:val="20"/>
                <w:color w:val="auto"/>
              </w:rPr>
            </w:pPr>
            <w:r>
              <w:rPr>
                <w:rFonts w:ascii="Arial" w:cs="Arial" w:eastAsia="Arial" w:hAnsi="Arial"/>
                <w:sz w:val="18"/>
                <w:szCs w:val="18"/>
                <w:color w:val="auto"/>
              </w:rPr>
              <w:t>4,868</w:t>
            </w:r>
          </w:p>
        </w:tc>
        <w:tc>
          <w:tcPr>
            <w:tcW w:w="60" w:type="dxa"/>
            <w:vAlign w:val="bottom"/>
          </w:tcPr>
          <w:p>
            <w:pPr>
              <w:spacing w:after="0"/>
              <w:rPr>
                <w:sz w:val="20"/>
                <w:szCs w:val="20"/>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-2639695</wp:posOffset>
            </wp:positionH>
            <wp:positionV relativeFrom="paragraph">
              <wp:posOffset>-496570</wp:posOffset>
            </wp:positionV>
            <wp:extent cx="6043295"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6043295" cy="15430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5160" w:space="720"/>
            <w:col w:w="5360"/>
          </w:cols>
          <w:pgMar w:left="320" w:top="121" w:right="339" w:bottom="1440" w:gutter="0" w:footer="0" w:header="0"/>
          <w:type w:val="continuous"/>
        </w:sectPr>
      </w:pPr>
    </w:p>
    <w:p>
      <w:pPr>
        <w:jc w:val="center"/>
        <w:ind w:right="80"/>
        <w:spacing w:after="0"/>
        <w:rPr>
          <w:sz w:val="20"/>
          <w:szCs w:val="20"/>
          <w:color w:val="auto"/>
        </w:rPr>
      </w:pPr>
      <w:r>
        <w:rPr>
          <w:rFonts w:ascii="Arial" w:cs="Arial" w:eastAsia="Arial" w:hAnsi="Arial"/>
          <w:sz w:val="18"/>
          <w:szCs w:val="18"/>
          <w:color w:val="auto"/>
        </w:rPr>
        <w:t>The following table presents the changes in Level 3 instruments for the years ended December 31, 2019 and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8"/>
                <w:szCs w:val="18"/>
                <w:color w:val="auto"/>
                <w:w w:val="91"/>
              </w:rPr>
              <w:t>Convertible notes at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Contingent consideration</w:t>
            </w:r>
          </w:p>
        </w:tc>
      </w:tr>
      <w:tr>
        <w:trPr>
          <w:trHeight w:val="229"/>
        </w:trPr>
        <w:tc>
          <w:tcPr>
            <w:tcW w:w="14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00" w:type="dxa"/>
            <w:vAlign w:val="bottom"/>
            <w:gridSpan w:val="3"/>
          </w:tcPr>
          <w:p>
            <w:pPr>
              <w:jc w:val="center"/>
              <w:ind w:left="510"/>
              <w:spacing w:after="0"/>
              <w:rPr>
                <w:sz w:val="20"/>
                <w:szCs w:val="20"/>
                <w:color w:val="auto"/>
              </w:rPr>
            </w:pPr>
            <w:r>
              <w:rPr>
                <w:rFonts w:ascii="Arial" w:cs="Arial" w:eastAsia="Arial" w:hAnsi="Arial"/>
                <w:sz w:val="18"/>
                <w:szCs w:val="18"/>
                <w:color w:val="auto"/>
                <w:w w:val="93"/>
              </w:rPr>
              <w:t>fair value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4"/>
          </w:tcPr>
          <w:p>
            <w:pPr>
              <w:jc w:val="center"/>
              <w:ind w:right="240"/>
              <w:spacing w:after="0"/>
              <w:rPr>
                <w:sz w:val="20"/>
                <w:szCs w:val="20"/>
                <w:color w:val="auto"/>
              </w:rPr>
            </w:pPr>
            <w:r>
              <w:rPr>
                <w:rFonts w:ascii="Arial" w:cs="Arial" w:eastAsia="Arial" w:hAnsi="Arial"/>
                <w:sz w:val="18"/>
                <w:szCs w:val="18"/>
                <w:color w:val="auto"/>
                <w:w w:val="95"/>
              </w:rPr>
              <w:t>Derivative liabilities</w:t>
            </w:r>
          </w:p>
        </w:tc>
        <w:tc>
          <w:tcPr>
            <w:tcW w:w="152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payable</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4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8"/>
                <w:szCs w:val="18"/>
                <w:color w:val="auto"/>
                <w:w w:val="88"/>
              </w:rPr>
              <w:t>For the years ended</w:t>
            </w:r>
          </w:p>
        </w:tc>
        <w:tc>
          <w:tcPr>
            <w:tcW w:w="2180" w:type="dxa"/>
            <w:vAlign w:val="bottom"/>
            <w:gridSpan w:val="4"/>
          </w:tcPr>
          <w:p>
            <w:pPr>
              <w:jc w:val="center"/>
              <w:ind w:right="240"/>
              <w:spacing w:after="0"/>
              <w:rPr>
                <w:sz w:val="20"/>
                <w:szCs w:val="20"/>
                <w:color w:val="auto"/>
              </w:rPr>
            </w:pPr>
            <w:r>
              <w:rPr>
                <w:rFonts w:ascii="Arial" w:cs="Arial" w:eastAsia="Arial" w:hAnsi="Arial"/>
                <w:sz w:val="18"/>
                <w:szCs w:val="18"/>
                <w:color w:val="auto"/>
                <w:w w:val="88"/>
              </w:rPr>
              <w:t>For the years ended</w:t>
            </w:r>
          </w:p>
        </w:tc>
        <w:tc>
          <w:tcPr>
            <w:tcW w:w="2080" w:type="dxa"/>
            <w:vAlign w:val="bottom"/>
            <w:gridSpan w:val="5"/>
          </w:tcPr>
          <w:p>
            <w:pPr>
              <w:jc w:val="center"/>
              <w:ind w:right="120"/>
              <w:spacing w:after="0"/>
              <w:rPr>
                <w:sz w:val="20"/>
                <w:szCs w:val="20"/>
                <w:color w:val="auto"/>
              </w:rPr>
            </w:pPr>
            <w:r>
              <w:rPr>
                <w:rFonts w:ascii="Arial" w:cs="Arial" w:eastAsia="Arial" w:hAnsi="Arial"/>
                <w:sz w:val="18"/>
                <w:szCs w:val="18"/>
                <w:color w:val="auto"/>
                <w:w w:val="86"/>
              </w:rPr>
              <w:t>For the years ended</w:t>
            </w:r>
          </w:p>
        </w:tc>
      </w:tr>
      <w:tr>
        <w:trPr>
          <w:trHeight w:val="230"/>
        </w:trPr>
        <w:tc>
          <w:tcPr>
            <w:tcW w:w="14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December 31,</w:t>
            </w:r>
          </w:p>
        </w:tc>
        <w:tc>
          <w:tcPr>
            <w:tcW w:w="218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December 31,</w:t>
            </w:r>
          </w:p>
        </w:tc>
        <w:tc>
          <w:tcPr>
            <w:tcW w:w="152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December 31,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4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30"/>
        </w:trPr>
        <w:tc>
          <w:tcPr>
            <w:tcW w:w="140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year</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34,837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49,008</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140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Fair value changes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4,433</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11,466</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r>
      <w:tr>
        <w:trPr>
          <w:trHeight w:val="230"/>
        </w:trPr>
        <w:tc>
          <w:tcPr>
            <w:tcW w:w="140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Business combination (Note 4(e))</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7,674</w:t>
            </w:r>
          </w:p>
        </w:tc>
        <w:tc>
          <w:tcPr>
            <w:tcW w:w="100" w:type="dxa"/>
            <w:vAlign w:val="bottom"/>
            <w:shd w:val="clear" w:color="auto" w:fill="CFF0FC"/>
          </w:tcPr>
          <w:p>
            <w:pPr>
              <w:spacing w:after="0"/>
              <w:rPr>
                <w:sz w:val="19"/>
                <w:szCs w:val="19"/>
                <w:color w:val="auto"/>
              </w:rPr>
            </w:pPr>
          </w:p>
        </w:tc>
      </w:tr>
      <w:tr>
        <w:trPr>
          <w:trHeight w:val="230"/>
        </w:trPr>
        <w:tc>
          <w:tcPr>
            <w:tcW w:w="140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New issuance of convertible notes</w:t>
            </w:r>
          </w:p>
        </w:tc>
        <w:tc>
          <w:tcPr>
            <w:tcW w:w="920" w:type="dxa"/>
            <w:vAlign w:val="bottom"/>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19,184</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5"/>
        </w:trPr>
        <w:tc>
          <w:tcPr>
            <w:tcW w:w="140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w w:val="94"/>
              </w:rPr>
              <w:t>Issuance of convertible notes upon exercise</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1400" w:type="dxa"/>
            <w:vAlign w:val="bottom"/>
          </w:tcPr>
          <w:p>
            <w:pPr>
              <w:spacing w:after="0"/>
              <w:rPr>
                <w:sz w:val="20"/>
                <w:szCs w:val="20"/>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of call option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11,466</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(11,466)</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0"/>
        </w:trPr>
        <w:tc>
          <w:tcPr>
            <w:tcW w:w="140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Conversion of convertible notes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(4,431)</w:t>
            </w: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(68,895)</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140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Redemption of convertible notes</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(11,265)</w:t>
            </w: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8"/>
              </w:rPr>
              <w:t>(15,196)</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740" w:type="dxa"/>
            <w:vAlign w:val="bottom"/>
            <w:gridSpan w:val="2"/>
          </w:tcPr>
          <w:p>
            <w:pPr>
              <w:ind w:left="1400"/>
              <w:spacing w:after="0"/>
              <w:rPr>
                <w:sz w:val="20"/>
                <w:szCs w:val="20"/>
                <w:color w:val="auto"/>
              </w:rPr>
            </w:pPr>
            <w:r>
              <w:rPr>
                <w:rFonts w:ascii="Arial" w:cs="Arial" w:eastAsia="Arial" w:hAnsi="Arial"/>
                <w:sz w:val="18"/>
                <w:szCs w:val="18"/>
                <w:color w:val="auto"/>
              </w:rPr>
              <w:t>Balance at the end of year</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49,008</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7,755</w:t>
            </w:r>
          </w:p>
        </w:tc>
        <w:tc>
          <w:tcPr>
            <w:tcW w:w="100" w:type="dxa"/>
            <w:vAlign w:val="bottom"/>
          </w:tcPr>
          <w:p>
            <w:pPr>
              <w:spacing w:after="0"/>
              <w:rPr>
                <w:sz w:val="19"/>
                <w:szCs w:val="19"/>
                <w:color w:val="auto"/>
              </w:rPr>
            </w:pPr>
          </w:p>
        </w:tc>
      </w:tr>
      <w:tr>
        <w:trPr>
          <w:trHeight w:val="20"/>
        </w:trPr>
        <w:tc>
          <w:tcPr>
            <w:tcW w:w="14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31"/>
        </w:trPr>
        <w:tc>
          <w:tcPr>
            <w:tcW w:w="14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0" w:type="dxa"/>
            <w:vAlign w:val="bottom"/>
            <w:gridSpan w:val="3"/>
          </w:tcPr>
          <w:p>
            <w:pPr>
              <w:ind w:left="720"/>
              <w:spacing w:after="0"/>
              <w:rPr>
                <w:sz w:val="20"/>
                <w:szCs w:val="20"/>
                <w:color w:val="auto"/>
              </w:rPr>
            </w:pPr>
            <w:r>
              <w:rPr>
                <w:rFonts w:ascii="Arial" w:cs="Arial" w:eastAsia="Arial" w:hAnsi="Arial"/>
                <w:sz w:val="18"/>
                <w:szCs w:val="18"/>
                <w:color w:val="auto"/>
              </w:rPr>
              <w:t>F-43</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40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9" w:name="page170"/>
    <w:bookmarkEnd w:id="169"/>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98" w:lineRule="exact"/>
        <w:rPr>
          <w:sz w:val="20"/>
          <w:szCs w:val="20"/>
          <w:color w:val="auto"/>
        </w:rPr>
      </w:pPr>
    </w:p>
    <w:p>
      <w:pPr>
        <w:ind w:left="720" w:hanging="712"/>
        <w:spacing w:after="0"/>
        <w:tabs>
          <w:tab w:leader="none" w:pos="72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(Continued)</w:t>
      </w:r>
    </w:p>
    <w:p>
      <w:pPr>
        <w:spacing w:after="0" w:line="202" w:lineRule="exact"/>
        <w:rPr>
          <w:sz w:val="20"/>
          <w:szCs w:val="20"/>
          <w:color w:val="auto"/>
        </w:rPr>
      </w:pPr>
    </w:p>
    <w:p>
      <w:pPr>
        <w:ind w:left="1440" w:hanging="717"/>
        <w:spacing w:after="0"/>
        <w:tabs>
          <w:tab w:leader="none" w:pos="14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Equity securities without readily determinable fair values</w:t>
      </w:r>
    </w:p>
    <w:p>
      <w:pPr>
        <w:spacing w:after="0" w:line="171" w:lineRule="exact"/>
        <w:rPr>
          <w:sz w:val="20"/>
          <w:szCs w:val="20"/>
          <w:color w:val="auto"/>
        </w:rPr>
      </w:pPr>
    </w:p>
    <w:p>
      <w:pPr>
        <w:jc w:val="both"/>
        <w:ind w:left="1460"/>
        <w:spacing w:after="0" w:line="253" w:lineRule="auto"/>
        <w:rPr>
          <w:sz w:val="20"/>
          <w:szCs w:val="20"/>
          <w:color w:val="auto"/>
        </w:rPr>
      </w:pPr>
      <w:r>
        <w:rPr>
          <w:rFonts w:ascii="Arial" w:cs="Arial" w:eastAsia="Arial" w:hAnsi="Arial"/>
          <w:sz w:val="17"/>
          <w:szCs w:val="17"/>
          <w:color w:val="auto"/>
        </w:rPr>
        <w:t>The equity securities without readily determinable fair value are recorded at fair value only if an impairment or observable price adjustment is recognized in the current period. There were no fair value changes related to such equity securities classified as other long-term investments in the consolidated balance sheets for the years ended December 31, 2019 and 2020.</w:t>
      </w:r>
    </w:p>
    <w:p>
      <w:pPr>
        <w:spacing w:after="0" w:line="174" w:lineRule="exact"/>
        <w:rPr>
          <w:sz w:val="20"/>
          <w:szCs w:val="20"/>
          <w:color w:val="auto"/>
        </w:rPr>
      </w:pPr>
    </w:p>
    <w:p>
      <w:pPr>
        <w:ind w:left="720" w:hanging="712"/>
        <w:spacing w:after="0"/>
        <w:tabs>
          <w:tab w:leader="none" w:pos="72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229" w:lineRule="exact"/>
        <w:rPr>
          <w:rFonts w:ascii="Arial" w:cs="Arial" w:eastAsia="Arial" w:hAnsi="Arial"/>
          <w:sz w:val="18"/>
          <w:szCs w:val="18"/>
          <w:b w:val="1"/>
          <w:bCs w:val="1"/>
          <w:color w:val="auto"/>
        </w:rPr>
      </w:pPr>
    </w:p>
    <w:p>
      <w:pPr>
        <w:ind w:left="1440" w:hanging="717"/>
        <w:spacing w:after="0"/>
        <w:tabs>
          <w:tab w:leader="none" w:pos="14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Concentration of revenues</w:t>
      </w:r>
    </w:p>
    <w:p>
      <w:pPr>
        <w:spacing w:after="0" w:line="225" w:lineRule="exact"/>
        <w:rPr>
          <w:sz w:val="20"/>
          <w:szCs w:val="20"/>
          <w:color w:val="auto"/>
        </w:rPr>
      </w:pPr>
    </w:p>
    <w:p>
      <w:pPr>
        <w:ind w:left="1460"/>
        <w:spacing w:after="0" w:line="277" w:lineRule="auto"/>
        <w:rPr>
          <w:sz w:val="20"/>
          <w:szCs w:val="20"/>
          <w:color w:val="auto"/>
        </w:rPr>
      </w:pPr>
      <w:r>
        <w:rPr>
          <w:rFonts w:ascii="Arial" w:cs="Arial" w:eastAsia="Arial" w:hAnsi="Arial"/>
          <w:sz w:val="18"/>
          <w:szCs w:val="18"/>
          <w:color w:val="auto"/>
        </w:rPr>
        <w:t>For the years ended December 31, 2019 and 2020, no individual customer accounted for more than 10% of the net revenues. For the year ended December 31, 2018, one customer accounted for 14% of the net revenues.</w:t>
      </w:r>
    </w:p>
    <w:p>
      <w:pPr>
        <w:spacing w:after="0" w:line="170" w:lineRule="exact"/>
        <w:rPr>
          <w:sz w:val="20"/>
          <w:szCs w:val="20"/>
          <w:color w:val="auto"/>
        </w:rPr>
      </w:pPr>
    </w:p>
    <w:p>
      <w:pPr>
        <w:ind w:left="1440" w:hanging="717"/>
        <w:spacing w:after="0"/>
        <w:tabs>
          <w:tab w:leader="none" w:pos="14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Concentration of accounts receivable</w:t>
      </w:r>
    </w:p>
    <w:p>
      <w:pPr>
        <w:spacing w:after="0" w:line="185" w:lineRule="exact"/>
        <w:rPr>
          <w:sz w:val="20"/>
          <w:szCs w:val="20"/>
          <w:color w:val="auto"/>
        </w:rPr>
      </w:pPr>
    </w:p>
    <w:p>
      <w:pPr>
        <w:jc w:val="both"/>
        <w:ind w:left="1460"/>
        <w:spacing w:after="0" w:line="231" w:lineRule="auto"/>
        <w:rPr>
          <w:sz w:val="20"/>
          <w:szCs w:val="20"/>
          <w:color w:val="auto"/>
        </w:rPr>
      </w:pPr>
      <w:r>
        <w:rPr>
          <w:rFonts w:ascii="Arial" w:cs="Arial" w:eastAsia="Arial" w:hAnsi="Arial"/>
          <w:sz w:val="18"/>
          <w:szCs w:val="18"/>
          <w:color w:val="auto"/>
        </w:rPr>
        <w:t>The Group conducts credit evaluations on its customers and generally does not require collateral or other security from such customers. The Group grants up to 180 days of credit term to customers and periodically evaluates the creditworthiness of the existing customers in determining an allowance for doubtful accounts primarily based upon the age of the receivables and factors surrounding the credit risk of specific customers.</w:t>
      </w:r>
    </w:p>
    <w:p>
      <w:pPr>
        <w:spacing w:after="0" w:line="189" w:lineRule="exact"/>
        <w:rPr>
          <w:sz w:val="20"/>
          <w:szCs w:val="20"/>
          <w:color w:val="auto"/>
        </w:rPr>
      </w:pPr>
    </w:p>
    <w:p>
      <w:pPr>
        <w:jc w:val="both"/>
        <w:ind w:left="1460"/>
        <w:spacing w:after="0" w:line="263" w:lineRule="auto"/>
        <w:rPr>
          <w:sz w:val="20"/>
          <w:szCs w:val="20"/>
          <w:color w:val="auto"/>
        </w:rPr>
      </w:pPr>
      <w:r>
        <w:rPr>
          <w:rFonts w:ascii="Arial" w:cs="Arial" w:eastAsia="Arial" w:hAnsi="Arial"/>
          <w:sz w:val="18"/>
          <w:szCs w:val="18"/>
          <w:color w:val="auto"/>
        </w:rPr>
        <w:t>As of December 31, 2019 and 2020, no individual customer accounted for more than 10% of the consolidated accounts receivable. The top 10 accounts receivable accounted for 33% and 39% of the consolidated accounts receivable as of December 31, 2019 and 2020, respectively.</w:t>
      </w:r>
    </w:p>
    <w:p>
      <w:pPr>
        <w:spacing w:after="0" w:line="184" w:lineRule="exact"/>
        <w:rPr>
          <w:sz w:val="20"/>
          <w:szCs w:val="20"/>
          <w:color w:val="auto"/>
        </w:rPr>
      </w:pPr>
    </w:p>
    <w:p>
      <w:pPr>
        <w:ind w:left="1440" w:hanging="717"/>
        <w:spacing w:after="0"/>
        <w:tabs>
          <w:tab w:leader="none" w:pos="14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212" w:lineRule="exact"/>
        <w:rPr>
          <w:sz w:val="20"/>
          <w:szCs w:val="20"/>
          <w:color w:val="auto"/>
        </w:rPr>
      </w:pPr>
    </w:p>
    <w:p>
      <w:pPr>
        <w:jc w:val="both"/>
        <w:ind w:left="1460"/>
        <w:spacing w:after="0" w:line="236" w:lineRule="auto"/>
        <w:rPr>
          <w:sz w:val="20"/>
          <w:szCs w:val="20"/>
          <w:color w:val="auto"/>
        </w:rPr>
      </w:pPr>
      <w:r>
        <w:rPr>
          <w:rFonts w:ascii="Arial" w:cs="Arial" w:eastAsia="Arial" w:hAnsi="Arial"/>
          <w:sz w:val="17"/>
          <w:szCs w:val="17"/>
          <w:color w:val="auto"/>
        </w:rPr>
        <w:t>As of December 31, 2019 and 2020, substantially all of the Group’s cash and cash equivalents, time deposits and restricted cash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cash and cash equivalents, time deposits and restricted cash during the years ended December 31, 2018, 2019 and 2020 and believes that its credit risk to be minimal.</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85" w:lineRule="exact"/>
        <w:rPr>
          <w:sz w:val="20"/>
          <w:szCs w:val="20"/>
          <w:color w:val="auto"/>
        </w:rPr>
      </w:pPr>
    </w:p>
    <w:p>
      <w:pPr>
        <w:ind w:left="720" w:hanging="712"/>
        <w:spacing w:after="0"/>
        <w:tabs>
          <w:tab w:leader="none" w:pos="72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Myhayo</w:t>
      </w:r>
    </w:p>
    <w:p>
      <w:pPr>
        <w:spacing w:after="0" w:line="202" w:lineRule="exact"/>
        <w:rPr>
          <w:rFonts w:ascii="Arial" w:cs="Arial" w:eastAsia="Arial" w:hAnsi="Arial"/>
          <w:sz w:val="18"/>
          <w:szCs w:val="18"/>
          <w:b w:val="1"/>
          <w:bCs w:val="1"/>
          <w:color w:val="auto"/>
        </w:rPr>
      </w:pPr>
    </w:p>
    <w:p>
      <w:pPr>
        <w:jc w:val="both"/>
        <w:ind w:left="7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November 2018, Beijing VIE acquired 40% equity interest of Myhayo from an independent third party. The Company obtains control over Myhayo with its controlling voting right at the level of both shareholders and board of directors, as the other shareholder of Myhayo expects the operating effectiveness brought about by the control over Myhayo by the Company to be of their best interests. Myhayo and its underlying subsidiary is a mobile content aggregator of articles and short videos in the PRC, which presents customized feeds to users via its mobile application. The Company expects to increase its market share in the PRC Marketing Solutions segment, particularly in relation to mobile platforms.</w:t>
      </w:r>
    </w:p>
    <w:p>
      <w:pPr>
        <w:spacing w:after="0" w:line="205"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40% equity interest of Myhayo amounted to US$726 by cash.</w:t>
      </w:r>
    </w:p>
    <w:p>
      <w:pPr>
        <w:spacing w:after="0" w:line="238" w:lineRule="exact"/>
        <w:rPr>
          <w:rFonts w:ascii="Arial" w:cs="Arial" w:eastAsia="Arial" w:hAnsi="Arial"/>
          <w:sz w:val="18"/>
          <w:szCs w:val="18"/>
          <w:b w:val="1"/>
          <w:bCs w:val="1"/>
          <w:color w:val="auto"/>
        </w:rPr>
      </w:pPr>
    </w:p>
    <w:p>
      <w:pPr>
        <w:ind w:lef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acquisition was recorded as a business combination. The following table summarizes the estimated fair values of the assets acquired and liabilities assumed at the date of acquisition:</w:t>
      </w:r>
    </w:p>
    <w:p>
      <w:pPr>
        <w:spacing w:after="0" w:line="197"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Cash</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r>
      <w:tr>
        <w:trPr>
          <w:trHeight w:val="20"/>
        </w:trPr>
        <w:tc>
          <w:tcPr>
            <w:tcW w:w="85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0" w:type="dxa"/>
            <w:vAlign w:val="bottom"/>
            <w:vMerge w:val="restart"/>
          </w:tcPr>
          <w:p>
            <w:pPr>
              <w:spacing w:after="0"/>
              <w:rPr>
                <w:sz w:val="19"/>
                <w:szCs w:val="19"/>
                <w:color w:val="auto"/>
              </w:rPr>
            </w:pPr>
          </w:p>
        </w:tc>
        <w:tc>
          <w:tcPr>
            <w:tcW w:w="85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vMerge w:val="continue"/>
          </w:tcPr>
          <w:p>
            <w:pPr>
              <w:spacing w:after="0"/>
              <w:rPr>
                <w:sz w:val="19"/>
                <w:szCs w:val="19"/>
                <w:color w:val="auto"/>
              </w:rPr>
            </w:pPr>
          </w:p>
        </w:tc>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current assets</w:t>
            </w:r>
          </w:p>
        </w:tc>
        <w:tc>
          <w:tcPr>
            <w:tcW w:w="1700" w:type="dxa"/>
            <w:vAlign w:val="bottom"/>
          </w:tcPr>
          <w:p>
            <w:pPr>
              <w:jc w:val="right"/>
              <w:spacing w:after="0"/>
              <w:rPr>
                <w:sz w:val="20"/>
                <w:szCs w:val="20"/>
                <w:color w:val="auto"/>
              </w:rPr>
            </w:pPr>
            <w:r>
              <w:rPr>
                <w:rFonts w:ascii="Arial" w:cs="Arial" w:eastAsia="Arial" w:hAnsi="Arial"/>
                <w:sz w:val="18"/>
                <w:szCs w:val="18"/>
                <w:color w:val="auto"/>
              </w:rPr>
              <w:t>6,329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Intangible asset</w:t>
            </w:r>
          </w:p>
        </w:tc>
        <w:tc>
          <w:tcPr>
            <w:tcW w:w="170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3"/>
        </w:trPr>
        <w:tc>
          <w:tcPr>
            <w:tcW w:w="8700" w:type="dxa"/>
            <w:vAlign w:val="bottom"/>
            <w:gridSpan w:val="2"/>
          </w:tcPr>
          <w:p>
            <w:pPr>
              <w:ind w:left="120"/>
              <w:spacing w:after="0"/>
              <w:rPr>
                <w:sz w:val="20"/>
                <w:szCs w:val="20"/>
                <w:color w:val="auto"/>
              </w:rPr>
            </w:pPr>
            <w:r>
              <w:rPr>
                <w:rFonts w:ascii="Arial" w:cs="Arial" w:eastAsia="Arial" w:hAnsi="Arial"/>
                <w:sz w:val="18"/>
                <w:szCs w:val="18"/>
                <w:color w:val="auto"/>
              </w:rPr>
              <w:t>Total identifiable net assets acquired</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bargain purchase (Note 22)</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740"/>
        <w:spacing w:after="0" w:line="277" w:lineRule="auto"/>
        <w:rPr>
          <w:sz w:val="20"/>
          <w:szCs w:val="20"/>
          <w:color w:val="auto"/>
        </w:rPr>
      </w:pPr>
      <w:r>
        <w:rPr>
          <w:rFonts w:ascii="Arial" w:cs="Arial" w:eastAsia="Arial" w:hAnsi="Arial"/>
          <w:sz w:val="18"/>
          <w:szCs w:val="18"/>
          <w:color w:val="auto"/>
        </w:rPr>
        <w:t>As of December 31, 2018, purchase consideration payable of US$726 was settled and there was no adjustment to the purchase consideration amounts.</w:t>
      </w:r>
    </w:p>
    <w:p>
      <w:pPr>
        <w:spacing w:after="0" w:line="184" w:lineRule="exact"/>
        <w:rPr>
          <w:sz w:val="20"/>
          <w:szCs w:val="20"/>
          <w:color w:val="auto"/>
        </w:rPr>
      </w:pPr>
    </w:p>
    <w:p>
      <w:pPr>
        <w:jc w:val="both"/>
        <w:ind w:left="740"/>
        <w:spacing w:after="0" w:line="301" w:lineRule="auto"/>
        <w:rPr>
          <w:sz w:val="20"/>
          <w:szCs w:val="20"/>
          <w:color w:val="auto"/>
        </w:rPr>
      </w:pPr>
      <w:r>
        <w:rPr>
          <w:rFonts w:ascii="Arial" w:cs="Arial" w:eastAsia="Arial" w:hAnsi="Arial"/>
          <w:sz w:val="16"/>
          <w:szCs w:val="16"/>
          <w:color w:val="auto"/>
        </w:rPr>
        <w:t>This business combination resulted in a gain of bargain purchase because the purchase price was lower than the fair value of assets acquired and liabilities assumed. The gain on bargain purchase is attributable to the Group’s bargaining power and ability in negotiating the agreed terms of the transaction with the existing shareholder who has been seeking for strategic investors that could bring synergies to Myhayo. Acquisition-related costs were immaterial and were included in general and administrative expenses for the year ended December 31, 2018.</w:t>
      </w:r>
    </w:p>
    <w:p>
      <w:pPr>
        <w:spacing w:after="0" w:line="171"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29.4% and a growth rate on revenue ranges from 50% to 106.8%. The estimated amounts recognized on the acquired identifiable intangible asset and its estimated useful life are shown in the following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4780" w:type="dxa"/>
            <w:vAlign w:val="bottom"/>
          </w:tcPr>
          <w:p>
            <w:pPr>
              <w:jc w:val="right"/>
              <w:ind w:right="70"/>
              <w:spacing w:after="0"/>
              <w:rPr>
                <w:sz w:val="20"/>
                <w:szCs w:val="20"/>
                <w:color w:val="auto"/>
              </w:rPr>
            </w:pPr>
            <w:r>
              <w:rPr>
                <w:rFonts w:ascii="Arial" w:cs="Arial" w:eastAsia="Arial" w:hAnsi="Arial"/>
                <w:sz w:val="18"/>
                <w:szCs w:val="18"/>
                <w:color w:val="auto"/>
              </w:rPr>
              <w:t>Estimated</w:t>
            </w:r>
          </w:p>
        </w:tc>
        <w:tc>
          <w:tcPr>
            <w:tcW w:w="1440" w:type="dxa"/>
            <w:vAlign w:val="bottom"/>
          </w:tcPr>
          <w:p>
            <w:pPr>
              <w:jc w:val="right"/>
              <w:spacing w:after="0"/>
              <w:rPr>
                <w:sz w:val="20"/>
                <w:szCs w:val="20"/>
                <w:color w:val="auto"/>
              </w:rPr>
            </w:pPr>
            <w:r>
              <w:rPr>
                <w:rFonts w:ascii="Arial" w:cs="Arial" w:eastAsia="Arial" w:hAnsi="Arial"/>
                <w:sz w:val="18"/>
                <w:szCs w:val="18"/>
                <w:color w:val="auto"/>
              </w:rPr>
              <w:t>carrying</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860"/>
              <w:spacing w:after="0"/>
              <w:rPr>
                <w:sz w:val="20"/>
                <w:szCs w:val="20"/>
                <w:color w:val="auto"/>
              </w:rPr>
            </w:pPr>
            <w:r>
              <w:rPr>
                <w:rFonts w:ascii="Arial" w:cs="Arial" w:eastAsia="Arial" w:hAnsi="Arial"/>
                <w:sz w:val="18"/>
                <w:szCs w:val="18"/>
                <w:color w:val="auto"/>
              </w:rPr>
              <w:t>Intangible asset</w:t>
            </w:r>
          </w:p>
        </w:tc>
        <w:tc>
          <w:tcPr>
            <w:tcW w:w="4780" w:type="dxa"/>
            <w:vAlign w:val="bottom"/>
          </w:tcPr>
          <w:p>
            <w:pPr>
              <w:jc w:val="right"/>
              <w:ind w:right="70"/>
              <w:spacing w:after="0"/>
              <w:rPr>
                <w:sz w:val="20"/>
                <w:szCs w:val="20"/>
                <w:color w:val="auto"/>
              </w:rPr>
            </w:pPr>
            <w:r>
              <w:rPr>
                <w:rFonts w:ascii="Arial" w:cs="Arial" w:eastAsia="Arial" w:hAnsi="Arial"/>
                <w:sz w:val="18"/>
                <w:szCs w:val="18"/>
                <w:color w:val="auto"/>
              </w:rPr>
              <w:t>useful life</w:t>
            </w:r>
          </w:p>
        </w:tc>
        <w:tc>
          <w:tcPr>
            <w:tcW w:w="1440" w:type="dxa"/>
            <w:vAlign w:val="bottom"/>
          </w:tcPr>
          <w:p>
            <w:pPr>
              <w:jc w:val="right"/>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900" w:type="dxa"/>
            <w:vAlign w:val="bottom"/>
          </w:tcPr>
          <w:p>
            <w:pPr>
              <w:ind w:left="860"/>
              <w:spacing w:after="0"/>
              <w:rPr>
                <w:sz w:val="20"/>
                <w:szCs w:val="20"/>
                <w:color w:val="auto"/>
              </w:rPr>
            </w:pPr>
            <w:r>
              <w:rPr>
                <w:rFonts w:ascii="Arial" w:cs="Arial" w:eastAsia="Arial" w:hAnsi="Arial"/>
                <w:sz w:val="18"/>
                <w:szCs w:val="18"/>
                <w:color w:val="auto"/>
              </w:rPr>
              <w:t>A self-developed computer software and system</w:t>
            </w:r>
          </w:p>
        </w:tc>
        <w:tc>
          <w:tcPr>
            <w:tcW w:w="4780" w:type="dxa"/>
            <w:vAlign w:val="bottom"/>
          </w:tcPr>
          <w:p>
            <w:pPr>
              <w:jc w:val="right"/>
              <w:ind w:right="70"/>
              <w:spacing w:after="0"/>
              <w:rPr>
                <w:sz w:val="20"/>
                <w:szCs w:val="20"/>
                <w:color w:val="auto"/>
              </w:rPr>
            </w:pPr>
            <w:r>
              <w:rPr>
                <w:rFonts w:ascii="Arial" w:cs="Arial" w:eastAsia="Arial" w:hAnsi="Arial"/>
                <w:sz w:val="18"/>
                <w:szCs w:val="18"/>
                <w:color w:val="auto"/>
              </w:rPr>
              <w:t>4 years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780" w:type="dxa"/>
            <w:vAlign w:val="bottom"/>
            <w:vMerge w:val="restart"/>
          </w:tcPr>
          <w:p>
            <w:pPr>
              <w:jc w:val="right"/>
              <w:ind w:right="3790"/>
              <w:spacing w:after="0"/>
              <w:rPr>
                <w:sz w:val="20"/>
                <w:szCs w:val="20"/>
                <w:color w:val="auto"/>
              </w:rPr>
            </w:pPr>
            <w:r>
              <w:rPr>
                <w:rFonts w:ascii="Arial" w:cs="Arial" w:eastAsia="Arial" w:hAnsi="Arial"/>
                <w:sz w:val="18"/>
                <w:szCs w:val="18"/>
                <w:color w:val="auto"/>
              </w:rPr>
              <w:t>F-45</w:t>
            </w: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490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239" w:lineRule="exact"/>
        <w:rPr>
          <w:sz w:val="20"/>
          <w:szCs w:val="20"/>
          <w:color w:val="auto"/>
        </w:rPr>
      </w:pPr>
    </w:p>
    <w:p>
      <w:pPr>
        <w:ind w:left="720" w:hanging="712"/>
        <w:spacing w:after="0"/>
        <w:tabs>
          <w:tab w:leader="none" w:pos="72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Myhayo (Continued)</w:t>
      </w:r>
    </w:p>
    <w:p>
      <w:pPr>
        <w:spacing w:after="0" w:line="242"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Pro-forma results related to the acquisition in accordance ASC 805 have not been presented because the acquisition of Myhayo is not material, where net revenue and net loss of the acquired entity is less than 5% of the Company’s consolidated net revenue and net loss for the year ended December 31, 2018.</w:t>
      </w:r>
    </w:p>
    <w:p>
      <w:pPr>
        <w:spacing w:after="0" w:line="193" w:lineRule="exact"/>
        <w:rPr>
          <w:rFonts w:ascii="Arial" w:cs="Arial" w:eastAsia="Arial" w:hAnsi="Arial"/>
          <w:sz w:val="18"/>
          <w:szCs w:val="18"/>
          <w:b w:val="1"/>
          <w:bCs w:val="1"/>
          <w:color w:val="auto"/>
        </w:rPr>
      </w:pPr>
    </w:p>
    <w:p>
      <w:pPr>
        <w:ind w:left="720" w:hanging="712"/>
        <w:spacing w:after="0"/>
        <w:tabs>
          <w:tab w:leader="none" w:pos="72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Changyi</w:t>
      </w:r>
    </w:p>
    <w:p>
      <w:pPr>
        <w:spacing w:after="0" w:line="242" w:lineRule="exact"/>
        <w:rPr>
          <w:rFonts w:ascii="Arial" w:cs="Arial" w:eastAsia="Arial" w:hAnsi="Arial"/>
          <w:sz w:val="18"/>
          <w:szCs w:val="18"/>
          <w:b w:val="1"/>
          <w:bCs w:val="1"/>
          <w:color w:val="auto"/>
        </w:rPr>
      </w:pPr>
    </w:p>
    <w:p>
      <w:pPr>
        <w:jc w:val="both"/>
        <w:ind w:left="7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January 2019, the Company acquired 34.38% equity interest of Changyi, a company established in the PRC and an independent software vendor based in Shanghai, the PRC. Changyi and its underlying subsidiary Suzhou Changyi became subsidiaries of the Company effective from January 1, 2019 as the Company established control over Changyi Group through certain shareholder agreements since then. Other shareholders of Changyi Group expects the operating effectiveness brought about by the control over Changyi Group by the Company to be of their best interests. Changyi Group provides intelligent retail and CRM solutions to clients, allowing them to consolidate consumer’s online and offline information to provide connection within the organization and stakeholders. The Company expects to increase its market share in the data-driven Enterprise Solutions segment beyond digital marketing through Changyi Group.</w:t>
      </w:r>
    </w:p>
    <w:p>
      <w:pPr>
        <w:spacing w:after="0" w:line="136" w:lineRule="exact"/>
        <w:rPr>
          <w:rFonts w:ascii="Arial" w:cs="Arial" w:eastAsia="Arial" w:hAnsi="Arial"/>
          <w:sz w:val="18"/>
          <w:szCs w:val="18"/>
          <w:b w:val="1"/>
          <w:bCs w:val="1"/>
          <w:color w:val="auto"/>
        </w:rPr>
      </w:pPr>
    </w:p>
    <w:p>
      <w:pPr>
        <w:ind w:lef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34.38% equity interest of Changyi amounted to RMB42.6 million (equivalent to approximately US$6,190) by cash.</w:t>
      </w:r>
    </w:p>
    <w:p>
      <w:pPr>
        <w:spacing w:after="0" w:line="143" w:lineRule="exact"/>
        <w:rPr>
          <w:rFonts w:ascii="Arial" w:cs="Arial" w:eastAsia="Arial" w:hAnsi="Arial"/>
          <w:sz w:val="18"/>
          <w:szCs w:val="18"/>
          <w:b w:val="1"/>
          <w:bCs w:val="1"/>
          <w:color w:val="auto"/>
        </w:rPr>
      </w:pPr>
    </w:p>
    <w:p>
      <w:pPr>
        <w:ind w:lef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acquisition was recorded as a business combination. The following table summarizes the estimated fair values of the assets acquired and liabilities assumed at the date of acquisition:</w:t>
      </w:r>
    </w:p>
    <w:p>
      <w:pPr>
        <w:spacing w:after="0" w:line="143"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Fair value of consideration transferred:</w:t>
      </w:r>
    </w:p>
    <w:p>
      <w:pPr>
        <w:spacing w:after="0" w:line="252"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Cash</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6,190</w:t>
            </w:r>
          </w:p>
        </w:tc>
      </w:tr>
      <w:tr>
        <w:trPr>
          <w:trHeight w:val="20"/>
        </w:trPr>
        <w:tc>
          <w:tcPr>
            <w:tcW w:w="85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0" w:type="dxa"/>
            <w:vAlign w:val="bottom"/>
            <w:vMerge w:val="restart"/>
          </w:tcPr>
          <w:p>
            <w:pPr>
              <w:spacing w:after="0"/>
              <w:rPr>
                <w:sz w:val="19"/>
                <w:szCs w:val="19"/>
                <w:color w:val="auto"/>
              </w:rPr>
            </w:pPr>
          </w:p>
        </w:tc>
        <w:tc>
          <w:tcPr>
            <w:tcW w:w="85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vMerge w:val="continue"/>
          </w:tcPr>
          <w:p>
            <w:pPr>
              <w:spacing w:after="0"/>
              <w:rPr>
                <w:sz w:val="19"/>
                <w:szCs w:val="19"/>
                <w:color w:val="auto"/>
              </w:rPr>
            </w:pPr>
          </w:p>
        </w:tc>
        <w:tc>
          <w:tcPr>
            <w:tcW w:w="85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Other current assets</w:t>
            </w:r>
          </w:p>
        </w:tc>
        <w:tc>
          <w:tcPr>
            <w:tcW w:w="172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5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Intangible assets</w:t>
            </w:r>
          </w:p>
        </w:tc>
        <w:tc>
          <w:tcPr>
            <w:tcW w:w="1720" w:type="dxa"/>
            <w:vAlign w:val="bottom"/>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5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54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1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(11,815)</w:t>
            </w:r>
          </w:p>
        </w:tc>
        <w:tc>
          <w:tcPr>
            <w:tcW w:w="0" w:type="dxa"/>
            <w:vAlign w:val="bottom"/>
          </w:tcPr>
          <w:p>
            <w:pPr>
              <w:spacing w:after="0"/>
              <w:rPr>
                <w:sz w:val="1"/>
                <w:szCs w:val="1"/>
                <w:color w:val="auto"/>
              </w:rPr>
            </w:pPr>
          </w:p>
        </w:tc>
      </w:tr>
      <w:tr>
        <w:trPr>
          <w:trHeight w:val="223"/>
        </w:trPr>
        <w:tc>
          <w:tcPr>
            <w:tcW w:w="8660" w:type="dxa"/>
            <w:vAlign w:val="bottom"/>
            <w:gridSpan w:val="2"/>
          </w:tcPr>
          <w:p>
            <w:pPr>
              <w:ind w:left="120"/>
              <w:spacing w:after="0"/>
              <w:rPr>
                <w:sz w:val="20"/>
                <w:szCs w:val="20"/>
                <w:color w:val="auto"/>
              </w:rPr>
            </w:pPr>
            <w:r>
              <w:rPr>
                <w:rFonts w:ascii="Arial" w:cs="Arial" w:eastAsia="Arial" w:hAnsi="Arial"/>
                <w:sz w:val="18"/>
                <w:szCs w:val="18"/>
                <w:color w:val="auto"/>
              </w:rPr>
              <w:t>Total identifiable net deficits acquired</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(Note 13)</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740" w:right="20"/>
        <w:spacing w:after="0" w:line="277" w:lineRule="auto"/>
        <w:rPr>
          <w:sz w:val="20"/>
          <w:szCs w:val="20"/>
          <w:color w:val="auto"/>
        </w:rPr>
      </w:pPr>
      <w:r>
        <w:rPr>
          <w:rFonts w:ascii="Arial" w:cs="Arial" w:eastAsia="Arial" w:hAnsi="Arial"/>
          <w:sz w:val="18"/>
          <w:szCs w:val="18"/>
          <w:color w:val="auto"/>
        </w:rPr>
        <w:t>As of December 31, 2019, purchase consideration payable of US$6,190 was settled and there is no adjustment to the purchase consideration amounts.</w:t>
      </w:r>
    </w:p>
    <w:p>
      <w:pPr>
        <w:spacing w:after="0" w:line="130" w:lineRule="exact"/>
        <w:rPr>
          <w:sz w:val="20"/>
          <w:szCs w:val="20"/>
          <w:color w:val="auto"/>
        </w:rPr>
      </w:pPr>
    </w:p>
    <w:p>
      <w:pPr>
        <w:jc w:val="both"/>
        <w:ind w:left="740"/>
        <w:spacing w:after="0" w:line="259" w:lineRule="auto"/>
        <w:rPr>
          <w:sz w:val="20"/>
          <w:szCs w:val="20"/>
          <w:color w:val="auto"/>
        </w:rPr>
      </w:pPr>
      <w:r>
        <w:rPr>
          <w:rFonts w:ascii="Arial" w:cs="Arial" w:eastAsia="Arial" w:hAnsi="Arial"/>
          <w:sz w:val="18"/>
          <w:szCs w:val="18"/>
          <w:color w:val="auto"/>
        </w:rPr>
        <w:t>The excess of purchase price over tangible assets, identifiable intangible assets acquired and liabilities assumed was recorded as goodwill. Goodwill associated with the acquisition of Changyi was attributable to the expected synergy arising from the Enterprise Solutions operations. The acquired goodwill is not deductible for tax purposes. Acquisition-related costs were immaterial and were included in general and administrative expenses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239" w:lineRule="exact"/>
        <w:rPr>
          <w:sz w:val="20"/>
          <w:szCs w:val="20"/>
          <w:color w:val="auto"/>
        </w:rPr>
      </w:pPr>
    </w:p>
    <w:p>
      <w:pPr>
        <w:ind w:left="720" w:hanging="712"/>
        <w:spacing w:after="0"/>
        <w:tabs>
          <w:tab w:leader="none" w:pos="72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Changyi (Continued)</w:t>
      </w:r>
    </w:p>
    <w:p>
      <w:pPr>
        <w:spacing w:after="0" w:line="242"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 intangible assets, an income approach was used. In this approach, significant estimates consist of discount rate of 30.2% and a growth rate on revenue ranging from 10% to 30% over a period of 5 years. The estimated amounts recognized on the acquired identifiable intangible asset and its estimated useful life are shown in the following table:</w:t>
      </w:r>
    </w:p>
    <w:p>
      <w:pPr>
        <w:spacing w:after="0" w:line="13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Gross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00" w:type="dxa"/>
            <w:vAlign w:val="bottom"/>
          </w:tcPr>
          <w:p>
            <w:pPr>
              <w:jc w:val="right"/>
              <w:ind w:right="70"/>
              <w:spacing w:after="0"/>
              <w:rPr>
                <w:sz w:val="20"/>
                <w:szCs w:val="20"/>
                <w:color w:val="auto"/>
              </w:rPr>
            </w:pPr>
            <w:r>
              <w:rPr>
                <w:rFonts w:ascii="Arial" w:cs="Arial" w:eastAsia="Arial" w:hAnsi="Arial"/>
                <w:sz w:val="18"/>
                <w:szCs w:val="18"/>
                <w:color w:val="auto"/>
              </w:rPr>
              <w:t>Estimated</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carrying</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Intangible asset</w:t>
            </w:r>
          </w:p>
        </w:tc>
        <w:tc>
          <w:tcPr>
            <w:tcW w:w="4000" w:type="dxa"/>
            <w:vAlign w:val="bottom"/>
          </w:tcPr>
          <w:p>
            <w:pPr>
              <w:jc w:val="right"/>
              <w:ind w:right="70"/>
              <w:spacing w:after="0"/>
              <w:rPr>
                <w:sz w:val="20"/>
                <w:szCs w:val="20"/>
                <w:color w:val="auto"/>
              </w:rPr>
            </w:pPr>
            <w:r>
              <w:rPr>
                <w:rFonts w:ascii="Arial" w:cs="Arial" w:eastAsia="Arial" w:hAnsi="Arial"/>
                <w:sz w:val="18"/>
                <w:szCs w:val="18"/>
                <w:color w:val="auto"/>
              </w:rPr>
              <w:t>useful life</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800" w:type="dxa"/>
            <w:vAlign w:val="bottom"/>
          </w:tcPr>
          <w:p>
            <w:pPr>
              <w:spacing w:after="0"/>
              <w:rPr>
                <w:sz w:val="4"/>
                <w:szCs w:val="4"/>
                <w:color w:val="auto"/>
              </w:rPr>
            </w:pPr>
          </w:p>
        </w:tc>
        <w:tc>
          <w:tcPr>
            <w:tcW w:w="40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technologies</w:t>
            </w:r>
          </w:p>
        </w:tc>
        <w:tc>
          <w:tcPr>
            <w:tcW w:w="4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 years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Customer relationship</w:t>
            </w:r>
          </w:p>
        </w:tc>
        <w:tc>
          <w:tcPr>
            <w:tcW w:w="4000" w:type="dxa"/>
            <w:vAlign w:val="bottom"/>
          </w:tcPr>
          <w:p>
            <w:pPr>
              <w:jc w:val="right"/>
              <w:ind w:right="70"/>
              <w:spacing w:after="0"/>
              <w:rPr>
                <w:sz w:val="20"/>
                <w:szCs w:val="20"/>
                <w:color w:val="auto"/>
              </w:rPr>
            </w:pPr>
            <w:r>
              <w:rPr>
                <w:rFonts w:ascii="Arial" w:cs="Arial" w:eastAsia="Arial" w:hAnsi="Arial"/>
                <w:sz w:val="18"/>
                <w:szCs w:val="18"/>
                <w:color w:val="auto"/>
              </w:rPr>
              <w:t>5 years</w:t>
            </w:r>
          </w:p>
        </w:tc>
        <w:tc>
          <w:tcPr>
            <w:tcW w:w="1440" w:type="dxa"/>
            <w:vAlign w:val="bottom"/>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Contract backlog</w:t>
            </w:r>
          </w:p>
        </w:tc>
        <w:tc>
          <w:tcPr>
            <w:tcW w:w="4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 years</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Net revenue and net loss of Changyi for the year ended December 31, 2019 were US$5,518 and US$997, respectively. Unaudited pro forma net revenues and net loss of the Company for the year ended December 31, 2018 as if the acquisition of Changyi had occurred on January 1, 2018 were US$162,394 and US$33,415, respectively.</w:t>
      </w:r>
    </w:p>
    <w:p>
      <w:pPr>
        <w:spacing w:after="0" w:line="184" w:lineRule="exact"/>
        <w:rPr>
          <w:sz w:val="20"/>
          <w:szCs w:val="20"/>
          <w:color w:val="auto"/>
        </w:rPr>
      </w:pPr>
    </w:p>
    <w:p>
      <w:pPr>
        <w:jc w:val="both"/>
        <w:ind w:left="740"/>
        <w:spacing w:after="0" w:line="277" w:lineRule="auto"/>
        <w:rPr>
          <w:sz w:val="20"/>
          <w:szCs w:val="20"/>
          <w:color w:val="auto"/>
        </w:rPr>
      </w:pPr>
      <w:r>
        <w:rPr>
          <w:rFonts w:ascii="Arial" w:cs="Arial" w:eastAsia="Arial" w:hAnsi="Arial"/>
          <w:sz w:val="18"/>
          <w:szCs w:val="18"/>
          <w:color w:val="auto"/>
        </w:rPr>
        <w:t>The Company did not have any material, non-recurring pro-forma adjustments directly attributable to the business combination reflected in the reported pro-forma net revenue and net loss.</w:t>
      </w:r>
    </w:p>
    <w:p>
      <w:pPr>
        <w:spacing w:after="0" w:line="130" w:lineRule="exact"/>
        <w:rPr>
          <w:sz w:val="20"/>
          <w:szCs w:val="20"/>
          <w:color w:val="auto"/>
        </w:rPr>
      </w:pPr>
    </w:p>
    <w:p>
      <w:pPr>
        <w:jc w:val="both"/>
        <w:ind w:left="740"/>
        <w:spacing w:after="0" w:line="277" w:lineRule="auto"/>
        <w:rPr>
          <w:sz w:val="20"/>
          <w:szCs w:val="20"/>
          <w:color w:val="auto"/>
        </w:rPr>
      </w:pPr>
      <w:r>
        <w:rPr>
          <w:rFonts w:ascii="Arial" w:cs="Arial" w:eastAsia="Arial" w:hAnsi="Arial"/>
          <w:sz w:val="18"/>
          <w:szCs w:val="18"/>
          <w:color w:val="auto"/>
        </w:rPr>
        <w:t>The pro forma information is not necessarily indicative of the actual results that would have been achieved had Changyi acquisition occurred as of January 1, 2018 or the results that may be achieved in future periods.</w:t>
      </w:r>
    </w:p>
    <w:p>
      <w:pPr>
        <w:spacing w:after="0" w:line="139" w:lineRule="exact"/>
        <w:rPr>
          <w:sz w:val="20"/>
          <w:szCs w:val="20"/>
          <w:color w:val="auto"/>
        </w:rPr>
      </w:pPr>
    </w:p>
    <w:p>
      <w:pPr>
        <w:ind w:left="720" w:hanging="712"/>
        <w:spacing w:after="0"/>
        <w:tabs>
          <w:tab w:leader="none" w:pos="72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Addoil</w:t>
      </w:r>
    </w:p>
    <w:p>
      <w:pPr>
        <w:spacing w:after="0" w:line="188"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February 2019, the Company acquired 100% equity interest of Addoil, a company incorporated in Hong Kong. Addoil and its underlying subsidiary Headline (together, “Addoil Group”) are engaged in the business of developing and operating a mobile application that collects and utilizes data from users who use its social functionalities to share food and travel related contents.</w:t>
      </w:r>
    </w:p>
    <w:p>
      <w:pPr>
        <w:spacing w:after="0" w:line="183"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all the equity interest of Addoil Group amounted to US$1,218 by cash. The acquisition was recorded as a business combination. The following table summarizes the estimated fair values of the assets acquired and liabilities assumed at the date of acquisition:</w:t>
      </w:r>
    </w:p>
    <w:p>
      <w:pPr>
        <w:spacing w:after="0" w:line="14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Fair value of consideration transferred:</w:t>
      </w:r>
    </w:p>
    <w:p>
      <w:pPr>
        <w:spacing w:after="0" w:line="144"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Cash</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r>
      <w:tr>
        <w:trPr>
          <w:trHeight w:val="20"/>
        </w:trPr>
        <w:tc>
          <w:tcPr>
            <w:tcW w:w="85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Recognized amounts of identifiable assets acquired and liabilities assumed: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6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r>
      <w:tr>
        <w:trPr>
          <w:trHeight w:val="243"/>
        </w:trPr>
        <w:tc>
          <w:tcPr>
            <w:tcW w:w="860" w:type="dxa"/>
            <w:vAlign w:val="bottom"/>
          </w:tcPr>
          <w:p>
            <w:pPr>
              <w:spacing w:after="0"/>
              <w:rPr>
                <w:sz w:val="21"/>
                <w:szCs w:val="21"/>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current assets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r>
      <w:tr>
        <w:trPr>
          <w:trHeight w:val="243"/>
        </w:trPr>
        <w:tc>
          <w:tcPr>
            <w:tcW w:w="86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6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21"/>
                <w:szCs w:val="21"/>
                <w:color w:val="auto"/>
              </w:rPr>
            </w:pPr>
          </w:p>
        </w:tc>
      </w:tr>
      <w:tr>
        <w:trPr>
          <w:trHeight w:val="243"/>
        </w:trPr>
        <w:tc>
          <w:tcPr>
            <w:tcW w:w="860" w:type="dxa"/>
            <w:vAlign w:val="bottom"/>
          </w:tcPr>
          <w:p>
            <w:pPr>
              <w:spacing w:after="0"/>
              <w:rPr>
                <w:sz w:val="21"/>
                <w:szCs w:val="21"/>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Right-of-use asset</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r>
      <w:tr>
        <w:trPr>
          <w:trHeight w:val="243"/>
        </w:trPr>
        <w:tc>
          <w:tcPr>
            <w:tcW w:w="86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494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w:t>
            </w:r>
          </w:p>
        </w:tc>
      </w:tr>
      <w:tr>
        <w:trPr>
          <w:trHeight w:val="236"/>
        </w:trPr>
        <w:tc>
          <w:tcPr>
            <w:tcW w:w="4460" w:type="dxa"/>
            <w:vAlign w:val="bottom"/>
            <w:gridSpan w:val="2"/>
          </w:tcPr>
          <w:p>
            <w:pPr>
              <w:ind w:left="860"/>
              <w:spacing w:after="0"/>
              <w:rPr>
                <w:sz w:val="20"/>
                <w:szCs w:val="20"/>
                <w:color w:val="auto"/>
              </w:rPr>
            </w:pPr>
            <w:r>
              <w:rPr>
                <w:rFonts w:ascii="Arial" w:cs="Arial" w:eastAsia="Arial" w:hAnsi="Arial"/>
                <w:sz w:val="18"/>
                <w:szCs w:val="18"/>
                <w:color w:val="auto"/>
              </w:rPr>
              <w:t>Total identifiable net assets acquired</w:t>
            </w:r>
          </w:p>
        </w:tc>
        <w:tc>
          <w:tcPr>
            <w:tcW w:w="4940" w:type="dxa"/>
            <w:vAlign w:val="bottom"/>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r>
      <w:tr>
        <w:trPr>
          <w:trHeight w:val="237"/>
        </w:trPr>
        <w:tc>
          <w:tcPr>
            <w:tcW w:w="860" w:type="dxa"/>
            <w:vAlign w:val="bottom"/>
          </w:tcPr>
          <w:p>
            <w:pPr>
              <w:spacing w:after="0"/>
              <w:rPr>
                <w:sz w:val="20"/>
                <w:szCs w:val="20"/>
                <w:color w:val="auto"/>
              </w:rPr>
            </w:pPr>
          </w:p>
        </w:tc>
        <w:tc>
          <w:tcPr>
            <w:tcW w:w="3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(Note 13)</w:t>
            </w:r>
          </w:p>
        </w:tc>
        <w:tc>
          <w:tcPr>
            <w:tcW w:w="4940" w:type="dxa"/>
            <w:vAlign w:val="bottom"/>
            <w:tcBorders>
              <w:top w:val="single" w:sz="8" w:color="CFF0FC"/>
              <w:bottom w:val="single" w:sz="8" w:color="CFF0FC"/>
            </w:tcBorders>
            <w:shd w:val="clear" w:color="auto" w:fill="CFF0FC"/>
          </w:tcPr>
          <w:p>
            <w:pPr>
              <w:spacing w:after="0"/>
              <w:rPr>
                <w:sz w:val="20"/>
                <w:szCs w:val="20"/>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90"/>
        </w:trPr>
        <w:tc>
          <w:tcPr>
            <w:tcW w:w="8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780" w:type="dxa"/>
            <w:vAlign w:val="bottom"/>
            <w:gridSpan w:val="3"/>
          </w:tcPr>
          <w:p>
            <w:pPr>
              <w:jc w:val="right"/>
              <w:ind w:right="5440"/>
              <w:spacing w:after="0"/>
              <w:rPr>
                <w:sz w:val="20"/>
                <w:szCs w:val="20"/>
                <w:color w:val="auto"/>
              </w:rPr>
            </w:pPr>
            <w:r>
              <w:rPr>
                <w:rFonts w:ascii="Arial" w:cs="Arial" w:eastAsia="Arial" w:hAnsi="Arial"/>
                <w:sz w:val="18"/>
                <w:szCs w:val="18"/>
                <w:color w:val="auto"/>
              </w:rPr>
              <w:t>F-47</w:t>
            </w:r>
          </w:p>
        </w:tc>
      </w:tr>
      <w:tr>
        <w:trPr>
          <w:trHeight w:val="115"/>
        </w:trPr>
        <w:tc>
          <w:tcPr>
            <w:tcW w:w="86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ind w:left="73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32"/>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32"/>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12" w:hanging="712"/>
        <w:spacing w:after="0"/>
        <w:tabs>
          <w:tab w:leader="none" w:pos="712"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239" w:lineRule="exact"/>
        <w:rPr>
          <w:sz w:val="20"/>
          <w:szCs w:val="20"/>
          <w:color w:val="auto"/>
        </w:rPr>
      </w:pPr>
    </w:p>
    <w:p>
      <w:pPr>
        <w:ind w:left="712" w:hanging="712"/>
        <w:spacing w:after="0"/>
        <w:tabs>
          <w:tab w:leader="none" w:pos="712"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Addoil (Continued)</w:t>
      </w:r>
    </w:p>
    <w:p>
      <w:pPr>
        <w:spacing w:after="0" w:line="188" w:lineRule="exact"/>
        <w:rPr>
          <w:rFonts w:ascii="Arial" w:cs="Arial" w:eastAsia="Arial" w:hAnsi="Arial"/>
          <w:sz w:val="18"/>
          <w:szCs w:val="18"/>
          <w:b w:val="1"/>
          <w:bCs w:val="1"/>
          <w:color w:val="auto"/>
        </w:rPr>
      </w:pPr>
    </w:p>
    <w:p>
      <w:pPr>
        <w:ind w:left="732"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As of December 31, 2019, purchase consideration payable of US$1,218 was settled and there is no adjustment to the purchase consideration amounts.</w:t>
      </w:r>
    </w:p>
    <w:p>
      <w:pPr>
        <w:spacing w:after="0" w:line="196" w:lineRule="exact"/>
        <w:rPr>
          <w:rFonts w:ascii="Arial" w:cs="Arial" w:eastAsia="Arial" w:hAnsi="Arial"/>
          <w:sz w:val="18"/>
          <w:szCs w:val="18"/>
          <w:b w:val="1"/>
          <w:bCs w:val="1"/>
          <w:color w:val="auto"/>
        </w:rPr>
      </w:pPr>
    </w:p>
    <w:p>
      <w:pPr>
        <w:jc w:val="both"/>
        <w:ind w:left="73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excess of purchase price over tangible assets and liabilities assumed was recorded as goodwill. Goodwill associated with the acquisition of Addoil Group was attributable to the expected synergy arising from the consolidated Marketing Solutions business. The acquired goodwill is not deductible for tax purposes. Acquisition-related costs were immaterial and were included in general and administrative expenses for the year ended December 31, 2020.</w:t>
      </w:r>
    </w:p>
    <w:p>
      <w:pPr>
        <w:spacing w:after="0" w:line="146" w:lineRule="exact"/>
        <w:rPr>
          <w:rFonts w:ascii="Arial" w:cs="Arial" w:eastAsia="Arial" w:hAnsi="Arial"/>
          <w:sz w:val="18"/>
          <w:szCs w:val="18"/>
          <w:b w:val="1"/>
          <w:bCs w:val="1"/>
          <w:color w:val="auto"/>
        </w:rPr>
      </w:pPr>
    </w:p>
    <w:p>
      <w:pPr>
        <w:jc w:val="both"/>
        <w:ind w:left="73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Pro-forma results related to the acquisition in accordance ASC 805 have not been presented because the acquisition of Addoil Group is not material, where net revenue and net loss of the acquired entity is less than 5% of the Company’s consolidated net revenue and net loss for the year ended December 31, 2020.</w:t>
      </w:r>
    </w:p>
    <w:p>
      <w:pPr>
        <w:spacing w:after="0" w:line="193" w:lineRule="exact"/>
        <w:rPr>
          <w:rFonts w:ascii="Arial" w:cs="Arial" w:eastAsia="Arial" w:hAnsi="Arial"/>
          <w:sz w:val="18"/>
          <w:szCs w:val="18"/>
          <w:b w:val="1"/>
          <w:bCs w:val="1"/>
          <w:color w:val="auto"/>
        </w:rPr>
      </w:pPr>
    </w:p>
    <w:p>
      <w:pPr>
        <w:ind w:left="712" w:hanging="712"/>
        <w:spacing w:after="0"/>
        <w:tabs>
          <w:tab w:leader="none" w:pos="712"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Optimal</w:t>
      </w:r>
    </w:p>
    <w:p>
      <w:pPr>
        <w:spacing w:after="0" w:line="242" w:lineRule="exact"/>
        <w:rPr>
          <w:rFonts w:ascii="Arial" w:cs="Arial" w:eastAsia="Arial" w:hAnsi="Arial"/>
          <w:sz w:val="18"/>
          <w:szCs w:val="18"/>
          <w:b w:val="1"/>
          <w:bCs w:val="1"/>
          <w:color w:val="auto"/>
        </w:rPr>
      </w:pPr>
    </w:p>
    <w:p>
      <w:pPr>
        <w:jc w:val="both"/>
        <w:ind w:left="73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May 2020, the Company acquired 80% equity interest of Optimal, a company incorporated in the British Virgin Islands. Optimal, through its wholly-owned subsidiary, has a business cooperation agreement entered into with a global media asset owner to act as its authorized digital advertising representative in the PRC for a period of 30 years, which will be automatically renewed annually as long as the Company continues to perform related payment obligations on an annual license fee of RMB30 thousand (equivalent to US$5). The agreement is essentially an advertising contract. The Company expects to increase its market share in the Marketing Solution segment in the PRC upon acquisition of this advertising contract.</w:t>
      </w:r>
    </w:p>
    <w:p>
      <w:pPr>
        <w:spacing w:after="0" w:line="205" w:lineRule="exact"/>
        <w:rPr>
          <w:rFonts w:ascii="Arial" w:cs="Arial" w:eastAsia="Arial" w:hAnsi="Arial"/>
          <w:sz w:val="18"/>
          <w:szCs w:val="18"/>
          <w:b w:val="1"/>
          <w:bCs w:val="1"/>
          <w:color w:val="auto"/>
        </w:rPr>
      </w:pPr>
    </w:p>
    <w:p>
      <w:pPr>
        <w:ind w:left="7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acquisition was determined to be an asset acquisition as Optimal did not contain outputs or a substantive process as at the date of acquisition, therefore it does not constitute a business under ASC 805.</w:t>
      </w:r>
    </w:p>
    <w:p>
      <w:pPr>
        <w:spacing w:after="0" w:line="183" w:lineRule="exact"/>
        <w:rPr>
          <w:rFonts w:ascii="Arial" w:cs="Arial" w:eastAsia="Arial" w:hAnsi="Arial"/>
          <w:sz w:val="18"/>
          <w:szCs w:val="18"/>
          <w:b w:val="1"/>
          <w:bCs w:val="1"/>
          <w:color w:val="auto"/>
        </w:rPr>
      </w:pPr>
    </w:p>
    <w:p>
      <w:pPr>
        <w:ind w:left="7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issued 3,589,744 Class A ordinary shares to the seller with a fair value of US$31,949, determined based on the fair value for 80% equity interest of Optimal.</w:t>
      </w:r>
    </w:p>
    <w:p>
      <w:pPr>
        <w:sectPr>
          <w:pgSz w:w="11900" w:h="16838" w:orient="portrait"/>
          <w:cols w:equalWidth="0" w:num="1">
            <w:col w:w="11232"/>
          </w:cols>
          <w:pgMar w:left="328" w:top="121" w:right="339" w:bottom="1440" w:gutter="0" w:footer="0" w:header="0"/>
        </w:sectPr>
      </w:pPr>
    </w:p>
    <w:p>
      <w:pPr>
        <w:spacing w:after="0" w:line="184" w:lineRule="exact"/>
        <w:rPr>
          <w:sz w:val="20"/>
          <w:szCs w:val="20"/>
          <w:color w:val="auto"/>
        </w:rPr>
      </w:pPr>
    </w:p>
    <w:p>
      <w:pPr>
        <w:ind w:left="732"/>
        <w:spacing w:after="0"/>
        <w:rPr>
          <w:sz w:val="20"/>
          <w:szCs w:val="20"/>
          <w:color w:val="auto"/>
        </w:rPr>
      </w:pPr>
      <w:r>
        <w:rPr>
          <w:rFonts w:ascii="Arial" w:cs="Arial" w:eastAsia="Arial" w:hAnsi="Arial"/>
          <w:sz w:val="16"/>
          <w:szCs w:val="16"/>
          <w:color w:val="auto"/>
        </w:rPr>
        <w:t>The following table summarizes the estimated fair values of assets acquired and liabilities assumed at the date of acquisition:</w:t>
      </w:r>
    </w:p>
    <w:p>
      <w:pPr>
        <w:spacing w:after="0" w:line="275" w:lineRule="exact"/>
        <w:rPr>
          <w:sz w:val="20"/>
          <w:szCs w:val="20"/>
          <w:color w:val="auto"/>
        </w:rPr>
      </w:pPr>
    </w:p>
    <w:p>
      <w:pPr>
        <w:ind w:left="852"/>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-130175</wp:posOffset>
            </wp:positionV>
            <wp:extent cx="6591935" cy="146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6591935" cy="146050"/>
                    </a:xfrm>
                    <a:prstGeom prst="rect">
                      <a:avLst/>
                    </a:prstGeom>
                    <a:noFill/>
                  </pic:spPr>
                </pic:pic>
              </a:graphicData>
            </a:graphic>
          </wp:anchor>
        </w:drawing>
      </w:r>
    </w:p>
    <w:p>
      <w:pPr>
        <w:spacing w:after="0" w:line="3" w:lineRule="exact"/>
        <w:rPr>
          <w:sz w:val="20"/>
          <w:szCs w:val="20"/>
          <w:color w:val="auto"/>
        </w:rPr>
      </w:pPr>
    </w:p>
    <w:p>
      <w:pPr>
        <w:ind w:left="852"/>
        <w:spacing w:after="0"/>
        <w:rPr>
          <w:sz w:val="20"/>
          <w:szCs w:val="20"/>
          <w:color w:val="auto"/>
        </w:rPr>
      </w:pPr>
      <w:r>
        <w:rPr>
          <w:rFonts w:ascii="Arial" w:cs="Arial" w:eastAsia="Arial" w:hAnsi="Arial"/>
          <w:sz w:val="18"/>
          <w:szCs w:val="18"/>
          <w:color w:val="auto"/>
        </w:rPr>
        <w:t>Intangible asset</w:t>
      </w:r>
    </w:p>
    <w:p>
      <w:pPr>
        <w:spacing w:after="0" w:line="35" w:lineRule="exact"/>
        <w:rPr>
          <w:sz w:val="20"/>
          <w:szCs w:val="20"/>
          <w:color w:val="auto"/>
        </w:rPr>
      </w:pPr>
    </w:p>
    <w:p>
      <w:pPr>
        <w:ind w:left="852"/>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-130175</wp:posOffset>
            </wp:positionV>
            <wp:extent cx="6591935"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6591935" cy="154305"/>
                    </a:xfrm>
                    <a:prstGeom prst="rect">
                      <a:avLst/>
                    </a:prstGeom>
                    <a:noFill/>
                  </pic:spPr>
                </pic:pic>
              </a:graphicData>
            </a:graphic>
          </wp:anchor>
        </w:drawing>
      </w:r>
    </w:p>
    <w:p>
      <w:pPr>
        <w:spacing w:after="0" w:line="16" w:lineRule="exact"/>
        <w:rPr>
          <w:sz w:val="20"/>
          <w:szCs w:val="20"/>
          <w:color w:val="auto"/>
        </w:rPr>
      </w:pPr>
    </w:p>
    <w:p>
      <w:pPr>
        <w:ind w:left="852"/>
        <w:spacing w:after="0"/>
        <w:rPr>
          <w:sz w:val="20"/>
          <w:szCs w:val="20"/>
          <w:color w:val="auto"/>
        </w:rPr>
      </w:pPr>
      <w:r>
        <w:rPr>
          <w:rFonts w:ascii="Arial" w:cs="Arial" w:eastAsia="Arial" w:hAnsi="Arial"/>
          <w:sz w:val="18"/>
          <w:szCs w:val="18"/>
          <w:color w:val="auto"/>
        </w:rPr>
        <w:t>Deferred tax liabilities</w:t>
      </w:r>
    </w:p>
    <w:p>
      <w:pPr>
        <w:spacing w:after="0" w:line="36" w:lineRule="exact"/>
        <w:rPr>
          <w:sz w:val="20"/>
          <w:szCs w:val="20"/>
          <w:color w:val="auto"/>
        </w:rPr>
      </w:pPr>
    </w:p>
    <w:p>
      <w:pPr>
        <w:ind w:left="852"/>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-130175</wp:posOffset>
            </wp:positionV>
            <wp:extent cx="6591935"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6591935" cy="154305"/>
                    </a:xfrm>
                    <a:prstGeom prst="rect">
                      <a:avLst/>
                    </a:prstGeom>
                    <a:noFill/>
                  </pic:spPr>
                </pic:pic>
              </a:graphicData>
            </a:graphic>
          </wp:anchor>
        </w:drawing>
      </w:r>
    </w:p>
    <w:p>
      <w:pPr>
        <w:spacing w:after="0" w:line="30" w:lineRule="exact"/>
        <w:rPr>
          <w:sz w:val="20"/>
          <w:szCs w:val="20"/>
          <w:color w:val="auto"/>
        </w:rPr>
      </w:pPr>
    </w:p>
    <w:p>
      <w:pPr>
        <w:ind w:left="852"/>
        <w:spacing w:after="0"/>
        <w:rPr>
          <w:sz w:val="20"/>
          <w:szCs w:val="20"/>
          <w:color w:val="auto"/>
        </w:rPr>
      </w:pPr>
      <w:r>
        <w:rPr>
          <w:rFonts w:ascii="Arial" w:cs="Arial" w:eastAsia="Arial" w:hAnsi="Arial"/>
          <w:sz w:val="18"/>
          <w:szCs w:val="18"/>
          <w:color w:val="auto"/>
        </w:rPr>
        <w:t>Total identifiable 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3,001</w:t>
      </w:r>
    </w:p>
    <w:p>
      <w:pPr>
        <w:spacing w:after="0" w:line="36"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53,287</w:t>
      </w:r>
    </w:p>
    <w:p>
      <w:pPr>
        <w:spacing w:after="0" w:line="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(3,030)</w:t>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(13,322)</w:t>
      </w:r>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14605</wp:posOffset>
            </wp:positionV>
            <wp:extent cx="10972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31,949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14605</wp:posOffset>
            </wp:positionV>
            <wp:extent cx="10972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31750</wp:posOffset>
            </wp:positionV>
            <wp:extent cx="10972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32" w:space="720"/>
            <w:col w:w="680"/>
          </w:cols>
          <w:pgMar w:left="328" w:top="121" w:right="339" w:bottom="1440" w:gutter="0" w:footer="0" w:header="0"/>
          <w:type w:val="continuous"/>
        </w:sectPr>
      </w:pPr>
    </w:p>
    <w:p>
      <w:pPr>
        <w:spacing w:after="0" w:line="79" w:lineRule="exact"/>
        <w:rPr>
          <w:sz w:val="20"/>
          <w:szCs w:val="20"/>
          <w:color w:val="auto"/>
        </w:rPr>
      </w:pPr>
    </w:p>
    <w:p>
      <w:pPr>
        <w:ind w:left="732"/>
        <w:spacing w:after="0" w:line="277" w:lineRule="auto"/>
        <w:rPr>
          <w:sz w:val="20"/>
          <w:szCs w:val="20"/>
          <w:color w:val="auto"/>
        </w:rPr>
      </w:pPr>
      <w:r>
        <w:rPr>
          <w:rFonts w:ascii="Arial" w:cs="Arial" w:eastAsia="Arial" w:hAnsi="Arial"/>
          <w:sz w:val="18"/>
          <w:szCs w:val="18"/>
          <w:color w:val="auto"/>
        </w:rPr>
        <w:t>The intangible asset represents the advertising contract, which is amortized using the straight-line method over the estimated useful life of 30 years.</w:t>
      </w:r>
    </w:p>
    <w:p>
      <w:pPr>
        <w:spacing w:after="0" w:line="170" w:lineRule="exact"/>
        <w:rPr>
          <w:sz w:val="20"/>
          <w:szCs w:val="20"/>
          <w:color w:val="auto"/>
        </w:rPr>
      </w:pPr>
    </w:p>
    <w:p>
      <w:pPr>
        <w:ind w:left="732"/>
        <w:spacing w:after="0"/>
        <w:rPr>
          <w:sz w:val="20"/>
          <w:szCs w:val="20"/>
          <w:color w:val="auto"/>
        </w:rPr>
      </w:pPr>
      <w:r>
        <w:rPr>
          <w:rFonts w:ascii="Arial" w:cs="Arial" w:eastAsia="Arial" w:hAnsi="Arial"/>
          <w:sz w:val="18"/>
          <w:szCs w:val="18"/>
          <w:color w:val="auto"/>
        </w:rPr>
        <w:t>In December 2020, the Company has acquired the remaining 20% equity interest of Optimal (Note 1(a)(v)).</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174" w:name="page175"/>
    <w:bookmarkEnd w:id="174"/>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85" w:lineRule="exact"/>
        <w:rPr>
          <w:sz w:val="20"/>
          <w:szCs w:val="20"/>
          <w:color w:val="auto"/>
        </w:rPr>
      </w:pPr>
    </w:p>
    <w:p>
      <w:pPr>
        <w:ind w:left="720" w:hanging="712"/>
        <w:spacing w:after="0"/>
        <w:tabs>
          <w:tab w:leader="none" w:pos="72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CMRS Group Holding Limited</w:t>
      </w:r>
    </w:p>
    <w:p>
      <w:pPr>
        <w:spacing w:after="0" w:line="242" w:lineRule="exact"/>
        <w:rPr>
          <w:rFonts w:ascii="Arial" w:cs="Arial" w:eastAsia="Arial" w:hAnsi="Arial"/>
          <w:sz w:val="18"/>
          <w:szCs w:val="18"/>
          <w:b w:val="1"/>
          <w:bCs w:val="1"/>
          <w:color w:val="auto"/>
        </w:rPr>
      </w:pPr>
    </w:p>
    <w:p>
      <w:pPr>
        <w:jc w:val="both"/>
        <w:ind w:left="7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In November 2020, the Group acquired 100% equity interest in CMRS Group Holding Limited (“CMRS”), a company incorporated in Hong Kong. CMRS and its underlying subsidiaries (together, “CMRS Group”) are engaged in the provision of digital marketing, social media and key opinion leaders and smart content generation enterprise solution services. The Company expects to increase its market share in both Marketing and Enterprise Solutions segments with the combination of data-driven consumer experience management as well as digital content marketing and management to maximize digital marketing potential and efficiency through CMRS Group.</w:t>
      </w:r>
    </w:p>
    <w:p>
      <w:pPr>
        <w:spacing w:after="0" w:line="122" w:lineRule="exact"/>
        <w:rPr>
          <w:rFonts w:ascii="Arial" w:cs="Arial" w:eastAsia="Arial" w:hAnsi="Arial"/>
          <w:sz w:val="18"/>
          <w:szCs w:val="18"/>
          <w:b w:val="1"/>
          <w:bCs w:val="1"/>
          <w:color w:val="auto"/>
        </w:rPr>
      </w:pPr>
    </w:p>
    <w:p>
      <w:pPr>
        <w:jc w:val="both"/>
        <w:ind w:left="720"/>
        <w:spacing w:after="0" w:line="224"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CMRS Group amounted to US$14,449. This is comprised of cash consideration of HK$33,594 (equivalent to approximately US$4,335), 182,950 Class A ordinary shares of the Company with a fair value of US$2,440 and contingent consideration payable at a fair value of US$7,674.</w:t>
      </w:r>
    </w:p>
    <w:p>
      <w:pPr>
        <w:spacing w:after="0" w:line="189" w:lineRule="exact"/>
        <w:rPr>
          <w:rFonts w:ascii="Arial" w:cs="Arial" w:eastAsia="Arial" w:hAnsi="Arial"/>
          <w:sz w:val="18"/>
          <w:szCs w:val="18"/>
          <w:b w:val="1"/>
          <w:bCs w:val="1"/>
          <w:color w:val="auto"/>
        </w:rPr>
      </w:pPr>
    </w:p>
    <w:p>
      <w:pPr>
        <w:ind w:lef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acquisition was recorded as a business combination. The following table summarizes the estimated fair values of the assets acquired and liabilities assumed at the date of acquisition:</w:t>
      </w:r>
    </w:p>
    <w:p>
      <w:pPr>
        <w:spacing w:after="0" w:line="183"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Fair value of consideration transferred:</w:t>
      </w:r>
    </w:p>
    <w:p>
      <w:pPr>
        <w:spacing w:after="0" w:line="253"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9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76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Class A ordinary shares of the Company</w:t>
            </w:r>
          </w:p>
        </w:tc>
        <w:tc>
          <w:tcPr>
            <w:tcW w:w="600" w:type="dxa"/>
            <w:vAlign w:val="bottom"/>
          </w:tcPr>
          <w:p>
            <w:pPr>
              <w:jc w:val="right"/>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60" w:type="dxa"/>
            <w:vAlign w:val="bottom"/>
            <w:gridSpan w:val="3"/>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780" w:type="dxa"/>
            <w:vAlign w:val="bottom"/>
            <w:gridSpan w:val="4"/>
          </w:tcPr>
          <w:p>
            <w:pPr>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 w:type="dxa"/>
            <w:vAlign w:val="bottom"/>
            <w:vMerge w:val="restart"/>
          </w:tcPr>
          <w:p>
            <w:pPr>
              <w:spacing w:after="0"/>
              <w:rPr>
                <w:sz w:val="19"/>
                <w:szCs w:val="19"/>
                <w:color w:val="auto"/>
              </w:rPr>
            </w:pPr>
          </w:p>
        </w:tc>
        <w:tc>
          <w:tcPr>
            <w:tcW w:w="90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vMerge w:val="continue"/>
          </w:tcPr>
          <w:p>
            <w:pPr>
              <w:spacing w:after="0"/>
              <w:rPr>
                <w:sz w:val="19"/>
                <w:szCs w:val="19"/>
                <w:color w:val="auto"/>
              </w:rPr>
            </w:pPr>
          </w:p>
        </w:tc>
        <w:tc>
          <w:tcPr>
            <w:tcW w:w="9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76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Restricted cash (Note)</w:t>
            </w:r>
          </w:p>
        </w:tc>
        <w:tc>
          <w:tcPr>
            <w:tcW w:w="60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600" w:type="dxa"/>
            <w:vAlign w:val="bottom"/>
          </w:tcPr>
          <w:p>
            <w:pPr>
              <w:jc w:val="right"/>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00" w:type="dxa"/>
            <w:vAlign w:val="bottom"/>
            <w:shd w:val="clear" w:color="auto" w:fill="CFF0FC"/>
          </w:tcPr>
          <w:p>
            <w:pPr>
              <w:spacing w:after="0"/>
              <w:rPr>
                <w:sz w:val="20"/>
                <w:szCs w:val="20"/>
                <w:color w:val="auto"/>
              </w:rPr>
            </w:pPr>
            <w:r>
              <w:rPr>
                <w:rFonts w:ascii="Arial" w:cs="Arial" w:eastAsia="Arial" w:hAnsi="Arial"/>
                <w:sz w:val="18"/>
                <w:szCs w:val="18"/>
                <w:color w:val="auto"/>
                <w:w w:val="86"/>
              </w:rPr>
              <w:t>Other assets</w:t>
            </w:r>
          </w:p>
        </w:tc>
        <w:tc>
          <w:tcPr>
            <w:tcW w:w="76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r>
        <w:trPr>
          <w:trHeight w:val="236"/>
        </w:trPr>
        <w:tc>
          <w:tcPr>
            <w:tcW w:w="8660" w:type="dxa"/>
            <w:vAlign w:val="bottom"/>
            <w:gridSpan w:val="3"/>
          </w:tcPr>
          <w:p>
            <w:pPr>
              <w:ind w:left="120"/>
              <w:spacing w:after="0"/>
              <w:rPr>
                <w:sz w:val="20"/>
                <w:szCs w:val="20"/>
                <w:color w:val="auto"/>
              </w:rPr>
            </w:pPr>
            <w:r>
              <w:rPr>
                <w:rFonts w:ascii="Arial" w:cs="Arial" w:eastAsia="Arial" w:hAnsi="Arial"/>
                <w:sz w:val="18"/>
                <w:szCs w:val="18"/>
                <w:color w:val="auto"/>
              </w:rPr>
              <w:t>Total identifiable net assets acquired</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8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Goodwill (Note 13)</w:t>
            </w:r>
          </w:p>
        </w:tc>
        <w:tc>
          <w:tcPr>
            <w:tcW w:w="112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20" w:type="dxa"/>
            <w:vAlign w:val="bottom"/>
            <w:gridSpan w:val="2"/>
          </w:tcPr>
          <w:p>
            <w:pPr>
              <w:spacing w:after="0"/>
              <w:rPr>
                <w:sz w:val="20"/>
                <w:szCs w:val="20"/>
                <w:color w:val="auto"/>
              </w:rPr>
            </w:pPr>
            <w:r>
              <w:rPr>
                <w:rFonts w:ascii="Arial" w:cs="Arial" w:eastAsia="Arial" w:hAnsi="Arial"/>
                <w:sz w:val="18"/>
                <w:szCs w:val="18"/>
                <w:color w:val="auto"/>
              </w:rPr>
              <w:t>Note:</w:t>
            </w:r>
          </w:p>
        </w:tc>
        <w:tc>
          <w:tcPr>
            <w:tcW w:w="8760" w:type="dxa"/>
            <w:vAlign w:val="bottom"/>
            <w:gridSpan w:val="2"/>
          </w:tcPr>
          <w:p>
            <w:pPr>
              <w:ind w:left="20"/>
              <w:spacing w:after="0"/>
              <w:rPr>
                <w:sz w:val="20"/>
                <w:szCs w:val="20"/>
                <w:color w:val="auto"/>
              </w:rPr>
            </w:pPr>
            <w:r>
              <w:rPr>
                <w:rFonts w:ascii="Arial" w:cs="Arial" w:eastAsia="Arial" w:hAnsi="Arial"/>
                <w:sz w:val="18"/>
                <w:szCs w:val="18"/>
                <w:color w:val="auto"/>
                <w:w w:val="90"/>
              </w:rPr>
              <w:t>The restricted cash includes an escrow amount of US$506 deposited with a bank which is payable to the sellers in 2022.</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740"/>
        <w:spacing w:after="0" w:line="237" w:lineRule="auto"/>
        <w:rPr>
          <w:sz w:val="20"/>
          <w:szCs w:val="20"/>
          <w:color w:val="auto"/>
        </w:rPr>
      </w:pPr>
      <w:r>
        <w:rPr>
          <w:rFonts w:ascii="Arial" w:cs="Arial" w:eastAsia="Arial" w:hAnsi="Arial"/>
          <w:sz w:val="17"/>
          <w:szCs w:val="17"/>
          <w:color w:val="auto"/>
        </w:rPr>
        <w:t>Contingent consideration are contingently payable upon the satisfaction of certain financial performance targets of the Company and market conditions, which are to be settled partially by cash and partially by ordinary shares of the Company. The number of ordinary shares to be issued and allotted to sellers is determined using the 10-day moving average closing price of the ADS of the Company.</w:t>
      </w:r>
    </w:p>
    <w:p>
      <w:pPr>
        <w:spacing w:after="0" w:line="136" w:lineRule="exact"/>
        <w:rPr>
          <w:sz w:val="20"/>
          <w:szCs w:val="20"/>
          <w:color w:val="auto"/>
        </w:rPr>
      </w:pPr>
    </w:p>
    <w:p>
      <w:pPr>
        <w:jc w:val="both"/>
        <w:ind w:left="740" w:right="20"/>
        <w:spacing w:after="0" w:line="277" w:lineRule="auto"/>
        <w:rPr>
          <w:sz w:val="20"/>
          <w:szCs w:val="20"/>
          <w:color w:val="auto"/>
        </w:rPr>
      </w:pPr>
      <w:r>
        <w:rPr>
          <w:rFonts w:ascii="Arial" w:cs="Arial" w:eastAsia="Arial" w:hAnsi="Arial"/>
          <w:sz w:val="18"/>
          <w:szCs w:val="18"/>
          <w:color w:val="auto"/>
        </w:rPr>
        <w:t>Contingent consideration is measured at fair value at the acquisition date using projected milestone dates, probabilities of success and projected financial results of the CMRS Group discounted at its fair value as at the acquisition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720" w:hanging="712"/>
        <w:spacing w:after="0"/>
        <w:tabs>
          <w:tab w:leader="none" w:pos="72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239" w:lineRule="exact"/>
        <w:rPr>
          <w:sz w:val="20"/>
          <w:szCs w:val="20"/>
          <w:color w:val="auto"/>
        </w:rPr>
      </w:pPr>
    </w:p>
    <w:p>
      <w:pPr>
        <w:ind w:left="720" w:hanging="712"/>
        <w:spacing w:after="0"/>
        <w:tabs>
          <w:tab w:leader="none" w:pos="72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CMRS Group Holding Limited (Continued)</w:t>
      </w:r>
    </w:p>
    <w:p>
      <w:pPr>
        <w:spacing w:after="0" w:line="242" w:lineRule="exact"/>
        <w:rPr>
          <w:rFonts w:ascii="Arial" w:cs="Arial" w:eastAsia="Arial" w:hAnsi="Arial"/>
          <w:sz w:val="18"/>
          <w:szCs w:val="18"/>
          <w:b w:val="1"/>
          <w:bCs w:val="1"/>
          <w:color w:val="auto"/>
        </w:rPr>
      </w:pPr>
    </w:p>
    <w:p>
      <w:pPr>
        <w:jc w:val="both"/>
        <w:ind w:left="7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determining the fair value of the contingent consideration, an income approach was applied by using discounted cash flows. In this approach, projected risk-adjusted contingent payments are discounted back to the current period using a discounted cash flow model. The key assumptions used to determine the fair value of the contingent consideration include projected milestone dates within 24 months after acquisition date and discount rate of 4.32%. Increase or decreases in the fair value of contingent consideration liabilities primarily result from changes in the estimated probabilities of achieving net profits after tax thresholds or market share prices milestones during the period. As of December 31, 2020, the Company has recorded contingent consideration of US$7,755, out of which US$3,276 is repayable in January 2022 and the remaining US$4,479 is repayable in December 2022, which are recorded as non-current liabilities.</w:t>
      </w:r>
    </w:p>
    <w:p>
      <w:pPr>
        <w:spacing w:after="0" w:line="36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2020, purchase consideration of US$959 was settled and there is no adjustment to the purchase consideration amounts.</w:t>
      </w:r>
    </w:p>
    <w:p>
      <w:pPr>
        <w:spacing w:after="0" w:line="261" w:lineRule="exact"/>
        <w:rPr>
          <w:rFonts w:ascii="Arial" w:cs="Arial" w:eastAsia="Arial" w:hAnsi="Arial"/>
          <w:sz w:val="18"/>
          <w:szCs w:val="18"/>
          <w:b w:val="1"/>
          <w:bCs w:val="1"/>
          <w:color w:val="auto"/>
        </w:rPr>
      </w:pPr>
    </w:p>
    <w:p>
      <w:pPr>
        <w:jc w:val="both"/>
        <w:ind w:left="7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excess of purchase price over tangible assets, identifiable intangible assets acquired and liabilities assumed was recorded as goodwill. Goodwill associated with the acquisition of CMRS Group was attributable to the expected synergy with the existing Enterprise Solutions and Marketing Solutions operations. The acquired goodwill is not deductible for tax purposes. Acquisition-related costs were immaterial and were included in general and administrative expenses for the year ended December 31, 2020.</w:t>
      </w:r>
    </w:p>
    <w:p>
      <w:pPr>
        <w:spacing w:after="0" w:line="200"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 intangible assets, an income approach was used. In this approach, significant estimates consist of discount rate of 22.3% and a growth rates on revenue ranging from 3.0% to 6.2% over a period of 4 years. The estimated amounts recognized on the acquired identifiable intangible asset and its estimated useful life are shown in the following table:</w:t>
      </w:r>
    </w:p>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4060" w:type="dxa"/>
            <w:vAlign w:val="bottom"/>
          </w:tcPr>
          <w:p>
            <w:pPr>
              <w:jc w:val="right"/>
              <w:ind w:right="70"/>
              <w:spacing w:after="0"/>
              <w:rPr>
                <w:sz w:val="20"/>
                <w:szCs w:val="20"/>
                <w:color w:val="auto"/>
              </w:rPr>
            </w:pPr>
            <w:r>
              <w:rPr>
                <w:rFonts w:ascii="Arial" w:cs="Arial" w:eastAsia="Arial" w:hAnsi="Arial"/>
                <w:sz w:val="18"/>
                <w:szCs w:val="18"/>
                <w:color w:val="auto"/>
              </w:rPr>
              <w:t>Estimated</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Gross carrying</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Intangible asset</w:t>
            </w:r>
          </w:p>
        </w:tc>
        <w:tc>
          <w:tcPr>
            <w:tcW w:w="4060" w:type="dxa"/>
            <w:vAlign w:val="bottom"/>
          </w:tcPr>
          <w:p>
            <w:pPr>
              <w:jc w:val="right"/>
              <w:ind w:right="70"/>
              <w:spacing w:after="0"/>
              <w:rPr>
                <w:sz w:val="20"/>
                <w:szCs w:val="20"/>
                <w:color w:val="auto"/>
              </w:rPr>
            </w:pPr>
            <w:r>
              <w:rPr>
                <w:rFonts w:ascii="Arial" w:cs="Arial" w:eastAsia="Arial" w:hAnsi="Arial"/>
                <w:sz w:val="18"/>
                <w:szCs w:val="18"/>
                <w:color w:val="auto"/>
              </w:rPr>
              <w:t>useful life</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amount</w:t>
            </w: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Brand name</w:t>
            </w:r>
          </w:p>
        </w:tc>
        <w:tc>
          <w:tcPr>
            <w:tcW w:w="40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 years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Customer relationship</w:t>
            </w:r>
          </w:p>
        </w:tc>
        <w:tc>
          <w:tcPr>
            <w:tcW w:w="4060" w:type="dxa"/>
            <w:vAlign w:val="bottom"/>
            <w:tcBorders>
              <w:bottom w:val="single" w:sz="8" w:color="CFF0FC"/>
            </w:tcBorders>
          </w:tcPr>
          <w:p>
            <w:pPr>
              <w:jc w:val="right"/>
              <w:ind w:right="70"/>
              <w:spacing w:after="0"/>
              <w:rPr>
                <w:sz w:val="20"/>
                <w:szCs w:val="20"/>
                <w:color w:val="auto"/>
              </w:rPr>
            </w:pPr>
            <w:r>
              <w:rPr>
                <w:rFonts w:ascii="Arial" w:cs="Arial" w:eastAsia="Arial" w:hAnsi="Arial"/>
                <w:sz w:val="18"/>
                <w:szCs w:val="18"/>
                <w:color w:val="auto"/>
              </w:rPr>
              <w:t>4 years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Borders>
              <w:bottom w:val="single" w:sz="8" w:color="CFF0FC"/>
            </w:tcBorders>
          </w:tcPr>
          <w:p>
            <w:pPr>
              <w:spacing w:after="0"/>
              <w:rPr>
                <w:sz w:val="19"/>
                <w:szCs w:val="19"/>
                <w:color w:val="auto"/>
              </w:rPr>
            </w:pPr>
          </w:p>
        </w:tc>
      </w:tr>
      <w:tr>
        <w:trPr>
          <w:trHeight w:val="236"/>
        </w:trPr>
        <w:tc>
          <w:tcPr>
            <w:tcW w:w="4760" w:type="dxa"/>
            <w:vAlign w:val="bottom"/>
            <w:tcBorders>
              <w:bottom w:val="single" w:sz="8" w:color="CFF0FC"/>
            </w:tcBorders>
            <w:shd w:val="clear" w:color="auto" w:fill="CFF0FC"/>
          </w:tcPr>
          <w:p>
            <w:pPr>
              <w:spacing w:after="0"/>
              <w:rPr>
                <w:sz w:val="20"/>
                <w:szCs w:val="20"/>
                <w:color w:val="auto"/>
              </w:rPr>
            </w:pPr>
          </w:p>
        </w:tc>
        <w:tc>
          <w:tcPr>
            <w:tcW w:w="406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740"/>
        <w:spacing w:after="0" w:line="277" w:lineRule="auto"/>
        <w:rPr>
          <w:sz w:val="20"/>
          <w:szCs w:val="20"/>
          <w:color w:val="auto"/>
        </w:rPr>
      </w:pPr>
      <w:r>
        <w:rPr>
          <w:rFonts w:ascii="Arial" w:cs="Arial" w:eastAsia="Arial" w:hAnsi="Arial"/>
          <w:sz w:val="18"/>
          <w:szCs w:val="18"/>
          <w:color w:val="auto"/>
        </w:rPr>
        <w:t>Unaudited pro forma net revenues and net loss of the Company for the years ended December 31, 2019 and 2020 as if the acquisition of CMRS Group had occurred on January 1, 2019 were as follows.</w:t>
      </w:r>
    </w:p>
    <w:p>
      <w:pPr>
        <w:spacing w:after="0" w:line="197"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7140" w:type="dxa"/>
            <w:vAlign w:val="bottom"/>
          </w:tcPr>
          <w:p>
            <w:pPr>
              <w:spacing w:after="0"/>
              <w:rPr>
                <w:sz w:val="19"/>
                <w:szCs w:val="19"/>
                <w:color w:val="auto"/>
              </w:rPr>
            </w:pPr>
          </w:p>
        </w:tc>
        <w:tc>
          <w:tcPr>
            <w:tcW w:w="3240" w:type="dxa"/>
            <w:vAlign w:val="bottom"/>
            <w:gridSpan w:val="4"/>
          </w:tcPr>
          <w:p>
            <w:pPr>
              <w:jc w:val="right"/>
              <w:ind w:right="460"/>
              <w:spacing w:after="0"/>
              <w:rPr>
                <w:sz w:val="20"/>
                <w:szCs w:val="20"/>
                <w:color w:val="auto"/>
              </w:rPr>
            </w:pPr>
            <w:r>
              <w:rPr>
                <w:rFonts w:ascii="Arial" w:cs="Arial" w:eastAsia="Arial" w:hAnsi="Arial"/>
                <w:sz w:val="18"/>
                <w:szCs w:val="18"/>
                <w:color w:val="auto"/>
                <w:w w:val="98"/>
              </w:rPr>
              <w:t>For the years ended December 31,</w:t>
            </w:r>
          </w:p>
        </w:tc>
      </w:tr>
      <w:tr>
        <w:trPr>
          <w:trHeight w:val="230"/>
        </w:trPr>
        <w:tc>
          <w:tcPr>
            <w:tcW w:w="7140" w:type="dxa"/>
            <w:vAlign w:val="bottom"/>
          </w:tcPr>
          <w:p>
            <w:pPr>
              <w:spacing w:after="0"/>
              <w:rPr>
                <w:sz w:val="20"/>
                <w:szCs w:val="20"/>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221,603</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270,326</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Net loss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(10,505)</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(13,346)</w:t>
            </w:r>
          </w:p>
        </w:tc>
      </w:tr>
      <w:tr>
        <w:trPr>
          <w:trHeight w:val="20"/>
        </w:trPr>
        <w:tc>
          <w:tcPr>
            <w:tcW w:w="7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740"/>
        <w:spacing w:after="0" w:line="277" w:lineRule="auto"/>
        <w:rPr>
          <w:sz w:val="20"/>
          <w:szCs w:val="20"/>
          <w:color w:val="auto"/>
        </w:rPr>
      </w:pPr>
      <w:r>
        <w:rPr>
          <w:rFonts w:ascii="Arial" w:cs="Arial" w:eastAsia="Arial" w:hAnsi="Arial"/>
          <w:sz w:val="18"/>
          <w:szCs w:val="18"/>
          <w:color w:val="auto"/>
        </w:rPr>
        <w:t>The Company did not have any material, non-recurring pro-forma adjustments directly attributable to the business combination reflected in the reported pro-forma net revenue and net loss.</w:t>
      </w:r>
    </w:p>
    <w:p>
      <w:pPr>
        <w:spacing w:after="0" w:line="184" w:lineRule="exact"/>
        <w:rPr>
          <w:sz w:val="20"/>
          <w:szCs w:val="20"/>
          <w:color w:val="auto"/>
        </w:rPr>
      </w:pPr>
    </w:p>
    <w:p>
      <w:pPr>
        <w:jc w:val="both"/>
        <w:ind w:left="740" w:right="20"/>
        <w:spacing w:after="0" w:line="277" w:lineRule="auto"/>
        <w:rPr>
          <w:sz w:val="20"/>
          <w:szCs w:val="20"/>
          <w:color w:val="auto"/>
        </w:rPr>
      </w:pPr>
      <w:r>
        <w:rPr>
          <w:rFonts w:ascii="Arial" w:cs="Arial" w:eastAsia="Arial" w:hAnsi="Arial"/>
          <w:sz w:val="18"/>
          <w:szCs w:val="18"/>
          <w:color w:val="auto"/>
        </w:rPr>
        <w:t>The pro forma information is not necessarily indicative of the actual results that would have been achieved had CMRS Group acquisition occurred as of January 1, 2019 or the results that may be achieved in future periods.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time deposits</w:t>
      </w:r>
    </w:p>
    <w:p>
      <w:pPr>
        <w:spacing w:after="0" w:line="215" w:lineRule="exact"/>
        <w:rPr>
          <w:rFonts w:ascii="Arial" w:cs="Arial" w:eastAsia="Arial" w:hAnsi="Arial"/>
          <w:sz w:val="18"/>
          <w:szCs w:val="18"/>
          <w:b w:val="1"/>
          <w:bCs w:val="1"/>
          <w:color w:val="auto"/>
        </w:rPr>
      </w:pPr>
    </w:p>
    <w:p>
      <w:pPr>
        <w:ind w:lef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cash held at bank, and short-term deposits placed with banks or other financial institutions, which have original maturities of three months or less.</w:t>
      </w:r>
    </w:p>
    <w:p>
      <w:pPr>
        <w:spacing w:after="0" w:line="170" w:lineRule="exact"/>
        <w:rPr>
          <w:rFonts w:ascii="Arial" w:cs="Arial" w:eastAsia="Arial" w:hAnsi="Arial"/>
          <w:sz w:val="18"/>
          <w:szCs w:val="18"/>
          <w:b w:val="1"/>
          <w:bCs w:val="1"/>
          <w:color w:val="auto"/>
        </w:rPr>
      </w:pPr>
    </w:p>
    <w:p>
      <w:pPr>
        <w:ind w:left="7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2019 and 2020, the Group had time deposits of US$410 and US$89 respectively with an average original maturity of 3 months which are denominated in US$.</w:t>
      </w:r>
    </w:p>
    <w:p>
      <w:pPr>
        <w:spacing w:after="0" w:line="170"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Cash and cash equivalents and time deposits as of December 31, 2019 and 2020 primarily consist of the following currencies:</w:t>
      </w:r>
    </w:p>
    <w:p>
      <w:pPr>
        <w:spacing w:after="0" w:line="239"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32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3"/>
          </w:tcPr>
          <w:p>
            <w:pPr>
              <w:jc w:val="right"/>
              <w:ind w:right="1160"/>
              <w:spacing w:after="0"/>
              <w:rPr>
                <w:sz w:val="20"/>
                <w:szCs w:val="20"/>
                <w:color w:val="auto"/>
              </w:rPr>
            </w:pPr>
            <w:r>
              <w:rPr>
                <w:rFonts w:ascii="Arial" w:cs="Arial" w:eastAsia="Arial" w:hAnsi="Arial"/>
                <w:sz w:val="18"/>
                <w:szCs w:val="18"/>
                <w:color w:val="auto"/>
              </w:rPr>
              <w:t>As of December 31,</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240" w:type="dxa"/>
            <w:vAlign w:val="bottom"/>
          </w:tcPr>
          <w:p>
            <w:pPr>
              <w:spacing w:after="0"/>
              <w:rPr>
                <w:sz w:val="19"/>
                <w:szCs w:val="19"/>
                <w:color w:val="auto"/>
              </w:rPr>
            </w:pPr>
          </w:p>
        </w:tc>
        <w:tc>
          <w:tcPr>
            <w:tcW w:w="3080" w:type="dxa"/>
            <w:vAlign w:val="bottom"/>
            <w:gridSpan w:val="2"/>
          </w:tcPr>
          <w:p>
            <w:pPr>
              <w:jc w:val="right"/>
              <w:ind w:right="220"/>
              <w:spacing w:after="0"/>
              <w:rPr>
                <w:sz w:val="20"/>
                <w:szCs w:val="20"/>
                <w:color w:val="auto"/>
              </w:rPr>
            </w:pPr>
            <w:r>
              <w:rPr>
                <w:rFonts w:ascii="Arial" w:cs="Arial" w:eastAsia="Arial" w:hAnsi="Arial"/>
                <w:sz w:val="18"/>
                <w:szCs w:val="18"/>
                <w:color w:val="auto"/>
              </w:rPr>
              <w:t>2019</w:t>
            </w:r>
          </w:p>
        </w:tc>
        <w:tc>
          <w:tcPr>
            <w:tcW w:w="96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2020</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240" w:type="dxa"/>
            <w:vAlign w:val="bottom"/>
          </w:tcPr>
          <w:p>
            <w:pPr>
              <w:spacing w:after="0"/>
              <w:rPr>
                <w:sz w:val="18"/>
                <w:szCs w:val="18"/>
                <w:color w:val="auto"/>
              </w:rPr>
            </w:pPr>
          </w:p>
        </w:tc>
        <w:tc>
          <w:tcPr>
            <w:tcW w:w="3080" w:type="dxa"/>
            <w:vAlign w:val="bottom"/>
            <w:gridSpan w:val="2"/>
          </w:tcPr>
          <w:p>
            <w:pPr>
              <w:jc w:val="right"/>
              <w:ind w:right="520"/>
              <w:spacing w:after="0"/>
              <w:rPr>
                <w:sz w:val="20"/>
                <w:szCs w:val="20"/>
                <w:color w:val="auto"/>
              </w:rPr>
            </w:pPr>
            <w:r>
              <w:rPr>
                <w:rFonts w:ascii="Arial" w:cs="Arial" w:eastAsia="Arial" w:hAnsi="Arial"/>
                <w:sz w:val="18"/>
                <w:szCs w:val="18"/>
                <w:color w:val="auto"/>
              </w:rPr>
              <w:t>Amount in</w:t>
            </w:r>
          </w:p>
        </w:tc>
        <w:tc>
          <w:tcPr>
            <w:tcW w:w="960" w:type="dxa"/>
            <w:vAlign w:val="bottom"/>
          </w:tcPr>
          <w:p>
            <w:pPr>
              <w:jc w:val="right"/>
              <w:spacing w:after="0"/>
              <w:rPr>
                <w:sz w:val="20"/>
                <w:szCs w:val="20"/>
                <w:color w:val="auto"/>
              </w:rPr>
            </w:pPr>
            <w:r>
              <w:rPr>
                <w:rFonts w:ascii="Arial" w:cs="Arial" w:eastAsia="Arial" w:hAnsi="Arial"/>
                <w:sz w:val="18"/>
                <w:szCs w:val="18"/>
                <w:color w:val="auto"/>
              </w:rPr>
              <w:t>US$</w:t>
            </w:r>
          </w:p>
        </w:tc>
        <w:tc>
          <w:tcPr>
            <w:tcW w:w="2020" w:type="dxa"/>
            <w:vAlign w:val="bottom"/>
            <w:gridSpan w:val="2"/>
          </w:tcPr>
          <w:p>
            <w:pPr>
              <w:jc w:val="right"/>
              <w:ind w:right="540"/>
              <w:spacing w:after="0"/>
              <w:rPr>
                <w:sz w:val="20"/>
                <w:szCs w:val="20"/>
                <w:color w:val="auto"/>
              </w:rPr>
            </w:pPr>
            <w:r>
              <w:rPr>
                <w:rFonts w:ascii="Arial" w:cs="Arial" w:eastAsia="Arial" w:hAnsi="Arial"/>
                <w:sz w:val="18"/>
                <w:szCs w:val="18"/>
                <w:color w:val="auto"/>
              </w:rPr>
              <w:t>Amount in</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US$</w:t>
            </w:r>
          </w:p>
        </w:tc>
      </w:tr>
      <w:tr>
        <w:trPr>
          <w:trHeight w:val="230"/>
        </w:trPr>
        <w:tc>
          <w:tcPr>
            <w:tcW w:w="3240" w:type="dxa"/>
            <w:vAlign w:val="bottom"/>
          </w:tcPr>
          <w:p>
            <w:pPr>
              <w:spacing w:after="0"/>
              <w:rPr>
                <w:sz w:val="20"/>
                <w:szCs w:val="20"/>
                <w:color w:val="auto"/>
              </w:rPr>
            </w:pPr>
          </w:p>
        </w:tc>
        <w:tc>
          <w:tcPr>
            <w:tcW w:w="3080" w:type="dxa"/>
            <w:vAlign w:val="bottom"/>
            <w:gridSpan w:val="2"/>
          </w:tcPr>
          <w:p>
            <w:pPr>
              <w:jc w:val="right"/>
              <w:ind w:right="520"/>
              <w:spacing w:after="0"/>
              <w:rPr>
                <w:sz w:val="20"/>
                <w:szCs w:val="20"/>
                <w:color w:val="auto"/>
              </w:rPr>
            </w:pPr>
            <w:r>
              <w:rPr>
                <w:rFonts w:ascii="Arial" w:cs="Arial" w:eastAsia="Arial" w:hAnsi="Arial"/>
                <w:sz w:val="18"/>
                <w:szCs w:val="18"/>
                <w:color w:val="auto"/>
              </w:rPr>
              <w:t>thousand</w:t>
            </w:r>
          </w:p>
        </w:tc>
        <w:tc>
          <w:tcPr>
            <w:tcW w:w="960" w:type="dxa"/>
            <w:vAlign w:val="bottom"/>
          </w:tcPr>
          <w:p>
            <w:pPr>
              <w:jc w:val="right"/>
              <w:spacing w:after="0"/>
              <w:rPr>
                <w:sz w:val="20"/>
                <w:szCs w:val="20"/>
                <w:color w:val="auto"/>
              </w:rPr>
            </w:pPr>
            <w:r>
              <w:rPr>
                <w:rFonts w:ascii="Arial" w:cs="Arial" w:eastAsia="Arial" w:hAnsi="Arial"/>
                <w:sz w:val="18"/>
                <w:szCs w:val="18"/>
                <w:color w:val="auto"/>
              </w:rPr>
              <w:t>equivalent</w:t>
            </w:r>
          </w:p>
        </w:tc>
        <w:tc>
          <w:tcPr>
            <w:tcW w:w="2020" w:type="dxa"/>
            <w:vAlign w:val="bottom"/>
            <w:gridSpan w:val="2"/>
          </w:tcPr>
          <w:p>
            <w:pPr>
              <w:jc w:val="right"/>
              <w:ind w:right="540"/>
              <w:spacing w:after="0"/>
              <w:rPr>
                <w:sz w:val="20"/>
                <w:szCs w:val="20"/>
                <w:color w:val="auto"/>
              </w:rPr>
            </w:pPr>
            <w:r>
              <w:rPr>
                <w:rFonts w:ascii="Arial" w:cs="Arial" w:eastAsia="Arial" w:hAnsi="Arial"/>
                <w:sz w:val="18"/>
                <w:szCs w:val="18"/>
                <w:color w:val="auto"/>
              </w:rPr>
              <w:t>thousand</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equivalent</w:t>
            </w:r>
          </w:p>
        </w:tc>
      </w:tr>
      <w:tr>
        <w:trPr>
          <w:trHeight w:val="229"/>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RMB</w:t>
            </w:r>
          </w:p>
        </w:tc>
        <w:tc>
          <w:tcPr>
            <w:tcW w:w="28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84,034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11,776</w:t>
            </w:r>
          </w:p>
        </w:tc>
        <w:tc>
          <w:tcPr>
            <w:tcW w:w="17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105,792</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16,108</w:t>
            </w:r>
          </w:p>
        </w:tc>
        <w:tc>
          <w:tcPr>
            <w:tcW w:w="100" w:type="dxa"/>
            <w:vAlign w:val="bottom"/>
            <w:shd w:val="clear" w:color="auto" w:fill="CFF0FC"/>
          </w:tcPr>
          <w:p>
            <w:pPr>
              <w:spacing w:after="0"/>
              <w:rPr>
                <w:sz w:val="19"/>
                <w:szCs w:val="19"/>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HK$</w:t>
            </w:r>
          </w:p>
        </w:tc>
        <w:tc>
          <w:tcPr>
            <w:tcW w:w="2800" w:type="dxa"/>
            <w:vAlign w:val="bottom"/>
          </w:tcPr>
          <w:p>
            <w:pPr>
              <w:jc w:val="right"/>
              <w:ind w:right="150"/>
              <w:spacing w:after="0"/>
              <w:rPr>
                <w:sz w:val="20"/>
                <w:szCs w:val="20"/>
                <w:color w:val="auto"/>
              </w:rPr>
            </w:pPr>
            <w:r>
              <w:rPr>
                <w:rFonts w:ascii="Arial" w:cs="Arial" w:eastAsia="Arial" w:hAnsi="Arial"/>
                <w:sz w:val="18"/>
                <w:szCs w:val="18"/>
                <w:color w:val="auto"/>
              </w:rPr>
              <w:t>8,329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1,061</w:t>
            </w: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110,094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14,206</w:t>
            </w:r>
          </w:p>
        </w:tc>
        <w:tc>
          <w:tcPr>
            <w:tcW w:w="100" w:type="dxa"/>
            <w:vAlign w:val="bottom"/>
          </w:tcPr>
          <w:p>
            <w:pPr>
              <w:spacing w:after="0"/>
              <w:rPr>
                <w:sz w:val="19"/>
                <w:szCs w:val="19"/>
                <w:color w:val="auto"/>
              </w:rPr>
            </w:pPr>
          </w:p>
        </w:tc>
      </w:tr>
      <w:tr>
        <w:trPr>
          <w:trHeight w:val="229"/>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28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24,175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24,175</w:t>
            </w:r>
          </w:p>
        </w:tc>
        <w:tc>
          <w:tcPr>
            <w:tcW w:w="17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21,635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21,635</w:t>
            </w:r>
          </w:p>
        </w:tc>
        <w:tc>
          <w:tcPr>
            <w:tcW w:w="100" w:type="dxa"/>
            <w:vAlign w:val="bottom"/>
            <w:shd w:val="clear" w:color="auto" w:fill="CFF0FC"/>
          </w:tcPr>
          <w:p>
            <w:pPr>
              <w:spacing w:after="0"/>
              <w:rPr>
                <w:sz w:val="19"/>
                <w:szCs w:val="19"/>
                <w:color w:val="auto"/>
              </w:rPr>
            </w:pP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Singapore dollars</w:t>
            </w:r>
          </w:p>
        </w:tc>
        <w:tc>
          <w:tcPr>
            <w:tcW w:w="2800" w:type="dxa"/>
            <w:vAlign w:val="bottom"/>
          </w:tcPr>
          <w:p>
            <w:pPr>
              <w:jc w:val="right"/>
              <w:ind w:right="150"/>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New Taiwan dollars</w:t>
            </w:r>
          </w:p>
        </w:tc>
        <w:tc>
          <w:tcPr>
            <w:tcW w:w="28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931</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7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2,303</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Japanese Yen</w:t>
            </w:r>
          </w:p>
        </w:tc>
        <w:tc>
          <w:tcPr>
            <w:tcW w:w="2800" w:type="dxa"/>
            <w:vAlign w:val="bottom"/>
          </w:tcPr>
          <w:p>
            <w:pPr>
              <w:jc w:val="right"/>
              <w:ind w:right="150"/>
              <w:spacing w:after="0"/>
              <w:rPr>
                <w:sz w:val="20"/>
                <w:szCs w:val="20"/>
                <w:color w:val="auto"/>
              </w:rPr>
            </w:pPr>
            <w:r>
              <w:rPr>
                <w:rFonts w:ascii="Arial" w:cs="Arial" w:eastAsia="Arial" w:hAnsi="Arial"/>
                <w:sz w:val="18"/>
                <w:szCs w:val="18"/>
                <w:color w:val="auto"/>
              </w:rPr>
              <w:t>4,550</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966</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29"/>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Others</w:t>
            </w:r>
          </w:p>
        </w:tc>
        <w:tc>
          <w:tcPr>
            <w:tcW w:w="28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72</w:t>
            </w: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7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174</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r>
      <w:tr>
        <w:trPr>
          <w:trHeight w:val="223"/>
        </w:trPr>
        <w:tc>
          <w:tcPr>
            <w:tcW w:w="32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37,264</w:t>
            </w:r>
          </w:p>
        </w:tc>
        <w:tc>
          <w:tcPr>
            <w:tcW w:w="1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52,321</w:t>
            </w:r>
          </w:p>
        </w:tc>
        <w:tc>
          <w:tcPr>
            <w:tcW w:w="10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720" w:hanging="712"/>
        <w:spacing w:after="0"/>
        <w:tabs>
          <w:tab w:leader="none" w:pos="72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75"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2020, except for an amount of US$506 (2019: US$Nil) in relation to escrow amount deposited for a business acquisition</w:t>
      </w:r>
    </w:p>
    <w:p>
      <w:pPr>
        <w:spacing w:after="0" w:line="7" w:lineRule="exact"/>
        <w:rPr>
          <w:rFonts w:ascii="Arial" w:cs="Arial" w:eastAsia="Arial" w:hAnsi="Arial"/>
          <w:sz w:val="18"/>
          <w:szCs w:val="18"/>
          <w:b w:val="1"/>
          <w:bCs w:val="1"/>
          <w:color w:val="auto"/>
        </w:rPr>
      </w:pPr>
    </w:p>
    <w:p>
      <w:pPr>
        <w:ind w:left="720"/>
        <w:spacing w:after="0" w:line="226" w:lineRule="auto"/>
        <w:rPr>
          <w:rFonts w:ascii="Arial" w:cs="Arial" w:eastAsia="Arial" w:hAnsi="Arial"/>
          <w:sz w:val="18"/>
          <w:szCs w:val="18"/>
          <w:b w:val="1"/>
          <w:bCs w:val="1"/>
          <w:color w:val="auto"/>
        </w:rPr>
      </w:pPr>
      <w:r>
        <w:rPr>
          <w:rFonts w:ascii="Arial" w:cs="Arial" w:eastAsia="Arial" w:hAnsi="Arial"/>
          <w:sz w:val="18"/>
          <w:szCs w:val="18"/>
          <w:color w:val="auto"/>
        </w:rPr>
        <w:t>(Note 4(e)), the Company’s remaining restricted cash of US$41,639 (2019: US$23,852) represented bank balances held in restricted bank accounts pursuant to certain bank borrowings (Note 17).</w:t>
      </w:r>
    </w:p>
    <w:p>
      <w:pPr>
        <w:spacing w:after="0" w:line="120"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6"/>
          <w:szCs w:val="16"/>
          <w:color w:val="auto"/>
        </w:rPr>
        <w:t>Restricted cash carried fixed interest at a weighted average rate of 0.57% (2019: 1.85%) per annum, out of which US$41,613 (2019: US$21,463)</w:t>
      </w:r>
    </w:p>
    <w:p>
      <w:pPr>
        <w:spacing w:after="0" w:line="21"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and US$26 (2019: US$2,389) are denominated in US$ and HK$, respectively.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Equity investment</w:t>
      </w:r>
    </w:p>
    <w:p>
      <w:pPr>
        <w:spacing w:after="0" w:line="215" w:lineRule="exact"/>
        <w:rPr>
          <w:rFonts w:ascii="Arial" w:cs="Arial" w:eastAsia="Arial" w:hAnsi="Arial"/>
          <w:sz w:val="18"/>
          <w:szCs w:val="18"/>
          <w:b w:val="1"/>
          <w:bCs w:val="1"/>
          <w:color w:val="auto"/>
        </w:rPr>
      </w:pPr>
    </w:p>
    <w:p>
      <w:pPr>
        <w:jc w:val="both"/>
        <w:ind w:left="7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May 31, 2019, the Company and VGI Global Media PLC (“VGI”), an online-to-offline solutions provider across advertising, payment and logistics platforms in Thailand, jointly established a new company namely V-Click Technology Company Limited (“V-Click”). VGI holds a majority stake of 51% in V-Click and the Company holds the remaining 49% stake. The investment was accounted for as an equity-method investment due to the significant influence the Company has over the operating and financial policies of the equity investee.</w:t>
      </w:r>
    </w:p>
    <w:p>
      <w:pPr>
        <w:spacing w:after="0" w:line="167" w:lineRule="exact"/>
        <w:rPr>
          <w:sz w:val="20"/>
          <w:szCs w:val="20"/>
          <w:color w:val="auto"/>
        </w:rPr>
      </w:pPr>
    </w:p>
    <w:p>
      <w:pPr>
        <w:ind w:left="720" w:hanging="712"/>
        <w:spacing w:after="0"/>
        <w:tabs>
          <w:tab w:leader="none" w:pos="72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an equity investee</w:t>
      </w:r>
    </w:p>
    <w:p>
      <w:pPr>
        <w:spacing w:after="0" w:line="229"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Movements on the Group’s investment in an equity investee during the years ended December 31, 2019 and 2020 were as follows:</w:t>
      </w:r>
    </w:p>
    <w:p>
      <w:pPr>
        <w:spacing w:after="0" w:line="239"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2500" w:type="dxa"/>
            <w:vAlign w:val="bottom"/>
            <w:gridSpan w:val="3"/>
          </w:tcPr>
          <w:p>
            <w:pPr>
              <w:jc w:val="center"/>
              <w:ind w:left="510"/>
              <w:spacing w:after="0"/>
              <w:rPr>
                <w:sz w:val="20"/>
                <w:szCs w:val="20"/>
                <w:color w:val="auto"/>
              </w:rPr>
            </w:pPr>
            <w:r>
              <w:rPr>
                <w:rFonts w:ascii="Arial" w:cs="Arial" w:eastAsia="Arial" w:hAnsi="Arial"/>
                <w:sz w:val="18"/>
                <w:szCs w:val="18"/>
                <w:color w:val="auto"/>
                <w:w w:val="88"/>
              </w:rPr>
              <w:t>For the years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140" w:type="dxa"/>
            <w:vAlign w:val="bottom"/>
          </w:tcPr>
          <w:p>
            <w:pPr>
              <w:spacing w:after="0"/>
              <w:rPr>
                <w:sz w:val="19"/>
                <w:szCs w:val="19"/>
                <w:color w:val="auto"/>
              </w:rPr>
            </w:pPr>
          </w:p>
        </w:tc>
        <w:tc>
          <w:tcPr>
            <w:tcW w:w="2500" w:type="dxa"/>
            <w:vAlign w:val="bottom"/>
            <w:gridSpan w:val="3"/>
          </w:tcPr>
          <w:p>
            <w:pPr>
              <w:jc w:val="center"/>
              <w:ind w:left="510"/>
              <w:spacing w:after="0"/>
              <w:rPr>
                <w:sz w:val="20"/>
                <w:szCs w:val="20"/>
                <w:color w:val="auto"/>
              </w:rPr>
            </w:pPr>
            <w:r>
              <w:rPr>
                <w:rFonts w:ascii="Arial" w:cs="Arial" w:eastAsia="Arial" w:hAnsi="Arial"/>
                <w:sz w:val="18"/>
                <w:szCs w:val="18"/>
                <w:color w:val="auto"/>
                <w:w w:val="90"/>
              </w:rPr>
              <w:t>December 31,</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29"/>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year</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FF0FC"/>
          </w:tcPr>
          <w:p>
            <w:pPr>
              <w:spacing w:after="0"/>
              <w:rPr>
                <w:sz w:val="19"/>
                <w:szCs w:val="19"/>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Cost of investment</w:t>
            </w:r>
          </w:p>
        </w:tc>
        <w:tc>
          <w:tcPr>
            <w:tcW w:w="1420" w:type="dxa"/>
            <w:vAlign w:val="bottom"/>
          </w:tcPr>
          <w:p>
            <w:pPr>
              <w:jc w:val="right"/>
              <w:spacing w:after="0"/>
              <w:rPr>
                <w:sz w:val="20"/>
                <w:szCs w:val="20"/>
                <w:color w:val="auto"/>
              </w:rPr>
            </w:pPr>
            <w:r>
              <w:rPr>
                <w:rFonts w:ascii="Arial" w:cs="Arial" w:eastAsia="Arial" w:hAnsi="Arial"/>
                <w:sz w:val="18"/>
                <w:szCs w:val="18"/>
                <w:color w:val="auto"/>
              </w:rPr>
              <w:t>566</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Capital injection</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FF0FC"/>
          </w:tcPr>
          <w:p>
            <w:pPr>
              <w:spacing w:after="0"/>
              <w:rPr>
                <w:sz w:val="19"/>
                <w:szCs w:val="19"/>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Share of losses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(408)</w:t>
            </w:r>
          </w:p>
        </w:tc>
        <w:tc>
          <w:tcPr>
            <w:tcW w:w="8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r>
      <w:tr>
        <w:trPr>
          <w:trHeight w:val="229"/>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Exchange differences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7"/>
        </w:trPr>
        <w:tc>
          <w:tcPr>
            <w:tcW w:w="7140" w:type="dxa"/>
            <w:vAlign w:val="bottom"/>
          </w:tcPr>
          <w:p>
            <w:pPr>
              <w:spacing w:after="0"/>
              <w:rPr>
                <w:sz w:val="20"/>
                <w:szCs w:val="20"/>
                <w:color w:val="auto"/>
              </w:rPr>
            </w:pPr>
            <w:r>
              <w:rPr>
                <w:rFonts w:ascii="Arial" w:cs="Arial" w:eastAsia="Arial" w:hAnsi="Arial"/>
                <w:sz w:val="18"/>
                <w:szCs w:val="18"/>
                <w:color w:val="auto"/>
              </w:rPr>
              <w:t>Balance at the end of year</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0"/>
                <w:szCs w:val="20"/>
                <w:color w:val="auto"/>
              </w:rPr>
            </w:pPr>
          </w:p>
        </w:tc>
      </w:tr>
      <w:tr>
        <w:trPr>
          <w:trHeight w:val="20"/>
        </w:trPr>
        <w:tc>
          <w:tcPr>
            <w:tcW w:w="7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740"/>
        <w:spacing w:after="0" w:line="308" w:lineRule="auto"/>
        <w:rPr>
          <w:sz w:val="20"/>
          <w:szCs w:val="20"/>
          <w:color w:val="auto"/>
        </w:rPr>
      </w:pPr>
      <w:r>
        <w:rPr>
          <w:rFonts w:ascii="Arial" w:cs="Arial" w:eastAsia="Arial" w:hAnsi="Arial"/>
          <w:sz w:val="17"/>
          <w:szCs w:val="17"/>
          <w:color w:val="auto"/>
        </w:rPr>
        <w:t>The Group recognized its share of the equity investee’s loss of US$408 and US$111 for the years ended December 31, 2019 and 2020, respectively. There was no indicator of impairment noted for this equity-method investment as of December 31, 2019 and 2020.</w:t>
      </w:r>
    </w:p>
    <w:p>
      <w:pPr>
        <w:spacing w:after="0" w:line="129" w:lineRule="exact"/>
        <w:rPr>
          <w:sz w:val="20"/>
          <w:szCs w:val="20"/>
          <w:color w:val="auto"/>
        </w:rPr>
      </w:pPr>
    </w:p>
    <w:p>
      <w:pPr>
        <w:ind w:left="720" w:hanging="712"/>
        <w:spacing w:after="0"/>
        <w:tabs>
          <w:tab w:leader="none" w:pos="72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Amount due from an equity investee</w:t>
      </w:r>
    </w:p>
    <w:p>
      <w:pPr>
        <w:spacing w:after="0" w:line="215" w:lineRule="exact"/>
        <w:rPr>
          <w:rFonts w:ascii="Arial" w:cs="Arial" w:eastAsia="Arial" w:hAnsi="Arial"/>
          <w:sz w:val="18"/>
          <w:szCs w:val="18"/>
          <w:b w:val="1"/>
          <w:bCs w:val="1"/>
          <w:color w:val="auto"/>
        </w:rPr>
      </w:pPr>
    </w:p>
    <w:p>
      <w:pPr>
        <w:ind w:lef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2019 and 2020, the amount was due from V-Click in relation to cash advances of US$155 and US$218, respectively, which was unsecured, interest-free and repayable on demand.</w:t>
      </w:r>
    </w:p>
    <w:p>
      <w:pPr>
        <w:spacing w:after="0" w:line="200" w:lineRule="exact"/>
        <w:rPr>
          <w:sz w:val="20"/>
          <w:szCs w:val="20"/>
          <w:color w:val="auto"/>
        </w:rPr>
      </w:pPr>
    </w:p>
    <w:p>
      <w:pPr>
        <w:spacing w:after="0" w:line="358" w:lineRule="exact"/>
        <w:rPr>
          <w:sz w:val="20"/>
          <w:szCs w:val="20"/>
          <w:color w:val="auto"/>
        </w:rPr>
      </w:pPr>
    </w:p>
    <w:p>
      <w:pPr>
        <w:ind w:left="740" w:hanging="732"/>
        <w:spacing w:after="0"/>
        <w:tabs>
          <w:tab w:leader="none" w:pos="74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investments</w:t>
      </w:r>
    </w:p>
    <w:p>
      <w:pPr>
        <w:spacing w:after="0" w:line="229" w:lineRule="exact"/>
        <w:rPr>
          <w:rFonts w:ascii="Arial" w:cs="Arial" w:eastAsia="Arial" w:hAnsi="Arial"/>
          <w:sz w:val="18"/>
          <w:szCs w:val="18"/>
          <w:b w:val="1"/>
          <w:bCs w:val="1"/>
          <w:color w:val="auto"/>
        </w:rPr>
      </w:pPr>
    </w:p>
    <w:p>
      <w:pPr>
        <w:jc w:val="both"/>
        <w:ind w:left="7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Group’s other long-term investments consist of securities without readily determinable fair value and over which the Group has neither significant influence nor control through investments in common stock or in-substance common stock purchased in 2019 and 2020. There were no changes in fair values related to the investments for the years ended December 31, 2018, 2019 and 2020. The investments are not considered material to the Group’s financial position.</w:t>
      </w:r>
    </w:p>
    <w:p>
      <w:pPr>
        <w:spacing w:after="0" w:line="186" w:lineRule="exact"/>
        <w:rPr>
          <w:rFonts w:ascii="Arial" w:cs="Arial" w:eastAsia="Arial" w:hAnsi="Arial"/>
          <w:sz w:val="18"/>
          <w:szCs w:val="18"/>
          <w:b w:val="1"/>
          <w:bCs w:val="1"/>
          <w:color w:val="auto"/>
        </w:rPr>
      </w:pPr>
    </w:p>
    <w:p>
      <w:pPr>
        <w:ind w:left="7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2019 and 2020, the Group made investments in equity investments without readily determinable fair value with an amount of US$1,503 and US$8,651, respectively.</w:t>
      </w:r>
    </w:p>
    <w:p>
      <w:pPr>
        <w:spacing w:after="0" w:line="170"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2020, the Group made prepayments of US$2,924 (2019: US$1,000) for long-term equity investments.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9</w:t>
            </w:r>
          </w:p>
        </w:tc>
        <w:tc>
          <w:tcPr>
            <w:tcW w:w="7580" w:type="dxa"/>
            <w:vAlign w:val="bottom"/>
            <w:gridSpan w:val="2"/>
          </w:tcPr>
          <w:p>
            <w:pPr>
              <w:ind w:left="300"/>
              <w:spacing w:after="0"/>
              <w:rPr>
                <w:sz w:val="20"/>
                <w:szCs w:val="20"/>
                <w:color w:val="auto"/>
              </w:rPr>
            </w:pPr>
            <w:r>
              <w:rPr>
                <w:rFonts w:ascii="Arial" w:cs="Arial" w:eastAsia="Arial" w:hAnsi="Arial"/>
                <w:sz w:val="18"/>
                <w:szCs w:val="18"/>
                <w:b w:val="1"/>
                <w:bCs w:val="1"/>
                <w:color w:val="auto"/>
              </w:rPr>
              <w:t>Accounts receivable, net</w:t>
            </w: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8"/>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400" w:type="dxa"/>
            <w:vAlign w:val="bottom"/>
            <w:gridSpan w:val="3"/>
          </w:tcPr>
          <w:p>
            <w:pPr>
              <w:ind w:left="820"/>
              <w:spacing w:after="0"/>
              <w:rPr>
                <w:sz w:val="20"/>
                <w:szCs w:val="20"/>
                <w:color w:val="auto"/>
              </w:rPr>
            </w:pPr>
            <w:r>
              <w:rPr>
                <w:rFonts w:ascii="Arial" w:cs="Arial" w:eastAsia="Arial" w:hAnsi="Arial"/>
                <w:sz w:val="18"/>
                <w:szCs w:val="18"/>
                <w:color w:val="auto"/>
                <w:w w:val="98"/>
              </w:rPr>
              <w:t>As of December 31,</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30"/>
        </w:trPr>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gross (Note)</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147,440</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154,891</w:t>
            </w:r>
          </w:p>
        </w:tc>
        <w:tc>
          <w:tcPr>
            <w:tcW w:w="120" w:type="dxa"/>
            <w:vAlign w:val="bottom"/>
            <w:shd w:val="clear" w:color="auto" w:fill="CFF0FC"/>
          </w:tcPr>
          <w:p>
            <w:pPr>
              <w:spacing w:after="0"/>
              <w:rPr>
                <w:sz w:val="19"/>
                <w:szCs w:val="19"/>
                <w:color w:val="auto"/>
              </w:rPr>
            </w:pPr>
          </w:p>
        </w:tc>
      </w:tr>
      <w:tr>
        <w:trPr>
          <w:trHeight w:val="229"/>
        </w:trPr>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Less: allowance for credit losses (Note 2(j))</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(3,469)</w:t>
            </w:r>
          </w:p>
        </w:tc>
        <w:tc>
          <w:tcPr>
            <w:tcW w:w="7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(11,749)</w:t>
            </w:r>
          </w:p>
        </w:tc>
      </w:tr>
      <w:tr>
        <w:trPr>
          <w:trHeight w:val="223"/>
        </w:trPr>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143,971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143,142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w:t>
      </w:r>
    </w:p>
    <w:p>
      <w:pPr>
        <w:spacing w:after="0" w:line="239"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As of December 31, 2020, the balance includes bills receivable of US$852 (2019: US$Nil) which represent short-term notes receivables issued by reputable financial institutions that entitle the Group to receive the full face amount from the financial institutions at maturity , which generally range from five to six months from the date of issuance.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10</w:t>
            </w:r>
          </w:p>
        </w:tc>
        <w:tc>
          <w:tcPr>
            <w:tcW w:w="7540" w:type="dxa"/>
            <w:vAlign w:val="bottom"/>
            <w:gridSpan w:val="2"/>
          </w:tcPr>
          <w:p>
            <w:pPr>
              <w:ind w:left="380"/>
              <w:spacing w:after="0"/>
              <w:rPr>
                <w:sz w:val="20"/>
                <w:szCs w:val="20"/>
                <w:color w:val="auto"/>
              </w:rPr>
            </w:pPr>
            <w:r>
              <w:rPr>
                <w:rFonts w:ascii="Arial" w:cs="Arial" w:eastAsia="Arial" w:hAnsi="Arial"/>
                <w:sz w:val="18"/>
                <w:szCs w:val="18"/>
                <w:b w:val="1"/>
                <w:bCs w:val="1"/>
                <w:color w:val="auto"/>
              </w:rPr>
              <w:t>Other assets</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60" w:type="dxa"/>
            <w:vAlign w:val="bottom"/>
          </w:tcPr>
          <w:p>
            <w:pPr>
              <w:spacing w:after="0"/>
              <w:rPr>
                <w:sz w:val="24"/>
                <w:szCs w:val="24"/>
                <w:color w:val="auto"/>
              </w:rPr>
            </w:pPr>
          </w:p>
        </w:tc>
        <w:tc>
          <w:tcPr>
            <w:tcW w:w="7540" w:type="dxa"/>
            <w:vAlign w:val="bottom"/>
            <w:gridSpan w:val="2"/>
          </w:tcPr>
          <w:p>
            <w:pPr>
              <w:ind w:left="280"/>
              <w:spacing w:after="0"/>
              <w:rPr>
                <w:sz w:val="20"/>
                <w:szCs w:val="20"/>
                <w:color w:val="auto"/>
              </w:rPr>
            </w:pPr>
            <w:r>
              <w:rPr>
                <w:rFonts w:ascii="Arial" w:cs="Arial" w:eastAsia="Arial" w:hAnsi="Arial"/>
                <w:sz w:val="18"/>
                <w:szCs w:val="18"/>
                <w:color w:val="auto"/>
              </w:rPr>
              <w:t>Other assets consist of the following:</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440" w:type="dxa"/>
            <w:vAlign w:val="bottom"/>
            <w:gridSpan w:val="3"/>
          </w:tcPr>
          <w:p>
            <w:pPr>
              <w:ind w:left="820"/>
              <w:spacing w:after="0"/>
              <w:rPr>
                <w:sz w:val="20"/>
                <w:szCs w:val="20"/>
                <w:color w:val="auto"/>
              </w:rPr>
            </w:pPr>
            <w:r>
              <w:rPr>
                <w:rFonts w:ascii="Arial" w:cs="Arial" w:eastAsia="Arial" w:hAnsi="Arial"/>
                <w:sz w:val="18"/>
                <w:szCs w:val="18"/>
                <w:color w:val="auto"/>
              </w:rPr>
              <w:t>As of 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Deposits</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4,859</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5,359</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Prepayments</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2,793</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Loans receivable (Note)</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VAT recoverable</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Others</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978</w:t>
            </w:r>
          </w:p>
        </w:tc>
        <w:tc>
          <w:tcPr>
            <w:tcW w:w="1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8,983</w:t>
            </w: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14,138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54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Non-current</w:t>
            </w: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54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Rental deposits</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Prepayment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w:t>
      </w:r>
    </w:p>
    <w:p>
      <w:pPr>
        <w:spacing w:after="0" w:line="239" w:lineRule="exact"/>
        <w:rPr>
          <w:sz w:val="20"/>
          <w:szCs w:val="20"/>
          <w:color w:val="auto"/>
        </w:rPr>
      </w:pPr>
    </w:p>
    <w:p>
      <w:pPr>
        <w:ind w:left="740" w:right="180"/>
        <w:spacing w:after="0" w:line="277" w:lineRule="auto"/>
        <w:rPr>
          <w:sz w:val="20"/>
          <w:szCs w:val="20"/>
          <w:color w:val="auto"/>
        </w:rPr>
      </w:pPr>
      <w:r>
        <w:rPr>
          <w:rFonts w:ascii="Arial" w:cs="Arial" w:eastAsia="Arial" w:hAnsi="Arial"/>
          <w:sz w:val="18"/>
          <w:szCs w:val="18"/>
          <w:color w:val="auto"/>
        </w:rPr>
        <w:t>As of December 31, 2020, the balance represents loans to certain third parties which were interest-bearing at 5% to 15% per annum, unsecured, and due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88"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39"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7140" w:type="dxa"/>
            <w:vAlign w:val="bottom"/>
          </w:tcPr>
          <w:p>
            <w:pPr>
              <w:spacing w:after="0"/>
              <w:rPr>
                <w:sz w:val="19"/>
                <w:szCs w:val="19"/>
                <w:color w:val="auto"/>
              </w:rPr>
            </w:pPr>
          </w:p>
        </w:tc>
        <w:tc>
          <w:tcPr>
            <w:tcW w:w="2460" w:type="dxa"/>
            <w:vAlign w:val="bottom"/>
            <w:gridSpan w:val="3"/>
          </w:tcPr>
          <w:p>
            <w:pPr>
              <w:ind w:left="820"/>
              <w:spacing w:after="0"/>
              <w:rPr>
                <w:sz w:val="20"/>
                <w:szCs w:val="20"/>
                <w:color w:val="auto"/>
              </w:rPr>
            </w:pPr>
            <w:r>
              <w:rPr>
                <w:rFonts w:ascii="Arial" w:cs="Arial" w:eastAsia="Arial" w:hAnsi="Arial"/>
                <w:sz w:val="18"/>
                <w:szCs w:val="18"/>
                <w:color w:val="auto"/>
              </w:rPr>
              <w:t>As of December 31,</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29"/>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w:t>
            </w: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240"/>
              <w:spacing w:after="0"/>
              <w:rPr>
                <w:sz w:val="20"/>
                <w:szCs w:val="20"/>
                <w:color w:val="auto"/>
              </w:rPr>
            </w:pPr>
            <w:r>
              <w:rPr>
                <w:rFonts w:ascii="Arial" w:cs="Arial" w:eastAsia="Arial" w:hAnsi="Arial"/>
                <w:sz w:val="18"/>
                <w:szCs w:val="18"/>
                <w:color w:val="auto"/>
              </w:rPr>
              <w:t>Office equipment</w:t>
            </w:r>
          </w:p>
        </w:tc>
        <w:tc>
          <w:tcPr>
            <w:tcW w:w="1420" w:type="dxa"/>
            <w:vAlign w:val="bottom"/>
          </w:tcPr>
          <w:p>
            <w:pPr>
              <w:jc w:val="right"/>
              <w:spacing w:after="0"/>
              <w:rPr>
                <w:sz w:val="20"/>
                <w:szCs w:val="20"/>
                <w:color w:val="auto"/>
              </w:rPr>
            </w:pPr>
            <w:r>
              <w:rPr>
                <w:rFonts w:ascii="Arial" w:cs="Arial" w:eastAsia="Arial" w:hAnsi="Arial"/>
                <w:sz w:val="18"/>
                <w:szCs w:val="18"/>
                <w:color w:val="auto"/>
              </w:rPr>
              <w:t>4,541</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4,830</w:t>
            </w:r>
          </w:p>
        </w:tc>
        <w:tc>
          <w:tcPr>
            <w:tcW w:w="120" w:type="dxa"/>
            <w:vAlign w:val="bottom"/>
          </w:tcPr>
          <w:p>
            <w:pPr>
              <w:spacing w:after="0"/>
              <w:rPr>
                <w:sz w:val="19"/>
                <w:szCs w:val="19"/>
                <w:color w:val="auto"/>
              </w:rPr>
            </w:pPr>
          </w:p>
        </w:tc>
      </w:tr>
      <w:tr>
        <w:trPr>
          <w:trHeight w:val="229"/>
        </w:trPr>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Leasehold improvements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240"/>
              <w:spacing w:after="0"/>
              <w:rPr>
                <w:sz w:val="20"/>
                <w:szCs w:val="20"/>
                <w:color w:val="auto"/>
              </w:rPr>
            </w:pPr>
            <w:r>
              <w:rPr>
                <w:rFonts w:ascii="Arial" w:cs="Arial" w:eastAsia="Arial" w:hAnsi="Arial"/>
                <w:sz w:val="18"/>
                <w:szCs w:val="18"/>
                <w:color w:val="auto"/>
              </w:rPr>
              <w:t>Furniture and fixtures</w:t>
            </w:r>
          </w:p>
        </w:tc>
        <w:tc>
          <w:tcPr>
            <w:tcW w:w="1420" w:type="dxa"/>
            <w:vAlign w:val="bottom"/>
          </w:tcPr>
          <w:p>
            <w:pPr>
              <w:jc w:val="right"/>
              <w:spacing w:after="0"/>
              <w:rPr>
                <w:sz w:val="20"/>
                <w:szCs w:val="20"/>
                <w:color w:val="auto"/>
              </w:rPr>
            </w:pPr>
            <w:r>
              <w:rPr>
                <w:rFonts w:ascii="Arial" w:cs="Arial" w:eastAsia="Arial" w:hAnsi="Arial"/>
                <w:sz w:val="18"/>
                <w:szCs w:val="18"/>
                <w:color w:val="auto"/>
              </w:rPr>
              <w:t>757</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19"/>
                <w:szCs w:val="19"/>
                <w:color w:val="auto"/>
              </w:rPr>
            </w:pPr>
          </w:p>
        </w:tc>
      </w:tr>
      <w:tr>
        <w:trPr>
          <w:trHeight w:val="229"/>
        </w:trPr>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Motor vehicles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Total cost</w:t>
            </w:r>
          </w:p>
        </w:tc>
        <w:tc>
          <w:tcPr>
            <w:tcW w:w="1420" w:type="dxa"/>
            <w:vAlign w:val="bottom"/>
          </w:tcPr>
          <w:p>
            <w:pPr>
              <w:jc w:val="right"/>
              <w:spacing w:after="0"/>
              <w:rPr>
                <w:sz w:val="20"/>
                <w:szCs w:val="20"/>
                <w:color w:val="auto"/>
              </w:rPr>
            </w:pPr>
            <w:r>
              <w:rPr>
                <w:rFonts w:ascii="Arial" w:cs="Arial" w:eastAsia="Arial" w:hAnsi="Arial"/>
                <w:sz w:val="18"/>
                <w:szCs w:val="18"/>
                <w:color w:val="auto"/>
              </w:rPr>
              <w:t>6,943</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7,779</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(6,266)</w:t>
            </w:r>
          </w:p>
        </w:tc>
        <w:tc>
          <w:tcPr>
            <w:tcW w:w="7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(6,565)</w:t>
            </w: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Exchange differences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7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r>
      <w:tr>
        <w:trPr>
          <w:trHeight w:val="223"/>
        </w:trPr>
        <w:tc>
          <w:tcPr>
            <w:tcW w:w="7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Depreciation expense recognized for the years ended December 31, 2018, 2019 and 2020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500" w:type="dxa"/>
            <w:vAlign w:val="bottom"/>
            <w:gridSpan w:val="5"/>
          </w:tcPr>
          <w:p>
            <w:pPr>
              <w:ind w:left="820"/>
              <w:spacing w:after="0"/>
              <w:rPr>
                <w:sz w:val="20"/>
                <w:szCs w:val="20"/>
                <w:color w:val="auto"/>
              </w:rPr>
            </w:pPr>
            <w:r>
              <w:rPr>
                <w:rFonts w:ascii="Arial" w:cs="Arial" w:eastAsia="Arial" w:hAnsi="Arial"/>
                <w:sz w:val="18"/>
                <w:szCs w:val="18"/>
                <w:color w:val="auto"/>
                <w:w w:val="95"/>
              </w:rPr>
              <w:t>For the years ended December 31,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29"/>
        </w:trPr>
        <w:tc>
          <w:tcPr>
            <w:tcW w:w="8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3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3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3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52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71"/>
        </w:trPr>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960" w:type="dxa"/>
            <w:vAlign w:val="bottom"/>
            <w:gridSpan w:val="3"/>
          </w:tcPr>
          <w:p>
            <w:pPr>
              <w:ind w:left="960"/>
              <w:spacing w:after="0"/>
              <w:rPr>
                <w:sz w:val="20"/>
                <w:szCs w:val="20"/>
                <w:color w:val="auto"/>
              </w:rPr>
            </w:pPr>
            <w:r>
              <w:rPr>
                <w:rFonts w:ascii="Arial" w:cs="Arial" w:eastAsia="Arial" w:hAnsi="Arial"/>
                <w:sz w:val="18"/>
                <w:szCs w:val="18"/>
                <w:color w:val="auto"/>
              </w:rPr>
              <w:t>F-54</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88"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 of the following:</w:t>
      </w:r>
    </w:p>
    <w:p>
      <w:pPr>
        <w:spacing w:after="0" w:line="239"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7140" w:type="dxa"/>
            <w:vAlign w:val="bottom"/>
          </w:tcPr>
          <w:p>
            <w:pPr>
              <w:spacing w:after="0"/>
              <w:rPr>
                <w:sz w:val="19"/>
                <w:szCs w:val="19"/>
                <w:color w:val="auto"/>
              </w:rPr>
            </w:pPr>
          </w:p>
        </w:tc>
        <w:tc>
          <w:tcPr>
            <w:tcW w:w="2420" w:type="dxa"/>
            <w:vAlign w:val="bottom"/>
            <w:gridSpan w:val="3"/>
          </w:tcPr>
          <w:p>
            <w:pPr>
              <w:ind w:left="820"/>
              <w:spacing w:after="0"/>
              <w:rPr>
                <w:sz w:val="20"/>
                <w:szCs w:val="20"/>
                <w:color w:val="auto"/>
              </w:rPr>
            </w:pPr>
            <w:r>
              <w:rPr>
                <w:rFonts w:ascii="Arial" w:cs="Arial" w:eastAsia="Arial" w:hAnsi="Arial"/>
                <w:sz w:val="18"/>
                <w:szCs w:val="18"/>
                <w:color w:val="auto"/>
                <w:w w:val="99"/>
              </w:rPr>
              <w:t>As of December 31,</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29"/>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Cost:</w:t>
            </w: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240"/>
              <w:spacing w:after="0"/>
              <w:rPr>
                <w:sz w:val="20"/>
                <w:szCs w:val="20"/>
                <w:color w:val="auto"/>
              </w:rPr>
            </w:pPr>
            <w:r>
              <w:rPr>
                <w:rFonts w:ascii="Arial" w:cs="Arial" w:eastAsia="Arial" w:hAnsi="Arial"/>
                <w:sz w:val="18"/>
                <w:szCs w:val="18"/>
                <w:color w:val="auto"/>
              </w:rPr>
              <w:t>Computer software</w:t>
            </w:r>
          </w:p>
        </w:tc>
        <w:tc>
          <w:tcPr>
            <w:tcW w:w="1420" w:type="dxa"/>
            <w:vAlign w:val="bottom"/>
          </w:tcPr>
          <w:p>
            <w:pPr>
              <w:jc w:val="right"/>
              <w:spacing w:after="0"/>
              <w:rPr>
                <w:sz w:val="20"/>
                <w:szCs w:val="20"/>
                <w:color w:val="auto"/>
              </w:rPr>
            </w:pPr>
            <w:r>
              <w:rPr>
                <w:rFonts w:ascii="Arial" w:cs="Arial" w:eastAsia="Arial" w:hAnsi="Arial"/>
                <w:sz w:val="18"/>
                <w:szCs w:val="18"/>
                <w:color w:val="auto"/>
              </w:rPr>
              <w:t>22,615</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23,189</w:t>
            </w:r>
          </w:p>
        </w:tc>
        <w:tc>
          <w:tcPr>
            <w:tcW w:w="120" w:type="dxa"/>
            <w:vAlign w:val="bottom"/>
          </w:tcPr>
          <w:p>
            <w:pPr>
              <w:spacing w:after="0"/>
              <w:rPr>
                <w:sz w:val="19"/>
                <w:szCs w:val="19"/>
                <w:color w:val="auto"/>
              </w:rPr>
            </w:pPr>
          </w:p>
        </w:tc>
      </w:tr>
      <w:tr>
        <w:trPr>
          <w:trHeight w:val="229"/>
        </w:trPr>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Developed technologies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240"/>
              <w:spacing w:after="0"/>
              <w:rPr>
                <w:sz w:val="20"/>
                <w:szCs w:val="20"/>
                <w:color w:val="auto"/>
              </w:rPr>
            </w:pPr>
            <w:r>
              <w:rPr>
                <w:rFonts w:ascii="Arial" w:cs="Arial" w:eastAsia="Arial" w:hAnsi="Arial"/>
                <w:sz w:val="18"/>
                <w:szCs w:val="18"/>
                <w:color w:val="auto"/>
              </w:rPr>
              <w:t>Customer relationship</w:t>
            </w:r>
          </w:p>
        </w:tc>
        <w:tc>
          <w:tcPr>
            <w:tcW w:w="1420" w:type="dxa"/>
            <w:vAlign w:val="bottom"/>
          </w:tcPr>
          <w:p>
            <w:pPr>
              <w:jc w:val="right"/>
              <w:spacing w:after="0"/>
              <w:rPr>
                <w:sz w:val="20"/>
                <w:szCs w:val="20"/>
                <w:color w:val="auto"/>
              </w:rPr>
            </w:pPr>
            <w:r>
              <w:rPr>
                <w:rFonts w:ascii="Arial" w:cs="Arial" w:eastAsia="Arial" w:hAnsi="Arial"/>
                <w:sz w:val="18"/>
                <w:szCs w:val="18"/>
                <w:color w:val="auto"/>
              </w:rPr>
              <w:t>1,103</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19"/>
                <w:szCs w:val="19"/>
                <w:color w:val="auto"/>
              </w:rPr>
            </w:pPr>
          </w:p>
        </w:tc>
      </w:tr>
      <w:tr>
        <w:trPr>
          <w:trHeight w:val="229"/>
        </w:trPr>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Brand name</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120" w:type="dxa"/>
            <w:vAlign w:val="bottom"/>
            <w:shd w:val="clear" w:color="auto" w:fill="CFF0FC"/>
          </w:tcPr>
          <w:p>
            <w:pPr>
              <w:spacing w:after="0"/>
              <w:rPr>
                <w:sz w:val="19"/>
                <w:szCs w:val="19"/>
                <w:color w:val="auto"/>
              </w:rPr>
            </w:pPr>
          </w:p>
        </w:tc>
      </w:tr>
      <w:tr>
        <w:trPr>
          <w:trHeight w:val="229"/>
        </w:trPr>
        <w:tc>
          <w:tcPr>
            <w:tcW w:w="7140" w:type="dxa"/>
            <w:vAlign w:val="bottom"/>
          </w:tcPr>
          <w:p>
            <w:pPr>
              <w:ind w:left="240"/>
              <w:spacing w:after="0"/>
              <w:rPr>
                <w:sz w:val="20"/>
                <w:szCs w:val="20"/>
                <w:color w:val="auto"/>
              </w:rPr>
            </w:pPr>
            <w:r>
              <w:rPr>
                <w:rFonts w:ascii="Arial" w:cs="Arial" w:eastAsia="Arial" w:hAnsi="Arial"/>
                <w:sz w:val="18"/>
                <w:szCs w:val="18"/>
                <w:color w:val="auto"/>
              </w:rPr>
              <w:t>Contract backlog</w:t>
            </w:r>
          </w:p>
        </w:tc>
        <w:tc>
          <w:tcPr>
            <w:tcW w:w="1420" w:type="dxa"/>
            <w:vAlign w:val="bottom"/>
          </w:tcPr>
          <w:p>
            <w:pPr>
              <w:jc w:val="right"/>
              <w:spacing w:after="0"/>
              <w:rPr>
                <w:sz w:val="20"/>
                <w:szCs w:val="20"/>
                <w:color w:val="auto"/>
              </w:rPr>
            </w:pPr>
            <w:r>
              <w:rPr>
                <w:rFonts w:ascii="Arial" w:cs="Arial" w:eastAsia="Arial" w:hAnsi="Arial"/>
                <w:sz w:val="18"/>
                <w:szCs w:val="18"/>
                <w:color w:val="auto"/>
              </w:rPr>
              <w:t>610</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 contract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53,287</w:t>
            </w:r>
          </w:p>
        </w:tc>
        <w:tc>
          <w:tcPr>
            <w:tcW w:w="120" w:type="dxa"/>
            <w:vAlign w:val="bottom"/>
            <w:shd w:val="clear" w:color="auto" w:fill="CFF0FC"/>
          </w:tcPr>
          <w:p>
            <w:pPr>
              <w:spacing w:after="0"/>
              <w:rPr>
                <w:sz w:val="19"/>
                <w:szCs w:val="19"/>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Total cost</w:t>
            </w:r>
          </w:p>
        </w:tc>
        <w:tc>
          <w:tcPr>
            <w:tcW w:w="1420" w:type="dxa"/>
            <w:vAlign w:val="bottom"/>
          </w:tcPr>
          <w:p>
            <w:pPr>
              <w:jc w:val="right"/>
              <w:spacing w:after="0"/>
              <w:rPr>
                <w:sz w:val="20"/>
                <w:szCs w:val="20"/>
                <w:color w:val="auto"/>
              </w:rPr>
            </w:pPr>
            <w:r>
              <w:rPr>
                <w:rFonts w:ascii="Arial" w:cs="Arial" w:eastAsia="Arial" w:hAnsi="Arial"/>
                <w:sz w:val="18"/>
                <w:szCs w:val="18"/>
                <w:color w:val="auto"/>
              </w:rPr>
              <w:t>24,445</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80,500</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(19,910)</w:t>
            </w:r>
          </w:p>
        </w:tc>
        <w:tc>
          <w:tcPr>
            <w:tcW w:w="7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(24,095)</w:t>
            </w: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Exchange differences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r>
      <w:tr>
        <w:trPr>
          <w:trHeight w:val="223"/>
        </w:trPr>
        <w:tc>
          <w:tcPr>
            <w:tcW w:w="7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Amortization expense recognized for the years ended December 31, 2018, 2019 and 2020 are summarized as follows:</w:t>
      </w:r>
    </w:p>
    <w:p>
      <w:pPr>
        <w:spacing w:after="0" w:line="239" w:lineRule="exact"/>
        <w:rPr>
          <w:sz w:val="20"/>
          <w:szCs w:val="20"/>
          <w:color w:val="auto"/>
        </w:rPr>
      </w:pPr>
    </w:p>
    <w:tbl>
      <w:tblPr>
        <w:tblLayout w:type="fixed"/>
        <w:tblInd w:w="880" w:type="dxa"/>
        <w:tblCellMar>
          <w:top w:w="0" w:type="dxa"/>
          <w:left w:w="0" w:type="dxa"/>
          <w:bottom w:w="0" w:type="dxa"/>
          <w:right w:w="0" w:type="dxa"/>
        </w:tblCellMar>
      </w:tblPr>
      <w:tr>
        <w:trPr>
          <w:trHeight w:val="229"/>
        </w:trPr>
        <w:tc>
          <w:tcPr>
            <w:tcW w:w="6140" w:type="dxa"/>
            <w:vAlign w:val="bottom"/>
          </w:tcPr>
          <w:p>
            <w:pPr>
              <w:spacing w:after="0"/>
              <w:rPr>
                <w:sz w:val="19"/>
                <w:szCs w:val="19"/>
                <w:color w:val="auto"/>
              </w:rPr>
            </w:pPr>
          </w:p>
        </w:tc>
        <w:tc>
          <w:tcPr>
            <w:tcW w:w="3480" w:type="dxa"/>
            <w:vAlign w:val="bottom"/>
            <w:gridSpan w:val="5"/>
          </w:tcPr>
          <w:p>
            <w:pPr>
              <w:ind w:left="820"/>
              <w:spacing w:after="0"/>
              <w:rPr>
                <w:sz w:val="20"/>
                <w:szCs w:val="20"/>
                <w:color w:val="auto"/>
              </w:rPr>
            </w:pPr>
            <w:r>
              <w:rPr>
                <w:rFonts w:ascii="Arial" w:cs="Arial" w:eastAsia="Arial" w:hAnsi="Arial"/>
                <w:sz w:val="18"/>
                <w:szCs w:val="18"/>
                <w:color w:val="auto"/>
                <w:w w:val="94"/>
              </w:rPr>
              <w:t>For the years ended December 31,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29"/>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4,771</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4,187</w:t>
            </w:r>
          </w:p>
        </w:tc>
        <w:tc>
          <w:tcPr>
            <w:tcW w:w="100" w:type="dxa"/>
            <w:vAlign w:val="bottom"/>
            <w:shd w:val="clear" w:color="auto" w:fill="CFF0FC"/>
          </w:tcPr>
          <w:p>
            <w:pPr>
              <w:spacing w:after="0"/>
              <w:rPr>
                <w:sz w:val="19"/>
                <w:szCs w:val="19"/>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r>
      <w:tr>
        <w:trPr>
          <w:trHeight w:val="223"/>
        </w:trPr>
        <w:tc>
          <w:tcPr>
            <w:tcW w:w="61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4,167</w:t>
            </w:r>
          </w:p>
        </w:tc>
        <w:tc>
          <w:tcPr>
            <w:tcW w:w="2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4,774</w:t>
            </w:r>
          </w:p>
        </w:tc>
        <w:tc>
          <w:tcPr>
            <w:tcW w:w="2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estimated aggregate amortization expense for each of the next five years as of December 31, 2020 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Amortization</w:t>
            </w:r>
          </w:p>
        </w:tc>
      </w:tr>
      <w:tr>
        <w:trPr>
          <w:trHeight w:val="216"/>
        </w:trPr>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expense</w:t>
            </w:r>
          </w:p>
        </w:tc>
      </w:tr>
      <w:tr>
        <w:trPr>
          <w:trHeight w:val="216"/>
        </w:trPr>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of intangible</w:t>
            </w:r>
          </w:p>
        </w:tc>
      </w:tr>
      <w:tr>
        <w:trPr>
          <w:trHeight w:val="230"/>
        </w:trPr>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assets</w:t>
            </w:r>
          </w:p>
        </w:tc>
      </w:tr>
      <w:tr>
        <w:trPr>
          <w:trHeight w:val="230"/>
        </w:trPr>
        <w:tc>
          <w:tcPr>
            <w:tcW w:w="72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16,963</w:t>
            </w:r>
          </w:p>
        </w:tc>
        <w:tc>
          <w:tcPr>
            <w:tcW w:w="120" w:type="dxa"/>
            <w:vAlign w:val="bottom"/>
            <w:shd w:val="clear" w:color="auto" w:fill="CFF0FC"/>
          </w:tcPr>
          <w:p>
            <w:pPr>
              <w:spacing w:after="0"/>
              <w:rPr>
                <w:sz w:val="19"/>
                <w:szCs w:val="19"/>
                <w:color w:val="auto"/>
              </w:rPr>
            </w:pPr>
          </w:p>
        </w:tc>
      </w:tr>
      <w:tr>
        <w:trPr>
          <w:trHeight w:val="230"/>
        </w:trPr>
        <w:tc>
          <w:tcPr>
            <w:tcW w:w="7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2022</w:t>
            </w:r>
          </w:p>
        </w:tc>
        <w:tc>
          <w:tcPr>
            <w:tcW w:w="7520" w:type="dxa"/>
            <w:vAlign w:val="bottom"/>
            <w:gridSpan w:val="2"/>
          </w:tcPr>
          <w:p>
            <w:pPr>
              <w:jc w:val="right"/>
              <w:spacing w:after="0"/>
              <w:rPr>
                <w:sz w:val="20"/>
                <w:szCs w:val="20"/>
                <w:color w:val="auto"/>
              </w:rPr>
            </w:pPr>
            <w:r>
              <w:rPr>
                <w:rFonts w:ascii="Arial" w:cs="Arial" w:eastAsia="Arial" w:hAnsi="Arial"/>
                <w:sz w:val="18"/>
                <w:szCs w:val="18"/>
                <w:color w:val="auto"/>
              </w:rPr>
              <w:t>11,622</w:t>
            </w:r>
          </w:p>
        </w:tc>
        <w:tc>
          <w:tcPr>
            <w:tcW w:w="120" w:type="dxa"/>
            <w:vAlign w:val="bottom"/>
          </w:tcPr>
          <w:p>
            <w:pPr>
              <w:spacing w:after="0"/>
              <w:rPr>
                <w:sz w:val="19"/>
                <w:szCs w:val="19"/>
                <w:color w:val="auto"/>
              </w:rPr>
            </w:pPr>
          </w:p>
        </w:tc>
      </w:tr>
      <w:tr>
        <w:trPr>
          <w:trHeight w:val="230"/>
        </w:trPr>
        <w:tc>
          <w:tcPr>
            <w:tcW w:w="72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7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11,449</w:t>
            </w:r>
          </w:p>
        </w:tc>
        <w:tc>
          <w:tcPr>
            <w:tcW w:w="120" w:type="dxa"/>
            <w:vAlign w:val="bottom"/>
            <w:shd w:val="clear" w:color="auto" w:fill="CFF0FC"/>
          </w:tcPr>
          <w:p>
            <w:pPr>
              <w:spacing w:after="0"/>
              <w:rPr>
                <w:sz w:val="19"/>
                <w:szCs w:val="19"/>
                <w:color w:val="auto"/>
              </w:rPr>
            </w:pPr>
          </w:p>
        </w:tc>
      </w:tr>
      <w:tr>
        <w:trPr>
          <w:trHeight w:val="229"/>
        </w:trPr>
        <w:tc>
          <w:tcPr>
            <w:tcW w:w="7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2024</w:t>
            </w:r>
          </w:p>
        </w:tc>
        <w:tc>
          <w:tcPr>
            <w:tcW w:w="7520" w:type="dxa"/>
            <w:vAlign w:val="bottom"/>
            <w:gridSpan w:val="2"/>
          </w:tcPr>
          <w:p>
            <w:pPr>
              <w:jc w:val="right"/>
              <w:spacing w:after="0"/>
              <w:rPr>
                <w:sz w:val="20"/>
                <w:szCs w:val="20"/>
                <w:color w:val="auto"/>
              </w:rPr>
            </w:pPr>
            <w:r>
              <w:rPr>
                <w:rFonts w:ascii="Arial" w:cs="Arial" w:eastAsia="Arial" w:hAnsi="Arial"/>
                <w:sz w:val="18"/>
                <w:szCs w:val="18"/>
                <w:color w:val="auto"/>
              </w:rPr>
              <w:t>11,068</w:t>
            </w:r>
          </w:p>
        </w:tc>
        <w:tc>
          <w:tcPr>
            <w:tcW w:w="120" w:type="dxa"/>
            <w:vAlign w:val="bottom"/>
          </w:tcPr>
          <w:p>
            <w:pPr>
              <w:spacing w:after="0"/>
              <w:rPr>
                <w:sz w:val="19"/>
                <w:szCs w:val="19"/>
                <w:color w:val="auto"/>
              </w:rPr>
            </w:pPr>
          </w:p>
        </w:tc>
      </w:tr>
      <w:tr>
        <w:trPr>
          <w:trHeight w:val="230"/>
        </w:trPr>
        <w:tc>
          <w:tcPr>
            <w:tcW w:w="72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2025 onwards</w:t>
            </w:r>
          </w:p>
        </w:tc>
        <w:tc>
          <w:tcPr>
            <w:tcW w:w="7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5,329</w:t>
            </w:r>
          </w:p>
        </w:tc>
        <w:tc>
          <w:tcPr>
            <w:tcW w:w="120" w:type="dxa"/>
            <w:vAlign w:val="bottom"/>
            <w:shd w:val="clear" w:color="auto" w:fill="CFF0FC"/>
          </w:tcPr>
          <w:p>
            <w:pPr>
              <w:spacing w:after="0"/>
              <w:rPr>
                <w:sz w:val="19"/>
                <w:szCs w:val="19"/>
                <w:color w:val="auto"/>
              </w:rPr>
            </w:pPr>
          </w:p>
        </w:tc>
      </w:tr>
      <w:tr>
        <w:trPr>
          <w:trHeight w:val="223"/>
        </w:trPr>
        <w:tc>
          <w:tcPr>
            <w:tcW w:w="7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56,431</w:t>
            </w:r>
          </w:p>
        </w:tc>
        <w:tc>
          <w:tcPr>
            <w:tcW w:w="120" w:type="dxa"/>
            <w:vAlign w:val="bottom"/>
          </w:tcPr>
          <w:p>
            <w:pPr>
              <w:spacing w:after="0"/>
              <w:rPr>
                <w:sz w:val="19"/>
                <w:szCs w:val="19"/>
                <w:color w:val="auto"/>
              </w:rPr>
            </w:pPr>
          </w:p>
        </w:tc>
      </w:tr>
      <w:tr>
        <w:trPr>
          <w:trHeight w:val="20"/>
        </w:trPr>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58"/>
        </w:trPr>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640" w:type="dxa"/>
            <w:vAlign w:val="bottom"/>
            <w:gridSpan w:val="3"/>
          </w:tcPr>
          <w:p>
            <w:pPr>
              <w:ind w:left="1860"/>
              <w:spacing w:after="0"/>
              <w:rPr>
                <w:sz w:val="20"/>
                <w:szCs w:val="20"/>
                <w:color w:val="auto"/>
              </w:rPr>
            </w:pPr>
            <w:r>
              <w:rPr>
                <w:rFonts w:ascii="Arial" w:cs="Arial" w:eastAsia="Arial" w:hAnsi="Arial"/>
                <w:sz w:val="18"/>
                <w:szCs w:val="18"/>
                <w:color w:val="auto"/>
              </w:rPr>
              <w:t>F-55</w:t>
            </w:r>
          </w:p>
        </w:tc>
      </w:tr>
      <w:tr>
        <w:trPr>
          <w:trHeight w:val="115"/>
        </w:trPr>
        <w:tc>
          <w:tcPr>
            <w:tcW w:w="72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60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88"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Movements on goodwill during the year were as follows:</w:t>
      </w:r>
    </w:p>
    <w:p>
      <w:pPr>
        <w:spacing w:after="0" w:line="252"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Marketing</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Enterprise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4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Solutions</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Solutions</w:t>
            </w: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Total</w:t>
            </w:r>
          </w:p>
        </w:tc>
      </w:tr>
      <w:tr>
        <w:trPr>
          <w:trHeight w:val="229"/>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January 1, 2019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48,496</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48,496</w:t>
            </w:r>
          </w:p>
        </w:tc>
        <w:tc>
          <w:tcPr>
            <w:tcW w:w="100" w:type="dxa"/>
            <w:vAlign w:val="bottom"/>
            <w:shd w:val="clear" w:color="auto" w:fill="CFF0FC"/>
          </w:tcPr>
          <w:p>
            <w:pPr>
              <w:spacing w:after="0"/>
              <w:rPr>
                <w:sz w:val="19"/>
                <w:szCs w:val="19"/>
                <w:color w:val="auto"/>
              </w:rPr>
            </w:pP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Goodwill arising from acquisitions during</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the year (Note 4(b)(c))</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16,089</w:t>
            </w:r>
          </w:p>
        </w:tc>
        <w:tc>
          <w:tcPr>
            <w:tcW w:w="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17,214</w:t>
            </w:r>
          </w:p>
        </w:tc>
        <w:tc>
          <w:tcPr>
            <w:tcW w:w="100" w:type="dxa"/>
            <w:vAlign w:val="bottom"/>
            <w:tcBorders>
              <w:bottom w:val="single" w:sz="8" w:color="CFF0FC"/>
            </w:tcBorders>
          </w:tcPr>
          <w:p>
            <w:pPr>
              <w:spacing w:after="0"/>
              <w:rPr>
                <w:sz w:val="20"/>
                <w:szCs w:val="20"/>
                <w:color w:val="auto"/>
              </w:rPr>
            </w:pP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49,621</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16,089</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65,710</w:t>
            </w:r>
          </w:p>
        </w:tc>
        <w:tc>
          <w:tcPr>
            <w:tcW w:w="100" w:type="dxa"/>
            <w:vAlign w:val="bottom"/>
            <w:shd w:val="clear" w:color="auto" w:fill="CFF0FC"/>
          </w:tcPr>
          <w:p>
            <w:pPr>
              <w:spacing w:after="0"/>
              <w:rPr>
                <w:sz w:val="19"/>
                <w:szCs w:val="19"/>
                <w:color w:val="auto"/>
              </w:rPr>
            </w:pP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Goodwill arising from acquisitions during</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the year (Note 4(e))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w:t>
            </w:r>
          </w:p>
        </w:tc>
        <w:tc>
          <w:tcPr>
            <w:tcW w:w="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5,306</w:t>
            </w:r>
          </w:p>
        </w:tc>
        <w:tc>
          <w:tcPr>
            <w:tcW w:w="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8,709</w:t>
            </w:r>
          </w:p>
        </w:tc>
        <w:tc>
          <w:tcPr>
            <w:tcW w:w="100" w:type="dxa"/>
            <w:vAlign w:val="bottom"/>
            <w:tcBorders>
              <w:bottom w:val="single" w:sz="8" w:color="CFF0FC"/>
            </w:tcBorders>
          </w:tcPr>
          <w:p>
            <w:pPr>
              <w:spacing w:after="0"/>
              <w:rPr>
                <w:sz w:val="20"/>
                <w:szCs w:val="20"/>
                <w:color w:val="auto"/>
              </w:rPr>
            </w:pPr>
          </w:p>
        </w:tc>
      </w:tr>
      <w:tr>
        <w:trPr>
          <w:trHeight w:val="223"/>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53,024</w:t>
            </w:r>
          </w:p>
        </w:tc>
        <w:tc>
          <w:tcPr>
            <w:tcW w:w="2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21,395</w:t>
            </w:r>
          </w:p>
        </w:tc>
        <w:tc>
          <w:tcPr>
            <w:tcW w:w="2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 impairment charge was recognized for the years ended December 31, 2018, 2019 and 2020, respectively.</w:t>
      </w:r>
    </w:p>
    <w:p>
      <w:pPr>
        <w:spacing w:after="0" w:line="200" w:lineRule="exact"/>
        <w:rPr>
          <w:sz w:val="20"/>
          <w:szCs w:val="20"/>
          <w:color w:val="auto"/>
        </w:rPr>
      </w:pPr>
    </w:p>
    <w:p>
      <w:pPr>
        <w:spacing w:after="0" w:line="224" w:lineRule="exact"/>
        <w:rPr>
          <w:sz w:val="20"/>
          <w:szCs w:val="20"/>
          <w:color w:val="auto"/>
        </w:rPr>
      </w:pPr>
    </w:p>
    <w:p>
      <w:pPr>
        <w:ind w:left="720" w:hanging="712"/>
        <w:spacing w:after="0"/>
        <w:tabs>
          <w:tab w:leader="none" w:pos="72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Lease accounting</w:t>
      </w:r>
    </w:p>
    <w:p>
      <w:pPr>
        <w:spacing w:after="0" w:line="188" w:lineRule="exact"/>
        <w:rPr>
          <w:rFonts w:ascii="Arial" w:cs="Arial" w:eastAsia="Arial" w:hAnsi="Arial"/>
          <w:sz w:val="18"/>
          <w:szCs w:val="18"/>
          <w:b w:val="1"/>
          <w:bCs w:val="1"/>
          <w:color w:val="auto"/>
        </w:rPr>
      </w:pPr>
    </w:p>
    <w:p>
      <w:pPr>
        <w:jc w:val="both"/>
        <w:ind w:left="7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adopted ASC 842 as of January 1, 2019. As part of the implementation, the Group recognized its lease liabilities, including the current and non-current portions, within its consolidated balance sheets as of the adoption date, which represents the present value of the Group’s obligation related to the estimated future lease payments. The Group also recognized ROU assets which represent the right to use the leased assets over the period of individual leases. The ROU assets were calculated as the lease liabilities less any asset or liability balances that existed at the time of adoption. The amortization expense of ROU assets amounted to US$1,548 and US$1,930 for the years ended December 31, 2019 and 2020, respectively.</w:t>
      </w:r>
    </w:p>
    <w:p>
      <w:pPr>
        <w:spacing w:after="0" w:line="205" w:lineRule="exact"/>
        <w:rPr>
          <w:rFonts w:ascii="Arial" w:cs="Arial" w:eastAsia="Arial" w:hAnsi="Arial"/>
          <w:sz w:val="18"/>
          <w:szCs w:val="18"/>
          <w:b w:val="1"/>
          <w:bCs w:val="1"/>
          <w:color w:val="auto"/>
        </w:rPr>
      </w:pPr>
    </w:p>
    <w:p>
      <w:pPr>
        <w:jc w:val="both"/>
        <w:ind w:left="72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lease term is generally specified in lease agreements, however certain agreements provide for lease term extensions or early termination options. To determine the period for the estimated future lease payments, the Group evaluates whether it is reasonably certain that it will exercise the option at the commencement date and periodically thereafter. The lease terms of the Group’s operating leases generally ranged from 12 to 60 months (2019: 12 to 39 months), and the weighted average remaining lease term as of December 31, 2020 was 13 months (2019: 18 months).</w:t>
      </w:r>
    </w:p>
    <w:p>
      <w:pPr>
        <w:spacing w:after="0" w:line="170" w:lineRule="exact"/>
        <w:rPr>
          <w:rFonts w:ascii="Arial" w:cs="Arial" w:eastAsia="Arial" w:hAnsi="Arial"/>
          <w:sz w:val="18"/>
          <w:szCs w:val="18"/>
          <w:b w:val="1"/>
          <w:bCs w:val="1"/>
          <w:color w:val="auto"/>
        </w:rPr>
      </w:pPr>
    </w:p>
    <w:p>
      <w:pPr>
        <w:jc w:val="both"/>
        <w:ind w:left="7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To determine the estimated future lease payments, the Group reviews each of its lease agreements to identify the various payment components. The Group includes only the actual lease components in its determination of future lease payments for all the leases. Once the estimated future lease payments are determined, the Group uses a discount rate to calculate the present value of the future lease payments. As of December 31, 2020, a weighted average discount rate of 6.5% (2019: 7%) has been applied to the remaining lease payments to calculate the lease liabilities included within the consolidated balance sheets. This represents the incremental borrowing rate the Group would be subject to on borrowings from its available revolving debt agreements.</w:t>
      </w:r>
    </w:p>
    <w:p>
      <w:pPr>
        <w:spacing w:after="0" w:line="205"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maturity of the Group’s operating lease liabilities as of December 31,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6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FF0FC"/>
          </w:tcPr>
          <w:p>
            <w:pPr>
              <w:spacing w:after="0"/>
              <w:rPr>
                <w:sz w:val="19"/>
                <w:szCs w:val="19"/>
                <w:color w:val="auto"/>
              </w:rPr>
            </w:pPr>
          </w:p>
        </w:tc>
      </w:tr>
      <w:tr>
        <w:trPr>
          <w:trHeight w:val="229"/>
        </w:trPr>
        <w:tc>
          <w:tcPr>
            <w:tcW w:w="100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2022</w:t>
            </w:r>
          </w:p>
        </w:tc>
        <w:tc>
          <w:tcPr>
            <w:tcW w:w="6220" w:type="dxa"/>
            <w:vAlign w:val="bottom"/>
            <w:gridSpan w:val="2"/>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FF0FC"/>
          </w:tcPr>
          <w:p>
            <w:pPr>
              <w:spacing w:after="0"/>
              <w:rPr>
                <w:sz w:val="19"/>
                <w:szCs w:val="19"/>
                <w:color w:val="auto"/>
              </w:rPr>
            </w:pPr>
          </w:p>
        </w:tc>
      </w:tr>
      <w:tr>
        <w:trPr>
          <w:trHeight w:val="223"/>
        </w:trPr>
        <w:tc>
          <w:tcPr>
            <w:tcW w:w="100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operating lease payments (undiscounted)</w:t>
            </w:r>
          </w:p>
        </w:tc>
        <w:tc>
          <w:tcPr>
            <w:tcW w:w="452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63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(204)</w:t>
            </w:r>
          </w:p>
        </w:tc>
      </w:tr>
      <w:tr>
        <w:trPr>
          <w:trHeight w:val="223"/>
        </w:trPr>
        <w:tc>
          <w:tcPr>
            <w:tcW w:w="100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operating lease liabilities (discounted)</w:t>
            </w:r>
          </w:p>
        </w:tc>
        <w:tc>
          <w:tcPr>
            <w:tcW w:w="452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3,328</w:t>
            </w:r>
          </w:p>
        </w:tc>
        <w:tc>
          <w:tcPr>
            <w:tcW w:w="12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71"/>
        </w:trPr>
        <w:tc>
          <w:tcPr>
            <w:tcW w:w="1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340" w:type="dxa"/>
            <w:vAlign w:val="bottom"/>
            <w:gridSpan w:val="3"/>
          </w:tcPr>
          <w:p>
            <w:pPr>
              <w:jc w:val="right"/>
              <w:ind w:right="5440"/>
              <w:spacing w:after="0"/>
              <w:rPr>
                <w:sz w:val="20"/>
                <w:szCs w:val="20"/>
                <w:color w:val="auto"/>
              </w:rPr>
            </w:pPr>
            <w:r>
              <w:rPr>
                <w:rFonts w:ascii="Arial" w:cs="Arial" w:eastAsia="Arial" w:hAnsi="Arial"/>
                <w:sz w:val="18"/>
                <w:szCs w:val="18"/>
                <w:color w:val="auto"/>
              </w:rPr>
              <w:t>F-56</w:t>
            </w:r>
          </w:p>
        </w:tc>
      </w:tr>
      <w:tr>
        <w:trPr>
          <w:trHeight w:val="115"/>
        </w:trPr>
        <w:tc>
          <w:tcPr>
            <w:tcW w:w="100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20" w:hanging="712"/>
        <w:spacing w:after="0"/>
        <w:tabs>
          <w:tab w:leader="none" w:pos="72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Lease accounting (Continued)</w:t>
      </w:r>
    </w:p>
    <w:p>
      <w:pPr>
        <w:spacing w:after="0" w:line="242" w:lineRule="exact"/>
        <w:rPr>
          <w:rFonts w:ascii="Arial" w:cs="Arial" w:eastAsia="Arial" w:hAnsi="Arial"/>
          <w:sz w:val="18"/>
          <w:szCs w:val="18"/>
          <w:b w:val="1"/>
          <w:bCs w:val="1"/>
          <w:color w:val="auto"/>
        </w:rPr>
      </w:pPr>
    </w:p>
    <w:p>
      <w:pPr>
        <w:jc w:val="both"/>
        <w:ind w:left="7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Lease expenses for these leases are recognized on a straight-line basis over the lease term. For short-term leases over which the Group has elected not to apply the recognition requirements of ASC 842, the Group has recognized the lease payments as expenses on a straight-line basis over the lease term. For the year ended December 31, 2018, total rental expenses under all operating leases was US$2,737. For the years ended December 31, 2019 and 2020, total lease cost is comprised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20" w:type="dxa"/>
            <w:vAlign w:val="bottom"/>
            <w:gridSpan w:val="7"/>
          </w:tcPr>
          <w:p>
            <w:pPr>
              <w:jc w:val="right"/>
              <w:ind w:right="520"/>
              <w:spacing w:after="0"/>
              <w:rPr>
                <w:sz w:val="20"/>
                <w:szCs w:val="20"/>
                <w:color w:val="auto"/>
              </w:rPr>
            </w:pPr>
            <w:r>
              <w:rPr>
                <w:rFonts w:ascii="Arial" w:cs="Arial" w:eastAsia="Arial" w:hAnsi="Arial"/>
                <w:sz w:val="18"/>
                <w:szCs w:val="18"/>
                <w:color w:val="auto"/>
                <w:w w:val="88"/>
              </w:rPr>
              <w:t>For the years ended December 31,</w:t>
            </w:r>
          </w:p>
        </w:tc>
      </w:tr>
      <w:tr>
        <w:trPr>
          <w:trHeight w:val="230"/>
        </w:trPr>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30"/>
        </w:trPr>
        <w:tc>
          <w:tcPr>
            <w:tcW w:w="460" w:type="dxa"/>
            <w:vAlign w:val="bottom"/>
          </w:tcPr>
          <w:p>
            <w:pPr>
              <w:spacing w:after="0"/>
              <w:rPr>
                <w:sz w:val="19"/>
                <w:szCs w:val="19"/>
                <w:color w:val="auto"/>
              </w:rPr>
            </w:pPr>
          </w:p>
        </w:tc>
        <w:tc>
          <w:tcPr>
            <w:tcW w:w="400" w:type="dxa"/>
            <w:vAlign w:val="bottom"/>
            <w:tcBorders>
              <w:right w:val="single" w:sz="8" w:color="CFF0FC"/>
            </w:tcBorders>
          </w:tcPr>
          <w:p>
            <w:pPr>
              <w:spacing w:after="0"/>
              <w:rPr>
                <w:sz w:val="19"/>
                <w:szCs w:val="19"/>
                <w:color w:val="auto"/>
              </w:rPr>
            </w:pPr>
          </w:p>
        </w:tc>
        <w:tc>
          <w:tcPr>
            <w:tcW w:w="7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Relating to the operating lease liabilities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120" w:type="dxa"/>
            <w:vAlign w:val="bottom"/>
            <w:shd w:val="clear" w:color="auto" w:fill="CFF0FC"/>
          </w:tcPr>
          <w:p>
            <w:pPr>
              <w:spacing w:after="0"/>
              <w:rPr>
                <w:sz w:val="19"/>
                <w:szCs w:val="19"/>
                <w:color w:val="auto"/>
              </w:rPr>
            </w:pPr>
          </w:p>
        </w:tc>
      </w:tr>
      <w:tr>
        <w:trPr>
          <w:trHeight w:val="229"/>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Arial" w:cs="Arial" w:eastAsia="Arial" w:hAnsi="Arial"/>
                <w:sz w:val="18"/>
                <w:szCs w:val="18"/>
                <w:color w:val="auto"/>
              </w:rPr>
              <w:t>Relating to short-term leases</w:t>
            </w:r>
          </w:p>
        </w:tc>
        <w:tc>
          <w:tcPr>
            <w:tcW w:w="1120" w:type="dxa"/>
            <w:vAlign w:val="bottom"/>
          </w:tcPr>
          <w:p>
            <w:pPr>
              <w:jc w:val="right"/>
              <w:spacing w:after="0"/>
              <w:rPr>
                <w:sz w:val="20"/>
                <w:szCs w:val="20"/>
                <w:color w:val="auto"/>
              </w:rPr>
            </w:pPr>
            <w:r>
              <w:rPr>
                <w:rFonts w:ascii="Arial" w:cs="Arial" w:eastAsia="Arial" w:hAnsi="Arial"/>
                <w:sz w:val="18"/>
                <w:szCs w:val="18"/>
                <w:color w:val="auto"/>
              </w:rPr>
              <w:t>887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400" w:type="dxa"/>
            <w:vAlign w:val="bottom"/>
            <w:tcBorders>
              <w:right w:val="single" w:sz="8" w:color="CFF0FC"/>
            </w:tcBorders>
          </w:tcPr>
          <w:p>
            <w:pPr>
              <w:spacing w:after="0"/>
              <w:rPr>
                <w:sz w:val="19"/>
                <w:szCs w:val="19"/>
                <w:color w:val="auto"/>
              </w:rPr>
            </w:pPr>
          </w:p>
        </w:tc>
        <w:tc>
          <w:tcPr>
            <w:tcW w:w="70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460" w:type="dxa"/>
            <w:vAlign w:val="bottom"/>
          </w:tcPr>
          <w:p>
            <w:pPr>
              <w:spacing w:after="0"/>
              <w:rPr>
                <w:sz w:val="24"/>
                <w:szCs w:val="24"/>
                <w:color w:val="auto"/>
              </w:rPr>
            </w:pPr>
          </w:p>
        </w:tc>
        <w:tc>
          <w:tcPr>
            <w:tcW w:w="9900" w:type="dxa"/>
            <w:vAlign w:val="bottom"/>
            <w:gridSpan w:val="9"/>
          </w:tcPr>
          <w:p>
            <w:pPr>
              <w:ind w:left="280"/>
              <w:spacing w:after="0"/>
              <w:rPr>
                <w:sz w:val="20"/>
                <w:szCs w:val="20"/>
                <w:color w:val="auto"/>
              </w:rPr>
            </w:pPr>
            <w:r>
              <w:rPr>
                <w:rFonts w:ascii="Arial" w:cs="Arial" w:eastAsia="Arial" w:hAnsi="Arial"/>
                <w:sz w:val="18"/>
                <w:szCs w:val="18"/>
                <w:color w:val="auto"/>
              </w:rPr>
              <w:t>Supplemental cash flow information related to operating leases for the year ended December 31, 2020 was as follows: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7"/>
          </w:tcPr>
          <w:p>
            <w:pPr>
              <w:jc w:val="right"/>
              <w:ind w:right="520"/>
              <w:spacing w:after="0"/>
              <w:rPr>
                <w:sz w:val="20"/>
                <w:szCs w:val="20"/>
                <w:color w:val="auto"/>
              </w:rPr>
            </w:pPr>
            <w:r>
              <w:rPr>
                <w:rFonts w:ascii="Arial" w:cs="Arial" w:eastAsia="Arial" w:hAnsi="Arial"/>
                <w:sz w:val="18"/>
                <w:szCs w:val="18"/>
                <w:color w:val="auto"/>
                <w:w w:val="88"/>
              </w:rPr>
              <w:t>For the years ended December 31,</w:t>
            </w:r>
          </w:p>
        </w:tc>
      </w:tr>
      <w:tr>
        <w:trPr>
          <w:trHeight w:val="230"/>
        </w:trPr>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15"/>
        </w:trPr>
        <w:tc>
          <w:tcPr>
            <w:tcW w:w="460" w:type="dxa"/>
            <w:vAlign w:val="bottom"/>
          </w:tcPr>
          <w:p>
            <w:pPr>
              <w:spacing w:after="0"/>
              <w:rPr>
                <w:sz w:val="18"/>
                <w:szCs w:val="18"/>
                <w:color w:val="auto"/>
              </w:rPr>
            </w:pPr>
          </w:p>
        </w:tc>
        <w:tc>
          <w:tcPr>
            <w:tcW w:w="400" w:type="dxa"/>
            <w:vAlign w:val="bottom"/>
            <w:tcBorders>
              <w:right w:val="single" w:sz="8" w:color="CFF0FC"/>
            </w:tcBorders>
          </w:tcPr>
          <w:p>
            <w:pPr>
              <w:spacing w:after="0"/>
              <w:rPr>
                <w:sz w:val="18"/>
                <w:szCs w:val="18"/>
                <w:color w:val="auto"/>
              </w:rPr>
            </w:pPr>
          </w:p>
        </w:tc>
        <w:tc>
          <w:tcPr>
            <w:tcW w:w="7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payments for amounts included in the</w:t>
            </w: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400" w:type="dxa"/>
            <w:vAlign w:val="bottom"/>
            <w:tcBorders>
              <w:right w:val="single" w:sz="8" w:color="CFF0FC"/>
            </w:tcBorders>
          </w:tcPr>
          <w:p>
            <w:pPr>
              <w:spacing w:after="0"/>
              <w:rPr>
                <w:sz w:val="20"/>
                <w:szCs w:val="20"/>
                <w:color w:val="auto"/>
              </w:rPr>
            </w:pPr>
          </w:p>
        </w:tc>
        <w:tc>
          <w:tcPr>
            <w:tcW w:w="736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measurement of operating lease liabilities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120" w:type="dxa"/>
            <w:vAlign w:val="bottom"/>
            <w:shd w:val="clear" w:color="auto" w:fill="CFF0FC"/>
          </w:tcPr>
          <w:p>
            <w:pPr>
              <w:spacing w:after="0"/>
              <w:rPr>
                <w:sz w:val="20"/>
                <w:szCs w:val="20"/>
                <w:color w:val="auto"/>
              </w:rPr>
            </w:pPr>
          </w:p>
        </w:tc>
      </w:tr>
      <w:tr>
        <w:trPr>
          <w:trHeight w:val="215"/>
        </w:trPr>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360" w:type="dxa"/>
            <w:vAlign w:val="bottom"/>
            <w:gridSpan w:val="3"/>
          </w:tcPr>
          <w:p>
            <w:pPr>
              <w:spacing w:after="0"/>
              <w:rPr>
                <w:sz w:val="20"/>
                <w:szCs w:val="20"/>
                <w:color w:val="auto"/>
              </w:rPr>
            </w:pPr>
            <w:r>
              <w:rPr>
                <w:rFonts w:ascii="Arial" w:cs="Arial" w:eastAsia="Arial" w:hAnsi="Arial"/>
                <w:sz w:val="18"/>
                <w:szCs w:val="18"/>
                <w:color w:val="auto"/>
              </w:rPr>
              <w:t>Right-of-use assets obtained in exchange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for operating lease liabilities</w:t>
            </w:r>
          </w:p>
        </w:tc>
        <w:tc>
          <w:tcPr>
            <w:tcW w:w="360" w:type="dxa"/>
            <w:vAlign w:val="bottom"/>
            <w:tcBorders>
              <w:bottom w:val="single" w:sz="8" w:color="auto"/>
            </w:tcBorders>
            <w:gridSpan w:val="2"/>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w:t>
            </w:r>
          </w:p>
        </w:tc>
        <w:tc>
          <w:tcPr>
            <w:tcW w:w="120" w:type="dxa"/>
            <w:vAlign w:val="bottom"/>
          </w:tcPr>
          <w:p>
            <w:pPr>
              <w:spacing w:after="0"/>
              <w:rPr>
                <w:sz w:val="20"/>
                <w:szCs w:val="20"/>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15</w:t>
            </w:r>
          </w:p>
        </w:tc>
        <w:tc>
          <w:tcPr>
            <w:tcW w:w="7760" w:type="dxa"/>
            <w:vAlign w:val="bottom"/>
            <w:gridSpan w:val="4"/>
          </w:tcPr>
          <w:p>
            <w:pPr>
              <w:ind w:left="260"/>
              <w:spacing w:after="0"/>
              <w:rPr>
                <w:sz w:val="20"/>
                <w:szCs w:val="20"/>
                <w:color w:val="auto"/>
              </w:rPr>
            </w:pPr>
            <w:r>
              <w:rPr>
                <w:rFonts w:ascii="Arial" w:cs="Arial" w:eastAsia="Arial" w:hAnsi="Arial"/>
                <w:sz w:val="18"/>
                <w:szCs w:val="18"/>
                <w:b w:val="1"/>
                <w:bCs w:val="1"/>
                <w:color w:val="auto"/>
              </w:rPr>
              <w:t>Deferred revenue</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8"/>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center"/>
              <w:ind w:left="430"/>
              <w:spacing w:after="0"/>
              <w:rPr>
                <w:sz w:val="20"/>
                <w:szCs w:val="20"/>
                <w:color w:val="auto"/>
              </w:rPr>
            </w:pPr>
            <w:r>
              <w:rPr>
                <w:rFonts w:ascii="Arial" w:cs="Arial" w:eastAsia="Arial" w:hAnsi="Arial"/>
                <w:sz w:val="18"/>
                <w:szCs w:val="18"/>
                <w:color w:val="auto"/>
                <w:w w:val="91"/>
              </w:rPr>
              <w:t>As of December 31,</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360" w:type="dxa"/>
            <w:vAlign w:val="bottom"/>
            <w:gridSpan w:val="3"/>
          </w:tcPr>
          <w:p>
            <w:pPr>
              <w:spacing w:after="0"/>
              <w:rPr>
                <w:sz w:val="20"/>
                <w:szCs w:val="20"/>
                <w:color w:val="auto"/>
              </w:rPr>
            </w:pPr>
            <w:r>
              <w:rPr>
                <w:rFonts w:ascii="Arial" w:cs="Arial" w:eastAsia="Arial" w:hAnsi="Arial"/>
                <w:sz w:val="18"/>
                <w:szCs w:val="18"/>
                <w:color w:val="auto"/>
              </w:rPr>
              <w:t>Deferred revenue, current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27,089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28,199</w:t>
            </w:r>
          </w:p>
        </w:tc>
        <w:tc>
          <w:tcPr>
            <w:tcW w:w="120" w:type="dxa"/>
            <w:vAlign w:val="bottom"/>
          </w:tcPr>
          <w:p>
            <w:pPr>
              <w:spacing w:after="0"/>
              <w:rPr>
                <w:sz w:val="20"/>
                <w:szCs w:val="20"/>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460" w:type="dxa"/>
            <w:vAlign w:val="bottom"/>
          </w:tcPr>
          <w:p>
            <w:pPr>
              <w:spacing w:after="0"/>
              <w:rPr>
                <w:sz w:val="24"/>
                <w:szCs w:val="24"/>
                <w:color w:val="auto"/>
              </w:rPr>
            </w:pPr>
          </w:p>
        </w:tc>
        <w:tc>
          <w:tcPr>
            <w:tcW w:w="7760" w:type="dxa"/>
            <w:vAlign w:val="bottom"/>
            <w:gridSpan w:val="4"/>
          </w:tcPr>
          <w:p>
            <w:pPr>
              <w:ind w:left="280"/>
              <w:spacing w:after="0"/>
              <w:rPr>
                <w:sz w:val="20"/>
                <w:szCs w:val="20"/>
                <w:color w:val="auto"/>
              </w:rPr>
            </w:pPr>
            <w:r>
              <w:rPr>
                <w:rFonts w:ascii="Arial" w:cs="Arial" w:eastAsia="Arial" w:hAnsi="Arial"/>
                <w:sz w:val="18"/>
                <w:szCs w:val="18"/>
                <w:color w:val="auto"/>
                <w:w w:val="89"/>
              </w:rPr>
              <w:t>Changes in deferred revenue balance for the years ended December 31, 2019 and 2020 were as follows: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center"/>
              <w:ind w:left="430"/>
              <w:spacing w:after="0"/>
              <w:rPr>
                <w:sz w:val="20"/>
                <w:szCs w:val="20"/>
                <w:color w:val="auto"/>
              </w:rPr>
            </w:pPr>
            <w:r>
              <w:rPr>
                <w:rFonts w:ascii="Arial" w:cs="Arial" w:eastAsia="Arial" w:hAnsi="Arial"/>
                <w:sz w:val="18"/>
                <w:szCs w:val="18"/>
                <w:color w:val="auto"/>
                <w:w w:val="88"/>
              </w:rPr>
              <w:t>For the years ended</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5"/>
          </w:tcPr>
          <w:p>
            <w:pPr>
              <w:jc w:val="center"/>
              <w:ind w:left="430"/>
              <w:spacing w:after="0"/>
              <w:rPr>
                <w:sz w:val="20"/>
                <w:szCs w:val="20"/>
                <w:color w:val="auto"/>
              </w:rPr>
            </w:pPr>
            <w:r>
              <w:rPr>
                <w:rFonts w:ascii="Arial" w:cs="Arial" w:eastAsia="Arial" w:hAnsi="Arial"/>
                <w:sz w:val="18"/>
                <w:szCs w:val="18"/>
                <w:color w:val="auto"/>
                <w:w w:val="90"/>
              </w:rPr>
              <w:t>December 31,</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30"/>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27,191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27,089</w:t>
            </w:r>
          </w:p>
        </w:tc>
        <w:tc>
          <w:tcPr>
            <w:tcW w:w="120" w:type="dxa"/>
            <w:vAlign w:val="bottom"/>
            <w:shd w:val="clear" w:color="auto" w:fill="CFF0FC"/>
          </w:tcPr>
          <w:p>
            <w:pPr>
              <w:spacing w:after="0"/>
              <w:rPr>
                <w:sz w:val="19"/>
                <w:szCs w:val="19"/>
                <w:color w:val="auto"/>
              </w:rPr>
            </w:pPr>
          </w:p>
        </w:tc>
      </w:tr>
      <w:tr>
        <w:trPr>
          <w:trHeight w:val="229"/>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Arial" w:cs="Arial" w:eastAsia="Arial" w:hAnsi="Arial"/>
                <w:sz w:val="18"/>
                <w:szCs w:val="18"/>
                <w:color w:val="auto"/>
              </w:rPr>
              <w:t>Additions to deferred revenue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260,051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203,221</w:t>
            </w:r>
          </w:p>
        </w:tc>
        <w:tc>
          <w:tcPr>
            <w:tcW w:w="12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Recognition of deferred revenue as revenues</w:t>
            </w:r>
          </w:p>
        </w:tc>
        <w:tc>
          <w:tcPr>
            <w:tcW w:w="14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(259,574)</w:t>
            </w: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(203,599)</w:t>
            </w:r>
          </w:p>
        </w:tc>
      </w:tr>
      <w:tr>
        <w:trPr>
          <w:trHeight w:val="230"/>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Arial" w:cs="Arial" w:eastAsia="Arial" w:hAnsi="Arial"/>
                <w:sz w:val="18"/>
                <w:szCs w:val="18"/>
                <w:color w:val="auto"/>
              </w:rPr>
              <w:t>Exchange differences</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(579)</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end of year</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27,089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72"/>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60" w:type="dxa"/>
            <w:vAlign w:val="bottom"/>
            <w:gridSpan w:val="3"/>
          </w:tcPr>
          <w:p>
            <w:pPr>
              <w:ind w:left="4600"/>
              <w:spacing w:after="0"/>
              <w:rPr>
                <w:sz w:val="20"/>
                <w:szCs w:val="20"/>
                <w:color w:val="auto"/>
              </w:rPr>
            </w:pPr>
            <w:r>
              <w:rPr>
                <w:rFonts w:ascii="Arial" w:cs="Arial" w:eastAsia="Arial" w:hAnsi="Arial"/>
                <w:sz w:val="18"/>
                <w:szCs w:val="18"/>
                <w:color w:val="auto"/>
              </w:rPr>
              <w:t>F-57</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 and other liabilities</w:t>
      </w:r>
    </w:p>
    <w:p>
      <w:pPr>
        <w:spacing w:after="0" w:line="188"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and other liabilities consist of the following:</w:t>
      </w:r>
    </w:p>
    <w:p>
      <w:pPr>
        <w:spacing w:after="0" w:line="252"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7140" w:type="dxa"/>
            <w:vAlign w:val="bottom"/>
          </w:tcPr>
          <w:p>
            <w:pPr>
              <w:spacing w:after="0"/>
              <w:rPr>
                <w:sz w:val="19"/>
                <w:szCs w:val="19"/>
                <w:color w:val="auto"/>
              </w:rPr>
            </w:pPr>
          </w:p>
        </w:tc>
        <w:tc>
          <w:tcPr>
            <w:tcW w:w="2440" w:type="dxa"/>
            <w:vAlign w:val="bottom"/>
            <w:gridSpan w:val="3"/>
          </w:tcPr>
          <w:p>
            <w:pPr>
              <w:ind w:left="820"/>
              <w:spacing w:after="0"/>
              <w:rPr>
                <w:sz w:val="20"/>
                <w:szCs w:val="20"/>
                <w:color w:val="auto"/>
              </w:rPr>
            </w:pPr>
            <w:r>
              <w:rPr>
                <w:rFonts w:ascii="Arial" w:cs="Arial" w:eastAsia="Arial" w:hAnsi="Arial"/>
                <w:sz w:val="18"/>
                <w:szCs w:val="18"/>
                <w:color w:val="auto"/>
              </w:rPr>
              <w:t>As of December 31,</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43"/>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Rebates payable to customers</w:t>
            </w:r>
          </w:p>
        </w:tc>
        <w:tc>
          <w:tcPr>
            <w:tcW w:w="1420" w:type="dxa"/>
            <w:vAlign w:val="bottom"/>
          </w:tcPr>
          <w:p>
            <w:pPr>
              <w:jc w:val="right"/>
              <w:spacing w:after="0"/>
              <w:rPr>
                <w:sz w:val="20"/>
                <w:szCs w:val="20"/>
                <w:color w:val="auto"/>
              </w:rPr>
            </w:pPr>
            <w:r>
              <w:rPr>
                <w:rFonts w:ascii="Arial" w:cs="Arial" w:eastAsia="Arial" w:hAnsi="Arial"/>
                <w:sz w:val="18"/>
                <w:szCs w:val="18"/>
                <w:color w:val="auto"/>
              </w:rPr>
              <w:t>2,260</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VAT and other taxes payable</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3,440</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w:t>
            </w:r>
          </w:p>
        </w:tc>
        <w:tc>
          <w:tcPr>
            <w:tcW w:w="120" w:type="dxa"/>
            <w:vAlign w:val="bottom"/>
            <w:shd w:val="clear" w:color="auto" w:fill="CFF0FC"/>
          </w:tcPr>
          <w:p>
            <w:pPr>
              <w:spacing w:after="0"/>
              <w:rPr>
                <w:sz w:val="19"/>
                <w:szCs w:val="19"/>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Security deposit received from customers</w:t>
            </w:r>
          </w:p>
        </w:tc>
        <w:tc>
          <w:tcPr>
            <w:tcW w:w="1420" w:type="dxa"/>
            <w:vAlign w:val="bottom"/>
          </w:tcPr>
          <w:p>
            <w:pPr>
              <w:jc w:val="right"/>
              <w:spacing w:after="0"/>
              <w:rPr>
                <w:sz w:val="20"/>
                <w:szCs w:val="20"/>
                <w:color w:val="auto"/>
              </w:rPr>
            </w:pPr>
            <w:r>
              <w:rPr>
                <w:rFonts w:ascii="Arial" w:cs="Arial" w:eastAsia="Arial" w:hAnsi="Arial"/>
                <w:sz w:val="18"/>
                <w:szCs w:val="18"/>
                <w:color w:val="auto"/>
              </w:rPr>
              <w:t>610</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9"/>
                <w:szCs w:val="19"/>
                <w:color w:val="auto"/>
              </w:rPr>
            </w:pPr>
          </w:p>
        </w:tc>
      </w:tr>
      <w:tr>
        <w:trPr>
          <w:trHeight w:val="229"/>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benefits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4,756</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8,968</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420" w:type="dxa"/>
            <w:vAlign w:val="bottom"/>
          </w:tcPr>
          <w:p>
            <w:pPr>
              <w:jc w:val="right"/>
              <w:spacing w:after="0"/>
              <w:rPr>
                <w:sz w:val="20"/>
                <w:szCs w:val="20"/>
                <w:color w:val="auto"/>
              </w:rPr>
            </w:pPr>
            <w:r>
              <w:rPr>
                <w:rFonts w:ascii="Arial" w:cs="Arial" w:eastAsia="Arial" w:hAnsi="Arial"/>
                <w:sz w:val="18"/>
                <w:szCs w:val="18"/>
                <w:color w:val="auto"/>
              </w:rPr>
              <w:t>3,662</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5,951</w:t>
            </w:r>
          </w:p>
        </w:tc>
        <w:tc>
          <w:tcPr>
            <w:tcW w:w="120" w:type="dxa"/>
            <w:vAlign w:val="bottom"/>
          </w:tcPr>
          <w:p>
            <w:pPr>
              <w:spacing w:after="0"/>
              <w:rPr>
                <w:sz w:val="19"/>
                <w:szCs w:val="19"/>
                <w:color w:val="auto"/>
              </w:rPr>
            </w:pPr>
          </w:p>
        </w:tc>
      </w:tr>
      <w:tr>
        <w:trPr>
          <w:trHeight w:val="229"/>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Accrued marketing and hosting expense</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Consideration payable (Note 4(e))</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3,376</w:t>
            </w:r>
          </w:p>
        </w:tc>
        <w:tc>
          <w:tcPr>
            <w:tcW w:w="120" w:type="dxa"/>
            <w:vAlign w:val="bottom"/>
          </w:tcPr>
          <w:p>
            <w:pPr>
              <w:spacing w:after="0"/>
              <w:rPr>
                <w:sz w:val="19"/>
                <w:szCs w:val="19"/>
                <w:color w:val="auto"/>
              </w:rPr>
            </w:pPr>
          </w:p>
        </w:tc>
      </w:tr>
      <w:tr>
        <w:trPr>
          <w:trHeight w:val="229"/>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Others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2,723</w:t>
            </w:r>
          </w:p>
        </w:tc>
        <w:tc>
          <w:tcPr>
            <w:tcW w:w="2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FF0FC"/>
          </w:tcPr>
          <w:p>
            <w:pPr>
              <w:spacing w:after="0"/>
              <w:rPr>
                <w:sz w:val="19"/>
                <w:szCs w:val="19"/>
                <w:color w:val="auto"/>
              </w:rPr>
            </w:pPr>
          </w:p>
        </w:tc>
      </w:tr>
      <w:tr>
        <w:trPr>
          <w:trHeight w:val="223"/>
        </w:trPr>
        <w:tc>
          <w:tcPr>
            <w:tcW w:w="71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19,937</w:t>
            </w:r>
          </w:p>
        </w:tc>
        <w:tc>
          <w:tcPr>
            <w:tcW w:w="2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29,331</w:t>
            </w:r>
          </w:p>
        </w:tc>
        <w:tc>
          <w:tcPr>
            <w:tcW w:w="12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7140" w:type="dxa"/>
            <w:vAlign w:val="bottom"/>
          </w:tcPr>
          <w:p>
            <w:pPr>
              <w:spacing w:after="0"/>
              <w:rPr>
                <w:sz w:val="24"/>
                <w:szCs w:val="24"/>
                <w:color w:val="auto"/>
              </w:rPr>
            </w:pPr>
          </w:p>
        </w:tc>
        <w:tc>
          <w:tcPr>
            <w:tcW w:w="2440" w:type="dxa"/>
            <w:vAlign w:val="bottom"/>
            <w:gridSpan w:val="3"/>
          </w:tcPr>
          <w:p>
            <w:pPr>
              <w:ind w:left="820"/>
              <w:spacing w:after="0"/>
              <w:rPr>
                <w:sz w:val="20"/>
                <w:szCs w:val="20"/>
                <w:color w:val="auto"/>
              </w:rPr>
            </w:pPr>
            <w:r>
              <w:rPr>
                <w:rFonts w:ascii="Arial" w:cs="Arial" w:eastAsia="Arial" w:hAnsi="Arial"/>
                <w:sz w:val="18"/>
                <w:szCs w:val="18"/>
                <w:color w:val="auto"/>
              </w:rPr>
              <w:t>As of December 31,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7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Non-current</w:t>
            </w: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Deferred other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r>
      <w:tr>
        <w:trPr>
          <w:trHeight w:val="229"/>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Advance from a former non-controlling interest (Note)</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4,521</w:t>
            </w:r>
          </w:p>
        </w:tc>
        <w:tc>
          <w:tcPr>
            <w:tcW w:w="120" w:type="dxa"/>
            <w:vAlign w:val="bottom"/>
            <w:shd w:val="clear" w:color="auto" w:fill="CFF0FC"/>
          </w:tcPr>
          <w:p>
            <w:pPr>
              <w:spacing w:after="0"/>
              <w:rPr>
                <w:sz w:val="19"/>
                <w:szCs w:val="19"/>
                <w:color w:val="auto"/>
              </w:rPr>
            </w:pPr>
          </w:p>
        </w:tc>
      </w:tr>
      <w:tr>
        <w:trPr>
          <w:trHeight w:val="223"/>
        </w:trPr>
        <w:tc>
          <w:tcPr>
            <w:tcW w:w="71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w:t>
            </w:r>
          </w:p>
        </w:tc>
        <w:tc>
          <w:tcPr>
            <w:tcW w:w="12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w:t>
      </w:r>
    </w:p>
    <w:p>
      <w:pPr>
        <w:spacing w:after="0" w:line="198"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As of December 31, 2020, the amount represents an advance from the seller of Optimal, a former non-controlling interest of the Company, for the purpose of replenishment of working capital of certain subsidiaries of the Company, which was unsecured, interest-free, and repayable in December 2022.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17</w:t>
            </w:r>
          </w:p>
        </w:tc>
        <w:tc>
          <w:tcPr>
            <w:tcW w:w="7480" w:type="dxa"/>
            <w:vAlign w:val="bottom"/>
            <w:gridSpan w:val="2"/>
          </w:tcPr>
          <w:p>
            <w:pPr>
              <w:ind w:left="320"/>
              <w:spacing w:after="0"/>
              <w:rPr>
                <w:sz w:val="20"/>
                <w:szCs w:val="20"/>
                <w:color w:val="auto"/>
              </w:rPr>
            </w:pPr>
            <w:r>
              <w:rPr>
                <w:rFonts w:ascii="Arial" w:cs="Arial" w:eastAsia="Arial" w:hAnsi="Arial"/>
                <w:sz w:val="18"/>
                <w:szCs w:val="18"/>
                <w:b w:val="1"/>
                <w:bCs w:val="1"/>
                <w:color w:val="auto"/>
              </w:rPr>
              <w:t>Bank borrowings</w:t>
            </w: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1"/>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440" w:type="dxa"/>
            <w:vAlign w:val="bottom"/>
            <w:gridSpan w:val="3"/>
          </w:tcPr>
          <w:p>
            <w:pPr>
              <w:ind w:left="820"/>
              <w:spacing w:after="0"/>
              <w:rPr>
                <w:sz w:val="20"/>
                <w:szCs w:val="20"/>
                <w:color w:val="auto"/>
              </w:rPr>
            </w:pPr>
            <w:r>
              <w:rPr>
                <w:rFonts w:ascii="Arial" w:cs="Arial" w:eastAsia="Arial" w:hAnsi="Arial"/>
                <w:sz w:val="18"/>
                <w:szCs w:val="18"/>
                <w:color w:val="auto"/>
              </w:rPr>
              <w:t>As of December 31,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15"/>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1-year revolving loans denominated in RMB at interest rates ranging</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from 4.50% to 5.22% (2019: 4.76% to 5.22%) per annum</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9,636</w:t>
            </w: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5,584</w:t>
            </w:r>
          </w:p>
        </w:tc>
        <w:tc>
          <w:tcPr>
            <w:tcW w:w="120" w:type="dxa"/>
            <w:vAlign w:val="bottom"/>
            <w:shd w:val="clear" w:color="auto" w:fill="CFF0FC"/>
          </w:tcPr>
          <w:p>
            <w:pPr>
              <w:spacing w:after="0"/>
              <w:rPr>
                <w:sz w:val="20"/>
                <w:szCs w:val="20"/>
                <w:color w:val="auto"/>
              </w:rPr>
            </w:pPr>
          </w:p>
        </w:tc>
      </w:tr>
      <w:tr>
        <w:trPr>
          <w:trHeight w:val="215"/>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Half-year revolving loan denominated in RMB at interest rates ranging</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from 3.45% to 6.35% (2019: 4.75% to 7.00%) per annum</w:t>
            </w:r>
          </w:p>
        </w:tc>
        <w:tc>
          <w:tcPr>
            <w:tcW w:w="1420" w:type="dxa"/>
            <w:vAlign w:val="bottom"/>
          </w:tcPr>
          <w:p>
            <w:pPr>
              <w:jc w:val="right"/>
              <w:spacing w:after="0"/>
              <w:rPr>
                <w:sz w:val="20"/>
                <w:szCs w:val="20"/>
                <w:color w:val="auto"/>
              </w:rPr>
            </w:pPr>
            <w:r>
              <w:rPr>
                <w:rFonts w:ascii="Arial" w:cs="Arial" w:eastAsia="Arial" w:hAnsi="Arial"/>
                <w:sz w:val="18"/>
                <w:szCs w:val="18"/>
                <w:color w:val="auto"/>
              </w:rPr>
              <w:t>9,851</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35,104</w:t>
            </w:r>
          </w:p>
        </w:tc>
        <w:tc>
          <w:tcPr>
            <w:tcW w:w="120" w:type="dxa"/>
            <w:vAlign w:val="bottom"/>
          </w:tcPr>
          <w:p>
            <w:pPr>
              <w:spacing w:after="0"/>
              <w:rPr>
                <w:sz w:val="20"/>
                <w:szCs w:val="20"/>
                <w:color w:val="auto"/>
              </w:rPr>
            </w:pPr>
          </w:p>
        </w:tc>
      </w:tr>
      <w:tr>
        <w:trPr>
          <w:trHeight w:val="215"/>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1-year revolving loan denominated in US$ at interest rates ranging</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from (2019: 2.76% to 2.90%) per annum</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8,584</w:t>
            </w: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15"/>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Revolving service trade loan denominated in HK$ at interest rates ranging</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from 4.03% to 4.43% (2019: 6.01% to 6.35%) per annum</w:t>
            </w:r>
          </w:p>
        </w:tc>
        <w:tc>
          <w:tcPr>
            <w:tcW w:w="1420" w:type="dxa"/>
            <w:vAlign w:val="bottom"/>
          </w:tcPr>
          <w:p>
            <w:pPr>
              <w:jc w:val="right"/>
              <w:spacing w:after="0"/>
              <w:rPr>
                <w:sz w:val="20"/>
                <w:szCs w:val="20"/>
                <w:color w:val="auto"/>
              </w:rPr>
            </w:pPr>
            <w:r>
              <w:rPr>
                <w:rFonts w:ascii="Arial" w:cs="Arial" w:eastAsia="Arial" w:hAnsi="Arial"/>
                <w:sz w:val="18"/>
                <w:szCs w:val="18"/>
                <w:color w:val="auto"/>
              </w:rPr>
              <w:t>2,780</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3,999</w:t>
            </w:r>
          </w:p>
        </w:tc>
        <w:tc>
          <w:tcPr>
            <w:tcW w:w="120" w:type="dxa"/>
            <w:vAlign w:val="bottom"/>
          </w:tcPr>
          <w:p>
            <w:pPr>
              <w:spacing w:after="0"/>
              <w:rPr>
                <w:sz w:val="20"/>
                <w:szCs w:val="20"/>
                <w:color w:val="auto"/>
              </w:rPr>
            </w:pPr>
          </w:p>
        </w:tc>
      </w:tr>
      <w:tr>
        <w:trPr>
          <w:trHeight w:val="215"/>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Rollover period revolving loan denominated in US$ at an interest rate</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4.59% (2019: 6.01%) per annum</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20"/>
                <w:szCs w:val="20"/>
                <w:color w:val="auto"/>
              </w:rPr>
            </w:pPr>
          </w:p>
        </w:tc>
      </w:tr>
      <w:tr>
        <w:trPr>
          <w:trHeight w:val="215"/>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3-month revolving loan denominated in RMB at an interest rate of 3.25%</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per annum</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10,353</w:t>
            </w:r>
          </w:p>
        </w:tc>
        <w:tc>
          <w:tcPr>
            <w:tcW w:w="120" w:type="dxa"/>
            <w:vAlign w:val="bottom"/>
          </w:tcPr>
          <w:p>
            <w:pPr>
              <w:spacing w:after="0"/>
              <w:rPr>
                <w:sz w:val="20"/>
                <w:szCs w:val="20"/>
                <w:color w:val="auto"/>
              </w:rPr>
            </w:pPr>
          </w:p>
        </w:tc>
      </w:tr>
      <w:tr>
        <w:trPr>
          <w:trHeight w:val="223"/>
        </w:trPr>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36,851</w:t>
            </w:r>
          </w:p>
        </w:tc>
        <w:tc>
          <w:tcPr>
            <w:tcW w:w="2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56,040</w:t>
            </w:r>
          </w:p>
        </w:tc>
        <w:tc>
          <w:tcPr>
            <w:tcW w:w="12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w:t>
      </w:r>
    </w:p>
    <w:p>
      <w:pPr>
        <w:spacing w:after="0" w:line="185" w:lineRule="exact"/>
        <w:rPr>
          <w:sz w:val="20"/>
          <w:szCs w:val="20"/>
          <w:color w:val="auto"/>
        </w:rPr>
      </w:pPr>
    </w:p>
    <w:p>
      <w:pPr>
        <w:ind w:left="1440" w:right="160" w:hanging="717"/>
        <w:spacing w:after="0" w:line="277" w:lineRule="auto"/>
        <w:tabs>
          <w:tab w:leader="none" w:pos="14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Corporate guarantee by the Company, certain bank deposits and accounts receivable of the Group are provided as pledge to secure the obligations under the facilities from certain banks.</w:t>
      </w:r>
    </w:p>
    <w:p>
      <w:pPr>
        <w:spacing w:after="0" w:line="116" w:lineRule="exact"/>
        <w:rPr>
          <w:rFonts w:ascii="Arial" w:cs="Arial" w:eastAsia="Arial" w:hAnsi="Arial"/>
          <w:sz w:val="18"/>
          <w:szCs w:val="18"/>
          <w:color w:val="auto"/>
        </w:rPr>
      </w:pPr>
    </w:p>
    <w:p>
      <w:pPr>
        <w:ind w:left="1440" w:hanging="717"/>
        <w:spacing w:after="0" w:line="258" w:lineRule="auto"/>
        <w:tabs>
          <w:tab w:leader="none" w:pos="14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Out of the total banking facilities of US$76,746 and US$121,708 available to the Group as of December 31, 2019 and 2020, respectively, US$36,851 and US$56,040 have been utilized by the Group as of December 31, 2019 and 2020, respectively.</w:t>
      </w:r>
    </w:p>
    <w:p>
      <w:pPr>
        <w:spacing w:after="0" w:line="119" w:lineRule="exact"/>
        <w:rPr>
          <w:rFonts w:ascii="Arial" w:cs="Arial" w:eastAsia="Arial" w:hAnsi="Arial"/>
          <w:sz w:val="17"/>
          <w:szCs w:val="17"/>
          <w:color w:val="auto"/>
        </w:rPr>
      </w:pPr>
    </w:p>
    <w:p>
      <w:pPr>
        <w:jc w:val="both"/>
        <w:ind w:left="1440" w:hanging="717"/>
        <w:spacing w:after="0" w:line="263" w:lineRule="auto"/>
        <w:tabs>
          <w:tab w:leader="none" w:pos="14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As of December 31, 2019 and 2020, no financial covenants ((i)minimum monthly adjusted quick ratio, (ii) gearing ratio, and (iii) minimum quarterly earnings before interest, tax, depreciation and amortization (“EBITDA”) as defined in the banking facilities agreements) as set out in these loan agreements were breached.</w:t>
      </w:r>
    </w:p>
    <w:p>
      <w:pPr>
        <w:spacing w:after="0" w:line="143"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The weighted average interest rate for bank borrowings outstanding as of December 31, 2019 and 2020 was 5.17% and 4.19% per annum, respectively. Other than those shown above, the Company did not have any significant capital and other commitments, long-term obligations, or guarantees as of December 31, 2019 and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at fair value</w:t>
      </w:r>
    </w:p>
    <w:p>
      <w:pPr>
        <w:spacing w:after="0" w:line="242"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has issued certain convertible notes in September 2018 (the “2018 Notes”), November 2019 (the “November 2019 Notes”), December 2019 (the “December 2019 Notes”), January 2020 (the “January 2020 Notes”) and July 2020 (the “July 2020 Notes”). The November 2019 Notes and December 2019 Notes together are referred to as the “2019 Notes”.</w:t>
      </w:r>
    </w:p>
    <w:p>
      <w:pPr>
        <w:spacing w:after="0" w:line="211"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Coupon</w:t>
            </w:r>
          </w:p>
        </w:tc>
      </w:tr>
      <w:tr>
        <w:trPr>
          <w:trHeight w:val="190"/>
        </w:trPr>
        <w:tc>
          <w:tcPr>
            <w:tcW w:w="2540" w:type="dxa"/>
            <w:vAlign w:val="bottom"/>
          </w:tcPr>
          <w:p>
            <w:pPr>
              <w:spacing w:after="0" w:line="190" w:lineRule="exact"/>
              <w:rPr>
                <w:sz w:val="20"/>
                <w:szCs w:val="20"/>
                <w:color w:val="auto"/>
              </w:rPr>
            </w:pPr>
            <w:r>
              <w:rPr>
                <w:rFonts w:ascii="Arial" w:cs="Arial" w:eastAsia="Arial" w:hAnsi="Arial"/>
                <w:sz w:val="18"/>
                <w:szCs w:val="18"/>
                <w:color w:val="auto"/>
              </w:rPr>
              <w:t>Convertible notes</w:t>
            </w:r>
          </w:p>
        </w:tc>
        <w:tc>
          <w:tcPr>
            <w:tcW w:w="1680" w:type="dxa"/>
            <w:vAlign w:val="bottom"/>
            <w:gridSpan w:val="2"/>
          </w:tcPr>
          <w:p>
            <w:pPr>
              <w:spacing w:after="0" w:line="190" w:lineRule="exact"/>
              <w:rPr>
                <w:sz w:val="20"/>
                <w:szCs w:val="20"/>
                <w:color w:val="auto"/>
              </w:rPr>
            </w:pPr>
            <w:r>
              <w:rPr>
                <w:rFonts w:ascii="Arial" w:cs="Arial" w:eastAsia="Arial" w:hAnsi="Arial"/>
                <w:sz w:val="18"/>
                <w:szCs w:val="18"/>
                <w:color w:val="auto"/>
              </w:rPr>
              <w:t>Issue date</w:t>
            </w:r>
          </w:p>
        </w:tc>
        <w:tc>
          <w:tcPr>
            <w:tcW w:w="2200" w:type="dxa"/>
            <w:vAlign w:val="bottom"/>
          </w:tcPr>
          <w:p>
            <w:pPr>
              <w:ind w:left="260"/>
              <w:spacing w:after="0" w:line="190" w:lineRule="exact"/>
              <w:rPr>
                <w:sz w:val="20"/>
                <w:szCs w:val="20"/>
                <w:color w:val="auto"/>
              </w:rPr>
            </w:pPr>
            <w:r>
              <w:rPr>
                <w:rFonts w:ascii="Arial" w:cs="Arial" w:eastAsia="Arial" w:hAnsi="Arial"/>
                <w:sz w:val="18"/>
                <w:szCs w:val="18"/>
                <w:color w:val="auto"/>
              </w:rPr>
              <w:t>Maturity date</w:t>
            </w:r>
          </w:p>
        </w:tc>
        <w:tc>
          <w:tcPr>
            <w:tcW w:w="2480" w:type="dxa"/>
            <w:vAlign w:val="bottom"/>
          </w:tcPr>
          <w:p>
            <w:pPr>
              <w:jc w:val="right"/>
              <w:ind w:right="590"/>
              <w:spacing w:after="0" w:line="190" w:lineRule="exact"/>
              <w:rPr>
                <w:sz w:val="20"/>
                <w:szCs w:val="20"/>
                <w:color w:val="auto"/>
              </w:rPr>
            </w:pPr>
            <w:r>
              <w:rPr>
                <w:rFonts w:ascii="Arial" w:cs="Arial" w:eastAsia="Arial" w:hAnsi="Arial"/>
                <w:sz w:val="18"/>
                <w:szCs w:val="18"/>
                <w:color w:val="auto"/>
              </w:rPr>
              <w:t>Principal amounts</w:t>
            </w:r>
          </w:p>
        </w:tc>
        <w:tc>
          <w:tcPr>
            <w:tcW w:w="1380" w:type="dxa"/>
            <w:vAlign w:val="bottom"/>
          </w:tcPr>
          <w:p>
            <w:pPr>
              <w:jc w:val="right"/>
              <w:ind w:right="50"/>
              <w:spacing w:after="0" w:line="190" w:lineRule="exact"/>
              <w:rPr>
                <w:sz w:val="20"/>
                <w:szCs w:val="20"/>
                <w:color w:val="auto"/>
              </w:rPr>
            </w:pPr>
            <w:r>
              <w:rPr>
                <w:rFonts w:ascii="Arial" w:cs="Arial" w:eastAsia="Arial" w:hAnsi="Arial"/>
                <w:sz w:val="18"/>
                <w:szCs w:val="18"/>
                <w:color w:val="auto"/>
              </w:rPr>
              <w:t>rate</w:t>
            </w:r>
          </w:p>
        </w:tc>
      </w:tr>
      <w:tr>
        <w:trPr>
          <w:trHeight w:val="250"/>
        </w:trPr>
        <w:tc>
          <w:tcPr>
            <w:tcW w:w="254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480" w:type="dxa"/>
            <w:vAlign w:val="bottom"/>
          </w:tcPr>
          <w:p>
            <w:pPr>
              <w:jc w:val="right"/>
              <w:ind w:right="590"/>
              <w:spacing w:after="0"/>
              <w:rPr>
                <w:sz w:val="20"/>
                <w:szCs w:val="20"/>
                <w:color w:val="auto"/>
              </w:rPr>
            </w:pPr>
            <w:r>
              <w:rPr>
                <w:rFonts w:ascii="Arial" w:cs="Arial" w:eastAsia="Arial" w:hAnsi="Arial"/>
                <w:sz w:val="18"/>
                <w:szCs w:val="18"/>
                <w:color w:val="auto"/>
              </w:rPr>
              <w:t>US$</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2018 Notes</w:t>
            </w:r>
          </w:p>
        </w:tc>
        <w:tc>
          <w:tcPr>
            <w:tcW w:w="1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September 12, 2018</w:t>
            </w:r>
          </w:p>
        </w:tc>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September 12, 2023</w:t>
            </w:r>
          </w:p>
        </w:tc>
        <w:tc>
          <w:tcPr>
            <w:tcW w:w="24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30,000</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w:t>
            </w: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November 2019 Notes</w:t>
            </w:r>
          </w:p>
        </w:tc>
        <w:tc>
          <w:tcPr>
            <w:tcW w:w="1680" w:type="dxa"/>
            <w:vAlign w:val="bottom"/>
            <w:gridSpan w:val="2"/>
          </w:tcPr>
          <w:p>
            <w:pPr>
              <w:spacing w:after="0"/>
              <w:rPr>
                <w:sz w:val="20"/>
                <w:szCs w:val="20"/>
                <w:color w:val="auto"/>
              </w:rPr>
            </w:pPr>
            <w:r>
              <w:rPr>
                <w:rFonts w:ascii="Arial" w:cs="Arial" w:eastAsia="Arial" w:hAnsi="Arial"/>
                <w:sz w:val="18"/>
                <w:szCs w:val="18"/>
                <w:color w:val="auto"/>
              </w:rPr>
              <w:t>November 11, 2019</w:t>
            </w:r>
          </w:p>
        </w:tc>
        <w:tc>
          <w:tcPr>
            <w:tcW w:w="2200" w:type="dxa"/>
            <w:vAlign w:val="bottom"/>
          </w:tcPr>
          <w:p>
            <w:pPr>
              <w:ind w:left="260"/>
              <w:spacing w:after="0"/>
              <w:rPr>
                <w:sz w:val="20"/>
                <w:szCs w:val="20"/>
                <w:color w:val="auto"/>
              </w:rPr>
            </w:pPr>
            <w:r>
              <w:rPr>
                <w:rFonts w:ascii="Arial" w:cs="Arial" w:eastAsia="Arial" w:hAnsi="Arial"/>
                <w:sz w:val="18"/>
                <w:szCs w:val="18"/>
                <w:color w:val="auto"/>
              </w:rPr>
              <w:t>November 11, 2022</w:t>
            </w:r>
          </w:p>
        </w:tc>
        <w:tc>
          <w:tcPr>
            <w:tcW w:w="2480" w:type="dxa"/>
            <w:vAlign w:val="bottom"/>
          </w:tcPr>
          <w:p>
            <w:pPr>
              <w:jc w:val="right"/>
              <w:ind w:right="590"/>
              <w:spacing w:after="0"/>
              <w:rPr>
                <w:sz w:val="20"/>
                <w:szCs w:val="20"/>
                <w:color w:val="auto"/>
              </w:rPr>
            </w:pPr>
            <w:r>
              <w:rPr>
                <w:rFonts w:ascii="Arial" w:cs="Arial" w:eastAsia="Arial" w:hAnsi="Arial"/>
                <w:sz w:val="18"/>
                <w:szCs w:val="18"/>
                <w:color w:val="auto"/>
              </w:rPr>
              <w:t>20,000</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5</w:t>
            </w:r>
          </w:p>
        </w:tc>
      </w:tr>
      <w:tr>
        <w:trPr>
          <w:trHeight w:val="229"/>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December 2019 Notes</w:t>
            </w:r>
          </w:p>
        </w:tc>
        <w:tc>
          <w:tcPr>
            <w:tcW w:w="1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16, 2019</w:t>
            </w:r>
          </w:p>
        </w:tc>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16, 2022</w:t>
            </w:r>
          </w:p>
        </w:tc>
        <w:tc>
          <w:tcPr>
            <w:tcW w:w="24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10,000</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r>
      <w:tr>
        <w:trPr>
          <w:trHeight w:val="229"/>
        </w:trPr>
        <w:tc>
          <w:tcPr>
            <w:tcW w:w="2540" w:type="dxa"/>
            <w:vAlign w:val="bottom"/>
          </w:tcPr>
          <w:p>
            <w:pPr>
              <w:spacing w:after="0"/>
              <w:rPr>
                <w:sz w:val="20"/>
                <w:szCs w:val="20"/>
                <w:color w:val="auto"/>
              </w:rPr>
            </w:pPr>
            <w:r>
              <w:rPr>
                <w:rFonts w:ascii="Arial" w:cs="Arial" w:eastAsia="Arial" w:hAnsi="Arial"/>
                <w:sz w:val="18"/>
                <w:szCs w:val="18"/>
                <w:color w:val="auto"/>
              </w:rPr>
              <w:t>January 2020 Notes</w:t>
            </w:r>
          </w:p>
        </w:tc>
        <w:tc>
          <w:tcPr>
            <w:tcW w:w="1680" w:type="dxa"/>
            <w:vAlign w:val="bottom"/>
            <w:gridSpan w:val="2"/>
          </w:tcPr>
          <w:p>
            <w:pPr>
              <w:spacing w:after="0"/>
              <w:rPr>
                <w:sz w:val="20"/>
                <w:szCs w:val="20"/>
                <w:color w:val="auto"/>
              </w:rPr>
            </w:pPr>
            <w:r>
              <w:rPr>
                <w:rFonts w:ascii="Arial" w:cs="Arial" w:eastAsia="Arial" w:hAnsi="Arial"/>
                <w:sz w:val="18"/>
                <w:szCs w:val="18"/>
                <w:color w:val="auto"/>
              </w:rPr>
              <w:t>January 23, 2020</w:t>
            </w:r>
          </w:p>
        </w:tc>
        <w:tc>
          <w:tcPr>
            <w:tcW w:w="2200" w:type="dxa"/>
            <w:vAlign w:val="bottom"/>
          </w:tcPr>
          <w:p>
            <w:pPr>
              <w:ind w:left="260"/>
              <w:spacing w:after="0"/>
              <w:rPr>
                <w:sz w:val="20"/>
                <w:szCs w:val="20"/>
                <w:color w:val="auto"/>
              </w:rPr>
            </w:pPr>
            <w:r>
              <w:rPr>
                <w:rFonts w:ascii="Arial" w:cs="Arial" w:eastAsia="Arial" w:hAnsi="Arial"/>
                <w:sz w:val="18"/>
                <w:szCs w:val="18"/>
                <w:color w:val="auto"/>
              </w:rPr>
              <w:t>September 12, 2023</w:t>
            </w:r>
          </w:p>
        </w:tc>
        <w:tc>
          <w:tcPr>
            <w:tcW w:w="2480" w:type="dxa"/>
            <w:vAlign w:val="bottom"/>
          </w:tcPr>
          <w:p>
            <w:pPr>
              <w:jc w:val="right"/>
              <w:ind w:right="590"/>
              <w:spacing w:after="0"/>
              <w:rPr>
                <w:sz w:val="20"/>
                <w:szCs w:val="20"/>
                <w:color w:val="auto"/>
              </w:rPr>
            </w:pPr>
            <w:r>
              <w:rPr>
                <w:rFonts w:ascii="Arial" w:cs="Arial" w:eastAsia="Arial" w:hAnsi="Arial"/>
                <w:sz w:val="18"/>
                <w:szCs w:val="18"/>
                <w:color w:val="auto"/>
              </w:rPr>
              <w:t>3,450</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0</w:t>
            </w: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July 2020 Notes</w:t>
            </w:r>
          </w:p>
        </w:tc>
        <w:tc>
          <w:tcPr>
            <w:tcW w:w="1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July 30, 2020</w:t>
            </w:r>
          </w:p>
        </w:tc>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September 12, 2023</w:t>
            </w:r>
          </w:p>
        </w:tc>
        <w:tc>
          <w:tcPr>
            <w:tcW w:w="24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13,100</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movement of transactions of these convertible notes during the years ended December 31, 2018, 2019 and 2020 is shown in the table below.</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November</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December</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January</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July</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2018 Notes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Notes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Notes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Notes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Notes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Total</w:t>
            </w: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January 1, 2018</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Years ended December 31, 2018</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Fair value changes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4,837</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4,837</w:t>
            </w:r>
          </w:p>
        </w:tc>
        <w:tc>
          <w:tcPr>
            <w:tcW w:w="80" w:type="dxa"/>
            <w:vAlign w:val="bottom"/>
            <w:shd w:val="clear" w:color="auto" w:fill="CFF0FC"/>
          </w:tcPr>
          <w:p>
            <w:pPr>
              <w:spacing w:after="0"/>
              <w:rPr>
                <w:sz w:val="19"/>
                <w:szCs w:val="19"/>
                <w:color w:val="auto"/>
              </w:rPr>
            </w:pPr>
          </w:p>
        </w:tc>
      </w:tr>
      <w:tr>
        <w:trPr>
          <w:trHeight w:val="229"/>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New issuance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Borders>
              <w:bottom w:val="single" w:sz="8" w:color="CFF0FC"/>
            </w:tcBorders>
          </w:tcPr>
          <w:p>
            <w:pPr>
              <w:spacing w:after="0"/>
              <w:rPr>
                <w:sz w:val="19"/>
                <w:szCs w:val="19"/>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34,837</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34,837</w:t>
            </w:r>
          </w:p>
        </w:tc>
        <w:tc>
          <w:tcPr>
            <w:tcW w:w="80" w:type="dxa"/>
            <w:vAlign w:val="bottom"/>
            <w:shd w:val="clear" w:color="auto" w:fill="CFF0FC"/>
          </w:tcPr>
          <w:p>
            <w:pPr>
              <w:spacing w:after="0"/>
              <w:rPr>
                <w:sz w:val="19"/>
                <w:szCs w:val="19"/>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Years ended December 31, 2019</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Fair value changes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(116)</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New issuance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notes (Note (iii))</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(4,431)</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(4,431)</w:t>
            </w: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Redemption of convertible notes (Note (iv))</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(11,265)</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(11,265)</w:t>
            </w: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19,182</w:t>
            </w:r>
          </w:p>
        </w:tc>
        <w:tc>
          <w:tcPr>
            <w:tcW w:w="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9,942</w:t>
            </w: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19,884</w:t>
            </w: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49,008</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Years ended December 31, 2020</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Fair value changes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3,644</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4,433</w:t>
            </w:r>
          </w:p>
        </w:tc>
        <w:tc>
          <w:tcPr>
            <w:tcW w:w="80" w:type="dxa"/>
            <w:vAlign w:val="bottom"/>
            <w:shd w:val="clear" w:color="auto" w:fill="CFF0FC"/>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New issuance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15,182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19,184</w:t>
            </w:r>
          </w:p>
        </w:tc>
        <w:tc>
          <w:tcPr>
            <w:tcW w:w="80" w:type="dxa"/>
            <w:vAlign w:val="bottom"/>
          </w:tcPr>
          <w:p>
            <w:pPr>
              <w:spacing w:after="0"/>
              <w:rPr>
                <w:sz w:val="19"/>
                <w:szCs w:val="19"/>
                <w:color w:val="auto"/>
              </w:rPr>
            </w:pPr>
          </w:p>
        </w:tc>
      </w:tr>
      <w:tr>
        <w:trPr>
          <w:trHeight w:val="215"/>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w w:val="93"/>
              </w:rPr>
              <w:t>Issuance of convertible notes upon exercise of call</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option (Note (v))</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11,466</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11,466</w:t>
            </w:r>
          </w:p>
        </w:tc>
        <w:tc>
          <w:tcPr>
            <w:tcW w:w="80" w:type="dxa"/>
            <w:vAlign w:val="bottom"/>
            <w:shd w:val="clear" w:color="auto" w:fill="CFF0FC"/>
          </w:tcPr>
          <w:p>
            <w:pPr>
              <w:spacing w:after="0"/>
              <w:rPr>
                <w:sz w:val="20"/>
                <w:szCs w:val="20"/>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Conversion of convertible notes (Note (iii)</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(7,630)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(10,090)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(20,181)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(4,346)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(26,648)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(68,895)</w:t>
            </w: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Redemption of convertible notes (Note (iv))</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(15,196)</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(15,196)</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w:t>
      </w:r>
    </w:p>
    <w:p>
      <w:pPr>
        <w:spacing w:after="0" w:line="158" w:lineRule="exact"/>
        <w:rPr>
          <w:sz w:val="20"/>
          <w:szCs w:val="20"/>
          <w:color w:val="auto"/>
        </w:rPr>
      </w:pPr>
    </w:p>
    <w:p>
      <w:pPr>
        <w:jc w:val="both"/>
        <w:ind w:left="1440" w:hanging="717"/>
        <w:spacing w:after="0" w:line="279" w:lineRule="auto"/>
        <w:tabs>
          <w:tab w:leader="none" w:pos="14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All the convertible notes together with the embedding conversion options are recognized as financial liabilities whereby the Company has elected the fair value option under ASC 825-10 to measure the entire instrument at fair value with realized or unrealized gains and losses recorded in the consolidated statements of comprehensive loss. Also, ASC 825-10-25-11 requires financial instrument that is legally a single contract not to be separated into parts for purposes of applying the fair value option.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740" w:right="7220" w:hanging="732"/>
        <w:spacing w:after="0" w:line="503" w:lineRule="auto"/>
        <w:tabs>
          <w:tab w:leader="none" w:pos="729"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notes at fair value (Continued) </w:t>
      </w:r>
      <w:r>
        <w:rPr>
          <w:rFonts w:ascii="Arial" w:cs="Arial" w:eastAsia="Arial" w:hAnsi="Arial"/>
          <w:sz w:val="18"/>
          <w:szCs w:val="18"/>
          <w:color w:val="auto"/>
        </w:rPr>
        <w:t>Note: (Continued)</w:t>
      </w:r>
    </w:p>
    <w:p>
      <w:pPr>
        <w:jc w:val="both"/>
        <w:ind w:left="1440" w:hanging="717"/>
        <w:spacing w:after="0" w:line="263" w:lineRule="auto"/>
        <w:tabs>
          <w:tab w:leader="none" w:pos="14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Issuance costs related to the convertible notes for which the fair value option is elected amounting to US$2,190, US$4,556, US$44 for the years ended December 31, 2018, 2019 and 2020, respectively. Such costs have been recognized in earnings as incurred and not deferred in accordance with ASC 825-10-25-3.</w:t>
      </w:r>
    </w:p>
    <w:p>
      <w:pPr>
        <w:spacing w:after="0" w:line="197" w:lineRule="exact"/>
        <w:rPr>
          <w:rFonts w:ascii="Arial" w:cs="Arial" w:eastAsia="Arial" w:hAnsi="Arial"/>
          <w:sz w:val="18"/>
          <w:szCs w:val="18"/>
          <w:color w:val="auto"/>
        </w:rPr>
      </w:pPr>
    </w:p>
    <w:p>
      <w:pPr>
        <w:ind w:left="1440" w:hanging="717"/>
        <w:spacing w:after="0"/>
        <w:tabs>
          <w:tab w:leader="none" w:pos="14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Details of the conversion of convertible notes for the years ended December 31, 2019 and 2020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Fair value of</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converted</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convertible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Conversion</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notes as of</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Principal</w:t>
            </w:r>
          </w:p>
        </w:tc>
        <w:tc>
          <w:tcPr>
            <w:tcW w:w="980" w:type="dxa"/>
            <w:vAlign w:val="bottom"/>
          </w:tcPr>
          <w:p>
            <w:pPr>
              <w:jc w:val="right"/>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price per</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the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amount</w:t>
            </w:r>
          </w:p>
        </w:tc>
        <w:tc>
          <w:tcPr>
            <w:tcW w:w="980" w:type="dxa"/>
            <w:vAlign w:val="bottom"/>
          </w:tcPr>
          <w:p>
            <w:pPr>
              <w:jc w:val="right"/>
              <w:spacing w:after="0"/>
              <w:rPr>
                <w:sz w:val="20"/>
                <w:szCs w:val="20"/>
                <w:color w:val="auto"/>
              </w:rPr>
            </w:pPr>
            <w:r>
              <w:rPr>
                <w:rFonts w:ascii="Arial" w:cs="Arial" w:eastAsia="Arial" w:hAnsi="Arial"/>
                <w:sz w:val="18"/>
                <w:szCs w:val="18"/>
                <w:color w:val="auto"/>
              </w:rPr>
              <w:t>ADSs</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ADS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conversion</w:t>
            </w:r>
          </w:p>
        </w:tc>
        <w:tc>
          <w:tcPr>
            <w:tcW w:w="0" w:type="dxa"/>
            <w:vAlign w:val="bottom"/>
          </w:tcPr>
          <w:p>
            <w:pPr>
              <w:spacing w:after="0"/>
              <w:rPr>
                <w:sz w:val="1"/>
                <w:szCs w:val="1"/>
                <w:color w:val="auto"/>
              </w:rPr>
            </w:pPr>
          </w:p>
        </w:tc>
      </w:tr>
      <w:tr>
        <w:trPr>
          <w:trHeight w:val="230"/>
        </w:trPr>
        <w:tc>
          <w:tcPr>
            <w:tcW w:w="4400" w:type="dxa"/>
            <w:vAlign w:val="bottom"/>
            <w:gridSpan w:val="2"/>
          </w:tcPr>
          <w:p>
            <w:pPr>
              <w:ind w:left="800"/>
              <w:spacing w:after="0"/>
              <w:rPr>
                <w:sz w:val="20"/>
                <w:szCs w:val="20"/>
                <w:color w:val="auto"/>
              </w:rPr>
            </w:pPr>
            <w:r>
              <w:rPr>
                <w:rFonts w:ascii="Arial" w:cs="Arial" w:eastAsia="Arial" w:hAnsi="Arial"/>
                <w:sz w:val="18"/>
                <w:szCs w:val="18"/>
                <w:color w:val="auto"/>
              </w:rPr>
              <w:t>Convertible notes</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Conversion date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converted</w:t>
            </w:r>
          </w:p>
        </w:tc>
        <w:tc>
          <w:tcPr>
            <w:tcW w:w="980" w:type="dxa"/>
            <w:vAlign w:val="bottom"/>
          </w:tcPr>
          <w:p>
            <w:pPr>
              <w:jc w:val="right"/>
              <w:spacing w:after="0"/>
              <w:rPr>
                <w:sz w:val="20"/>
                <w:szCs w:val="20"/>
                <w:color w:val="auto"/>
              </w:rPr>
            </w:pPr>
            <w:r>
              <w:rPr>
                <w:rFonts w:ascii="Arial" w:cs="Arial" w:eastAsia="Arial" w:hAnsi="Arial"/>
                <w:sz w:val="18"/>
                <w:szCs w:val="18"/>
                <w:color w:val="auto"/>
              </w:rPr>
              <w:t>converted</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US$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For the year ended December 31, 2019</w:t>
            </w:r>
          </w:p>
        </w:tc>
        <w:tc>
          <w:tcPr>
            <w:tcW w:w="2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2018 Notes</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February 1, 2019</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283,888</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3.52</w:t>
            </w:r>
          </w:p>
        </w:tc>
        <w:tc>
          <w:tcPr>
            <w:tcW w:w="1000" w:type="dxa"/>
            <w:vAlign w:val="bottom"/>
          </w:tcPr>
          <w:p>
            <w:pPr>
              <w:jc w:val="right"/>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2018 Notes</w:t>
            </w:r>
          </w:p>
        </w:tc>
        <w:tc>
          <w:tcPr>
            <w:tcW w:w="2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March 1, 2019</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536,594</w:t>
            </w:r>
          </w:p>
        </w:tc>
        <w:tc>
          <w:tcPr>
            <w:tcW w:w="1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3.73</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00" w:type="dxa"/>
            <w:vAlign w:val="bottom"/>
          </w:tcPr>
          <w:p>
            <w:pPr>
              <w:spacing w:after="0"/>
              <w:rPr>
                <w:sz w:val="22"/>
                <w:szCs w:val="22"/>
                <w:color w:val="auto"/>
              </w:rPr>
            </w:pPr>
          </w:p>
        </w:tc>
        <w:tc>
          <w:tcPr>
            <w:tcW w:w="3600" w:type="dxa"/>
            <w:vAlign w:val="bottom"/>
            <w:tcBorders>
              <w:bottom w:val="single" w:sz="8" w:color="CFF0FC"/>
            </w:tcBorders>
          </w:tcPr>
          <w:p>
            <w:pPr>
              <w:spacing w:after="0"/>
              <w:rPr>
                <w:sz w:val="22"/>
                <w:szCs w:val="22"/>
                <w:color w:val="auto"/>
              </w:rPr>
            </w:pPr>
          </w:p>
        </w:tc>
        <w:tc>
          <w:tcPr>
            <w:tcW w:w="216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820,482</w:t>
            </w:r>
          </w:p>
        </w:tc>
        <w:tc>
          <w:tcPr>
            <w:tcW w:w="140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For the year ended December 31, 2020</w:t>
            </w:r>
          </w:p>
        </w:tc>
        <w:tc>
          <w:tcPr>
            <w:tcW w:w="2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2018 Notes</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June 30, 2020</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248,050</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4.03</w:t>
            </w:r>
          </w:p>
        </w:tc>
        <w:tc>
          <w:tcPr>
            <w:tcW w:w="1000" w:type="dxa"/>
            <w:vAlign w:val="bottom"/>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2018 Notes</w:t>
            </w:r>
          </w:p>
        </w:tc>
        <w:tc>
          <w:tcPr>
            <w:tcW w:w="2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July 24, 2020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236,546</w:t>
            </w:r>
          </w:p>
        </w:tc>
        <w:tc>
          <w:tcPr>
            <w:tcW w:w="1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4.23</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2018 Notes</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August 11, 2020</w:t>
            </w:r>
          </w:p>
        </w:tc>
        <w:tc>
          <w:tcPr>
            <w:tcW w:w="96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536,596</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3.73</w:t>
            </w:r>
          </w:p>
        </w:tc>
        <w:tc>
          <w:tcPr>
            <w:tcW w:w="1000" w:type="dxa"/>
            <w:vAlign w:val="bottom"/>
          </w:tcPr>
          <w:p>
            <w:pPr>
              <w:jc w:val="right"/>
              <w:spacing w:after="0"/>
              <w:rPr>
                <w:sz w:val="20"/>
                <w:szCs w:val="20"/>
                <w:color w:val="auto"/>
              </w:rPr>
            </w:pPr>
            <w:r>
              <w:rPr>
                <w:rFonts w:ascii="Arial" w:cs="Arial" w:eastAsia="Arial" w:hAnsi="Arial"/>
                <w:sz w:val="18"/>
                <w:szCs w:val="18"/>
                <w:color w:val="auto"/>
              </w:rPr>
              <w:t>4,327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November 2019 Notes</w:t>
            </w:r>
          </w:p>
        </w:tc>
        <w:tc>
          <w:tcPr>
            <w:tcW w:w="2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February 18,</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3600" w:type="dxa"/>
            <w:vAlign w:val="bottom"/>
            <w:shd w:val="clear" w:color="auto" w:fill="CFF0FC"/>
          </w:tcPr>
          <w:p>
            <w:pPr>
              <w:spacing w:after="0"/>
              <w:rPr>
                <w:sz w:val="20"/>
                <w:szCs w:val="20"/>
                <w:color w:val="auto"/>
              </w:rPr>
            </w:pPr>
          </w:p>
        </w:tc>
        <w:tc>
          <w:tcPr>
            <w:tcW w:w="2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2020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5,128,206</w:t>
            </w:r>
          </w:p>
        </w:tc>
        <w:tc>
          <w:tcPr>
            <w:tcW w:w="1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3.90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December 2019 Notes</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February 18,</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2,564,102</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3.90</w:t>
            </w:r>
          </w:p>
        </w:tc>
        <w:tc>
          <w:tcPr>
            <w:tcW w:w="1000" w:type="dxa"/>
            <w:vAlign w:val="bottom"/>
          </w:tcPr>
          <w:p>
            <w:pPr>
              <w:jc w:val="right"/>
              <w:spacing w:after="0"/>
              <w:rPr>
                <w:sz w:val="20"/>
                <w:szCs w:val="20"/>
                <w:color w:val="auto"/>
              </w:rPr>
            </w:pPr>
            <w:r>
              <w:rPr>
                <w:rFonts w:ascii="Arial" w:cs="Arial" w:eastAsia="Arial" w:hAnsi="Arial"/>
                <w:sz w:val="18"/>
                <w:szCs w:val="18"/>
                <w:color w:val="auto"/>
              </w:rPr>
              <w:t>9,989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January 2020 Notes</w:t>
            </w:r>
          </w:p>
        </w:tc>
        <w:tc>
          <w:tcPr>
            <w:tcW w:w="2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February 3, 2020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1,088,876</w:t>
            </w:r>
          </w:p>
        </w:tc>
        <w:tc>
          <w:tcPr>
            <w:tcW w:w="1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3.17</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July 2020 Notes</w:t>
            </w:r>
          </w:p>
        </w:tc>
        <w:tc>
          <w:tcPr>
            <w:tcW w:w="216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July 30, 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13,100</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3,851,694</w:t>
            </w:r>
          </w:p>
        </w:tc>
        <w:tc>
          <w:tcPr>
            <w:tcW w:w="1400" w:type="dxa"/>
            <w:vAlign w:val="bottom"/>
            <w:tcBorders>
              <w:bottom w:val="single" w:sz="8" w:color="CFF0FC"/>
            </w:tcBorders>
          </w:tcPr>
          <w:p>
            <w:pPr>
              <w:jc w:val="right"/>
              <w:ind w:right="130"/>
              <w:spacing w:after="0"/>
              <w:rPr>
                <w:sz w:val="20"/>
                <w:szCs w:val="20"/>
                <w:color w:val="auto"/>
              </w:rPr>
            </w:pPr>
            <w:r>
              <w:rPr>
                <w:rFonts w:ascii="Arial" w:cs="Arial" w:eastAsia="Arial" w:hAnsi="Arial"/>
                <w:sz w:val="18"/>
                <w:szCs w:val="18"/>
                <w:color w:val="auto"/>
              </w:rPr>
              <w:t>3.40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19"/>
                <w:szCs w:val="19"/>
                <w:color w:val="auto"/>
              </w:rPr>
            </w:pPr>
          </w:p>
        </w:tc>
        <w:tc>
          <w:tcPr>
            <w:tcW w:w="21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50,550</w:t>
            </w:r>
          </w:p>
        </w:tc>
        <w:tc>
          <w:tcPr>
            <w:tcW w:w="2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13,654,070</w:t>
            </w:r>
          </w:p>
        </w:tc>
        <w:tc>
          <w:tcPr>
            <w:tcW w:w="14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68,895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160" w:type="dxa"/>
            <w:vAlign w:val="bottom"/>
            <w:vMerge w:val="restart"/>
          </w:tcPr>
          <w:p>
            <w:pPr>
              <w:jc w:val="right"/>
              <w:ind w:right="670"/>
              <w:spacing w:after="0"/>
              <w:rPr>
                <w:sz w:val="20"/>
                <w:szCs w:val="20"/>
                <w:color w:val="auto"/>
              </w:rPr>
            </w:pPr>
            <w:r>
              <w:rPr>
                <w:rFonts w:ascii="Arial" w:cs="Arial" w:eastAsia="Arial" w:hAnsi="Arial"/>
                <w:sz w:val="18"/>
                <w:szCs w:val="18"/>
                <w:color w:val="auto"/>
              </w:rPr>
              <w:t>F-61</w:t>
            </w: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40" w:right="7220" w:hanging="732"/>
        <w:spacing w:after="0" w:line="503" w:lineRule="auto"/>
        <w:tabs>
          <w:tab w:leader="none" w:pos="729"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notes at fair value (Continued) </w:t>
      </w:r>
      <w:r>
        <w:rPr>
          <w:rFonts w:ascii="Arial" w:cs="Arial" w:eastAsia="Arial" w:hAnsi="Arial"/>
          <w:sz w:val="18"/>
          <w:szCs w:val="18"/>
          <w:color w:val="auto"/>
        </w:rPr>
        <w:t>Note: (Continued)</w:t>
      </w:r>
    </w:p>
    <w:p>
      <w:pPr>
        <w:ind w:left="1440" w:hanging="717"/>
        <w:spacing w:after="0"/>
        <w:tabs>
          <w:tab w:leader="none" w:pos="144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Company has partially redeemed the 2018 Notes on the following dates.</w:t>
      </w:r>
    </w:p>
    <w:p>
      <w:pPr>
        <w:spacing w:after="0" w:line="25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Consideration paid for</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Redemption date</w:t>
            </w:r>
          </w:p>
        </w:tc>
        <w:tc>
          <w:tcPr>
            <w:tcW w:w="2560" w:type="dxa"/>
            <w:vAlign w:val="bottom"/>
            <w:gridSpan w:val="2"/>
          </w:tcPr>
          <w:p>
            <w:pPr>
              <w:ind w:left="1000"/>
              <w:spacing w:after="0"/>
              <w:rPr>
                <w:sz w:val="20"/>
                <w:szCs w:val="20"/>
                <w:color w:val="auto"/>
              </w:rPr>
            </w:pPr>
            <w:r>
              <w:rPr>
                <w:rFonts w:ascii="Arial" w:cs="Arial" w:eastAsia="Arial" w:hAnsi="Arial"/>
                <w:sz w:val="18"/>
                <w:szCs w:val="18"/>
                <w:color w:val="auto"/>
              </w:rPr>
              <w:t>Principal amount</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redemption</w:t>
            </w: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August 22, 2019</w:t>
            </w: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32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w:t>
            </w:r>
          </w:p>
        </w:tc>
        <w:tc>
          <w:tcPr>
            <w:tcW w:w="10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November 14, 2019</w:t>
            </w:r>
          </w:p>
        </w:tc>
        <w:tc>
          <w:tcPr>
            <w:tcW w:w="2240" w:type="dxa"/>
            <w:vAlign w:val="bottom"/>
          </w:tcPr>
          <w:p>
            <w:pPr>
              <w:jc w:val="right"/>
              <w:spacing w:after="0"/>
              <w:rPr>
                <w:sz w:val="20"/>
                <w:szCs w:val="20"/>
                <w:color w:val="auto"/>
              </w:rPr>
            </w:pPr>
            <w:r>
              <w:rPr>
                <w:rFonts w:ascii="Arial" w:cs="Arial" w:eastAsia="Arial" w:hAnsi="Arial"/>
                <w:sz w:val="18"/>
                <w:szCs w:val="18"/>
                <w:color w:val="auto"/>
              </w:rPr>
              <w:t>3,450</w:t>
            </w:r>
          </w:p>
        </w:tc>
        <w:tc>
          <w:tcPr>
            <w:tcW w:w="3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19"/>
                <w:szCs w:val="19"/>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December 12, 2019</w:t>
            </w:r>
          </w:p>
        </w:tc>
        <w:tc>
          <w:tcPr>
            <w:tcW w:w="2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320" w:type="dxa"/>
            <w:vAlign w:val="bottom"/>
            <w:shd w:val="clear" w:color="auto" w:fill="CFF0FC"/>
          </w:tcPr>
          <w:p>
            <w:pPr>
              <w:spacing w:after="0"/>
              <w:rPr>
                <w:sz w:val="19"/>
                <w:szCs w:val="19"/>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4,002</w:t>
            </w:r>
          </w:p>
        </w:tc>
        <w:tc>
          <w:tcPr>
            <w:tcW w:w="100" w:type="dxa"/>
            <w:vAlign w:val="bottom"/>
            <w:shd w:val="clear" w:color="auto" w:fill="CFF0FC"/>
          </w:tcPr>
          <w:p>
            <w:pPr>
              <w:spacing w:after="0"/>
              <w:rPr>
                <w:sz w:val="19"/>
                <w:szCs w:val="19"/>
                <w:color w:val="auto"/>
              </w:rPr>
            </w:pPr>
          </w:p>
        </w:tc>
      </w:tr>
      <w:tr>
        <w:trPr>
          <w:trHeight w:val="263"/>
        </w:trPr>
        <w:tc>
          <w:tcPr>
            <w:tcW w:w="5340" w:type="dxa"/>
            <w:vAlign w:val="bottom"/>
            <w:tcBorders>
              <w:bottom w:val="single" w:sz="8" w:color="CFF0FC"/>
            </w:tcBorders>
          </w:tcPr>
          <w:p>
            <w:pPr>
              <w:spacing w:after="0"/>
              <w:rPr>
                <w:sz w:val="22"/>
                <w:szCs w:val="22"/>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9,900</w:t>
            </w:r>
          </w:p>
        </w:tc>
        <w:tc>
          <w:tcPr>
            <w:tcW w:w="320" w:type="dxa"/>
            <w:vAlign w:val="bottom"/>
            <w:tcBorders>
              <w:bottom w:val="single" w:sz="8" w:color="CFF0FC"/>
            </w:tcBorders>
          </w:tcPr>
          <w:p>
            <w:pPr>
              <w:spacing w:after="0"/>
              <w:rPr>
                <w:sz w:val="22"/>
                <w:szCs w:val="22"/>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11,265</w:t>
            </w:r>
          </w:p>
        </w:tc>
        <w:tc>
          <w:tcPr>
            <w:tcW w:w="100" w:type="dxa"/>
            <w:vAlign w:val="bottom"/>
            <w:tcBorders>
              <w:bottom w:val="single" w:sz="8" w:color="CFF0FC"/>
            </w:tcBorders>
          </w:tcPr>
          <w:p>
            <w:pPr>
              <w:spacing w:after="0"/>
              <w:rPr>
                <w:sz w:val="22"/>
                <w:szCs w:val="22"/>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February 3, 2020</w:t>
            </w: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32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8,004</w:t>
            </w:r>
          </w:p>
        </w:tc>
        <w:tc>
          <w:tcPr>
            <w:tcW w:w="100" w:type="dxa"/>
            <w:vAlign w:val="bottom"/>
            <w:shd w:val="clear" w:color="auto" w:fill="CFF0FC"/>
          </w:tcPr>
          <w:p>
            <w:pPr>
              <w:spacing w:after="0"/>
              <w:rPr>
                <w:sz w:val="18"/>
                <w:szCs w:val="18"/>
                <w:color w:val="auto"/>
              </w:rPr>
            </w:pPr>
          </w:p>
        </w:tc>
      </w:tr>
      <w:tr>
        <w:trPr>
          <w:trHeight w:val="229"/>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March 31, 2020</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w:t>
            </w:r>
          </w:p>
        </w:tc>
        <w:tc>
          <w:tcPr>
            <w:tcW w:w="320" w:type="dxa"/>
            <w:vAlign w:val="bottom"/>
            <w:tcBorders>
              <w:bottom w:val="single" w:sz="8" w:color="CFF0FC"/>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7,192</w:t>
            </w:r>
          </w:p>
        </w:tc>
        <w:tc>
          <w:tcPr>
            <w:tcW w:w="100" w:type="dxa"/>
            <w:vAlign w:val="bottom"/>
            <w:tcBorders>
              <w:bottom w:val="single" w:sz="8" w:color="CFF0FC"/>
            </w:tcBorders>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13,100</w:t>
            </w:r>
          </w:p>
        </w:tc>
        <w:tc>
          <w:tcPr>
            <w:tcW w:w="320" w:type="dxa"/>
            <w:vAlign w:val="bottom"/>
            <w:tcBorders>
              <w:bottom w:val="single" w:sz="8" w:color="CFF0FC"/>
            </w:tcBorders>
            <w:shd w:val="clear" w:color="auto" w:fill="CFF0FC"/>
          </w:tcPr>
          <w:p>
            <w:pPr>
              <w:spacing w:after="0"/>
              <w:rPr>
                <w:sz w:val="19"/>
                <w:szCs w:val="19"/>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440" w:hanging="717"/>
        <w:spacing w:after="0" w:line="272" w:lineRule="auto"/>
        <w:tabs>
          <w:tab w:leader="none" w:pos="144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Pursuant to an agreement entered into with an independent investor on February 17, 2020, the Company agreed to issue the July 2020 Notes with principal amounts of US$13,100 upon receipt of total cash consideration of US$15,196 from the investor on or before June 16, 2020. This constitutes a call option written to the investor to purchase the July 2020 Notes (the “Call Option”) which is recorded as a derivative liability and measured at fair value. In June 2020, the Company has entered into an addendum with the independent investor to extend the payment due date from June 16, 2020 to July 31, 2020. The investor exercised the Call Option on July 30, 2020, upon which the Company issued the July 2020 Notes to the investor. On the same date, the investor converted the entire July 2020 Notes into 1,925,848 Class A ordinary shares of the Company.</w:t>
      </w:r>
    </w:p>
    <w:p>
      <w:pPr>
        <w:spacing w:after="0" w:line="177" w:lineRule="exact"/>
        <w:rPr>
          <w:sz w:val="20"/>
          <w:szCs w:val="20"/>
          <w:color w:val="auto"/>
        </w:rPr>
      </w:pPr>
    </w:p>
    <w:p>
      <w:pPr>
        <w:jc w:val="both"/>
        <w:ind w:left="1460"/>
        <w:spacing w:after="0" w:line="259" w:lineRule="auto"/>
        <w:rPr>
          <w:sz w:val="20"/>
          <w:szCs w:val="20"/>
          <w:color w:val="auto"/>
        </w:rPr>
      </w:pPr>
      <w:r>
        <w:rPr>
          <w:rFonts w:ascii="Arial" w:cs="Arial" w:eastAsia="Arial" w:hAnsi="Arial"/>
          <w:sz w:val="18"/>
          <w:szCs w:val="18"/>
          <w:color w:val="auto"/>
        </w:rPr>
        <w:t>The fair value of the Call Option recorded as derivative liabilities of US$11,466 as of July 30, 2020 was determined using a binomial model with the key assumptions being the volatility of 13.39% and risk-free rate of 0.09%. The volatility was based on the implied historical volatility of certain comparable companies. The risk-free interest rate is equal to the yield of US Treasury Strips with a maturity life equal to the time to maturity of the July 2020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40" w:right="7220" w:hanging="732"/>
        <w:spacing w:after="0" w:line="503" w:lineRule="auto"/>
        <w:tabs>
          <w:tab w:leader="none" w:pos="729"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notes at fair value (Continued) </w:t>
      </w:r>
      <w:r>
        <w:rPr>
          <w:rFonts w:ascii="Arial" w:cs="Arial" w:eastAsia="Arial" w:hAnsi="Arial"/>
          <w:sz w:val="18"/>
          <w:szCs w:val="18"/>
          <w:color w:val="auto"/>
        </w:rPr>
        <w:t>Note: (Continued)</w:t>
      </w:r>
    </w:p>
    <w:p>
      <w:pPr>
        <w:ind w:left="1440" w:right="80" w:hanging="717"/>
        <w:spacing w:after="0" w:line="257" w:lineRule="auto"/>
        <w:tabs>
          <w:tab w:leader="none" w:pos="144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fair values of the 2018 Notes, January 2020 Notes and July 2020 Notes as of the dates of conversion and the end of reporting periods were determined using Monte Carlo simulation, with key assumptions summarized in the below table. The volatility was based on the implied historical volatility of certain comparable companies. The risk-free interest rate is equal to the yield, as of the respective measurement dates, of the zero-coupon U.S. Treasury bill that commensurate with the remaining period until the maturity of the convertible notes.</w:t>
      </w: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Measurement date</w:t>
            </w:r>
          </w:p>
        </w:tc>
        <w:tc>
          <w:tcPr>
            <w:tcW w:w="3780" w:type="dxa"/>
            <w:vAlign w:val="bottom"/>
          </w:tcPr>
          <w:p>
            <w:pPr>
              <w:jc w:val="right"/>
              <w:ind w:right="250"/>
              <w:spacing w:after="0"/>
              <w:rPr>
                <w:sz w:val="20"/>
                <w:szCs w:val="20"/>
                <w:color w:val="auto"/>
              </w:rPr>
            </w:pPr>
            <w:r>
              <w:rPr>
                <w:rFonts w:ascii="Arial" w:cs="Arial" w:eastAsia="Arial" w:hAnsi="Arial"/>
                <w:sz w:val="18"/>
                <w:szCs w:val="18"/>
                <w:color w:val="auto"/>
              </w:rPr>
              <w:t>Volatility</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Risk-free rate</w:t>
            </w:r>
          </w:p>
        </w:tc>
      </w:tr>
      <w:tr>
        <w:trPr>
          <w:trHeight w:val="230"/>
        </w:trPr>
        <w:tc>
          <w:tcPr>
            <w:tcW w:w="4300" w:type="dxa"/>
            <w:vAlign w:val="bottom"/>
          </w:tcPr>
          <w:p>
            <w:pPr>
              <w:spacing w:after="0"/>
              <w:rPr>
                <w:sz w:val="20"/>
                <w:szCs w:val="20"/>
                <w:color w:val="auto"/>
              </w:rPr>
            </w:pPr>
          </w:p>
        </w:tc>
        <w:tc>
          <w:tcPr>
            <w:tcW w:w="37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2018 Notes</w:t>
            </w:r>
          </w:p>
        </w:tc>
        <w:tc>
          <w:tcPr>
            <w:tcW w:w="37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December 31, 2018</w:t>
            </w:r>
          </w:p>
        </w:tc>
        <w:tc>
          <w:tcPr>
            <w:tcW w:w="3780" w:type="dxa"/>
            <w:vAlign w:val="bottom"/>
          </w:tcPr>
          <w:p>
            <w:pPr>
              <w:jc w:val="right"/>
              <w:ind w:right="250"/>
              <w:spacing w:after="0"/>
              <w:rPr>
                <w:sz w:val="20"/>
                <w:szCs w:val="20"/>
                <w:color w:val="auto"/>
              </w:rPr>
            </w:pPr>
            <w:r>
              <w:rPr>
                <w:rFonts w:ascii="Arial" w:cs="Arial" w:eastAsia="Arial" w:hAnsi="Arial"/>
                <w:sz w:val="18"/>
                <w:szCs w:val="18"/>
                <w:color w:val="auto"/>
              </w:rPr>
              <w:t>44.32</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2.52</w:t>
            </w: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February 1, 2019</w:t>
            </w:r>
          </w:p>
        </w:tc>
        <w:tc>
          <w:tcPr>
            <w:tcW w:w="37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44.59</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2.55</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March 1, 2019</w:t>
            </w:r>
          </w:p>
        </w:tc>
        <w:tc>
          <w:tcPr>
            <w:tcW w:w="3780" w:type="dxa"/>
            <w:vAlign w:val="bottom"/>
          </w:tcPr>
          <w:p>
            <w:pPr>
              <w:jc w:val="right"/>
              <w:ind w:right="250"/>
              <w:spacing w:after="0"/>
              <w:rPr>
                <w:sz w:val="20"/>
                <w:szCs w:val="20"/>
                <w:color w:val="auto"/>
              </w:rPr>
            </w:pPr>
            <w:r>
              <w:rPr>
                <w:rFonts w:ascii="Arial" w:cs="Arial" w:eastAsia="Arial" w:hAnsi="Arial"/>
                <w:sz w:val="18"/>
                <w:szCs w:val="18"/>
                <w:color w:val="auto"/>
              </w:rPr>
              <w:t>44.99</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2.62</w:t>
            </w: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August 22, 2019</w:t>
            </w:r>
          </w:p>
        </w:tc>
        <w:tc>
          <w:tcPr>
            <w:tcW w:w="37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43.86</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1.47</w:t>
            </w: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November 14, 2019</w:t>
            </w:r>
          </w:p>
        </w:tc>
        <w:tc>
          <w:tcPr>
            <w:tcW w:w="3780" w:type="dxa"/>
            <w:vAlign w:val="bottom"/>
          </w:tcPr>
          <w:p>
            <w:pPr>
              <w:jc w:val="right"/>
              <w:ind w:right="250"/>
              <w:spacing w:after="0"/>
              <w:rPr>
                <w:sz w:val="20"/>
                <w:szCs w:val="20"/>
                <w:color w:val="auto"/>
              </w:rPr>
            </w:pPr>
            <w:r>
              <w:rPr>
                <w:rFonts w:ascii="Arial" w:cs="Arial" w:eastAsia="Arial" w:hAnsi="Arial"/>
                <w:sz w:val="18"/>
                <w:szCs w:val="18"/>
                <w:color w:val="auto"/>
              </w:rPr>
              <w:t>44.34</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1.61</w:t>
            </w: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December 12, 2019</w:t>
            </w:r>
          </w:p>
        </w:tc>
        <w:tc>
          <w:tcPr>
            <w:tcW w:w="37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43.86</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1.71</w:t>
            </w: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December 31, 2019</w:t>
            </w:r>
          </w:p>
        </w:tc>
        <w:tc>
          <w:tcPr>
            <w:tcW w:w="3780" w:type="dxa"/>
            <w:vAlign w:val="bottom"/>
          </w:tcPr>
          <w:p>
            <w:pPr>
              <w:jc w:val="right"/>
              <w:ind w:right="250"/>
              <w:spacing w:after="0"/>
              <w:rPr>
                <w:sz w:val="20"/>
                <w:szCs w:val="20"/>
                <w:color w:val="auto"/>
              </w:rPr>
            </w:pPr>
            <w:r>
              <w:rPr>
                <w:rFonts w:ascii="Arial" w:cs="Arial" w:eastAsia="Arial" w:hAnsi="Arial"/>
                <w:sz w:val="18"/>
                <w:szCs w:val="18"/>
                <w:color w:val="auto"/>
              </w:rPr>
              <w:t>44.17</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1.67</w:t>
            </w: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February 3, 2020</w:t>
            </w:r>
          </w:p>
        </w:tc>
        <w:tc>
          <w:tcPr>
            <w:tcW w:w="37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42.09</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1.37</w:t>
            </w: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March 31, 2020</w:t>
            </w:r>
          </w:p>
        </w:tc>
        <w:tc>
          <w:tcPr>
            <w:tcW w:w="3780" w:type="dxa"/>
            <w:vAlign w:val="bottom"/>
          </w:tcPr>
          <w:p>
            <w:pPr>
              <w:jc w:val="right"/>
              <w:ind w:right="250"/>
              <w:spacing w:after="0"/>
              <w:rPr>
                <w:sz w:val="20"/>
                <w:szCs w:val="20"/>
                <w:color w:val="auto"/>
              </w:rPr>
            </w:pPr>
            <w:r>
              <w:rPr>
                <w:rFonts w:ascii="Arial" w:cs="Arial" w:eastAsia="Arial" w:hAnsi="Arial"/>
                <w:sz w:val="18"/>
                <w:szCs w:val="18"/>
                <w:color w:val="auto"/>
              </w:rPr>
              <w:t>45.38</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0.45</w:t>
            </w: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June 30, 2020</w:t>
            </w:r>
          </w:p>
        </w:tc>
        <w:tc>
          <w:tcPr>
            <w:tcW w:w="37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51.24</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0.24</w:t>
            </w: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July 24, 2020</w:t>
            </w:r>
          </w:p>
        </w:tc>
        <w:tc>
          <w:tcPr>
            <w:tcW w:w="3780" w:type="dxa"/>
            <w:vAlign w:val="bottom"/>
          </w:tcPr>
          <w:p>
            <w:pPr>
              <w:jc w:val="right"/>
              <w:ind w:right="250"/>
              <w:spacing w:after="0"/>
              <w:rPr>
                <w:sz w:val="20"/>
                <w:szCs w:val="20"/>
                <w:color w:val="auto"/>
              </w:rPr>
            </w:pPr>
            <w:r>
              <w:rPr>
                <w:rFonts w:ascii="Arial" w:cs="Arial" w:eastAsia="Arial" w:hAnsi="Arial"/>
                <w:sz w:val="18"/>
                <w:szCs w:val="18"/>
                <w:color w:val="auto"/>
              </w:rPr>
              <w:t>49.26</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0.23</w:t>
            </w: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August 11, 2020</w:t>
            </w:r>
          </w:p>
        </w:tc>
        <w:tc>
          <w:tcPr>
            <w:tcW w:w="37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49.75</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0.23</w:t>
            </w:r>
          </w:p>
        </w:tc>
      </w:tr>
      <w:tr>
        <w:trPr>
          <w:trHeight w:val="230"/>
        </w:trPr>
        <w:tc>
          <w:tcPr>
            <w:tcW w:w="43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January 2020 Notes</w:t>
            </w:r>
          </w:p>
        </w:tc>
        <w:tc>
          <w:tcPr>
            <w:tcW w:w="37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February 3, 2020</w:t>
            </w:r>
          </w:p>
        </w:tc>
        <w:tc>
          <w:tcPr>
            <w:tcW w:w="3780" w:type="dxa"/>
            <w:vAlign w:val="bottom"/>
          </w:tcPr>
          <w:p>
            <w:pPr>
              <w:jc w:val="right"/>
              <w:ind w:right="250"/>
              <w:spacing w:after="0"/>
              <w:rPr>
                <w:sz w:val="20"/>
                <w:szCs w:val="20"/>
                <w:color w:val="auto"/>
              </w:rPr>
            </w:pPr>
            <w:r>
              <w:rPr>
                <w:rFonts w:ascii="Arial" w:cs="Arial" w:eastAsia="Arial" w:hAnsi="Arial"/>
                <w:sz w:val="18"/>
                <w:szCs w:val="18"/>
                <w:color w:val="auto"/>
              </w:rPr>
              <w:t>42.09</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1.37</w:t>
            </w:r>
          </w:p>
        </w:tc>
      </w:tr>
      <w:tr>
        <w:trPr>
          <w:trHeight w:val="229"/>
        </w:trPr>
        <w:tc>
          <w:tcPr>
            <w:tcW w:w="4300" w:type="dxa"/>
            <w:vAlign w:val="bottom"/>
            <w:shd w:val="clear" w:color="auto" w:fill="CFF0FC"/>
          </w:tcPr>
          <w:p>
            <w:pPr>
              <w:spacing w:after="0"/>
              <w:rPr>
                <w:sz w:val="19"/>
                <w:szCs w:val="19"/>
                <w:color w:val="auto"/>
              </w:rPr>
            </w:pPr>
          </w:p>
        </w:tc>
        <w:tc>
          <w:tcPr>
            <w:tcW w:w="37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b w:val="1"/>
                <w:bCs w:val="1"/>
                <w:color w:val="auto"/>
              </w:rPr>
              <w:t>July 2020 Notes</w:t>
            </w:r>
          </w:p>
        </w:tc>
        <w:tc>
          <w:tcPr>
            <w:tcW w:w="37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July 30, 2020</w:t>
            </w:r>
          </w:p>
        </w:tc>
        <w:tc>
          <w:tcPr>
            <w:tcW w:w="37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49.45</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0.19</w:t>
            </w:r>
          </w:p>
        </w:tc>
      </w:tr>
    </w:tbl>
    <w:p>
      <w:pPr>
        <w:spacing w:after="0" w:line="215" w:lineRule="exact"/>
        <w:rPr>
          <w:sz w:val="20"/>
          <w:szCs w:val="20"/>
          <w:color w:val="auto"/>
        </w:rPr>
      </w:pPr>
    </w:p>
    <w:p>
      <w:pPr>
        <w:ind w:left="1440" w:right="140" w:hanging="717"/>
        <w:spacing w:after="0" w:line="301" w:lineRule="auto"/>
        <w:tabs>
          <w:tab w:leader="none" w:pos="14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fair values of the 2019 Notes were determined using a binomial model with the key assumptions summarized in the below table. The volatility was based on the implied historical volatility of certain comparable companies. The risk-free interest rate is equal to the yield, as of the respective measurement dates, of a 5% coupon U.S. Treasury bill that is commensurate with the remaining period until the maturity of the 2019 Notes. The bond yield was based on the yield of corporate bonds with comparable ratings.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4"/>
                <w:szCs w:val="14"/>
                <w:b w:val="1"/>
                <w:bCs w:val="1"/>
                <w:color w:val="auto"/>
              </w:rPr>
              <w:t>Measurement date</w:t>
            </w:r>
          </w:p>
        </w:tc>
        <w:tc>
          <w:tcPr>
            <w:tcW w:w="42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Volatility</w:t>
            </w:r>
          </w:p>
        </w:tc>
        <w:tc>
          <w:tcPr>
            <w:tcW w:w="14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Risk-free rate</w:t>
            </w:r>
          </w:p>
        </w:tc>
        <w:tc>
          <w:tcPr>
            <w:tcW w:w="12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Bond yield</w:t>
            </w:r>
          </w:p>
        </w:tc>
        <w:tc>
          <w:tcPr>
            <w:tcW w:w="0" w:type="dxa"/>
            <w:vAlign w:val="bottom"/>
          </w:tcPr>
          <w:p>
            <w:pPr>
              <w:spacing w:after="0"/>
              <w:rPr>
                <w:sz w:val="1"/>
                <w:szCs w:val="1"/>
                <w:color w:val="auto"/>
              </w:rPr>
            </w:pPr>
          </w:p>
        </w:tc>
      </w:tr>
      <w:tr>
        <w:trPr>
          <w:trHeight w:val="52"/>
        </w:trPr>
        <w:tc>
          <w:tcPr>
            <w:tcW w:w="17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420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2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November 2019 Notes</w:t>
            </w:r>
          </w:p>
        </w:tc>
        <w:tc>
          <w:tcPr>
            <w:tcW w:w="4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December 31, 2019</w:t>
            </w:r>
          </w:p>
        </w:tc>
        <w:tc>
          <w:tcPr>
            <w:tcW w:w="4200" w:type="dxa"/>
            <w:vAlign w:val="bottom"/>
          </w:tcPr>
          <w:p>
            <w:pPr>
              <w:jc w:val="right"/>
              <w:ind w:right="93"/>
              <w:spacing w:after="0"/>
              <w:rPr>
                <w:sz w:val="20"/>
                <w:szCs w:val="20"/>
                <w:color w:val="auto"/>
              </w:rPr>
            </w:pPr>
            <w:r>
              <w:rPr>
                <w:rFonts w:ascii="Arial" w:cs="Arial" w:eastAsia="Arial" w:hAnsi="Arial"/>
                <w:sz w:val="18"/>
                <w:szCs w:val="18"/>
                <w:color w:val="auto"/>
              </w:rPr>
              <w:t>42.53</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1.61</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February 18, 2020</w:t>
            </w:r>
          </w:p>
        </w:tc>
        <w:tc>
          <w:tcPr>
            <w:tcW w:w="42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44.02</w:t>
            </w:r>
          </w:p>
        </w:tc>
        <w:tc>
          <w:tcPr>
            <w:tcW w:w="140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1.40</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2019 Notes</w:t>
            </w:r>
          </w:p>
        </w:tc>
        <w:tc>
          <w:tcPr>
            <w:tcW w:w="4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December 31, 2019</w:t>
            </w:r>
          </w:p>
        </w:tc>
        <w:tc>
          <w:tcPr>
            <w:tcW w:w="4200" w:type="dxa"/>
            <w:vAlign w:val="bottom"/>
          </w:tcPr>
          <w:p>
            <w:pPr>
              <w:jc w:val="right"/>
              <w:ind w:right="93"/>
              <w:spacing w:after="0"/>
              <w:rPr>
                <w:sz w:val="20"/>
                <w:szCs w:val="20"/>
                <w:color w:val="auto"/>
              </w:rPr>
            </w:pPr>
            <w:r>
              <w:rPr>
                <w:rFonts w:ascii="Arial" w:cs="Arial" w:eastAsia="Arial" w:hAnsi="Arial"/>
                <w:sz w:val="18"/>
                <w:szCs w:val="18"/>
                <w:color w:val="auto"/>
              </w:rPr>
              <w:t>42.63</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1.61</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February 18, 2020</w:t>
            </w:r>
          </w:p>
        </w:tc>
        <w:tc>
          <w:tcPr>
            <w:tcW w:w="42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43.61</w:t>
            </w:r>
          </w:p>
        </w:tc>
        <w:tc>
          <w:tcPr>
            <w:tcW w:w="140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1.40</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904"/>
        </w:trPr>
        <w:tc>
          <w:tcPr>
            <w:tcW w:w="17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00" w:type="dxa"/>
            <w:vAlign w:val="bottom"/>
          </w:tcPr>
          <w:p>
            <w:pPr>
              <w:jc w:val="right"/>
              <w:ind w:right="2733"/>
              <w:spacing w:after="0"/>
              <w:rPr>
                <w:sz w:val="20"/>
                <w:szCs w:val="20"/>
                <w:color w:val="auto"/>
              </w:rPr>
            </w:pPr>
            <w:r>
              <w:rPr>
                <w:rFonts w:ascii="Arial" w:cs="Arial" w:eastAsia="Arial" w:hAnsi="Arial"/>
                <w:sz w:val="18"/>
                <w:szCs w:val="18"/>
                <w:color w:val="auto"/>
              </w:rPr>
              <w:t>F-63</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88" w:lineRule="exact"/>
        <w:rPr>
          <w:rFonts w:ascii="Arial" w:cs="Arial" w:eastAsia="Arial" w:hAnsi="Arial"/>
          <w:sz w:val="18"/>
          <w:szCs w:val="18"/>
          <w:b w:val="1"/>
          <w:bCs w:val="1"/>
          <w:color w:val="auto"/>
        </w:rPr>
      </w:pPr>
    </w:p>
    <w:p>
      <w:pPr>
        <w:jc w:val="both"/>
        <w:ind w:left="7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December 31, 2019 and 2020, the Company is authorized to issue 100,000,000 shares of US$0.001 par value per ordinary share, out of which 80,000,000 shares are Class A ordinary shares and 20,000,000 shares are Class B ordinary shares. The holders of Class A ordinary shares shall have one vote in respect of each Class A ordinary share held and the holders of Class B ordinary shares shall have twenty votes in respect of each Class B ordinary share held.</w:t>
      </w:r>
    </w:p>
    <w:p>
      <w:pPr>
        <w:spacing w:after="0" w:line="375" w:lineRule="exact"/>
        <w:rPr>
          <w:rFonts w:ascii="Arial" w:cs="Arial" w:eastAsia="Arial" w:hAnsi="Arial"/>
          <w:sz w:val="18"/>
          <w:szCs w:val="18"/>
          <w:b w:val="1"/>
          <w:bCs w:val="1"/>
          <w:color w:val="auto"/>
        </w:rPr>
      </w:pPr>
    </w:p>
    <w:p>
      <w:pPr>
        <w:jc w:val="both"/>
        <w:ind w:left="7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At the time the Company adopted the 2010 Employee Share Option Plan (the “2010 Share Option Plan”) and 2018 Post IPO Share Incentive Plan, the Company, together with the then shareholders, also decided to allot ordinary shares with par value of US$0.001 to Arda Holdings Limited (“Arda”), a British Virgin Islands company owned by the Group’s chairman at no consideration. Arda will only hold these ordinary shares on trust for the benefit of the employees who are under the 2010 Share Option Plan and 2018 Post IPO Share Incentive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No additional shares have been allotted during the years ended December 31, 2018, 2019 and 2020 to Arda. Arda does not hold any other assets or liabilities as of December 31, 2019 and 2020, nor earn any income nor incur any expenses for the years ended December 31, 2018, 2019 and 2020.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20" w:hanging="712"/>
        <w:spacing w:after="0"/>
        <w:tabs>
          <w:tab w:leader="none" w:pos="72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Repurchase of shares</w:t>
      </w:r>
    </w:p>
    <w:p>
      <w:pPr>
        <w:spacing w:after="0" w:line="202"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of the Company authorized certain share repurchase programs in November 2018 (the “2018 Share Repurchase Program”), January 2020 (the “January 2020 Share Repurchase Program”) and December 2020 (the “December 2020 Share Repurchase Program”), respectively, as detailed in the below table.</w:t>
      </w:r>
    </w:p>
    <w:p>
      <w:pPr>
        <w:spacing w:after="0" w:line="19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3360" w:type="dxa"/>
            <w:vAlign w:val="bottom"/>
          </w:tcPr>
          <w:p>
            <w:pPr>
              <w:jc w:val="right"/>
              <w:ind w:right="410"/>
              <w:spacing w:after="0"/>
              <w:rPr>
                <w:sz w:val="20"/>
                <w:szCs w:val="20"/>
                <w:color w:val="auto"/>
              </w:rPr>
            </w:pPr>
            <w:r>
              <w:rPr>
                <w:rFonts w:ascii="Arial" w:cs="Arial" w:eastAsia="Arial" w:hAnsi="Arial"/>
                <w:sz w:val="18"/>
                <w:szCs w:val="18"/>
                <w:color w:val="auto"/>
              </w:rPr>
              <w:t>Maximum value of</w:t>
            </w:r>
          </w:p>
        </w:tc>
        <w:tc>
          <w:tcPr>
            <w:tcW w:w="304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3360" w:type="dxa"/>
            <w:vAlign w:val="bottom"/>
          </w:tcPr>
          <w:p>
            <w:pPr>
              <w:jc w:val="right"/>
              <w:ind w:right="410"/>
              <w:spacing w:after="0"/>
              <w:rPr>
                <w:sz w:val="20"/>
                <w:szCs w:val="20"/>
                <w:color w:val="auto"/>
              </w:rPr>
            </w:pPr>
            <w:r>
              <w:rPr>
                <w:rFonts w:ascii="Arial" w:cs="Arial" w:eastAsia="Arial" w:hAnsi="Arial"/>
                <w:sz w:val="18"/>
                <w:szCs w:val="18"/>
                <w:color w:val="auto"/>
              </w:rPr>
              <w:t>ordinary shares or ADSs of</w:t>
            </w:r>
          </w:p>
        </w:tc>
        <w:tc>
          <w:tcPr>
            <w:tcW w:w="3040" w:type="dxa"/>
            <w:vAlign w:val="bottom"/>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Repurchase program</w:t>
            </w:r>
          </w:p>
        </w:tc>
        <w:tc>
          <w:tcPr>
            <w:tcW w:w="3360" w:type="dxa"/>
            <w:vAlign w:val="bottom"/>
          </w:tcPr>
          <w:p>
            <w:pPr>
              <w:jc w:val="right"/>
              <w:ind w:right="410"/>
              <w:spacing w:after="0"/>
              <w:rPr>
                <w:sz w:val="20"/>
                <w:szCs w:val="20"/>
                <w:color w:val="auto"/>
              </w:rPr>
            </w:pPr>
            <w:r>
              <w:rPr>
                <w:rFonts w:ascii="Arial" w:cs="Arial" w:eastAsia="Arial" w:hAnsi="Arial"/>
                <w:sz w:val="18"/>
                <w:szCs w:val="18"/>
                <w:color w:val="auto"/>
              </w:rPr>
              <w:t>the Company to repurchase</w:t>
            </w:r>
          </w:p>
        </w:tc>
        <w:tc>
          <w:tcPr>
            <w:tcW w:w="3040" w:type="dxa"/>
            <w:vAlign w:val="bottom"/>
          </w:tcPr>
          <w:p>
            <w:pPr>
              <w:jc w:val="right"/>
              <w:spacing w:after="0"/>
              <w:rPr>
                <w:sz w:val="20"/>
                <w:szCs w:val="20"/>
                <w:color w:val="auto"/>
              </w:rPr>
            </w:pPr>
            <w:r>
              <w:rPr>
                <w:rFonts w:ascii="Arial" w:cs="Arial" w:eastAsia="Arial" w:hAnsi="Arial"/>
                <w:sz w:val="18"/>
                <w:szCs w:val="18"/>
                <w:color w:val="auto"/>
              </w:rPr>
              <w:t>Effective period</w:t>
            </w:r>
          </w:p>
        </w:tc>
      </w:tr>
      <w:tr>
        <w:trPr>
          <w:trHeight w:val="215"/>
        </w:trPr>
        <w:tc>
          <w:tcPr>
            <w:tcW w:w="4020" w:type="dxa"/>
            <w:vAlign w:val="bottom"/>
            <w:shd w:val="clear" w:color="auto" w:fill="CFF0FC"/>
          </w:tcPr>
          <w:p>
            <w:pPr>
              <w:spacing w:after="0"/>
              <w:rPr>
                <w:sz w:val="18"/>
                <w:szCs w:val="18"/>
                <w:color w:val="auto"/>
              </w:rPr>
            </w:pPr>
          </w:p>
        </w:tc>
        <w:tc>
          <w:tcPr>
            <w:tcW w:w="3360" w:type="dxa"/>
            <w:vAlign w:val="bottom"/>
            <w:shd w:val="clear" w:color="auto" w:fill="CFF0FC"/>
          </w:tcPr>
          <w:p>
            <w:pPr>
              <w:spacing w:after="0"/>
              <w:rPr>
                <w:sz w:val="18"/>
                <w:szCs w:val="18"/>
                <w:color w:val="auto"/>
              </w:rPr>
            </w:pPr>
          </w:p>
        </w:tc>
        <w:tc>
          <w:tcPr>
            <w:tcW w:w="3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Period from November 28, 2018 to</w:t>
            </w: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2018 Share Repurchase Program</w:t>
            </w:r>
          </w:p>
        </w:tc>
        <w:tc>
          <w:tcPr>
            <w:tcW w:w="336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10,000</w:t>
            </w:r>
          </w:p>
        </w:tc>
        <w:tc>
          <w:tcPr>
            <w:tcW w:w="3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November 27, 2019</w:t>
            </w:r>
          </w:p>
        </w:tc>
      </w:tr>
      <w:tr>
        <w:trPr>
          <w:trHeight w:val="215"/>
        </w:trPr>
        <w:tc>
          <w:tcPr>
            <w:tcW w:w="40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Period from December 30, 2019 to</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January 2020 Share Repurchase Program</w:t>
            </w:r>
          </w:p>
        </w:tc>
        <w:tc>
          <w:tcPr>
            <w:tcW w:w="3360" w:type="dxa"/>
            <w:vAlign w:val="bottom"/>
          </w:tcPr>
          <w:p>
            <w:pPr>
              <w:jc w:val="right"/>
              <w:ind w:right="410"/>
              <w:spacing w:after="0"/>
              <w:rPr>
                <w:sz w:val="20"/>
                <w:szCs w:val="20"/>
                <w:color w:val="auto"/>
              </w:rPr>
            </w:pPr>
            <w:r>
              <w:rPr>
                <w:rFonts w:ascii="Arial" w:cs="Arial" w:eastAsia="Arial" w:hAnsi="Arial"/>
                <w:sz w:val="18"/>
                <w:szCs w:val="18"/>
                <w:color w:val="auto"/>
              </w:rPr>
              <w:t>10,000</w:t>
            </w:r>
          </w:p>
        </w:tc>
        <w:tc>
          <w:tcPr>
            <w:tcW w:w="3040" w:type="dxa"/>
            <w:vAlign w:val="bottom"/>
          </w:tcPr>
          <w:p>
            <w:pPr>
              <w:jc w:val="right"/>
              <w:spacing w:after="0"/>
              <w:rPr>
                <w:sz w:val="20"/>
                <w:szCs w:val="20"/>
                <w:color w:val="auto"/>
              </w:rPr>
            </w:pPr>
            <w:r>
              <w:rPr>
                <w:rFonts w:ascii="Arial" w:cs="Arial" w:eastAsia="Arial" w:hAnsi="Arial"/>
                <w:sz w:val="18"/>
                <w:szCs w:val="18"/>
                <w:color w:val="auto"/>
              </w:rPr>
              <w:t>December 29, 2020</w:t>
            </w:r>
          </w:p>
        </w:tc>
      </w:tr>
      <w:tr>
        <w:trPr>
          <w:trHeight w:val="24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December 2020 Share Repurchase Program</w:t>
            </w:r>
          </w:p>
        </w:tc>
        <w:tc>
          <w:tcPr>
            <w:tcW w:w="336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15,000</w:t>
            </w:r>
          </w:p>
        </w:tc>
        <w:tc>
          <w:tcPr>
            <w:tcW w:w="3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Year ending December 31, 2021</w:t>
            </w:r>
          </w:p>
        </w:tc>
      </w:tr>
    </w:tbl>
    <w:p>
      <w:pPr>
        <w:spacing w:after="0" w:line="202" w:lineRule="exact"/>
        <w:rPr>
          <w:sz w:val="20"/>
          <w:szCs w:val="20"/>
          <w:color w:val="auto"/>
        </w:rPr>
      </w:pPr>
    </w:p>
    <w:p>
      <w:pPr>
        <w:jc w:val="both"/>
        <w:ind w:left="740"/>
        <w:spacing w:after="0" w:line="311" w:lineRule="auto"/>
        <w:rPr>
          <w:sz w:val="20"/>
          <w:szCs w:val="20"/>
          <w:color w:val="auto"/>
        </w:rPr>
      </w:pPr>
      <w:r>
        <w:rPr>
          <w:rFonts w:ascii="Arial" w:cs="Arial" w:eastAsia="Arial" w:hAnsi="Arial"/>
          <w:sz w:val="16"/>
          <w:szCs w:val="16"/>
          <w:color w:val="auto"/>
        </w:rPr>
        <w:t>The share repurchases may be made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the Company deems appropriate.</w:t>
      </w:r>
    </w:p>
    <w:p>
      <w:pPr>
        <w:spacing w:after="0" w:line="149" w:lineRule="exact"/>
        <w:rPr>
          <w:sz w:val="20"/>
          <w:szCs w:val="20"/>
          <w:color w:val="auto"/>
        </w:rPr>
      </w:pPr>
    </w:p>
    <w:p>
      <w:pPr>
        <w:jc w:val="both"/>
        <w:ind w:left="740"/>
        <w:spacing w:after="0" w:line="277" w:lineRule="auto"/>
        <w:rPr>
          <w:sz w:val="20"/>
          <w:szCs w:val="20"/>
          <w:color w:val="auto"/>
        </w:rPr>
      </w:pPr>
      <w:r>
        <w:rPr>
          <w:rFonts w:ascii="Arial" w:cs="Arial" w:eastAsia="Arial" w:hAnsi="Arial"/>
          <w:sz w:val="18"/>
          <w:szCs w:val="18"/>
          <w:color w:val="auto"/>
        </w:rPr>
        <w:t>The following table is a summary of the shares repurchased by the Company during 2018, 2019 and 2020 under the repurchase programs. All shares were purchased through publicly purchasing from the open market.</w:t>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3800" w:type="dxa"/>
            <w:vAlign w:val="bottom"/>
          </w:tcPr>
          <w:p>
            <w:pPr>
              <w:jc w:val="right"/>
              <w:ind w:right="570"/>
              <w:spacing w:after="0"/>
              <w:rPr>
                <w:sz w:val="20"/>
                <w:szCs w:val="20"/>
                <w:color w:val="auto"/>
              </w:rPr>
            </w:pPr>
            <w:r>
              <w:rPr>
                <w:rFonts w:ascii="Arial" w:cs="Arial" w:eastAsia="Arial" w:hAnsi="Arial"/>
                <w:sz w:val="18"/>
                <w:szCs w:val="18"/>
                <w:color w:val="auto"/>
              </w:rPr>
              <w:t>Total number of</w:t>
            </w:r>
          </w:p>
        </w:tc>
        <w:tc>
          <w:tcPr>
            <w:tcW w:w="152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3800" w:type="dxa"/>
            <w:vAlign w:val="bottom"/>
          </w:tcPr>
          <w:p>
            <w:pPr>
              <w:jc w:val="right"/>
              <w:ind w:right="570"/>
              <w:spacing w:after="0"/>
              <w:rPr>
                <w:sz w:val="20"/>
                <w:szCs w:val="20"/>
                <w:color w:val="auto"/>
              </w:rPr>
            </w:pPr>
            <w:r>
              <w:rPr>
                <w:rFonts w:ascii="Arial" w:cs="Arial" w:eastAsia="Arial" w:hAnsi="Arial"/>
                <w:sz w:val="18"/>
                <w:szCs w:val="18"/>
                <w:color w:val="auto"/>
              </w:rPr>
              <w:t>ADSs purchased</w:t>
            </w:r>
          </w:p>
        </w:tc>
        <w:tc>
          <w:tcPr>
            <w:tcW w:w="152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3800" w:type="dxa"/>
            <w:vAlign w:val="bottom"/>
          </w:tcPr>
          <w:p>
            <w:pPr>
              <w:jc w:val="right"/>
              <w:ind w:right="570"/>
              <w:spacing w:after="0"/>
              <w:rPr>
                <w:sz w:val="20"/>
                <w:szCs w:val="20"/>
                <w:color w:val="auto"/>
              </w:rPr>
            </w:pPr>
            <w:r>
              <w:rPr>
                <w:rFonts w:ascii="Arial" w:cs="Arial" w:eastAsia="Arial" w:hAnsi="Arial"/>
                <w:sz w:val="18"/>
                <w:szCs w:val="18"/>
                <w:color w:val="auto"/>
              </w:rPr>
              <w:t>as part of the</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Average</w:t>
            </w:r>
          </w:p>
        </w:tc>
      </w:tr>
      <w:tr>
        <w:trPr>
          <w:trHeight w:val="216"/>
        </w:trPr>
        <w:tc>
          <w:tcPr>
            <w:tcW w:w="5060" w:type="dxa"/>
            <w:vAlign w:val="bottom"/>
          </w:tcPr>
          <w:p>
            <w:pPr>
              <w:spacing w:after="0"/>
              <w:rPr>
                <w:sz w:val="18"/>
                <w:szCs w:val="18"/>
                <w:color w:val="auto"/>
              </w:rPr>
            </w:pPr>
          </w:p>
        </w:tc>
        <w:tc>
          <w:tcPr>
            <w:tcW w:w="3800" w:type="dxa"/>
            <w:vAlign w:val="bottom"/>
          </w:tcPr>
          <w:p>
            <w:pPr>
              <w:jc w:val="right"/>
              <w:ind w:right="570"/>
              <w:spacing w:after="0"/>
              <w:rPr>
                <w:sz w:val="20"/>
                <w:szCs w:val="20"/>
                <w:color w:val="auto"/>
              </w:rPr>
            </w:pPr>
            <w:r>
              <w:rPr>
                <w:rFonts w:ascii="Arial" w:cs="Arial" w:eastAsia="Arial" w:hAnsi="Arial"/>
                <w:sz w:val="18"/>
                <w:szCs w:val="18"/>
                <w:color w:val="auto"/>
              </w:rPr>
              <w:t>publicly</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price paid</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Period</w:t>
            </w:r>
          </w:p>
        </w:tc>
        <w:tc>
          <w:tcPr>
            <w:tcW w:w="3800" w:type="dxa"/>
            <w:vAlign w:val="bottom"/>
          </w:tcPr>
          <w:p>
            <w:pPr>
              <w:jc w:val="right"/>
              <w:ind w:right="570"/>
              <w:spacing w:after="0"/>
              <w:rPr>
                <w:sz w:val="20"/>
                <w:szCs w:val="20"/>
                <w:color w:val="auto"/>
              </w:rPr>
            </w:pPr>
            <w:r>
              <w:rPr>
                <w:rFonts w:ascii="Arial" w:cs="Arial" w:eastAsia="Arial" w:hAnsi="Arial"/>
                <w:sz w:val="18"/>
                <w:szCs w:val="18"/>
                <w:color w:val="auto"/>
              </w:rPr>
              <w:t>announced plan</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per ADS</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2018 Share Repurchase Program</w:t>
            </w:r>
          </w:p>
        </w:tc>
        <w:tc>
          <w:tcPr>
            <w:tcW w:w="38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 For the year ended December 31, 2018</w:t>
            </w:r>
          </w:p>
        </w:tc>
        <w:tc>
          <w:tcPr>
            <w:tcW w:w="3800" w:type="dxa"/>
            <w:vAlign w:val="bottom"/>
          </w:tcPr>
          <w:p>
            <w:pPr>
              <w:jc w:val="right"/>
              <w:ind w:right="570"/>
              <w:spacing w:after="0"/>
              <w:rPr>
                <w:sz w:val="20"/>
                <w:szCs w:val="20"/>
                <w:color w:val="auto"/>
              </w:rPr>
            </w:pPr>
            <w:r>
              <w:rPr>
                <w:rFonts w:ascii="Arial" w:cs="Arial" w:eastAsia="Arial" w:hAnsi="Arial"/>
                <w:sz w:val="18"/>
                <w:szCs w:val="18"/>
                <w:color w:val="auto"/>
              </w:rPr>
              <w:t>10,000</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3.7175</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 For the year ended December 31, 2019</w:t>
            </w:r>
          </w:p>
        </w:tc>
        <w:tc>
          <w:tcPr>
            <w:tcW w:w="380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1,301,912</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3.3857</w:t>
            </w: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January 2020 Share Repurchase Program</w:t>
            </w:r>
          </w:p>
        </w:tc>
        <w:tc>
          <w:tcPr>
            <w:tcW w:w="3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 For the year ended December 31, 2020</w:t>
            </w:r>
          </w:p>
        </w:tc>
        <w:tc>
          <w:tcPr>
            <w:tcW w:w="380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768,079</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7.0892</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December 2020 Share Repurchase Program</w:t>
            </w:r>
          </w:p>
        </w:tc>
        <w:tc>
          <w:tcPr>
            <w:tcW w:w="3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 For the year ended December 31, 2020</w:t>
            </w:r>
          </w:p>
        </w:tc>
        <w:tc>
          <w:tcPr>
            <w:tcW w:w="380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27,599</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8.3686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Share-based compensation</w:t>
      </w:r>
    </w:p>
    <w:p>
      <w:pPr>
        <w:spacing w:after="0" w:line="189" w:lineRule="exact"/>
        <w:rPr>
          <w:sz w:val="20"/>
          <w:szCs w:val="20"/>
          <w:color w:val="auto"/>
        </w:rPr>
      </w:pPr>
    </w:p>
    <w:p>
      <w:pPr>
        <w:ind w:left="720" w:hanging="712"/>
        <w:spacing w:after="0"/>
        <w:tabs>
          <w:tab w:leader="none" w:pos="7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184" w:lineRule="exact"/>
        <w:rPr>
          <w:rFonts w:ascii="Arial" w:cs="Arial" w:eastAsia="Arial" w:hAnsi="Arial"/>
          <w:sz w:val="18"/>
          <w:szCs w:val="18"/>
          <w:color w:val="auto"/>
        </w:rPr>
      </w:pPr>
    </w:p>
    <w:p>
      <w:pPr>
        <w:jc w:val="both"/>
        <w:ind w:left="740"/>
        <w:spacing w:after="0" w:line="263" w:lineRule="auto"/>
        <w:rPr>
          <w:rFonts w:ascii="Arial" w:cs="Arial" w:eastAsia="Arial" w:hAnsi="Arial"/>
          <w:sz w:val="18"/>
          <w:szCs w:val="18"/>
          <w:color w:val="auto"/>
        </w:rPr>
      </w:pPr>
      <w:r>
        <w:rPr>
          <w:rFonts w:ascii="Arial" w:cs="Arial" w:eastAsia="Arial" w:hAnsi="Arial"/>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156" w:lineRule="exact"/>
        <w:rPr>
          <w:rFonts w:ascii="Arial" w:cs="Arial" w:eastAsia="Arial" w:hAnsi="Arial"/>
          <w:sz w:val="18"/>
          <w:szCs w:val="18"/>
          <w:color w:val="auto"/>
        </w:rPr>
      </w:pPr>
    </w:p>
    <w:p>
      <w:pPr>
        <w:ind w:left="740"/>
        <w:spacing w:after="0" w:line="308" w:lineRule="auto"/>
        <w:rPr>
          <w:rFonts w:ascii="Arial" w:cs="Arial" w:eastAsia="Arial" w:hAnsi="Arial"/>
          <w:sz w:val="18"/>
          <w:szCs w:val="18"/>
          <w:color w:val="auto"/>
        </w:rPr>
      </w:pPr>
      <w:r>
        <w:rPr>
          <w:rFonts w:ascii="Arial" w:cs="Arial" w:eastAsia="Arial" w:hAnsi="Arial"/>
          <w:sz w:val="17"/>
          <w:szCs w:val="17"/>
          <w:color w:val="auto"/>
        </w:rPr>
        <w:t>During the years ended December 31, 2019 and 2020, no share options were granted to non-employees, employees, officers and directors of the Group. The following table summarizes the share option activities for the years ended December 31, 2018, 2019 and 2020:</w:t>
      </w:r>
    </w:p>
    <w:p>
      <w:pPr>
        <w:spacing w:after="0" w:line="173"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Weighted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Weighted</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Weighted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average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Number of</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average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average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remaining</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Aggregate</w:t>
            </w:r>
          </w:p>
        </w:tc>
      </w:tr>
      <w:tr>
        <w:trPr>
          <w:trHeight w:val="216"/>
        </w:trPr>
        <w:tc>
          <w:tcPr>
            <w:tcW w:w="48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share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exercise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grant date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contractual</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intrinsic</w:t>
            </w:r>
          </w:p>
        </w:tc>
      </w:tr>
      <w:tr>
        <w:trPr>
          <w:trHeight w:val="229"/>
        </w:trPr>
        <w:tc>
          <w:tcPr>
            <w:tcW w:w="48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options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price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fair value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life</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value</w:t>
            </w:r>
          </w:p>
        </w:tc>
      </w:tr>
      <w:tr>
        <w:trPr>
          <w:trHeight w:val="230"/>
        </w:trPr>
        <w:tc>
          <w:tcPr>
            <w:tcW w:w="4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US$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years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US$’000</w:t>
            </w: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At January 1, 2018</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1,542,576</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19,387</w:t>
            </w:r>
          </w:p>
        </w:tc>
        <w:tc>
          <w:tcPr>
            <w:tcW w:w="12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(503,712)</w:t>
            </w: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(130,455)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N/A</w:t>
            </w:r>
          </w:p>
        </w:tc>
      </w:tr>
      <w:tr>
        <w:trPr>
          <w:trHeight w:val="263"/>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At December 31, 2018</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908,409</w:t>
            </w:r>
          </w:p>
        </w:tc>
        <w:tc>
          <w:tcPr>
            <w:tcW w:w="22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22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0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120" w:type="dxa"/>
            <w:vAlign w:val="bottom"/>
            <w:tcBorders>
              <w:bottom w:val="single" w:sz="8" w:color="CFF0FC"/>
            </w:tcBorders>
          </w:tcPr>
          <w:p>
            <w:pPr>
              <w:spacing w:after="0"/>
              <w:rPr>
                <w:sz w:val="22"/>
                <w:szCs w:val="22"/>
                <w:color w:val="auto"/>
              </w:rPr>
            </w:pPr>
          </w:p>
        </w:tc>
      </w:tr>
      <w:tr>
        <w:trPr>
          <w:trHeight w:val="21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Vested and expected to vest at December 31, 2018</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862,372</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120" w:type="dxa"/>
            <w:vAlign w:val="bottom"/>
            <w:shd w:val="clear" w:color="auto" w:fill="CFF0FC"/>
          </w:tcPr>
          <w:p>
            <w:pPr>
              <w:spacing w:after="0"/>
              <w:rPr>
                <w:sz w:val="18"/>
                <w:szCs w:val="18"/>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Exercisable to vest at December 31, 2018</w:t>
            </w:r>
          </w:p>
        </w:tc>
        <w:tc>
          <w:tcPr>
            <w:tcW w:w="900" w:type="dxa"/>
            <w:vAlign w:val="bottom"/>
          </w:tcPr>
          <w:p>
            <w:pPr>
              <w:jc w:val="right"/>
              <w:spacing w:after="0"/>
              <w:rPr>
                <w:sz w:val="20"/>
                <w:szCs w:val="20"/>
                <w:color w:val="auto"/>
              </w:rPr>
            </w:pPr>
            <w:r>
              <w:rPr>
                <w:rFonts w:ascii="Arial" w:cs="Arial" w:eastAsia="Arial" w:hAnsi="Arial"/>
                <w:sz w:val="18"/>
                <w:szCs w:val="18"/>
                <w:color w:val="auto"/>
              </w:rPr>
              <w:t>823,341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12.02</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At January 1, 2019</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908,409</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w:t>
            </w:r>
          </w:p>
        </w:tc>
        <w:tc>
          <w:tcPr>
            <w:tcW w:w="12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(135,281)</w:t>
            </w: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(105,261)</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N/A</w:t>
            </w:r>
          </w:p>
        </w:tc>
      </w:tr>
      <w:tr>
        <w:trPr>
          <w:trHeight w:val="263"/>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At December 31, 2019</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667,867</w:t>
            </w:r>
          </w:p>
        </w:tc>
        <w:tc>
          <w:tcPr>
            <w:tcW w:w="22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22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20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20" w:type="dxa"/>
            <w:vAlign w:val="bottom"/>
            <w:tcBorders>
              <w:bottom w:val="single" w:sz="8" w:color="CFF0FC"/>
            </w:tcBorders>
          </w:tcPr>
          <w:p>
            <w:pPr>
              <w:spacing w:after="0"/>
              <w:rPr>
                <w:sz w:val="22"/>
                <w:szCs w:val="22"/>
                <w:color w:val="auto"/>
              </w:rPr>
            </w:pPr>
          </w:p>
        </w:tc>
      </w:tr>
      <w:tr>
        <w:trPr>
          <w:trHeight w:val="196"/>
        </w:trPr>
        <w:tc>
          <w:tcPr>
            <w:tcW w:w="48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Vested and expected to vest at</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0"/>
        </w:trPr>
        <w:tc>
          <w:tcPr>
            <w:tcW w:w="4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2019</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660,247</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FF0FC"/>
          </w:tcPr>
          <w:p>
            <w:pPr>
              <w:spacing w:after="0"/>
              <w:rPr>
                <w:sz w:val="20"/>
                <w:szCs w:val="20"/>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Exercisable to vest at December 31, 2019</w:t>
            </w:r>
          </w:p>
        </w:tc>
        <w:tc>
          <w:tcPr>
            <w:tcW w:w="900" w:type="dxa"/>
            <w:vAlign w:val="bottom"/>
          </w:tcPr>
          <w:p>
            <w:pPr>
              <w:jc w:val="right"/>
              <w:spacing w:after="0"/>
              <w:rPr>
                <w:sz w:val="20"/>
                <w:szCs w:val="20"/>
                <w:color w:val="auto"/>
              </w:rPr>
            </w:pPr>
            <w:r>
              <w:rPr>
                <w:rFonts w:ascii="Arial" w:cs="Arial" w:eastAsia="Arial" w:hAnsi="Arial"/>
                <w:sz w:val="18"/>
                <w:szCs w:val="18"/>
                <w:color w:val="auto"/>
              </w:rPr>
              <w:t>657,142</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At January 1, 2020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667,867</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12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(235,765)</w:t>
            </w:r>
          </w:p>
        </w:tc>
        <w:tc>
          <w:tcPr>
            <w:tcW w:w="920" w:type="dxa"/>
            <w:vAlign w:val="bottom"/>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4"/>
                <w:szCs w:val="14"/>
                <w:color w:val="auto"/>
              </w:rPr>
              <w:t>Forfeited</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N/A</w:t>
            </w:r>
          </w:p>
        </w:tc>
      </w:tr>
      <w:tr>
        <w:trPr>
          <w:trHeight w:val="263"/>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At December 31, 2020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432,102</w:t>
            </w:r>
          </w:p>
        </w:tc>
        <w:tc>
          <w:tcPr>
            <w:tcW w:w="22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22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4,578</w:t>
            </w:r>
          </w:p>
        </w:tc>
        <w:tc>
          <w:tcPr>
            <w:tcW w:w="120" w:type="dxa"/>
            <w:vAlign w:val="bottom"/>
            <w:tcBorders>
              <w:bottom w:val="single" w:sz="8" w:color="CFF0FC"/>
            </w:tcBorders>
          </w:tcPr>
          <w:p>
            <w:pPr>
              <w:spacing w:after="0"/>
              <w:rPr>
                <w:sz w:val="22"/>
                <w:szCs w:val="22"/>
                <w:color w:val="auto"/>
              </w:rPr>
            </w:pPr>
          </w:p>
        </w:tc>
      </w:tr>
      <w:tr>
        <w:trPr>
          <w:trHeight w:val="196"/>
        </w:trPr>
        <w:tc>
          <w:tcPr>
            <w:tcW w:w="48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Vested and expected to vest at</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0"/>
        </w:trPr>
        <w:tc>
          <w:tcPr>
            <w:tcW w:w="4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2020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430,569</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5,215</w:t>
            </w:r>
          </w:p>
        </w:tc>
        <w:tc>
          <w:tcPr>
            <w:tcW w:w="120" w:type="dxa"/>
            <w:vAlign w:val="bottom"/>
            <w:shd w:val="clear" w:color="auto" w:fill="CFF0FC"/>
          </w:tcPr>
          <w:p>
            <w:pPr>
              <w:spacing w:after="0"/>
              <w:rPr>
                <w:sz w:val="20"/>
                <w:szCs w:val="20"/>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Exercisable to vest at December 31, 2020</w:t>
            </w:r>
          </w:p>
        </w:tc>
        <w:tc>
          <w:tcPr>
            <w:tcW w:w="900" w:type="dxa"/>
            <w:vAlign w:val="bottom"/>
          </w:tcPr>
          <w:p>
            <w:pPr>
              <w:jc w:val="right"/>
              <w:spacing w:after="0"/>
              <w:rPr>
                <w:sz w:val="20"/>
                <w:szCs w:val="20"/>
                <w:color w:val="auto"/>
              </w:rPr>
            </w:pPr>
            <w:r>
              <w:rPr>
                <w:rFonts w:ascii="Arial" w:cs="Arial" w:eastAsia="Arial" w:hAnsi="Arial"/>
                <w:sz w:val="18"/>
                <w:szCs w:val="18"/>
                <w:color w:val="auto"/>
              </w:rPr>
              <w:t>431,245</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14.50</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5,213</w:t>
            </w:r>
          </w:p>
        </w:tc>
        <w:tc>
          <w:tcPr>
            <w:tcW w:w="120" w:type="dxa"/>
            <w:vAlign w:val="bottom"/>
          </w:tcPr>
          <w:p>
            <w:pPr>
              <w:spacing w:after="0"/>
              <w:rPr>
                <w:sz w:val="20"/>
                <w:szCs w:val="20"/>
                <w:color w:val="auto"/>
              </w:rPr>
            </w:pPr>
          </w:p>
        </w:tc>
      </w:tr>
    </w:tbl>
    <w:p>
      <w:pPr>
        <w:spacing w:after="0" w:line="214" w:lineRule="exact"/>
        <w:rPr>
          <w:sz w:val="20"/>
          <w:szCs w:val="20"/>
          <w:color w:val="auto"/>
        </w:rPr>
      </w:pPr>
    </w:p>
    <w:p>
      <w:pPr>
        <w:jc w:val="both"/>
        <w:ind w:left="740"/>
        <w:spacing w:after="0" w:line="311" w:lineRule="auto"/>
        <w:rPr>
          <w:sz w:val="20"/>
          <w:szCs w:val="20"/>
          <w:color w:val="auto"/>
        </w:rPr>
      </w:pPr>
      <w:r>
        <w:rPr>
          <w:rFonts w:ascii="Arial" w:cs="Arial" w:eastAsia="Arial" w:hAnsi="Arial"/>
          <w:sz w:val="16"/>
          <w:szCs w:val="16"/>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9% and 5% for employees and 58% and 26% for senior management in 2019 and 2020,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ind w:left="73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32"/>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32"/>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ind w:left="712" w:hanging="712"/>
        <w:spacing w:after="0"/>
        <w:tabs>
          <w:tab w:leader="none" w:pos="712"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(Continued)</w:t>
      </w:r>
    </w:p>
    <w:p>
      <w:pPr>
        <w:spacing w:after="0" w:line="256" w:lineRule="exact"/>
        <w:rPr>
          <w:rFonts w:ascii="Arial" w:cs="Arial" w:eastAsia="Arial" w:hAnsi="Arial"/>
          <w:sz w:val="18"/>
          <w:szCs w:val="18"/>
          <w:b w:val="1"/>
          <w:bCs w:val="1"/>
          <w:color w:val="auto"/>
        </w:rPr>
      </w:pPr>
    </w:p>
    <w:p>
      <w:pPr>
        <w:ind w:left="7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aggregate intrinsic value in the table above represents the difference between the estimated fair values of the Company’s ordinary shares as of December 31, 2019 and 2020 and the exercise price.</w:t>
      </w:r>
    </w:p>
    <w:p>
      <w:pPr>
        <w:spacing w:after="0" w:line="183" w:lineRule="exact"/>
        <w:rPr>
          <w:rFonts w:ascii="Arial" w:cs="Arial" w:eastAsia="Arial" w:hAnsi="Arial"/>
          <w:sz w:val="18"/>
          <w:szCs w:val="18"/>
          <w:b w:val="1"/>
          <w:bCs w:val="1"/>
          <w:color w:val="auto"/>
        </w:rPr>
      </w:pPr>
    </w:p>
    <w:p>
      <w:pPr>
        <w:jc w:val="both"/>
        <w:ind w:left="73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for the years ended December 31, 2018, 2019 and 2020 were US$5,349, US$784 and US$107, respectively.</w:t>
      </w:r>
    </w:p>
    <w:p>
      <w:pPr>
        <w:spacing w:after="0" w:line="143" w:lineRule="exact"/>
        <w:rPr>
          <w:rFonts w:ascii="Arial" w:cs="Arial" w:eastAsia="Arial" w:hAnsi="Arial"/>
          <w:sz w:val="18"/>
          <w:szCs w:val="18"/>
          <w:b w:val="1"/>
          <w:bCs w:val="1"/>
          <w:color w:val="auto"/>
        </w:rPr>
      </w:pPr>
    </w:p>
    <w:p>
      <w:pPr>
        <w:jc w:val="both"/>
        <w:ind w:left="732"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December 31, 2019 and 2020, there were US$96 and US$4 of unrecognized share-based compensation expenses related to share options, which were expected to be recognized over a weighted-average vesting period of 0.86 and 0.25 years, respectively. To the extent the actual forfeiture rate is different from the Company’s estimate, the actual share-based compensation related to these awards may be different from the expectation.</w:t>
      </w:r>
    </w:p>
    <w:p>
      <w:pPr>
        <w:spacing w:after="0" w:line="159" w:lineRule="exact"/>
        <w:rPr>
          <w:rFonts w:ascii="Arial" w:cs="Arial" w:eastAsia="Arial" w:hAnsi="Arial"/>
          <w:sz w:val="18"/>
          <w:szCs w:val="18"/>
          <w:b w:val="1"/>
          <w:bCs w:val="1"/>
          <w:color w:val="auto"/>
        </w:rPr>
      </w:pPr>
    </w:p>
    <w:p>
      <w:pPr>
        <w:jc w:val="both"/>
        <w:ind w:left="73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binomial option pricing model is used to determine the fair value of the share options granted to employees and non-employees. There were no grant or modification of share options during the years ended December 31, 2019 and 2020. Key assumptions used in estimating the fair values of share options modified during the year ended December 31, 2018 include risk-free interest rate of 2.83% to 2.92%, dividend yield of 0%, and volatility rate of 42.72% to 44.65%. The risk-free interest rate of periods within the contractual life of the share option is based on the yield of US Treasury Strips sourced from Bloomberg as of the valuation dates. Expected volatility is estimated based on the average of historical volatilities of the comparable companies in the same industry as of the valuation dates.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93" w:name="page194"/>
    <w:bookmarkEnd w:id="193"/>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(Continued)</w:t>
      </w:r>
    </w:p>
    <w:p>
      <w:pPr>
        <w:spacing w:after="0" w:line="243" w:lineRule="exact"/>
        <w:rPr>
          <w:sz w:val="20"/>
          <w:szCs w:val="20"/>
          <w:color w:val="auto"/>
        </w:rPr>
      </w:pPr>
    </w:p>
    <w:p>
      <w:pPr>
        <w:ind w:left="720" w:hanging="712"/>
        <w:spacing w:after="0"/>
        <w:tabs>
          <w:tab w:leader="none" w:pos="7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Post-IPO share incentive plan</w:t>
      </w:r>
    </w:p>
    <w:p>
      <w:pPr>
        <w:spacing w:after="0" w:line="184" w:lineRule="exact"/>
        <w:rPr>
          <w:rFonts w:ascii="Arial" w:cs="Arial" w:eastAsia="Arial" w:hAnsi="Arial"/>
          <w:sz w:val="18"/>
          <w:szCs w:val="18"/>
          <w:color w:val="auto"/>
        </w:rPr>
      </w:pPr>
    </w:p>
    <w:p>
      <w:pPr>
        <w:jc w:val="both"/>
        <w:ind w:left="740"/>
        <w:spacing w:after="0" w:line="311" w:lineRule="auto"/>
        <w:rPr>
          <w:rFonts w:ascii="Arial" w:cs="Arial" w:eastAsia="Arial" w:hAnsi="Arial"/>
          <w:sz w:val="18"/>
          <w:szCs w:val="18"/>
          <w:color w:val="auto"/>
        </w:rPr>
      </w:pPr>
      <w:r>
        <w:rPr>
          <w:rFonts w:ascii="Arial" w:cs="Arial" w:eastAsia="Arial" w:hAnsi="Arial"/>
          <w:sz w:val="16"/>
          <w:szCs w:val="16"/>
          <w:color w:val="auto"/>
        </w:rPr>
        <w:t>The Company’s post-IPO share incentive plan provides for the grant of incentive share options and RSUs to the Company’s employees, officers, directors or consultants. The Company’s board of directors administers the post-IPO share incentive plan, selects the individuals to whom options and RSUs will be granted, determines the number of options and RSUs to be granted, and the term and exercise price of each option and RSU.</w:t>
      </w:r>
    </w:p>
    <w:p>
      <w:pPr>
        <w:spacing w:after="0" w:line="162" w:lineRule="exact"/>
        <w:rPr>
          <w:rFonts w:ascii="Arial" w:cs="Arial" w:eastAsia="Arial" w:hAnsi="Arial"/>
          <w:sz w:val="18"/>
          <w:szCs w:val="18"/>
          <w:color w:val="auto"/>
        </w:rPr>
      </w:pPr>
    </w:p>
    <w:p>
      <w:pPr>
        <w:ind w:left="740"/>
        <w:spacing w:after="0" w:line="342" w:lineRule="auto"/>
        <w:rPr>
          <w:rFonts w:ascii="Arial" w:cs="Arial" w:eastAsia="Arial" w:hAnsi="Arial"/>
          <w:sz w:val="18"/>
          <w:szCs w:val="18"/>
          <w:color w:val="auto"/>
        </w:rPr>
      </w:pPr>
      <w:r>
        <w:rPr>
          <w:rFonts w:ascii="Arial" w:cs="Arial" w:eastAsia="Arial" w:hAnsi="Arial"/>
          <w:sz w:val="16"/>
          <w:szCs w:val="16"/>
          <w:color w:val="auto"/>
        </w:rPr>
        <w:t>During the years ended December 31, 2018, 2019 and 2020, the Company granted RSUs to non-employees, employees, officers and directors of the Group. The following table summarizes the activity of the service-based RSUs for the year ended December 31, 2018, 2019 and 2020:</w:t>
      </w:r>
    </w:p>
    <w:p>
      <w:pPr>
        <w:spacing w:after="0" w:line="15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Number of</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grant date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RSUs</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At January 1, 2018</w:t>
            </w: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Granted (with a vesting period of 0 to 4 years)</w:t>
            </w:r>
          </w:p>
        </w:tc>
        <w:tc>
          <w:tcPr>
            <w:tcW w:w="1420" w:type="dxa"/>
            <w:vAlign w:val="bottom"/>
          </w:tcPr>
          <w:p>
            <w:pPr>
              <w:jc w:val="right"/>
              <w:spacing w:after="0"/>
              <w:rPr>
                <w:sz w:val="20"/>
                <w:szCs w:val="20"/>
                <w:color w:val="auto"/>
              </w:rPr>
            </w:pPr>
            <w:r>
              <w:rPr>
                <w:rFonts w:ascii="Arial" w:cs="Arial" w:eastAsia="Arial" w:hAnsi="Arial"/>
                <w:sz w:val="18"/>
                <w:szCs w:val="18"/>
                <w:color w:val="auto"/>
              </w:rPr>
              <w:t>1,950,374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(1,569,792)</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Forfeited (Note (ii))</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(4,310)</w:t>
            </w:r>
          </w:p>
        </w:tc>
        <w:tc>
          <w:tcPr>
            <w:tcW w:w="144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At December 31, 2018</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376,272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 2018</w:t>
            </w: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gridSpan w:val="2"/>
            <w:vMerge w:val="continue"/>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376,272</w:t>
            </w:r>
          </w:p>
        </w:tc>
        <w:tc>
          <w:tcPr>
            <w:tcW w:w="260" w:type="dxa"/>
            <w:vAlign w:val="bottom"/>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At January 1, 2019</w:t>
            </w:r>
          </w:p>
        </w:tc>
        <w:tc>
          <w:tcPr>
            <w:tcW w:w="1420" w:type="dxa"/>
            <w:vAlign w:val="bottom"/>
          </w:tcPr>
          <w:p>
            <w:pPr>
              <w:jc w:val="right"/>
              <w:spacing w:after="0"/>
              <w:rPr>
                <w:sz w:val="20"/>
                <w:szCs w:val="20"/>
                <w:color w:val="auto"/>
              </w:rPr>
            </w:pPr>
            <w:r>
              <w:rPr>
                <w:rFonts w:ascii="Arial" w:cs="Arial" w:eastAsia="Arial" w:hAnsi="Arial"/>
                <w:sz w:val="18"/>
                <w:szCs w:val="18"/>
                <w:color w:val="auto"/>
              </w:rPr>
              <w:t>376,272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Granted (with a vesting period of 1 to 4 years)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279,480</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Vested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(167,833)</w:t>
            </w:r>
          </w:p>
        </w:tc>
        <w:tc>
          <w:tcPr>
            <w:tcW w:w="144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Forfeited (Note (ii))</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(24,373)</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140" w:type="dxa"/>
            <w:vAlign w:val="bottom"/>
            <w:gridSpan w:val="2"/>
          </w:tcPr>
          <w:p>
            <w:pPr>
              <w:spacing w:after="0"/>
              <w:rPr>
                <w:sz w:val="20"/>
                <w:szCs w:val="20"/>
                <w:color w:val="auto"/>
              </w:rPr>
            </w:pPr>
            <w:r>
              <w:rPr>
                <w:rFonts w:ascii="Arial" w:cs="Arial" w:eastAsia="Arial" w:hAnsi="Arial"/>
                <w:sz w:val="18"/>
                <w:szCs w:val="18"/>
                <w:color w:val="auto"/>
              </w:rPr>
              <w:t>At December 31, 2019</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463,546</w:t>
            </w:r>
          </w:p>
        </w:tc>
        <w:tc>
          <w:tcPr>
            <w:tcW w:w="26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December 31, 2019</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377,507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At January 1, 2020</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463,546</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Granted (with a vesting period of 0 to 4 years)</w:t>
            </w:r>
          </w:p>
        </w:tc>
        <w:tc>
          <w:tcPr>
            <w:tcW w:w="1420" w:type="dxa"/>
            <w:vAlign w:val="bottom"/>
          </w:tcPr>
          <w:p>
            <w:pPr>
              <w:jc w:val="right"/>
              <w:spacing w:after="0"/>
              <w:rPr>
                <w:sz w:val="20"/>
                <w:szCs w:val="20"/>
                <w:color w:val="auto"/>
              </w:rPr>
            </w:pPr>
            <w:r>
              <w:rPr>
                <w:rFonts w:ascii="Arial" w:cs="Arial" w:eastAsia="Arial" w:hAnsi="Arial"/>
                <w:sz w:val="18"/>
                <w:szCs w:val="18"/>
                <w:color w:val="auto"/>
              </w:rPr>
              <w:t>1,180,295</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(962,606)</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Forfeited/expired (Note (ii))</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(46,730)</w:t>
            </w:r>
          </w:p>
        </w:tc>
        <w:tc>
          <w:tcPr>
            <w:tcW w:w="144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At December 31, 2020</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634,505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 2020</w:t>
            </w: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gridSpan w:val="2"/>
            <w:vMerge w:val="continue"/>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620,245</w:t>
            </w:r>
          </w:p>
        </w:tc>
        <w:tc>
          <w:tcPr>
            <w:tcW w:w="26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w:t>
      </w:r>
    </w:p>
    <w:p>
      <w:pPr>
        <w:spacing w:after="0" w:line="239" w:lineRule="exact"/>
        <w:rPr>
          <w:sz w:val="20"/>
          <w:szCs w:val="20"/>
          <w:color w:val="auto"/>
        </w:rPr>
      </w:pPr>
    </w:p>
    <w:p>
      <w:pPr>
        <w:jc w:val="both"/>
        <w:ind w:left="1440" w:hanging="717"/>
        <w:spacing w:after="0" w:line="311" w:lineRule="auto"/>
        <w:tabs>
          <w:tab w:leader="none" w:pos="14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All share-based payments to employees are measured based on their grant-date fair values. Compensation expense is recognized based on the vesting schedule over the requisite service period. Total fair values and intrinsic value of RSUs vested and recognized as expenses for the years ended December 31, 2018, 2019 and 2020 were US$14,330, US$1,331 and US$6,142 respectively.</w:t>
      </w:r>
    </w:p>
    <w:p>
      <w:pPr>
        <w:spacing w:after="0" w:line="162" w:lineRule="exact"/>
        <w:rPr>
          <w:rFonts w:ascii="Arial" w:cs="Arial" w:eastAsia="Arial" w:hAnsi="Arial"/>
          <w:sz w:val="16"/>
          <w:szCs w:val="16"/>
          <w:color w:val="auto"/>
        </w:rPr>
      </w:pPr>
    </w:p>
    <w:p>
      <w:pPr>
        <w:jc w:val="both"/>
        <w:ind w:left="1440" w:hanging="717"/>
        <w:spacing w:after="0" w:line="286" w:lineRule="auto"/>
        <w:tabs>
          <w:tab w:leader="none" w:pos="144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Forfeitures are estimated at the time of grant. If necessary, forfeitures are revised in subsequent periods if actual forfeitures differ from those estimates. Based upon the Company’s expected forfeitures for RSUs granted, the directors of the Company estimated that its future forfeiture rate would be 1% for employees and 0% for non-employees in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Share-based compensation (Continued)</w:t>
      </w:r>
    </w:p>
    <w:p>
      <w:pPr>
        <w:spacing w:after="0" w:line="243" w:lineRule="exact"/>
        <w:rPr>
          <w:sz w:val="20"/>
          <w:szCs w:val="20"/>
          <w:color w:val="auto"/>
        </w:rPr>
      </w:pPr>
    </w:p>
    <w:p>
      <w:pPr>
        <w:ind w:left="720" w:right="7460" w:hanging="712"/>
        <w:spacing w:after="0" w:line="516" w:lineRule="auto"/>
        <w:tabs>
          <w:tab w:leader="none" w:pos="7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Post-IPO share incentive plan (Continued) Note: (Continued)</w:t>
      </w:r>
    </w:p>
    <w:p>
      <w:pPr>
        <w:jc w:val="both"/>
        <w:ind w:left="1440" w:hanging="717"/>
        <w:spacing w:after="0" w:line="270" w:lineRule="auto"/>
        <w:tabs>
          <w:tab w:leader="none" w:pos="144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During the years ended December 31, 2018, 2019 and 2020, the Company has granted RSUs which are subject to certain market conditions based on achievement of stock prices of the Company. The Company determines the fair value of these RSUs as of the date of grant or modification using the Monte Carlo simulation model which utilizes multiple input variables to determine the stock-based compensation expense with the following assumptions: historical volatility ranging from 37.36% to 62.89%, 0% dividend yield, and risk-free interest rates ranging from 0.1%% to 1.72%. The historical volatility was based on the average volatility of the comparable companies for the most recent 1-year period as of the date of grant or modification. The stock price projection for the Company assumes a 0% dividend yield. This is mathematically equivalent to reinvesting dividends in the issuing entity over the performance period. The risk-free interest rate is equal to the yield, as of the measurement date, of the zero-coupon U.S. Treasury bill that is commensurate with the remaining performance measurement period.</w:t>
      </w:r>
    </w:p>
    <w:p>
      <w:pPr>
        <w:spacing w:after="0" w:line="99" w:lineRule="exact"/>
        <w:rPr>
          <w:rFonts w:ascii="Arial" w:cs="Arial" w:eastAsia="Arial" w:hAnsi="Arial"/>
          <w:sz w:val="17"/>
          <w:szCs w:val="17"/>
          <w:color w:val="auto"/>
        </w:rPr>
      </w:pPr>
    </w:p>
    <w:p>
      <w:pPr>
        <w:ind w:left="720" w:hanging="712"/>
        <w:spacing w:after="0"/>
        <w:tabs>
          <w:tab w:leader="none" w:pos="7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Issuance of warrants to an external consultant</w:t>
      </w:r>
    </w:p>
    <w:p>
      <w:pPr>
        <w:spacing w:after="0" w:line="238" w:lineRule="exact"/>
        <w:rPr>
          <w:rFonts w:ascii="Arial" w:cs="Arial" w:eastAsia="Arial" w:hAnsi="Arial"/>
          <w:sz w:val="18"/>
          <w:szCs w:val="18"/>
          <w:color w:val="auto"/>
        </w:rPr>
      </w:pPr>
    </w:p>
    <w:p>
      <w:pPr>
        <w:jc w:val="both"/>
        <w:ind w:left="740"/>
        <w:spacing w:after="0" w:line="290" w:lineRule="auto"/>
        <w:rPr>
          <w:rFonts w:ascii="Arial" w:cs="Arial" w:eastAsia="Arial" w:hAnsi="Arial"/>
          <w:sz w:val="18"/>
          <w:szCs w:val="18"/>
          <w:color w:val="auto"/>
        </w:rPr>
      </w:pPr>
      <w:r>
        <w:rPr>
          <w:rFonts w:ascii="Arial" w:cs="Arial" w:eastAsia="Arial" w:hAnsi="Arial"/>
          <w:sz w:val="16"/>
          <w:szCs w:val="16"/>
          <w:color w:val="auto"/>
        </w:rPr>
        <w:t>Pursuant to the agreement executed between the Company and an external consultant ("Warrant Agreement"), the Company shall issue warrants to purchase up to 4,651,162 ADSs ("Warrants") to the external consultant in exchange for its financial advisory services which the Warrants shall be vested upon the completion of raising a minimum of US$20,000 by the Company through issuing convertible notes or any equivalent financial instruments. On December 9, 2019, the Company, based on the Warrant Agreement, issued the Warrants to the external consultant as the Company was able to successfully issue the November 2019 Notes. The exercise period of the Warrants commences on December 16, 2020 at an exercise price of US$4.30 per ADS and will expire on December 16, 2022. In accordance with ASC 718, the measurement date for the vested warrants was December 9, 2019. The warrants issued to the consultant are classified as equity awards and measured based on the measurement date fair value of US$0.709 per warrant. During the year ended December 31, 2019 and 2020, no warrants were exercised.</w:t>
      </w:r>
    </w:p>
    <w:p>
      <w:pPr>
        <w:spacing w:after="0" w:line="178" w:lineRule="exact"/>
        <w:rPr>
          <w:rFonts w:ascii="Arial" w:cs="Arial" w:eastAsia="Arial" w:hAnsi="Arial"/>
          <w:sz w:val="18"/>
          <w:szCs w:val="18"/>
          <w:color w:val="auto"/>
        </w:rPr>
      </w:pPr>
    </w:p>
    <w:p>
      <w:pPr>
        <w:ind w:left="740"/>
        <w:spacing w:after="0" w:line="277" w:lineRule="auto"/>
        <w:rPr>
          <w:rFonts w:ascii="Arial" w:cs="Arial" w:eastAsia="Arial" w:hAnsi="Arial"/>
          <w:sz w:val="18"/>
          <w:szCs w:val="18"/>
          <w:color w:val="auto"/>
        </w:rPr>
      </w:pPr>
      <w:r>
        <w:rPr>
          <w:rFonts w:ascii="Arial" w:cs="Arial" w:eastAsia="Arial" w:hAnsi="Arial"/>
          <w:sz w:val="18"/>
          <w:szCs w:val="18"/>
          <w:color w:val="auto"/>
        </w:rPr>
        <w:t>Since all of the warrants granted were immediately vested, compensation expense of US$3,298 was immediately recognized with a corresponding credit to additional paid-in capital during the year ended December 31, 2019.</w:t>
      </w:r>
    </w:p>
    <w:p>
      <w:pPr>
        <w:spacing w:after="0" w:line="183" w:lineRule="exact"/>
        <w:rPr>
          <w:rFonts w:ascii="Arial" w:cs="Arial" w:eastAsia="Arial" w:hAnsi="Arial"/>
          <w:sz w:val="18"/>
          <w:szCs w:val="18"/>
          <w:color w:val="auto"/>
        </w:rPr>
      </w:pPr>
    </w:p>
    <w:p>
      <w:pPr>
        <w:ind w:left="740"/>
        <w:spacing w:after="0" w:line="277" w:lineRule="auto"/>
        <w:rPr>
          <w:rFonts w:ascii="Arial" w:cs="Arial" w:eastAsia="Arial" w:hAnsi="Arial"/>
          <w:sz w:val="18"/>
          <w:szCs w:val="18"/>
          <w:color w:val="auto"/>
        </w:rPr>
      </w:pPr>
      <w:r>
        <w:rPr>
          <w:rFonts w:ascii="Arial" w:cs="Arial" w:eastAsia="Arial" w:hAnsi="Arial"/>
          <w:sz w:val="18"/>
          <w:szCs w:val="18"/>
          <w:color w:val="auto"/>
        </w:rPr>
        <w:t>The fair value of the warrants granted on December 9, 2019 was estimated by using the binomial option pricing model with the following assumptions: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ind w:left="860"/>
              <w:spacing w:after="0"/>
              <w:rPr>
                <w:sz w:val="20"/>
                <w:szCs w:val="20"/>
                <w:color w:val="auto"/>
              </w:rPr>
            </w:pPr>
            <w:r>
              <w:rPr>
                <w:rFonts w:ascii="Arial" w:cs="Arial" w:eastAsia="Arial" w:hAnsi="Arial"/>
                <w:sz w:val="18"/>
                <w:szCs w:val="18"/>
                <w:color w:val="auto"/>
              </w:rPr>
              <w:t>Input</w:t>
            </w:r>
          </w:p>
        </w:tc>
        <w:tc>
          <w:tcPr>
            <w:tcW w:w="70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86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7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42.1</w:t>
            </w:r>
          </w:p>
        </w:tc>
      </w:tr>
      <w:tr>
        <w:trPr>
          <w:trHeight w:val="230"/>
        </w:trPr>
        <w:tc>
          <w:tcPr>
            <w:tcW w:w="86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040" w:type="dxa"/>
            <w:vAlign w:val="bottom"/>
          </w:tcPr>
          <w:p>
            <w:pPr>
              <w:jc w:val="right"/>
              <w:ind w:right="50"/>
              <w:spacing w:after="0"/>
              <w:rPr>
                <w:sz w:val="20"/>
                <w:szCs w:val="20"/>
                <w:color w:val="auto"/>
              </w:rPr>
            </w:pPr>
            <w:r>
              <w:rPr>
                <w:rFonts w:ascii="Arial" w:cs="Arial" w:eastAsia="Arial" w:hAnsi="Arial"/>
                <w:sz w:val="18"/>
                <w:szCs w:val="18"/>
                <w:color w:val="auto"/>
              </w:rPr>
              <w:t>1.6</w:t>
            </w:r>
          </w:p>
        </w:tc>
      </w:tr>
      <w:tr>
        <w:trPr>
          <w:trHeight w:val="230"/>
        </w:trPr>
        <w:tc>
          <w:tcPr>
            <w:tcW w:w="86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7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0.0</w:t>
            </w:r>
          </w:p>
        </w:tc>
      </w:tr>
      <w:tr>
        <w:trPr>
          <w:trHeight w:val="229"/>
        </w:trPr>
        <w:tc>
          <w:tcPr>
            <w:tcW w:w="86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Expected warrant life (years)</w:t>
            </w:r>
          </w:p>
        </w:tc>
        <w:tc>
          <w:tcPr>
            <w:tcW w:w="7040" w:type="dxa"/>
            <w:vAlign w:val="bottom"/>
          </w:tcPr>
          <w:p>
            <w:pPr>
              <w:jc w:val="right"/>
              <w:ind w:right="50"/>
              <w:spacing w:after="0"/>
              <w:rPr>
                <w:sz w:val="20"/>
                <w:szCs w:val="20"/>
                <w:color w:val="auto"/>
              </w:rPr>
            </w:pPr>
            <w:r>
              <w:rPr>
                <w:rFonts w:ascii="Arial" w:cs="Arial" w:eastAsia="Arial" w:hAnsi="Arial"/>
                <w:sz w:val="18"/>
                <w:szCs w:val="18"/>
                <w:color w:val="auto"/>
              </w:rPr>
              <w:t>3.0</w:t>
            </w:r>
          </w:p>
        </w:tc>
      </w:tr>
      <w:tr>
        <w:trPr>
          <w:trHeight w:val="230"/>
        </w:trPr>
        <w:tc>
          <w:tcPr>
            <w:tcW w:w="86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Expected forfeiture rate</w:t>
            </w:r>
          </w:p>
        </w:tc>
        <w:tc>
          <w:tcPr>
            <w:tcW w:w="7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0.0</w:t>
            </w:r>
          </w:p>
        </w:tc>
      </w:tr>
      <w:tr>
        <w:trPr>
          <w:trHeight w:val="891"/>
        </w:trPr>
        <w:tc>
          <w:tcPr>
            <w:tcW w:w="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040" w:type="dxa"/>
            <w:vAlign w:val="bottom"/>
          </w:tcPr>
          <w:p>
            <w:pPr>
              <w:jc w:val="right"/>
              <w:ind w:right="5350"/>
              <w:spacing w:after="0"/>
              <w:rPr>
                <w:sz w:val="20"/>
                <w:szCs w:val="20"/>
                <w:color w:val="auto"/>
              </w:rPr>
            </w:pPr>
            <w:r>
              <w:rPr>
                <w:rFonts w:ascii="Arial" w:cs="Arial" w:eastAsia="Arial" w:hAnsi="Arial"/>
                <w:sz w:val="18"/>
                <w:szCs w:val="18"/>
                <w:color w:val="auto"/>
              </w:rPr>
              <w:t>F-69</w:t>
            </w:r>
          </w:p>
        </w:tc>
      </w:tr>
      <w:tr>
        <w:trPr>
          <w:trHeight w:val="115"/>
        </w:trPr>
        <w:tc>
          <w:tcPr>
            <w:tcW w:w="8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7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Share-based compensation (Continued)</w:t>
      </w:r>
    </w:p>
    <w:p>
      <w:pPr>
        <w:spacing w:after="0" w:line="243" w:lineRule="exact"/>
        <w:rPr>
          <w:sz w:val="20"/>
          <w:szCs w:val="20"/>
          <w:color w:val="auto"/>
        </w:rPr>
      </w:pPr>
    </w:p>
    <w:p>
      <w:pPr>
        <w:ind w:left="720" w:hanging="712"/>
        <w:spacing w:after="0"/>
        <w:tabs>
          <w:tab w:leader="none" w:pos="7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Total share-based compensation costs</w:t>
      </w:r>
    </w:p>
    <w:p>
      <w:pPr>
        <w:spacing w:after="0" w:line="184"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Total share-based compensation costs recognized for the years ended December 31, 2018, 2019 and 2020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80" w:type="dxa"/>
            <w:vAlign w:val="bottom"/>
            <w:gridSpan w:val="9"/>
          </w:tcPr>
          <w:p>
            <w:pPr>
              <w:ind w:left="800"/>
              <w:spacing w:after="0"/>
              <w:rPr>
                <w:sz w:val="20"/>
                <w:szCs w:val="20"/>
                <w:color w:val="auto"/>
              </w:rPr>
            </w:pPr>
            <w:r>
              <w:rPr>
                <w:rFonts w:ascii="Arial" w:cs="Arial" w:eastAsia="Arial" w:hAnsi="Arial"/>
                <w:sz w:val="18"/>
                <w:szCs w:val="18"/>
                <w:color w:val="auto"/>
                <w:w w:val="95"/>
              </w:rPr>
              <w:t>For the years ended December 31,</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6,587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4,811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7,934</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4,062</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19,679</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5,413</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6,249</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79"/>
              </w:rPr>
              <w:t>22</w:t>
            </w:r>
          </w:p>
        </w:tc>
        <w:tc>
          <w:tcPr>
            <w:tcW w:w="6520" w:type="dxa"/>
            <w:vAlign w:val="bottom"/>
            <w:gridSpan w:val="3"/>
            <w:vMerge w:val="restart"/>
          </w:tcPr>
          <w:p>
            <w:pPr>
              <w:ind w:left="260"/>
              <w:spacing w:after="0"/>
              <w:rPr>
                <w:sz w:val="20"/>
                <w:szCs w:val="20"/>
                <w:color w:val="auto"/>
              </w:rPr>
            </w:pPr>
            <w:r>
              <w:rPr>
                <w:rFonts w:ascii="Arial" w:cs="Arial" w:eastAsia="Arial" w:hAnsi="Arial"/>
                <w:sz w:val="18"/>
                <w:szCs w:val="18"/>
                <w:b w:val="1"/>
                <w:bCs w:val="1"/>
                <w:color w:val="auto"/>
              </w:rPr>
              <w:t>Other gains, net</w:t>
            </w: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0" w:type="dxa"/>
            <w:vAlign w:val="bottom"/>
            <w:vMerge w:val="continue"/>
          </w:tcPr>
          <w:p>
            <w:pPr>
              <w:spacing w:after="0"/>
              <w:rPr>
                <w:sz w:val="24"/>
                <w:szCs w:val="24"/>
                <w:color w:val="auto"/>
              </w:rPr>
            </w:pPr>
          </w:p>
        </w:tc>
        <w:tc>
          <w:tcPr>
            <w:tcW w:w="65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80" w:type="dxa"/>
            <w:vAlign w:val="bottom"/>
            <w:gridSpan w:val="9"/>
          </w:tcPr>
          <w:p>
            <w:pPr>
              <w:ind w:left="820"/>
              <w:spacing w:after="0"/>
              <w:rPr>
                <w:sz w:val="20"/>
                <w:szCs w:val="20"/>
                <w:color w:val="auto"/>
              </w:rPr>
            </w:pPr>
            <w:r>
              <w:rPr>
                <w:rFonts w:ascii="Arial" w:cs="Arial" w:eastAsia="Arial" w:hAnsi="Arial"/>
                <w:sz w:val="18"/>
                <w:szCs w:val="18"/>
                <w:color w:val="auto"/>
                <w:w w:val="94"/>
              </w:rPr>
              <w:t>For the years ended December 31,</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Net exchange loss</w:t>
            </w:r>
          </w:p>
        </w:tc>
        <w:tc>
          <w:tcPr>
            <w:tcW w:w="146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(857)</w:t>
            </w:r>
          </w:p>
        </w:tc>
        <w:tc>
          <w:tcPr>
            <w:tcW w:w="146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(410)</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Forfeiture of advances from customers (Note (i))</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1,088</w:t>
            </w:r>
          </w:p>
        </w:tc>
        <w:tc>
          <w:tcPr>
            <w:tcW w:w="22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1,369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Gain on bargain purchase</w:t>
            </w: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Government subsidy income (Note (ii))</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1,394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ADR reimbursement from depositary bank</w:t>
            </w: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Fair value gains on short-term investments</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Others</w:t>
            </w: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6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2,992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w:t>
      </w:r>
    </w:p>
    <w:p>
      <w:pPr>
        <w:spacing w:after="0" w:line="225" w:lineRule="exact"/>
        <w:rPr>
          <w:sz w:val="20"/>
          <w:szCs w:val="20"/>
          <w:color w:val="auto"/>
        </w:rPr>
      </w:pPr>
    </w:p>
    <w:p>
      <w:pPr>
        <w:ind w:left="1440" w:right="20" w:hanging="717"/>
        <w:spacing w:after="0" w:line="277" w:lineRule="auto"/>
        <w:tabs>
          <w:tab w:leader="none" w:pos="14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forfeited advances from customers are recognized as other gains when the contractual obligation of the Company to provide the agreed services no longer existed legally due to passage of time.</w:t>
      </w:r>
    </w:p>
    <w:p>
      <w:pPr>
        <w:spacing w:after="0" w:line="170" w:lineRule="exact"/>
        <w:rPr>
          <w:rFonts w:ascii="Arial" w:cs="Arial" w:eastAsia="Arial" w:hAnsi="Arial"/>
          <w:sz w:val="18"/>
          <w:szCs w:val="18"/>
          <w:color w:val="auto"/>
        </w:rPr>
      </w:pPr>
    </w:p>
    <w:p>
      <w:pPr>
        <w:ind w:left="1440" w:hanging="717"/>
        <w:spacing w:after="0" w:line="342" w:lineRule="auto"/>
        <w:tabs>
          <w:tab w:leader="none" w:pos="144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Government subsidy income mainly includes the wage subsidy from the Hong Kong government in 2020 and an additional 10% VAT super-credit subsidy from the PRC government to offset against VAT payable for the period from April 1, 2019 to December 31, 2021.</w:t>
      </w:r>
    </w:p>
    <w:p>
      <w:pPr>
        <w:spacing w:after="0" w:line="30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Income tax</w:t>
      </w:r>
    </w:p>
    <w:p>
      <w:pPr>
        <w:spacing w:after="0" w:line="189" w:lineRule="exact"/>
        <w:rPr>
          <w:sz w:val="20"/>
          <w:szCs w:val="20"/>
          <w:color w:val="auto"/>
        </w:rPr>
      </w:pPr>
    </w:p>
    <w:p>
      <w:pPr>
        <w:ind w:left="720" w:hanging="712"/>
        <w:spacing w:after="0"/>
        <w:tabs>
          <w:tab w:leader="none" w:pos="7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Cayman Islands and British Virgin Islands</w:t>
      </w:r>
    </w:p>
    <w:p>
      <w:pPr>
        <w:spacing w:after="0" w:line="184" w:lineRule="exact"/>
        <w:rPr>
          <w:rFonts w:ascii="Arial" w:cs="Arial" w:eastAsia="Arial" w:hAnsi="Arial"/>
          <w:sz w:val="18"/>
          <w:szCs w:val="18"/>
          <w:color w:val="auto"/>
        </w:rPr>
      </w:pPr>
    </w:p>
    <w:p>
      <w:pPr>
        <w:ind w:left="740" w:right="20"/>
        <w:spacing w:after="0" w:line="277" w:lineRule="auto"/>
        <w:rPr>
          <w:rFonts w:ascii="Arial" w:cs="Arial" w:eastAsia="Arial" w:hAnsi="Arial"/>
          <w:sz w:val="18"/>
          <w:szCs w:val="18"/>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170" w:lineRule="exact"/>
        <w:rPr>
          <w:rFonts w:ascii="Arial" w:cs="Arial" w:eastAsia="Arial" w:hAnsi="Arial"/>
          <w:sz w:val="18"/>
          <w:szCs w:val="18"/>
          <w:color w:val="auto"/>
        </w:rPr>
      </w:pPr>
    </w:p>
    <w:p>
      <w:pPr>
        <w:jc w:val="both"/>
        <w:ind w:left="740"/>
        <w:spacing w:after="0" w:line="263" w:lineRule="auto"/>
        <w:rPr>
          <w:rFonts w:ascii="Arial" w:cs="Arial" w:eastAsia="Arial" w:hAnsi="Arial"/>
          <w:sz w:val="18"/>
          <w:szCs w:val="18"/>
          <w:color w:val="auto"/>
        </w:rPr>
      </w:pPr>
      <w:r>
        <w:rPr>
          <w:rFonts w:ascii="Arial" w:cs="Arial" w:eastAsia="Arial" w:hAnsi="Arial"/>
          <w:sz w:val="18"/>
          <w:szCs w:val="18"/>
          <w:color w:val="auto"/>
        </w:rPr>
        <w:t>The Company's subsidiaries incorporated in the British Virgin Islands are not subject to income or capital gains taxes, estate duty, inheritance tax or gift tax. In addition, payment of dividends to the shareholders of the Company's subsidiaries in the British Virgin Islands are not subject to withholding tax in the British Virgin Islands.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Income tax (Continued)</w:t>
      </w:r>
    </w:p>
    <w:p>
      <w:pPr>
        <w:spacing w:after="0" w:line="229" w:lineRule="exact"/>
        <w:rPr>
          <w:sz w:val="20"/>
          <w:szCs w:val="20"/>
          <w:color w:val="auto"/>
        </w:rPr>
      </w:pPr>
    </w:p>
    <w:p>
      <w:pPr>
        <w:ind w:left="720" w:hanging="712"/>
        <w:spacing w:after="0"/>
        <w:tabs>
          <w:tab w:leader="none" w:pos="7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184" w:lineRule="exact"/>
        <w:rPr>
          <w:rFonts w:ascii="Arial" w:cs="Arial" w:eastAsia="Arial" w:hAnsi="Arial"/>
          <w:sz w:val="18"/>
          <w:szCs w:val="18"/>
          <w:color w:val="auto"/>
        </w:rPr>
      </w:pPr>
    </w:p>
    <w:p>
      <w:pPr>
        <w:jc w:val="both"/>
        <w:ind w:left="740"/>
        <w:spacing w:after="0" w:line="259" w:lineRule="auto"/>
        <w:rPr>
          <w:rFonts w:ascii="Arial" w:cs="Arial" w:eastAsia="Arial" w:hAnsi="Arial"/>
          <w:sz w:val="18"/>
          <w:szCs w:val="18"/>
          <w:color w:val="auto"/>
        </w:rPr>
      </w:pPr>
      <w:r>
        <w:rPr>
          <w:rFonts w:ascii="Arial" w:cs="Arial" w:eastAsia="Arial" w:hAnsi="Arial"/>
          <w:sz w:val="18"/>
          <w:szCs w:val="18"/>
          <w:color w:val="auto"/>
        </w:rPr>
        <w:t>Entities incorporated in Hong Kong are subject to Hong Kong profits tax . Under the two- tiered profits tax rates regime, the first HK$2 million assessable profits of the qualifying group company are subject to Hong Kong profits tax at a rate of 8.25% and the remaining profits are subject at a rate of 16.5% on the estimated assessable profits. The profits of group entities not qualifying for the two-tiered profits tax rates regime will continue to be taxed at a flat rate of 16.5%.</w:t>
      </w:r>
    </w:p>
    <w:p>
      <w:pPr>
        <w:spacing w:after="0" w:line="159" w:lineRule="exact"/>
        <w:rPr>
          <w:rFonts w:ascii="Arial" w:cs="Arial" w:eastAsia="Arial" w:hAnsi="Arial"/>
          <w:sz w:val="18"/>
          <w:szCs w:val="18"/>
          <w:color w:val="auto"/>
        </w:rPr>
      </w:pPr>
    </w:p>
    <w:p>
      <w:pPr>
        <w:ind w:left="720" w:hanging="712"/>
        <w:spacing w:after="0"/>
        <w:tabs>
          <w:tab w:leader="none" w:pos="7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184" w:lineRule="exact"/>
        <w:rPr>
          <w:rFonts w:ascii="Arial" w:cs="Arial" w:eastAsia="Arial" w:hAnsi="Arial"/>
          <w:sz w:val="18"/>
          <w:szCs w:val="18"/>
          <w:color w:val="auto"/>
        </w:rPr>
      </w:pPr>
    </w:p>
    <w:p>
      <w:pPr>
        <w:ind w:left="740"/>
        <w:spacing w:after="0" w:line="308" w:lineRule="auto"/>
        <w:rPr>
          <w:rFonts w:ascii="Arial" w:cs="Arial" w:eastAsia="Arial" w:hAnsi="Arial"/>
          <w:sz w:val="18"/>
          <w:szCs w:val="18"/>
          <w:color w:val="auto"/>
        </w:rPr>
      </w:pPr>
      <w:r>
        <w:rPr>
          <w:rFonts w:ascii="Arial" w:cs="Arial" w:eastAsia="Arial" w:hAnsi="Arial"/>
          <w:sz w:val="17"/>
          <w:szCs w:val="17"/>
          <w:color w:val="auto"/>
        </w:rPr>
        <w:t>The Company’s subsidiaries, VIE and VIE’s subsidiaries in the PRC are governed by the Enterprise Income Tax Law (“EIT Law”). Pursuant to the EIT Law and its implementation rules, enterprises in the PRC are generally subjected to tax at a statutory rate of 25%.</w:t>
      </w:r>
    </w:p>
    <w:p>
      <w:pPr>
        <w:spacing w:after="0" w:line="105" w:lineRule="exact"/>
        <w:rPr>
          <w:rFonts w:ascii="Arial" w:cs="Arial" w:eastAsia="Arial" w:hAnsi="Arial"/>
          <w:sz w:val="18"/>
          <w:szCs w:val="18"/>
          <w:color w:val="auto"/>
        </w:rPr>
      </w:pPr>
    </w:p>
    <w:p>
      <w:pPr>
        <w:jc w:val="both"/>
        <w:ind w:left="740"/>
        <w:spacing w:after="0" w:line="259" w:lineRule="auto"/>
        <w:rPr>
          <w:rFonts w:ascii="Arial" w:cs="Arial" w:eastAsia="Arial" w:hAnsi="Arial"/>
          <w:sz w:val="18"/>
          <w:szCs w:val="18"/>
          <w:color w:val="auto"/>
        </w:rPr>
      </w:pPr>
      <w:r>
        <w:rPr>
          <w:rFonts w:ascii="Arial" w:cs="Arial" w:eastAsia="Arial" w:hAnsi="Arial"/>
          <w:sz w:val="18"/>
          <w:szCs w:val="18"/>
          <w:color w:val="auto"/>
        </w:rPr>
        <w:t>High and new technology enterprises (“HNTE”) will enjoy a preferential enterprise income tax rate of 15% under the EIT Law. OptAim WFOE and Changyi, the Company’s subsidiaries in the PRC, which are qualified as a HNTE under the EIT Law, are eligible for a preferential enterprise income tax rate of 15% for the period from 2018 to 2020 and 2017 to 2022, respectively, so long as these subsidiaries obtain approval from relevant tax authority if they are profitable during the period.</w:t>
      </w:r>
    </w:p>
    <w:p>
      <w:pPr>
        <w:spacing w:after="0" w:line="146" w:lineRule="exact"/>
        <w:rPr>
          <w:rFonts w:ascii="Arial" w:cs="Arial" w:eastAsia="Arial" w:hAnsi="Arial"/>
          <w:sz w:val="18"/>
          <w:szCs w:val="18"/>
          <w:color w:val="auto"/>
        </w:rPr>
      </w:pPr>
    </w:p>
    <w:p>
      <w:pPr>
        <w:jc w:val="both"/>
        <w:ind w:left="740"/>
        <w:spacing w:after="0" w:line="255" w:lineRule="auto"/>
        <w:rPr>
          <w:rFonts w:ascii="Arial" w:cs="Arial" w:eastAsia="Arial" w:hAnsi="Arial"/>
          <w:sz w:val="18"/>
          <w:szCs w:val="18"/>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165" w:lineRule="exact"/>
        <w:rPr>
          <w:rFonts w:ascii="Arial" w:cs="Arial" w:eastAsia="Arial" w:hAnsi="Arial"/>
          <w:sz w:val="18"/>
          <w:szCs w:val="18"/>
          <w:color w:val="auto"/>
        </w:rPr>
      </w:pPr>
    </w:p>
    <w:p>
      <w:pPr>
        <w:jc w:val="both"/>
        <w:ind w:left="740"/>
        <w:spacing w:after="0" w:line="290" w:lineRule="auto"/>
        <w:rPr>
          <w:rFonts w:ascii="Arial" w:cs="Arial" w:eastAsia="Arial" w:hAnsi="Arial"/>
          <w:sz w:val="18"/>
          <w:szCs w:val="18"/>
          <w:color w:val="auto"/>
        </w:rPr>
      </w:pPr>
      <w:r>
        <w:rPr>
          <w:rFonts w:ascii="Arial" w:cs="Arial" w:eastAsia="Arial" w:hAnsi="Arial"/>
          <w:sz w:val="16"/>
          <w:szCs w:val="16"/>
          <w:color w:val="auto"/>
        </w:rPr>
        <w:t>Although there are undistributed earnings of the Company’s subsidiaries in the PRC that are available for distribution to the Company, the undistributed earnings of the Company’s subsidiaries located in the PRC are considered to be indefinitely reinvested, because the Company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PRC dividend withholding taxes that would be payable upon the distribution of those amounts to the Company as of December 31, 2019 and 2020. The undistributed earnings from the Company’s subsidiaries in the PRC as of December 31, 2019 and 2020 amounted US$1,481 and US$1,468 would be due if these earnings were remitted as dividends as of December 31, 2019 and 2020. An estimated foreign withholding taxes of US$74 and US$73 would be due if these earnings were remitted as dividends as of December 31, 2019 and 2020, respectively.</w:t>
      </w:r>
    </w:p>
    <w:p>
      <w:pPr>
        <w:spacing w:after="0" w:line="124" w:lineRule="exact"/>
        <w:rPr>
          <w:rFonts w:ascii="Arial" w:cs="Arial" w:eastAsia="Arial" w:hAnsi="Arial"/>
          <w:sz w:val="18"/>
          <w:szCs w:val="18"/>
          <w:color w:val="auto"/>
        </w:rPr>
      </w:pPr>
    </w:p>
    <w:p>
      <w:pPr>
        <w:ind w:left="720" w:hanging="712"/>
        <w:spacing w:after="0"/>
        <w:tabs>
          <w:tab w:leader="none" w:pos="7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Composition of income tax expense</w:t>
      </w:r>
    </w:p>
    <w:p>
      <w:pPr>
        <w:spacing w:after="0" w:line="184"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7"/>
          <w:szCs w:val="17"/>
          <w:color w:val="auto"/>
        </w:rPr>
        <w:t>The current and deferred portions of income tax expense included in the consolidated statements of comprehensive loss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460" w:type="dxa"/>
            <w:vAlign w:val="bottom"/>
            <w:gridSpan w:val="5"/>
          </w:tcPr>
          <w:p>
            <w:pPr>
              <w:ind w:left="820"/>
              <w:spacing w:after="0"/>
              <w:rPr>
                <w:sz w:val="20"/>
                <w:szCs w:val="20"/>
                <w:color w:val="auto"/>
              </w:rPr>
            </w:pPr>
            <w:r>
              <w:rPr>
                <w:rFonts w:ascii="Arial" w:cs="Arial" w:eastAsia="Arial" w:hAnsi="Arial"/>
                <w:sz w:val="18"/>
                <w:szCs w:val="18"/>
                <w:color w:val="auto"/>
                <w:w w:val="93"/>
              </w:rPr>
              <w:t>For the years ended December 31,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30"/>
        </w:trPr>
        <w:tc>
          <w:tcPr>
            <w:tcW w:w="88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w:t>
            </w:r>
          </w:p>
        </w:tc>
        <w:tc>
          <w:tcPr>
            <w:tcW w:w="4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1,561</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w:t>
            </w: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w:t>
            </w:r>
          </w:p>
        </w:tc>
        <w:tc>
          <w:tcPr>
            <w:tcW w:w="100" w:type="dxa"/>
            <w:vAlign w:val="bottom"/>
            <w:shd w:val="clear" w:color="auto" w:fill="CFF0FC"/>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Deferred tax benefits</w:t>
            </w:r>
          </w:p>
        </w:tc>
        <w:tc>
          <w:tcPr>
            <w:tcW w:w="4280" w:type="dxa"/>
            <w:vAlign w:val="bottom"/>
            <w:gridSpan w:val="3"/>
          </w:tcPr>
          <w:p>
            <w:pPr>
              <w:jc w:val="right"/>
              <w:ind w:right="180"/>
              <w:spacing w:after="0"/>
              <w:rPr>
                <w:sz w:val="20"/>
                <w:szCs w:val="20"/>
                <w:color w:val="auto"/>
              </w:rPr>
            </w:pPr>
            <w:r>
              <w:rPr>
                <w:rFonts w:ascii="Arial" w:cs="Arial" w:eastAsia="Arial" w:hAnsi="Arial"/>
                <w:sz w:val="18"/>
                <w:szCs w:val="18"/>
                <w:color w:val="auto"/>
              </w:rPr>
              <w:t>(906)</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(1,083)</w:t>
            </w:r>
          </w:p>
        </w:tc>
        <w:tc>
          <w:tcPr>
            <w:tcW w:w="5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(1,151)</w:t>
            </w:r>
          </w:p>
        </w:tc>
      </w:tr>
      <w:tr>
        <w:trPr>
          <w:trHeight w:val="223"/>
        </w:trPr>
        <w:tc>
          <w:tcPr>
            <w:tcW w:w="880" w:type="dxa"/>
            <w:vAlign w:val="bottom"/>
          </w:tcPr>
          <w:p>
            <w:pPr>
              <w:spacing w:after="0"/>
              <w:rPr>
                <w:sz w:val="19"/>
                <w:szCs w:val="19"/>
                <w:color w:val="auto"/>
              </w:rPr>
            </w:pPr>
          </w:p>
        </w:tc>
        <w:tc>
          <w:tcPr>
            <w:tcW w:w="3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8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58"/>
        </w:trPr>
        <w:tc>
          <w:tcPr>
            <w:tcW w:w="8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80" w:type="dxa"/>
            <w:vAlign w:val="bottom"/>
            <w:gridSpan w:val="3"/>
          </w:tcPr>
          <w:p>
            <w:pPr>
              <w:jc w:val="right"/>
              <w:ind w:right="2660"/>
              <w:spacing w:after="0"/>
              <w:rPr>
                <w:sz w:val="20"/>
                <w:szCs w:val="20"/>
                <w:color w:val="auto"/>
              </w:rPr>
            </w:pPr>
            <w:r>
              <w:rPr>
                <w:rFonts w:ascii="Arial" w:cs="Arial" w:eastAsia="Arial" w:hAnsi="Arial"/>
                <w:sz w:val="18"/>
                <w:szCs w:val="18"/>
                <w:color w:val="auto"/>
              </w:rPr>
              <w:t>F-71</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Income tax (Continued)</w:t>
      </w:r>
    </w:p>
    <w:p>
      <w:pPr>
        <w:spacing w:after="0" w:line="189" w:lineRule="exact"/>
        <w:rPr>
          <w:sz w:val="20"/>
          <w:szCs w:val="20"/>
          <w:color w:val="auto"/>
        </w:rPr>
      </w:pPr>
    </w:p>
    <w:p>
      <w:pPr>
        <w:ind w:left="720" w:hanging="712"/>
        <w:spacing w:after="0"/>
        <w:tabs>
          <w:tab w:leader="none" w:pos="7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Deferred tax assets and liabilities</w:t>
      </w:r>
    </w:p>
    <w:p>
      <w:pPr>
        <w:spacing w:after="0" w:line="184" w:lineRule="exact"/>
        <w:rPr>
          <w:rFonts w:ascii="Arial" w:cs="Arial" w:eastAsia="Arial" w:hAnsi="Arial"/>
          <w:sz w:val="18"/>
          <w:szCs w:val="18"/>
          <w:color w:val="auto"/>
        </w:rPr>
      </w:pPr>
    </w:p>
    <w:p>
      <w:pPr>
        <w:ind w:left="740"/>
        <w:spacing w:after="0" w:line="342" w:lineRule="auto"/>
        <w:rPr>
          <w:rFonts w:ascii="Arial" w:cs="Arial" w:eastAsia="Arial" w:hAnsi="Arial"/>
          <w:sz w:val="18"/>
          <w:szCs w:val="18"/>
          <w:color w:val="auto"/>
        </w:rPr>
      </w:pPr>
      <w:r>
        <w:rPr>
          <w:rFonts w:ascii="Arial" w:cs="Arial" w:eastAsia="Arial" w:hAnsi="Arial"/>
          <w:sz w:val="16"/>
          <w:szCs w:val="16"/>
          <w:color w:val="auto"/>
        </w:rPr>
        <w:t>Deferred taxes were measured using the enacted tax rates for the periods in which they are expected to be reversed. The tax effects of temporary differences that give rise to the deferred tax asset and deferred tax liability balances as of December 31, 2019 and 2020 are as follows:</w:t>
      </w:r>
    </w:p>
    <w:p>
      <w:pPr>
        <w:spacing w:after="0" w:line="137"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7140" w:type="dxa"/>
            <w:vAlign w:val="bottom"/>
          </w:tcPr>
          <w:p>
            <w:pPr>
              <w:spacing w:after="0"/>
              <w:rPr>
                <w:sz w:val="19"/>
                <w:szCs w:val="19"/>
                <w:color w:val="auto"/>
              </w:rPr>
            </w:pPr>
          </w:p>
        </w:tc>
        <w:tc>
          <w:tcPr>
            <w:tcW w:w="2420" w:type="dxa"/>
            <w:vAlign w:val="bottom"/>
            <w:gridSpan w:val="3"/>
          </w:tcPr>
          <w:p>
            <w:pPr>
              <w:ind w:left="820"/>
              <w:spacing w:after="0"/>
              <w:rPr>
                <w:sz w:val="20"/>
                <w:szCs w:val="20"/>
                <w:color w:val="auto"/>
              </w:rPr>
            </w:pPr>
            <w:r>
              <w:rPr>
                <w:rFonts w:ascii="Arial" w:cs="Arial" w:eastAsia="Arial" w:hAnsi="Arial"/>
                <w:sz w:val="18"/>
                <w:szCs w:val="18"/>
                <w:color w:val="auto"/>
                <w:w w:val="99"/>
              </w:rPr>
              <w:t>As of December 31,</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29"/>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1420" w:type="dxa"/>
            <w:vAlign w:val="bottom"/>
          </w:tcPr>
          <w:p>
            <w:pPr>
              <w:jc w:val="right"/>
              <w:spacing w:after="0"/>
              <w:rPr>
                <w:sz w:val="20"/>
                <w:szCs w:val="20"/>
                <w:color w:val="auto"/>
              </w:rPr>
            </w:pPr>
            <w:r>
              <w:rPr>
                <w:rFonts w:ascii="Arial" w:cs="Arial" w:eastAsia="Arial" w:hAnsi="Arial"/>
                <w:sz w:val="18"/>
                <w:szCs w:val="18"/>
                <w:color w:val="auto"/>
              </w:rPr>
              <w:t>5,923</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4,365</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Share-based payments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FF0FC"/>
          </w:tcPr>
          <w:p>
            <w:pPr>
              <w:spacing w:after="0"/>
              <w:rPr>
                <w:sz w:val="19"/>
                <w:szCs w:val="19"/>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Temporary difference on deferred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r>
      <w:tr>
        <w:trPr>
          <w:trHeight w:val="229"/>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Less: Valuation allowance (Note (i))</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(5,923)</w:t>
            </w:r>
          </w:p>
        </w:tc>
        <w:tc>
          <w:tcPr>
            <w:tcW w:w="7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(4,365)</w:t>
            </w:r>
          </w:p>
        </w:tc>
      </w:tr>
      <w:tr>
        <w:trPr>
          <w:trHeight w:val="263"/>
        </w:trPr>
        <w:tc>
          <w:tcPr>
            <w:tcW w:w="7140" w:type="dxa"/>
            <w:vAlign w:val="bottom"/>
            <w:tcBorders>
              <w:bottom w:val="single" w:sz="8" w:color="CFF0FC"/>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260" w:type="dxa"/>
            <w:vAlign w:val="bottom"/>
            <w:tcBorders>
              <w:bottom w:val="single" w:sz="8" w:color="CFF0FC"/>
            </w:tcBorders>
          </w:tcPr>
          <w:p>
            <w:pPr>
              <w:spacing w:after="0"/>
              <w:rPr>
                <w:sz w:val="22"/>
                <w:szCs w:val="22"/>
                <w:color w:val="auto"/>
              </w:rPr>
            </w:pPr>
          </w:p>
        </w:tc>
        <w:tc>
          <w:tcPr>
            <w:tcW w:w="7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Borders>
              <w:bottom w:val="single" w:sz="8" w:color="CFF0FC"/>
            </w:tcBorders>
          </w:tcPr>
          <w:p>
            <w:pPr>
              <w:spacing w:after="0"/>
              <w:rPr>
                <w:sz w:val="22"/>
                <w:szCs w:val="22"/>
                <w:color w:val="auto"/>
              </w:rPr>
            </w:pPr>
          </w:p>
        </w:tc>
      </w:tr>
      <w:tr>
        <w:trPr>
          <w:trHeight w:val="210"/>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liabilities</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(894)</w:t>
            </w:r>
          </w:p>
        </w:tc>
        <w:tc>
          <w:tcPr>
            <w:tcW w:w="7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(13,585)</w:t>
            </w: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Outside basis difference (Note (ii))</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(942)</w:t>
            </w:r>
          </w:p>
        </w:tc>
        <w:tc>
          <w:tcPr>
            <w:tcW w:w="7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(542)</w:t>
            </w: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Others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7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23"/>
        </w:trPr>
        <w:tc>
          <w:tcPr>
            <w:tcW w:w="714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w:t>
      </w:r>
    </w:p>
    <w:p>
      <w:pPr>
        <w:spacing w:after="0" w:line="198" w:lineRule="exact"/>
        <w:rPr>
          <w:sz w:val="20"/>
          <w:szCs w:val="20"/>
          <w:color w:val="auto"/>
        </w:rPr>
      </w:pPr>
    </w:p>
    <w:p>
      <w:pPr>
        <w:jc w:val="both"/>
        <w:ind w:left="1440" w:hanging="717"/>
        <w:spacing w:after="0" w:line="293" w:lineRule="auto"/>
        <w:tabs>
          <w:tab w:leader="none" w:pos="14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carryforwards. Valuation allowance was provided for net operating loss carryforwards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124"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Movement of valuation allowance is as follows:</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1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460" w:type="dxa"/>
            <w:vAlign w:val="bottom"/>
            <w:gridSpan w:val="5"/>
          </w:tcPr>
          <w:p>
            <w:pPr>
              <w:ind w:left="820"/>
              <w:spacing w:after="0"/>
              <w:rPr>
                <w:sz w:val="20"/>
                <w:szCs w:val="20"/>
                <w:color w:val="auto"/>
              </w:rPr>
            </w:pPr>
            <w:r>
              <w:rPr>
                <w:rFonts w:ascii="Arial" w:cs="Arial" w:eastAsia="Arial" w:hAnsi="Arial"/>
                <w:sz w:val="18"/>
                <w:szCs w:val="18"/>
                <w:color w:val="auto"/>
                <w:w w:val="93"/>
              </w:rPr>
              <w:t>For the years ended December 31,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29"/>
        </w:trPr>
        <w:tc>
          <w:tcPr>
            <w:tcW w:w="14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7,573</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6,385</w:t>
            </w: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5,923</w:t>
            </w:r>
          </w:p>
        </w:tc>
        <w:tc>
          <w:tcPr>
            <w:tcW w:w="100" w:type="dxa"/>
            <w:vAlign w:val="bottom"/>
            <w:shd w:val="clear" w:color="auto" w:fill="CFF0FC"/>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Additions</w:t>
            </w:r>
          </w:p>
        </w:tc>
        <w:tc>
          <w:tcPr>
            <w:tcW w:w="1200" w:type="dxa"/>
            <w:vAlign w:val="bottom"/>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801</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Reversals (Note)</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(1,387)</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(1,263)</w:t>
            </w:r>
          </w:p>
        </w:tc>
        <w:tc>
          <w:tcPr>
            <w:tcW w:w="5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(2,702)</w:t>
            </w:r>
          </w:p>
        </w:tc>
      </w:tr>
      <w:tr>
        <w:trPr>
          <w:trHeight w:val="223"/>
        </w:trPr>
        <w:tc>
          <w:tcPr>
            <w:tcW w:w="6280" w:type="dxa"/>
            <w:vAlign w:val="bottom"/>
            <w:gridSpan w:val="2"/>
          </w:tcPr>
          <w:p>
            <w:pPr>
              <w:ind w:left="140"/>
              <w:spacing w:after="0"/>
              <w:rPr>
                <w:sz w:val="20"/>
                <w:szCs w:val="20"/>
                <w:color w:val="auto"/>
              </w:rPr>
            </w:pPr>
            <w:r>
              <w:rPr>
                <w:rFonts w:ascii="Arial" w:cs="Arial" w:eastAsia="Arial" w:hAnsi="Arial"/>
                <w:sz w:val="18"/>
                <w:szCs w:val="18"/>
                <w:color w:val="auto"/>
              </w:rPr>
              <w:t>Ending balance</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6,385</w:t>
            </w:r>
          </w:p>
        </w:tc>
        <w:tc>
          <w:tcPr>
            <w:tcW w:w="2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5,923</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w:t>
      </w:r>
    </w:p>
    <w:p>
      <w:pPr>
        <w:spacing w:after="0" w:line="185" w:lineRule="exact"/>
        <w:rPr>
          <w:sz w:val="20"/>
          <w:szCs w:val="20"/>
          <w:color w:val="auto"/>
        </w:rPr>
      </w:pPr>
    </w:p>
    <w:p>
      <w:pPr>
        <w:jc w:val="both"/>
        <w:ind w:left="740"/>
        <w:spacing w:after="0" w:line="277" w:lineRule="auto"/>
        <w:rPr>
          <w:sz w:val="20"/>
          <w:szCs w:val="20"/>
          <w:color w:val="auto"/>
        </w:rPr>
      </w:pPr>
      <w:r>
        <w:rPr>
          <w:rFonts w:ascii="Arial" w:cs="Arial" w:eastAsia="Arial" w:hAnsi="Arial"/>
          <w:sz w:val="18"/>
          <w:szCs w:val="18"/>
          <w:color w:val="auto"/>
        </w:rPr>
        <w:t>The reversals comprise tax loss carryforwards which have been utilized to offset taxable income during the years ended December 31, 2019 and 2020, respectively, and tax loss carryforwards which were expired in 2019.</w:t>
      </w:r>
    </w:p>
    <w:p>
      <w:pPr>
        <w:spacing w:after="0" w:line="130" w:lineRule="exact"/>
        <w:rPr>
          <w:sz w:val="20"/>
          <w:szCs w:val="20"/>
          <w:color w:val="auto"/>
        </w:rPr>
      </w:pPr>
    </w:p>
    <w:p>
      <w:pPr>
        <w:ind w:left="1440" w:hanging="717"/>
        <w:spacing w:after="0" w:line="277" w:lineRule="auto"/>
        <w:tabs>
          <w:tab w:leader="none" w:pos="1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deferred tax liabilities are recorded for the undistributed earnings in the Group’s VIE in the PRC and its subsidiaries of US$3,770 and US$2,169 as of December 31,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Income tax (Continued)</w:t>
      </w:r>
    </w:p>
    <w:p>
      <w:pPr>
        <w:spacing w:after="0" w:line="189" w:lineRule="exact"/>
        <w:rPr>
          <w:sz w:val="20"/>
          <w:szCs w:val="20"/>
          <w:color w:val="auto"/>
        </w:rPr>
      </w:pPr>
    </w:p>
    <w:p>
      <w:pPr>
        <w:ind w:left="740" w:right="7220" w:hanging="732"/>
        <w:spacing w:after="0" w:line="461" w:lineRule="auto"/>
        <w:tabs>
          <w:tab w:leader="none" w:pos="72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Deferred tax assets and liabilities (Continued) </w:t>
      </w:r>
      <w:r>
        <w:rPr>
          <w:rFonts w:ascii="Arial" w:cs="Arial" w:eastAsia="Arial" w:hAnsi="Arial"/>
          <w:sz w:val="18"/>
          <w:szCs w:val="18"/>
          <w:i w:val="1"/>
          <w:iCs w:val="1"/>
          <w:color w:val="auto"/>
        </w:rPr>
        <w:t>Tax loss carryforwards</w:t>
      </w:r>
    </w:p>
    <w:p>
      <w:pPr>
        <w:spacing w:after="0" w:line="1" w:lineRule="exact"/>
        <w:rPr>
          <w:rFonts w:ascii="Arial" w:cs="Arial" w:eastAsia="Arial" w:hAnsi="Arial"/>
          <w:sz w:val="18"/>
          <w:szCs w:val="18"/>
          <w:color w:val="auto"/>
        </w:rPr>
      </w:pPr>
    </w:p>
    <w:p>
      <w:pPr>
        <w:ind w:left="74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2020, the Group had tax loss carryforwards of approximately US$22,001, which can be carried forward to offset future taxable income. The net operating tax loss carryforwards will begin to expire as follows:</w:t>
      </w:r>
    </w:p>
    <w:p>
      <w:pPr>
        <w:spacing w:after="0" w:line="185"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85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w:t>
            </w:r>
          </w:p>
        </w:tc>
        <w:tc>
          <w:tcPr>
            <w:tcW w:w="120" w:type="dxa"/>
            <w:vAlign w:val="bottom"/>
            <w:shd w:val="clear" w:color="auto" w:fill="CFF0FC"/>
          </w:tcPr>
          <w:p>
            <w:pPr>
              <w:spacing w:after="0"/>
              <w:rPr>
                <w:sz w:val="19"/>
                <w:szCs w:val="19"/>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2021</w:t>
            </w:r>
          </w:p>
        </w:tc>
        <w:tc>
          <w:tcPr>
            <w:tcW w:w="1720" w:type="dxa"/>
            <w:vAlign w:val="bottom"/>
          </w:tcPr>
          <w:p>
            <w:pPr>
              <w:jc w:val="right"/>
              <w:spacing w:after="0"/>
              <w:rPr>
                <w:sz w:val="20"/>
                <w:szCs w:val="20"/>
                <w:color w:val="auto"/>
              </w:rPr>
            </w:pPr>
            <w:r>
              <w:rPr>
                <w:rFonts w:ascii="Arial" w:cs="Arial" w:eastAsia="Arial" w:hAnsi="Arial"/>
                <w:sz w:val="18"/>
                <w:szCs w:val="18"/>
                <w:color w:val="auto"/>
              </w:rPr>
              <w:t>6,025</w:t>
            </w:r>
          </w:p>
        </w:tc>
        <w:tc>
          <w:tcPr>
            <w:tcW w:w="120" w:type="dxa"/>
            <w:vAlign w:val="bottom"/>
          </w:tcPr>
          <w:p>
            <w:pPr>
              <w:spacing w:after="0"/>
              <w:rPr>
                <w:sz w:val="19"/>
                <w:szCs w:val="19"/>
                <w:color w:val="auto"/>
              </w:rPr>
            </w:pPr>
          </w:p>
        </w:tc>
      </w:tr>
      <w:tr>
        <w:trPr>
          <w:trHeight w:val="229"/>
        </w:trPr>
        <w:tc>
          <w:tcPr>
            <w:tcW w:w="85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FF0FC"/>
          </w:tcPr>
          <w:p>
            <w:pPr>
              <w:spacing w:after="0"/>
              <w:rPr>
                <w:sz w:val="19"/>
                <w:szCs w:val="19"/>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2023</w:t>
            </w:r>
          </w:p>
        </w:tc>
        <w:tc>
          <w:tcPr>
            <w:tcW w:w="1720" w:type="dxa"/>
            <w:vAlign w:val="bottom"/>
          </w:tcPr>
          <w:p>
            <w:pPr>
              <w:jc w:val="right"/>
              <w:spacing w:after="0"/>
              <w:rPr>
                <w:sz w:val="20"/>
                <w:szCs w:val="20"/>
                <w:color w:val="auto"/>
              </w:rPr>
            </w:pPr>
            <w:r>
              <w:rPr>
                <w:rFonts w:ascii="Arial" w:cs="Arial" w:eastAsia="Arial" w:hAnsi="Arial"/>
                <w:sz w:val="18"/>
                <w:szCs w:val="18"/>
                <w:color w:val="auto"/>
              </w:rPr>
              <w:t>4,739</w:t>
            </w:r>
          </w:p>
        </w:tc>
        <w:tc>
          <w:tcPr>
            <w:tcW w:w="120" w:type="dxa"/>
            <w:vAlign w:val="bottom"/>
          </w:tcPr>
          <w:p>
            <w:pPr>
              <w:spacing w:after="0"/>
              <w:rPr>
                <w:sz w:val="19"/>
                <w:szCs w:val="19"/>
                <w:color w:val="auto"/>
              </w:rPr>
            </w:pPr>
          </w:p>
        </w:tc>
      </w:tr>
      <w:tr>
        <w:trPr>
          <w:trHeight w:val="230"/>
        </w:trPr>
        <w:tc>
          <w:tcPr>
            <w:tcW w:w="85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5,574</w:t>
            </w:r>
          </w:p>
        </w:tc>
        <w:tc>
          <w:tcPr>
            <w:tcW w:w="120" w:type="dxa"/>
            <w:vAlign w:val="bottom"/>
            <w:shd w:val="clear" w:color="auto" w:fill="CFF0FC"/>
          </w:tcPr>
          <w:p>
            <w:pPr>
              <w:spacing w:after="0"/>
              <w:rPr>
                <w:sz w:val="19"/>
                <w:szCs w:val="19"/>
                <w:color w:val="auto"/>
              </w:rPr>
            </w:pPr>
          </w:p>
        </w:tc>
      </w:tr>
      <w:tr>
        <w:trPr>
          <w:trHeight w:val="229"/>
        </w:trPr>
        <w:tc>
          <w:tcPr>
            <w:tcW w:w="8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Tax loss with no expiry</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20" w:type="dxa"/>
            <w:vAlign w:val="bottom"/>
            <w:tcBorders>
              <w:bottom w:val="single" w:sz="8" w:color="CFF0FC"/>
            </w:tcBorders>
          </w:tcPr>
          <w:p>
            <w:pPr>
              <w:spacing w:after="0"/>
              <w:rPr>
                <w:sz w:val="19"/>
                <w:szCs w:val="19"/>
                <w:color w:val="auto"/>
              </w:rPr>
            </w:pPr>
          </w:p>
        </w:tc>
      </w:tr>
      <w:tr>
        <w:trPr>
          <w:trHeight w:val="223"/>
        </w:trPr>
        <w:tc>
          <w:tcPr>
            <w:tcW w:w="854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40"/>
        <w:spacing w:after="0" w:line="301" w:lineRule="auto"/>
        <w:rPr>
          <w:sz w:val="20"/>
          <w:szCs w:val="20"/>
          <w:color w:val="auto"/>
        </w:rPr>
      </w:pPr>
      <w:r>
        <w:rPr>
          <w:rFonts w:ascii="Arial" w:cs="Arial" w:eastAsia="Arial" w:hAnsi="Arial"/>
          <w:sz w:val="16"/>
          <w:szCs w:val="16"/>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2014 to 2019 remain subject to examination by the tax authorities. There were no ongoing examinations by tax authorities as of December 31, 2019 and 2020.</w:t>
      </w:r>
    </w:p>
    <w:p>
      <w:pPr>
        <w:spacing w:after="0" w:line="117" w:lineRule="exact"/>
        <w:rPr>
          <w:sz w:val="20"/>
          <w:szCs w:val="20"/>
          <w:color w:val="auto"/>
        </w:rPr>
      </w:pPr>
    </w:p>
    <w:p>
      <w:pPr>
        <w:ind w:left="720" w:hanging="712"/>
        <w:spacing w:after="0"/>
        <w:tabs>
          <w:tab w:leader="none" w:pos="7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Income tax reconciliation</w:t>
      </w:r>
    </w:p>
    <w:p>
      <w:pPr>
        <w:spacing w:after="0" w:line="184" w:lineRule="exact"/>
        <w:rPr>
          <w:rFonts w:ascii="Arial" w:cs="Arial" w:eastAsia="Arial" w:hAnsi="Arial"/>
          <w:sz w:val="18"/>
          <w:szCs w:val="18"/>
          <w:color w:val="auto"/>
        </w:rPr>
      </w:pPr>
    </w:p>
    <w:p>
      <w:pPr>
        <w:ind w:left="740"/>
        <w:spacing w:after="0" w:line="277" w:lineRule="auto"/>
        <w:rPr>
          <w:rFonts w:ascii="Arial" w:cs="Arial" w:eastAsia="Arial" w:hAnsi="Arial"/>
          <w:sz w:val="18"/>
          <w:szCs w:val="18"/>
          <w:color w:val="auto"/>
        </w:rPr>
      </w:pPr>
      <w:r>
        <w:rPr>
          <w:rFonts w:ascii="Arial" w:cs="Arial" w:eastAsia="Arial" w:hAnsi="Arial"/>
          <w:sz w:val="18"/>
          <w:szCs w:val="18"/>
          <w:color w:val="auto"/>
        </w:rPr>
        <w:t>Reconciliation between the expense of income taxes computed by applying the statutory tax rates to loss before income taxes and the actual provision for income taxes is as follows:</w:t>
      </w:r>
    </w:p>
    <w:p>
      <w:pPr>
        <w:spacing w:after="0" w:line="197"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6140" w:type="dxa"/>
            <w:vAlign w:val="bottom"/>
          </w:tcPr>
          <w:p>
            <w:pPr>
              <w:spacing w:after="0"/>
              <w:rPr>
                <w:sz w:val="19"/>
                <w:szCs w:val="19"/>
                <w:color w:val="auto"/>
              </w:rPr>
            </w:pPr>
          </w:p>
        </w:tc>
        <w:tc>
          <w:tcPr>
            <w:tcW w:w="3460" w:type="dxa"/>
            <w:vAlign w:val="bottom"/>
            <w:gridSpan w:val="5"/>
          </w:tcPr>
          <w:p>
            <w:pPr>
              <w:ind w:left="820"/>
              <w:spacing w:after="0"/>
              <w:rPr>
                <w:sz w:val="20"/>
                <w:szCs w:val="20"/>
                <w:color w:val="auto"/>
              </w:rPr>
            </w:pPr>
            <w:r>
              <w:rPr>
                <w:rFonts w:ascii="Arial" w:cs="Arial" w:eastAsia="Arial" w:hAnsi="Arial"/>
                <w:sz w:val="18"/>
                <w:szCs w:val="18"/>
                <w:color w:val="auto"/>
                <w:w w:val="93"/>
              </w:rPr>
              <w:t>For the years ended December 31,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Tax benefit calculated at statutory tax rates (Note i)</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(7,989)</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(2,599)</w:t>
            </w:r>
          </w:p>
        </w:tc>
        <w:tc>
          <w:tcPr>
            <w:tcW w:w="5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(3,291)</w:t>
            </w: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Effect of differences between statutory tax rates and</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foreign effective tax rates</w:t>
            </w:r>
          </w:p>
        </w:tc>
        <w:tc>
          <w:tcPr>
            <w:tcW w:w="1200" w:type="dxa"/>
            <w:vAlign w:val="bottom"/>
          </w:tcPr>
          <w:p>
            <w:pPr>
              <w:jc w:val="right"/>
              <w:spacing w:after="0"/>
              <w:rPr>
                <w:sz w:val="20"/>
                <w:szCs w:val="20"/>
                <w:color w:val="auto"/>
              </w:rPr>
            </w:pPr>
            <w:r>
              <w:rPr>
                <w:rFonts w:ascii="Arial" w:cs="Arial" w:eastAsia="Arial" w:hAnsi="Arial"/>
                <w:sz w:val="18"/>
                <w:szCs w:val="18"/>
                <w:color w:val="auto"/>
              </w:rPr>
              <w:t>2,804</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1,999</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4,513</w:t>
            </w:r>
          </w:p>
        </w:tc>
        <w:tc>
          <w:tcPr>
            <w:tcW w:w="100" w:type="dxa"/>
            <w:vAlign w:val="bottom"/>
          </w:tcPr>
          <w:p>
            <w:pPr>
              <w:spacing w:after="0"/>
              <w:rPr>
                <w:sz w:val="20"/>
                <w:szCs w:val="20"/>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Non-taxable other income</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(274)</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(235)</w:t>
            </w:r>
          </w:p>
        </w:tc>
        <w:tc>
          <w:tcPr>
            <w:tcW w:w="5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(627)</w:t>
            </w: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Non-deductible expenses (Note ii)</w:t>
            </w:r>
          </w:p>
        </w:tc>
        <w:tc>
          <w:tcPr>
            <w:tcW w:w="1200" w:type="dxa"/>
            <w:vAlign w:val="bottom"/>
          </w:tcPr>
          <w:p>
            <w:pPr>
              <w:jc w:val="right"/>
              <w:spacing w:after="0"/>
              <w:rPr>
                <w:sz w:val="20"/>
                <w:szCs w:val="20"/>
                <w:color w:val="auto"/>
              </w:rPr>
            </w:pPr>
            <w:r>
              <w:rPr>
                <w:rFonts w:ascii="Arial" w:cs="Arial" w:eastAsia="Arial" w:hAnsi="Arial"/>
                <w:sz w:val="18"/>
                <w:szCs w:val="18"/>
                <w:color w:val="auto"/>
              </w:rPr>
              <w:t>6,784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1,338</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19"/>
                <w:szCs w:val="19"/>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(1,188)</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(462)</w:t>
            </w:r>
          </w:p>
        </w:tc>
        <w:tc>
          <w:tcPr>
            <w:tcW w:w="5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(1,558)</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Outside basis difference (Note iii)</w:t>
            </w:r>
          </w:p>
        </w:tc>
        <w:tc>
          <w:tcPr>
            <w:tcW w:w="1200" w:type="dxa"/>
            <w:vAlign w:val="bottom"/>
          </w:tcPr>
          <w:p>
            <w:pPr>
              <w:jc w:val="right"/>
              <w:spacing w:after="0"/>
              <w:rPr>
                <w:sz w:val="20"/>
                <w:szCs w:val="20"/>
                <w:color w:val="auto"/>
              </w:rPr>
            </w:pPr>
            <w:r>
              <w:rPr>
                <w:rFonts w:ascii="Arial" w:cs="Arial" w:eastAsia="Arial" w:hAnsi="Arial"/>
                <w:sz w:val="18"/>
                <w:szCs w:val="18"/>
                <w:color w:val="auto"/>
              </w:rPr>
              <w:t>518</w:t>
            </w: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5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r>
      <w:tr>
        <w:trPr>
          <w:trHeight w:val="215"/>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Additional deduction of research and development expenses</w:t>
            </w: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 iv)</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(270)</w:t>
            </w:r>
          </w:p>
        </w:tc>
      </w:tr>
      <w:tr>
        <w:trPr>
          <w:trHeight w:val="230"/>
        </w:trPr>
        <w:tc>
          <w:tcPr>
            <w:tcW w:w="6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FF0FC"/>
            </w:tcBorders>
          </w:tcPr>
          <w:p>
            <w:pPr>
              <w:spacing w:after="0"/>
              <w:rPr>
                <w:sz w:val="19"/>
                <w:szCs w:val="19"/>
                <w:color w:val="auto"/>
              </w:rPr>
            </w:pPr>
          </w:p>
        </w:tc>
      </w:tr>
      <w:tr>
        <w:trPr>
          <w:trHeight w:val="223"/>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w:t>
      </w:r>
    </w:p>
    <w:p>
      <w:pPr>
        <w:spacing w:after="0" w:line="185" w:lineRule="exact"/>
        <w:rPr>
          <w:sz w:val="20"/>
          <w:szCs w:val="20"/>
          <w:color w:val="auto"/>
        </w:rPr>
      </w:pPr>
    </w:p>
    <w:p>
      <w:pPr>
        <w:ind w:left="1440" w:hanging="717"/>
        <w:spacing w:after="0" w:line="277" w:lineRule="auto"/>
        <w:tabs>
          <w:tab w:leader="none" w:pos="14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Group’s major operation was conducted out of the PRC. Accordingly, the Group prepared its tax rate reconciliation starting with the PRC statutory tax rate during the years ended December 31, 2018, 2019 and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9" w:name="page200"/>
    <w:bookmarkEnd w:id="199"/>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Income tax (Continued)</w:t>
      </w:r>
    </w:p>
    <w:p>
      <w:pPr>
        <w:spacing w:after="0" w:line="189" w:lineRule="exact"/>
        <w:rPr>
          <w:sz w:val="20"/>
          <w:szCs w:val="20"/>
          <w:color w:val="auto"/>
        </w:rPr>
      </w:pPr>
    </w:p>
    <w:p>
      <w:pPr>
        <w:ind w:left="820" w:right="7760" w:hanging="812"/>
        <w:spacing w:after="0" w:line="516" w:lineRule="auto"/>
        <w:tabs>
          <w:tab w:leader="none" w:pos="71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Income tax reconciliation (Continued) Note: (Continued)</w:t>
      </w:r>
    </w:p>
    <w:p>
      <w:pPr>
        <w:ind w:left="1440" w:hanging="717"/>
        <w:spacing w:after="0" w:line="277" w:lineRule="auto"/>
        <w:tabs>
          <w:tab w:leader="none" w:pos="14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Non-deductible expenses were mainly related to share-based compensation expenses, fair value losses on derivative liabilities and fair value losses on convertible notes.</w:t>
      </w:r>
    </w:p>
    <w:p>
      <w:pPr>
        <w:spacing w:after="0" w:line="129" w:lineRule="exact"/>
        <w:rPr>
          <w:rFonts w:ascii="Arial" w:cs="Arial" w:eastAsia="Arial" w:hAnsi="Arial"/>
          <w:sz w:val="18"/>
          <w:szCs w:val="18"/>
          <w:color w:val="auto"/>
        </w:rPr>
      </w:pPr>
    </w:p>
    <w:p>
      <w:pPr>
        <w:ind w:left="1440" w:hanging="717"/>
        <w:spacing w:after="0"/>
        <w:tabs>
          <w:tab w:leader="none" w:pos="144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Outside basis difference is related to undistributed earnings in the Group’s VIE in the PRC and its subsidiaries (Note 23(e)(ii)).</w:t>
      </w:r>
    </w:p>
    <w:p>
      <w:pPr>
        <w:spacing w:after="0" w:line="196" w:lineRule="exact"/>
        <w:rPr>
          <w:rFonts w:ascii="Arial" w:cs="Arial" w:eastAsia="Arial" w:hAnsi="Arial"/>
          <w:sz w:val="17"/>
          <w:szCs w:val="17"/>
          <w:color w:val="auto"/>
        </w:rPr>
      </w:pPr>
    </w:p>
    <w:p>
      <w:pPr>
        <w:jc w:val="both"/>
        <w:ind w:left="1440" w:hanging="717"/>
        <w:spacing w:after="0" w:line="279" w:lineRule="auto"/>
        <w:tabs>
          <w:tab w:leader="none" w:pos="144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According to a policy promulgated by the State Tax Bureau of the PRC and effective from 2008 onwards, companies engaged in research and development activities are entitled to claim ranging from 150% to 175% of the research and development expenses so incurred in a period as tax deductible expenses in determining its tax assessable profits for that period. Certain PRC subsidiaries of the Company have applied such additional deduction for the year ended December 31, 2020.</w:t>
      </w:r>
    </w:p>
    <w:p>
      <w:pPr>
        <w:spacing w:after="0" w:line="127" w:lineRule="exact"/>
        <w:rPr>
          <w:sz w:val="20"/>
          <w:szCs w:val="20"/>
          <w:color w:val="auto"/>
        </w:rPr>
      </w:pPr>
    </w:p>
    <w:p>
      <w:pPr>
        <w:ind w:left="720" w:hanging="712"/>
        <w:spacing w:after="0"/>
        <w:tabs>
          <w:tab w:leader="none" w:pos="72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88"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for the years ended December 31, 2018, 2019 and 2020 are calculated as follows:</w:t>
      </w:r>
    </w:p>
    <w:p>
      <w:pPr>
        <w:spacing w:after="0" w:line="252" w:lineRule="exact"/>
        <w:rPr>
          <w:sz w:val="20"/>
          <w:szCs w:val="20"/>
          <w:color w:val="auto"/>
        </w:rPr>
      </w:pPr>
    </w:p>
    <w:tbl>
      <w:tblPr>
        <w:tblLayout w:type="fixed"/>
        <w:tblInd w:w="880" w:type="dxa"/>
        <w:tblCellMar>
          <w:top w:w="0" w:type="dxa"/>
          <w:left w:w="0" w:type="dxa"/>
          <w:bottom w:w="0" w:type="dxa"/>
          <w:right w:w="0" w:type="dxa"/>
        </w:tblCellMar>
      </w:tblPr>
      <w:tr>
        <w:trPr>
          <w:trHeight w:val="229"/>
        </w:trPr>
        <w:tc>
          <w:tcPr>
            <w:tcW w:w="6140" w:type="dxa"/>
            <w:vAlign w:val="bottom"/>
          </w:tcPr>
          <w:p>
            <w:pPr>
              <w:spacing w:after="0"/>
              <w:rPr>
                <w:sz w:val="19"/>
                <w:szCs w:val="19"/>
                <w:color w:val="auto"/>
              </w:rPr>
            </w:pPr>
          </w:p>
        </w:tc>
        <w:tc>
          <w:tcPr>
            <w:tcW w:w="3280" w:type="dxa"/>
            <w:vAlign w:val="bottom"/>
            <w:gridSpan w:val="5"/>
          </w:tcPr>
          <w:p>
            <w:pPr>
              <w:ind w:left="820"/>
              <w:spacing w:after="0"/>
              <w:rPr>
                <w:sz w:val="20"/>
                <w:szCs w:val="20"/>
                <w:color w:val="auto"/>
              </w:rPr>
            </w:pPr>
            <w:r>
              <w:rPr>
                <w:rFonts w:ascii="Arial" w:cs="Arial" w:eastAsia="Arial" w:hAnsi="Arial"/>
                <w:sz w:val="18"/>
                <w:szCs w:val="18"/>
                <w:color w:val="auto"/>
                <w:w w:val="87"/>
              </w:rPr>
              <w:t>For the years ended December 31,</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(32,409)</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(9,603)</w:t>
            </w:r>
          </w:p>
        </w:tc>
        <w:tc>
          <w:tcPr>
            <w:tcW w:w="3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(12,618)</w:t>
            </w:r>
          </w:p>
        </w:tc>
        <w:tc>
          <w:tcPr>
            <w:tcW w:w="0" w:type="dxa"/>
            <w:vAlign w:val="bottom"/>
          </w:tcPr>
          <w:p>
            <w:pPr>
              <w:spacing w:after="0"/>
              <w:rPr>
                <w:sz w:val="1"/>
                <w:szCs w:val="1"/>
                <w:color w:val="auto"/>
              </w:rPr>
            </w:pPr>
          </w:p>
        </w:tc>
      </w:tr>
      <w:tr>
        <w:trPr>
          <w:trHeight w:val="223"/>
        </w:trPr>
        <w:tc>
          <w:tcPr>
            <w:tcW w:w="6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Numerator for basic and diluted net loss per share</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and diluted net loss per share - weighted</w:t>
            </w: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average shares outstanding</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26,452,409</w:t>
            </w:r>
          </w:p>
        </w:tc>
        <w:tc>
          <w:tcPr>
            <w:tcW w:w="2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28,583,548</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39,368,436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Basic net loss per share</w:t>
            </w: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Diluted net loss per share</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(1.23)</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(0.34)</w:t>
            </w: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740"/>
        <w:spacing w:after="0" w:line="277" w:lineRule="auto"/>
        <w:rPr>
          <w:sz w:val="20"/>
          <w:szCs w:val="20"/>
          <w:color w:val="auto"/>
        </w:rPr>
      </w:pPr>
      <w:r>
        <w:rPr>
          <w:rFonts w:ascii="Arial" w:cs="Arial" w:eastAsia="Arial" w:hAnsi="Arial"/>
          <w:sz w:val="18"/>
          <w:szCs w:val="18"/>
          <w:color w:val="auto"/>
        </w:rPr>
        <w:t>The share options, RSUs, warrants and convertible notes were excluded from the computation of diluted net loss per ordinary share for the years presented because including them would have had an anti-dilutive effect.</w:t>
      </w:r>
    </w:p>
    <w:p>
      <w:pPr>
        <w:spacing w:after="0" w:line="170" w:lineRule="exact"/>
        <w:rPr>
          <w:sz w:val="20"/>
          <w:szCs w:val="20"/>
          <w:color w:val="auto"/>
        </w:rPr>
      </w:pPr>
    </w:p>
    <w:p>
      <w:pPr>
        <w:jc w:val="both"/>
        <w:ind w:left="740"/>
        <w:spacing w:after="0" w:line="277" w:lineRule="auto"/>
        <w:rPr>
          <w:sz w:val="20"/>
          <w:szCs w:val="20"/>
          <w:color w:val="auto"/>
        </w:rPr>
      </w:pPr>
      <w:r>
        <w:rPr>
          <w:rFonts w:ascii="Arial" w:cs="Arial" w:eastAsia="Arial" w:hAnsi="Arial"/>
          <w:sz w:val="18"/>
          <w:szCs w:val="18"/>
          <w:color w:val="auto"/>
        </w:rPr>
        <w:t>The following ordinary share equivalents were excluded from the computation of diluted net loss per ordinary share for the years presented because including them would have had an anti-dilutive effect: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980" w:type="dxa"/>
            <w:vAlign w:val="bottom"/>
          </w:tcPr>
          <w:p>
            <w:pPr>
              <w:jc w:val="right"/>
              <w:ind w:right="370"/>
              <w:spacing w:after="0"/>
              <w:rPr>
                <w:sz w:val="20"/>
                <w:szCs w:val="20"/>
                <w:color w:val="auto"/>
              </w:rPr>
            </w:pPr>
            <w:r>
              <w:rPr>
                <w:rFonts w:ascii="Arial" w:cs="Arial" w:eastAsia="Arial" w:hAnsi="Arial"/>
                <w:sz w:val="18"/>
                <w:szCs w:val="18"/>
                <w:color w:val="auto"/>
                <w:w w:val="94"/>
              </w:rPr>
              <w:t>As of December 31,</w:t>
            </w:r>
          </w:p>
        </w:tc>
        <w:tc>
          <w:tcPr>
            <w:tcW w:w="98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2018</w:t>
            </w:r>
          </w:p>
        </w:tc>
        <w:tc>
          <w:tcPr>
            <w:tcW w:w="198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2020</w:t>
            </w:r>
          </w:p>
        </w:tc>
      </w:tr>
      <w:tr>
        <w:trPr>
          <w:trHeight w:val="215"/>
        </w:trPr>
        <w:tc>
          <w:tcPr>
            <w:tcW w:w="88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w w:val="96"/>
              </w:rPr>
              <w:t>Share options, RSUs and warrants – weighted average</w:t>
            </w:r>
          </w:p>
        </w:tc>
        <w:tc>
          <w:tcPr>
            <w:tcW w:w="316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(thousands)</w:t>
            </w:r>
          </w:p>
        </w:tc>
        <w:tc>
          <w:tcPr>
            <w:tcW w:w="3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98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505</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2,998</w:t>
            </w:r>
          </w:p>
        </w:tc>
      </w:tr>
      <w:tr>
        <w:trPr>
          <w:trHeight w:val="230"/>
        </w:trPr>
        <w:tc>
          <w:tcPr>
            <w:tcW w:w="88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Convertible notes – weighted average (thousands)</w:t>
            </w:r>
          </w:p>
        </w:tc>
        <w:tc>
          <w:tcPr>
            <w:tcW w:w="3160" w:type="dxa"/>
            <w:vAlign w:val="bottom"/>
          </w:tcPr>
          <w:p>
            <w:pPr>
              <w:jc w:val="right"/>
              <w:spacing w:after="0"/>
              <w:rPr>
                <w:sz w:val="20"/>
                <w:szCs w:val="20"/>
                <w:color w:val="auto"/>
              </w:rPr>
            </w:pPr>
            <w:r>
              <w:rPr>
                <w:rFonts w:ascii="Arial" w:cs="Arial" w:eastAsia="Arial" w:hAnsi="Arial"/>
                <w:sz w:val="18"/>
                <w:szCs w:val="18"/>
                <w:color w:val="auto"/>
              </w:rPr>
              <w:t>929</w:t>
            </w:r>
          </w:p>
        </w:tc>
        <w:tc>
          <w:tcPr>
            <w:tcW w:w="1980" w:type="dxa"/>
            <w:vAlign w:val="bottom"/>
          </w:tcPr>
          <w:p>
            <w:pPr>
              <w:jc w:val="right"/>
              <w:ind w:right="510"/>
              <w:spacing w:after="0"/>
              <w:rPr>
                <w:sz w:val="20"/>
                <w:szCs w:val="20"/>
                <w:color w:val="auto"/>
              </w:rPr>
            </w:pPr>
            <w:r>
              <w:rPr>
                <w:rFonts w:ascii="Arial" w:cs="Arial" w:eastAsia="Arial" w:hAnsi="Arial"/>
                <w:sz w:val="18"/>
                <w:szCs w:val="18"/>
                <w:color w:val="auto"/>
              </w:rPr>
              <w:t>6,909</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877"/>
        </w:trPr>
        <w:tc>
          <w:tcPr>
            <w:tcW w:w="8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60" w:type="dxa"/>
            <w:vAlign w:val="bottom"/>
          </w:tcPr>
          <w:p>
            <w:pPr>
              <w:jc w:val="right"/>
              <w:ind w:right="2390"/>
              <w:spacing w:after="0"/>
              <w:rPr>
                <w:sz w:val="20"/>
                <w:szCs w:val="20"/>
                <w:color w:val="auto"/>
              </w:rPr>
            </w:pPr>
            <w:r>
              <w:rPr>
                <w:rFonts w:ascii="Arial" w:cs="Arial" w:eastAsia="Arial" w:hAnsi="Arial"/>
                <w:sz w:val="18"/>
                <w:szCs w:val="18"/>
                <w:color w:val="auto"/>
              </w:rPr>
              <w:t>F-74</w:t>
            </w:r>
          </w:p>
        </w:tc>
        <w:tc>
          <w:tcPr>
            <w:tcW w:w="19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23" w:lineRule="exact"/>
        <w:rPr>
          <w:sz w:val="20"/>
          <w:szCs w:val="20"/>
          <w:color w:val="auto"/>
        </w:rPr>
      </w:pPr>
    </w:p>
    <w:p>
      <w:pPr>
        <w:ind w:left="720" w:hanging="712"/>
        <w:spacing w:after="0"/>
        <w:tabs>
          <w:tab w:leader="none" w:pos="72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rFonts w:ascii="Arial" w:cs="Arial" w:eastAsia="Arial" w:hAnsi="Arial"/>
          <w:sz w:val="18"/>
          <w:szCs w:val="18"/>
          <w:b w:val="1"/>
          <w:bCs w:val="1"/>
          <w:color w:val="auto"/>
        </w:rPr>
      </w:pPr>
    </w:p>
    <w:p>
      <w:pPr>
        <w:ind w:lef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Save as disclosed elsewhere in these consolidated financial statements, there were no transactions nor balances with related parties as of and for the years ended December 31, 2019 and 2020.</w:t>
      </w:r>
    </w:p>
    <w:p>
      <w:pPr>
        <w:spacing w:after="0" w:line="13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table below sets forth the major related parties and their relationships with the Company as of and for the year ended December 31, 2018:</w:t>
      </w:r>
    </w:p>
    <w:p>
      <w:pPr>
        <w:sectPr>
          <w:pgSz w:w="11900" w:h="16838" w:orient="portrait"/>
          <w:cols w:equalWidth="0" w:num="1">
            <w:col w:w="11240"/>
          </w:cols>
          <w:pgMar w:left="320" w:top="121" w:right="339" w:bottom="1440" w:gutter="0" w:footer="0" w:header="0"/>
        </w:sectPr>
      </w:pPr>
    </w:p>
    <w:p>
      <w:pPr>
        <w:spacing w:after="0" w:line="190"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Related party</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Relationship with the Company</w:t>
      </w:r>
    </w:p>
    <w:p>
      <w:pPr>
        <w:spacing w:after="0" w:line="198" w:lineRule="exact"/>
        <w:rPr>
          <w:sz w:val="20"/>
          <w:szCs w:val="20"/>
          <w:color w:val="auto"/>
        </w:rPr>
      </w:pPr>
    </w:p>
    <w:p>
      <w:pPr>
        <w:sectPr>
          <w:pgSz w:w="11900" w:h="16838" w:orient="portrait"/>
          <w:cols w:equalWidth="0" w:num="2">
            <w:col w:w="5340" w:space="720"/>
            <w:col w:w="5180"/>
          </w:cols>
          <w:pgMar w:left="320" w:top="121" w:right="33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Aladdin Fintech Company Limited</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Arial" w:cs="Arial" w:eastAsia="Arial" w:hAnsi="Arial"/>
          <w:sz w:val="18"/>
          <w:szCs w:val="18"/>
          <w:color w:val="auto"/>
        </w:rPr>
        <w:t>An entity controlled by a former director of the Company resigned on May 28, 2019</w:t>
      </w:r>
    </w:p>
    <w:p>
      <w:pPr>
        <w:spacing w:after="0" w:line="156" w:lineRule="exact"/>
        <w:rPr>
          <w:sz w:val="20"/>
          <w:szCs w:val="20"/>
          <w:color w:val="auto"/>
        </w:rPr>
      </w:pPr>
    </w:p>
    <w:p>
      <w:pPr>
        <w:sectPr>
          <w:pgSz w:w="11900" w:h="16838" w:orient="portrait"/>
          <w:cols w:equalWidth="0" w:num="2">
            <w:col w:w="5340" w:space="720"/>
            <w:col w:w="5180"/>
          </w:cols>
          <w:pgMar w:left="320" w:top="121" w:right="339" w:bottom="1440" w:gutter="0" w:footer="0" w:header="0"/>
          <w:type w:val="continuous"/>
        </w:sectPr>
      </w:pPr>
    </w:p>
    <w:p>
      <w:pPr>
        <w:ind w:left="1440" w:hanging="717"/>
        <w:spacing w:after="0"/>
        <w:tabs>
          <w:tab w:leader="none" w:pos="14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Group entered into the following transactions with the major related party for the year ended December 31, 2018:</w:t>
      </w:r>
    </w:p>
    <w:p>
      <w:pPr>
        <w:spacing w:after="0" w:line="212" w:lineRule="exact"/>
        <w:rPr>
          <w:sz w:val="20"/>
          <w:szCs w:val="20"/>
          <w:color w:val="auto"/>
        </w:rPr>
      </w:pPr>
    </w:p>
    <w:tbl>
      <w:tblPr>
        <w:tblLayout w:type="fixed"/>
        <w:tblInd w:w="72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9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Net revenues:</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Platform development fee income, license fee income and maintenance services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80" w:type="dxa"/>
            <w:vAlign w:val="bottom"/>
          </w:tcPr>
          <w:p>
            <w:pPr>
              <w:ind w:left="140"/>
              <w:spacing w:after="0"/>
              <w:rPr>
                <w:sz w:val="20"/>
                <w:szCs w:val="20"/>
                <w:color w:val="auto"/>
              </w:rPr>
            </w:pPr>
            <w:r>
              <w:rPr>
                <w:rFonts w:ascii="Arial" w:cs="Arial" w:eastAsia="Arial" w:hAnsi="Arial"/>
                <w:sz w:val="18"/>
                <w:szCs w:val="18"/>
                <w:color w:val="auto"/>
              </w:rPr>
              <w:t>income from Aladdin Fintech Company Limited</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r>
      <w:tr>
        <w:trPr>
          <w:trHeight w:val="20"/>
        </w:trPr>
        <w:tc>
          <w:tcPr>
            <w:tcW w:w="460" w:type="dxa"/>
            <w:vAlign w:val="bottom"/>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60" w:type="dxa"/>
            <w:vAlign w:val="bottom"/>
          </w:tcPr>
          <w:p>
            <w:pPr>
              <w:spacing w:after="0"/>
              <w:rPr>
                <w:sz w:val="24"/>
                <w:szCs w:val="24"/>
                <w:color w:val="auto"/>
              </w:rPr>
            </w:pPr>
          </w:p>
        </w:tc>
        <w:tc>
          <w:tcPr>
            <w:tcW w:w="9440" w:type="dxa"/>
            <w:vAlign w:val="bottom"/>
            <w:gridSpan w:val="3"/>
          </w:tcPr>
          <w:p>
            <w:pPr>
              <w:ind w:left="280"/>
              <w:spacing w:after="0"/>
              <w:rPr>
                <w:sz w:val="20"/>
                <w:szCs w:val="20"/>
                <w:color w:val="auto"/>
              </w:rPr>
            </w:pPr>
            <w:r>
              <w:rPr>
                <w:rFonts w:ascii="Arial" w:cs="Arial" w:eastAsia="Arial" w:hAnsi="Arial"/>
                <w:sz w:val="18"/>
                <w:szCs w:val="18"/>
                <w:color w:val="auto"/>
                <w:w w:val="91"/>
              </w:rPr>
              <w:t>Revenues from the related party represented 0.3% of total net revenues of the Group for the year ended December 31, 2018.</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460" w:type="dxa"/>
            <w:vAlign w:val="bottom"/>
          </w:tcPr>
          <w:p>
            <w:pPr>
              <w:spacing w:after="0"/>
              <w:rPr>
                <w:sz w:val="20"/>
                <w:szCs w:val="20"/>
                <w:color w:val="auto"/>
              </w:rPr>
            </w:pPr>
            <w:r>
              <w:rPr>
                <w:rFonts w:ascii="Arial" w:cs="Arial" w:eastAsia="Arial" w:hAnsi="Arial"/>
                <w:sz w:val="18"/>
                <w:szCs w:val="18"/>
                <w:color w:val="auto"/>
              </w:rPr>
              <w:t>(b)</w:t>
            </w:r>
          </w:p>
        </w:tc>
        <w:tc>
          <w:tcPr>
            <w:tcW w:w="9440" w:type="dxa"/>
            <w:vAlign w:val="bottom"/>
            <w:gridSpan w:val="3"/>
          </w:tcPr>
          <w:p>
            <w:pPr>
              <w:ind w:left="260"/>
              <w:spacing w:after="0"/>
              <w:rPr>
                <w:sz w:val="20"/>
                <w:szCs w:val="20"/>
                <w:color w:val="auto"/>
              </w:rPr>
            </w:pPr>
            <w:r>
              <w:rPr>
                <w:rFonts w:ascii="Arial" w:cs="Arial" w:eastAsia="Arial" w:hAnsi="Arial"/>
                <w:sz w:val="18"/>
                <w:szCs w:val="18"/>
                <w:color w:val="auto"/>
              </w:rPr>
              <w:t>The Group had the following balance with the related party as of December 31, 2018:</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Accounts receivable from Aladdin Fintech Company Limited</w:t>
            </w:r>
          </w:p>
        </w:tc>
        <w:tc>
          <w:tcPr>
            <w:tcW w:w="52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1460"/>
        <w:spacing w:after="0" w:line="235" w:lineRule="auto"/>
        <w:rPr>
          <w:sz w:val="20"/>
          <w:szCs w:val="20"/>
          <w:color w:val="auto"/>
        </w:rPr>
      </w:pPr>
      <w:r>
        <w:rPr>
          <w:rFonts w:ascii="Arial" w:cs="Arial" w:eastAsia="Arial" w:hAnsi="Arial"/>
          <w:sz w:val="18"/>
          <w:szCs w:val="18"/>
          <w:color w:val="auto"/>
        </w:rPr>
        <w:t>As of December 31, 2018, the balance with the related party related to outstanding receivables of platform development fee income, license fee income and maintenance services income, which represented 0.5% of the Group’s total accounts receivable. The balance has been fully repaid to the Company during the year ended December 31, 2019.</w:t>
      </w:r>
    </w:p>
    <w:p>
      <w:pPr>
        <w:spacing w:after="0" w:line="144" w:lineRule="exact"/>
        <w:rPr>
          <w:sz w:val="20"/>
          <w:szCs w:val="20"/>
          <w:color w:val="auto"/>
        </w:rPr>
      </w:pPr>
    </w:p>
    <w:p>
      <w:pPr>
        <w:ind w:left="720" w:hanging="712"/>
        <w:spacing w:after="0"/>
        <w:tabs>
          <w:tab w:leader="none" w:pos="72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188" w:lineRule="exact"/>
        <w:rPr>
          <w:rFonts w:ascii="Arial" w:cs="Arial" w:eastAsia="Arial" w:hAnsi="Arial"/>
          <w:sz w:val="18"/>
          <w:szCs w:val="18"/>
          <w:b w:val="1"/>
          <w:bCs w:val="1"/>
          <w:color w:val="auto"/>
        </w:rPr>
      </w:pPr>
    </w:p>
    <w:p>
      <w:pPr>
        <w:jc w:val="both"/>
        <w:ind w:left="7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Effective in the first quarter of 2019, the Group changed its segment disclosure to separately report the financial results of its Enterprise Solutions business in light of the acquisition of Changyi on January 1, 2019. This segment primarily reflects the results of the Group’s SaaS products offering, which is conducted through Changyi Group, a group of companies acquired on January 1, 2019. At the same time, the Group named its pre-existing online marketing service business as Marketing Solution business. Therefore, the Group now reports two operating segments: 1) Marketing Solutions, and 2) Enterprise Solutions.</w:t>
      </w:r>
    </w:p>
    <w:p>
      <w:pPr>
        <w:spacing w:after="0" w:line="147" w:lineRule="exact"/>
        <w:rPr>
          <w:rFonts w:ascii="Arial" w:cs="Arial" w:eastAsia="Arial" w:hAnsi="Arial"/>
          <w:sz w:val="18"/>
          <w:szCs w:val="18"/>
          <w:b w:val="1"/>
          <w:bCs w:val="1"/>
          <w:color w:val="auto"/>
        </w:rPr>
      </w:pPr>
    </w:p>
    <w:p>
      <w:pPr>
        <w:jc w:val="both"/>
        <w:ind w:left="7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table below provides a summary of the Group’s breakdown of net revenues by type of goods or services and operating segment results for the years ended December 31, 2018, 2019 and 2020. The Group does not allocate any operating costs or assets to its business segments as the Group’s CODM does not use this information to measure the performance of the operating segments. There was no significant transaction between reportable segments for the years ended December 31, 2018, 2019 and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1" w:name="page202"/>
    <w:bookmarkEnd w:id="201"/>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26</w:t>
            </w:r>
          </w:p>
        </w:tc>
        <w:tc>
          <w:tcPr>
            <w:tcW w:w="6500" w:type="dxa"/>
            <w:vAlign w:val="bottom"/>
            <w:gridSpan w:val="2"/>
          </w:tcPr>
          <w:p>
            <w:pPr>
              <w:ind w:left="320"/>
              <w:spacing w:after="0"/>
              <w:rPr>
                <w:sz w:val="20"/>
                <w:szCs w:val="20"/>
                <w:color w:val="auto"/>
              </w:rPr>
            </w:pPr>
            <w:r>
              <w:rPr>
                <w:rFonts w:ascii="Arial" w:cs="Arial" w:eastAsia="Arial" w:hAnsi="Arial"/>
                <w:sz w:val="18"/>
                <w:szCs w:val="18"/>
                <w:b w:val="1"/>
                <w:bCs w:val="1"/>
                <w:color w:val="auto"/>
              </w:rPr>
              <w:t>Segments (Continued)</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300" w:type="dxa"/>
            <w:vAlign w:val="bottom"/>
            <w:gridSpan w:val="5"/>
          </w:tcPr>
          <w:p>
            <w:pPr>
              <w:ind w:left="820"/>
              <w:spacing w:after="0"/>
              <w:rPr>
                <w:sz w:val="20"/>
                <w:szCs w:val="20"/>
                <w:color w:val="auto"/>
              </w:rPr>
            </w:pPr>
            <w:r>
              <w:rPr>
                <w:rFonts w:ascii="Arial" w:cs="Arial" w:eastAsia="Arial" w:hAnsi="Arial"/>
                <w:sz w:val="18"/>
                <w:szCs w:val="18"/>
                <w:color w:val="auto"/>
                <w:w w:val="88"/>
              </w:rPr>
              <w:t>For the years ended December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revenues:</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Marketing Solutions</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 Sales agent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8,671</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6,563</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 Cost-plus</w:t>
            </w:r>
          </w:p>
        </w:tc>
        <w:tc>
          <w:tcPr>
            <w:tcW w:w="1200" w:type="dxa"/>
            <w:vAlign w:val="bottom"/>
          </w:tcPr>
          <w:p>
            <w:pPr>
              <w:jc w:val="right"/>
              <w:spacing w:after="0"/>
              <w:rPr>
                <w:sz w:val="20"/>
                <w:szCs w:val="20"/>
                <w:color w:val="auto"/>
              </w:rPr>
            </w:pPr>
            <w:r>
              <w:rPr>
                <w:rFonts w:ascii="Arial" w:cs="Arial" w:eastAsia="Arial" w:hAnsi="Arial"/>
                <w:sz w:val="18"/>
                <w:szCs w:val="18"/>
                <w:color w:val="auto"/>
              </w:rPr>
              <w:t>12,192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17,146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 Specified actions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139,154</w:t>
            </w:r>
          </w:p>
        </w:tc>
        <w:tc>
          <w:tcPr>
            <w:tcW w:w="24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165,263</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193,280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160,017</w:t>
            </w: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188,972</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Enterprise Solutions</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SaaS products offering</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10,436</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160,017</w:t>
            </w:r>
          </w:p>
        </w:tc>
        <w:tc>
          <w:tcPr>
            <w:tcW w:w="2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199,408</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254,745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50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Cost of revenues:</w:t>
            </w: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650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Marketing Solutions</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 Specified actions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(120,897)</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(139,976)</w:t>
            </w: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(172,917)</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Enterprise Solutions</w:t>
            </w: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 SaaS products offering</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(2,727)</w:t>
            </w: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(8,565)</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50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Gross profit:</w:t>
            </w: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650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Marketing Solutions</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 Sales agent</w:t>
            </w:r>
          </w:p>
        </w:tc>
        <w:tc>
          <w:tcPr>
            <w:tcW w:w="1200" w:type="dxa"/>
            <w:vAlign w:val="bottom"/>
          </w:tcPr>
          <w:p>
            <w:pPr>
              <w:jc w:val="right"/>
              <w:spacing w:after="0"/>
              <w:rPr>
                <w:sz w:val="20"/>
                <w:szCs w:val="20"/>
                <w:color w:val="auto"/>
              </w:rPr>
            </w:pPr>
            <w:r>
              <w:rPr>
                <w:rFonts w:ascii="Arial" w:cs="Arial" w:eastAsia="Arial" w:hAnsi="Arial"/>
                <w:sz w:val="18"/>
                <w:szCs w:val="18"/>
                <w:color w:val="auto"/>
              </w:rPr>
              <w:t>8,671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6,563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 Cost-plus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12,192</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17,146</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Specified actions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18,257</w:t>
            </w: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25,287</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39,120</w:t>
            </w:r>
          </w:p>
        </w:tc>
        <w:tc>
          <w:tcPr>
            <w:tcW w:w="2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48,996</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500" w:type="dxa"/>
            <w:vAlign w:val="bottom"/>
            <w:gridSpan w:val="2"/>
            <w:vMerge w:val="restart"/>
          </w:tcPr>
          <w:p>
            <w:pPr>
              <w:ind w:left="360"/>
              <w:spacing w:after="0"/>
              <w:rPr>
                <w:sz w:val="20"/>
                <w:szCs w:val="20"/>
                <w:color w:val="auto"/>
              </w:rPr>
            </w:pPr>
            <w:r>
              <w:rPr>
                <w:rFonts w:ascii="Arial" w:cs="Arial" w:eastAsia="Arial" w:hAnsi="Arial"/>
                <w:sz w:val="18"/>
                <w:szCs w:val="18"/>
                <w:color w:val="auto"/>
              </w:rPr>
              <w:t>Enterprise Solutions</w:t>
            </w: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650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 SaaS products offering</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7,709</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39,120</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56,705</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right="180"/>
        <w:spacing w:after="0" w:line="277" w:lineRule="auto"/>
        <w:rPr>
          <w:sz w:val="20"/>
          <w:szCs w:val="20"/>
          <w:color w:val="auto"/>
        </w:rPr>
      </w:pPr>
      <w:r>
        <w:rPr>
          <w:rFonts w:ascii="Arial" w:cs="Arial" w:eastAsia="Arial" w:hAnsi="Arial"/>
          <w:sz w:val="18"/>
          <w:szCs w:val="18"/>
          <w:color w:val="auto"/>
        </w:rPr>
        <w:t>The Group currently does not allocate assets to all of its segments, as its CODM does not use such information to allocate resources or evaluate the performance of the operating segments.</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Revenue generated for the respective countries are summarized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400" w:type="dxa"/>
            <w:vAlign w:val="bottom"/>
            <w:gridSpan w:val="5"/>
          </w:tcPr>
          <w:p>
            <w:pPr>
              <w:ind w:left="820"/>
              <w:spacing w:after="0"/>
              <w:rPr>
                <w:sz w:val="20"/>
                <w:szCs w:val="20"/>
                <w:color w:val="auto"/>
              </w:rPr>
            </w:pPr>
            <w:r>
              <w:rPr>
                <w:rFonts w:ascii="Arial" w:cs="Arial" w:eastAsia="Arial" w:hAnsi="Arial"/>
                <w:sz w:val="18"/>
                <w:szCs w:val="18"/>
                <w:color w:val="auto"/>
                <w:w w:val="91"/>
              </w:rPr>
              <w:t>For the years ended December 31,</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29"/>
        </w:trPr>
        <w:tc>
          <w:tcPr>
            <w:tcW w:w="88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PRC</w:t>
            </w:r>
          </w:p>
        </w:tc>
        <w:tc>
          <w:tcPr>
            <w:tcW w:w="4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141,926</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175,970</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214,444</w:t>
            </w:r>
          </w:p>
        </w:tc>
        <w:tc>
          <w:tcPr>
            <w:tcW w:w="100" w:type="dxa"/>
            <w:vAlign w:val="bottom"/>
            <w:shd w:val="clear" w:color="auto" w:fill="CFF0FC"/>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Hong Kong</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17,004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22,567</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40,197</w:t>
            </w:r>
          </w:p>
        </w:tc>
        <w:tc>
          <w:tcPr>
            <w:tcW w:w="10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Others</w:t>
            </w:r>
          </w:p>
        </w:tc>
        <w:tc>
          <w:tcPr>
            <w:tcW w:w="4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160,017</w:t>
            </w:r>
          </w:p>
        </w:tc>
        <w:tc>
          <w:tcPr>
            <w:tcW w:w="2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199,408</w:t>
            </w: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254,745</w:t>
            </w:r>
          </w:p>
        </w:tc>
        <w:tc>
          <w:tcPr>
            <w:tcW w:w="10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31"/>
        </w:trPr>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860" w:type="dxa"/>
            <w:vAlign w:val="bottom"/>
            <w:gridSpan w:val="3"/>
          </w:tcPr>
          <w:p>
            <w:pPr>
              <w:ind w:left="1860"/>
              <w:spacing w:after="0"/>
              <w:rPr>
                <w:sz w:val="20"/>
                <w:szCs w:val="20"/>
                <w:color w:val="auto"/>
              </w:rPr>
            </w:pPr>
            <w:r>
              <w:rPr>
                <w:rFonts w:ascii="Arial" w:cs="Arial" w:eastAsia="Arial" w:hAnsi="Arial"/>
                <w:sz w:val="18"/>
                <w:szCs w:val="18"/>
                <w:color w:val="auto"/>
              </w:rPr>
              <w:t>F-76</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26</w:t>
            </w:r>
          </w:p>
        </w:tc>
        <w:tc>
          <w:tcPr>
            <w:tcW w:w="7540" w:type="dxa"/>
            <w:vAlign w:val="bottom"/>
            <w:gridSpan w:val="2"/>
          </w:tcPr>
          <w:p>
            <w:pPr>
              <w:ind w:left="380"/>
              <w:spacing w:after="0"/>
              <w:rPr>
                <w:sz w:val="20"/>
                <w:szCs w:val="20"/>
                <w:color w:val="auto"/>
              </w:rPr>
            </w:pPr>
            <w:r>
              <w:rPr>
                <w:rFonts w:ascii="Arial" w:cs="Arial" w:eastAsia="Arial" w:hAnsi="Arial"/>
                <w:sz w:val="18"/>
                <w:szCs w:val="18"/>
                <w:b w:val="1"/>
                <w:bCs w:val="1"/>
                <w:color w:val="auto"/>
              </w:rPr>
              <w:t>Segments (Continued)</w:t>
            </w: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7540" w:type="dxa"/>
            <w:vAlign w:val="bottom"/>
            <w:gridSpan w:val="2"/>
          </w:tcPr>
          <w:p>
            <w:pPr>
              <w:ind w:left="280"/>
              <w:spacing w:after="0"/>
              <w:rPr>
                <w:sz w:val="20"/>
                <w:szCs w:val="20"/>
                <w:color w:val="auto"/>
              </w:rPr>
            </w:pPr>
            <w:r>
              <w:rPr>
                <w:rFonts w:ascii="Arial" w:cs="Arial" w:eastAsia="Arial" w:hAnsi="Arial"/>
                <w:sz w:val="18"/>
                <w:szCs w:val="18"/>
                <w:color w:val="auto"/>
              </w:rPr>
              <w:t>The Group’s long-lived assets are located in the following countries:</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As of December 31,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29"/>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PRC</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FF0FC"/>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Hong Kong</w:t>
            </w:r>
          </w:p>
        </w:tc>
        <w:tc>
          <w:tcPr>
            <w:tcW w:w="142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r>
      <w:tr>
        <w:trPr>
          <w:trHeight w:val="229"/>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Others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ind w:left="860" w:hanging="852"/>
        <w:spacing w:after="0"/>
        <w:tabs>
          <w:tab w:leader="none" w:pos="8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commitments</w:t>
      </w:r>
    </w:p>
    <w:p>
      <w:pPr>
        <w:spacing w:after="0" w:line="36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Capital expenditures contracted for are analyzed as follows:</w:t>
      </w:r>
    </w:p>
    <w:p>
      <w:pPr>
        <w:spacing w:after="0" w:line="239"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As of December 31,</w:t>
      </w:r>
    </w:p>
    <w:p>
      <w:pPr>
        <w:spacing w:after="0" w:line="23" w:lineRule="exact"/>
        <w:rPr>
          <w:sz w:val="20"/>
          <w:szCs w:val="20"/>
          <w:color w:val="auto"/>
        </w:rPr>
      </w:pPr>
    </w:p>
    <w:p>
      <w:pPr>
        <w:ind w:left="9040"/>
        <w:spacing w:after="0"/>
        <w:tabs>
          <w:tab w:leader="none" w:pos="1072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6591935" cy="145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6591935" cy="145415"/>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Contracted but not provided for</w:t>
      </w:r>
    </w:p>
    <w:p>
      <w:pPr>
        <w:spacing w:after="0" w:line="23" w:lineRule="exact"/>
        <w:rPr>
          <w:sz w:val="20"/>
          <w:szCs w:val="20"/>
          <w:color w:val="auto"/>
        </w:rPr>
      </w:pPr>
    </w:p>
    <w:p>
      <w:pPr>
        <w:ind w:left="860"/>
        <w:spacing w:after="0"/>
        <w:tabs>
          <w:tab w:leader="none" w:pos="9320" w:val="left"/>
          <w:tab w:leader="none" w:pos="10820" w:val="left"/>
        </w:tabs>
        <w:rPr>
          <w:sz w:val="20"/>
          <w:szCs w:val="20"/>
          <w:color w:val="auto"/>
        </w:rPr>
      </w:pPr>
      <w:r>
        <w:rPr>
          <w:rFonts w:ascii="Arial" w:cs="Arial" w:eastAsia="Arial" w:hAnsi="Arial"/>
          <w:sz w:val="18"/>
          <w:szCs w:val="18"/>
          <w:color w:val="auto"/>
        </w:rPr>
        <w:t>Leasehold improvement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1979930"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1979930" cy="25400"/>
                    </a:xfrm>
                    <a:prstGeom prst="rect">
                      <a:avLst/>
                    </a:prstGeom>
                    <a:noFill/>
                  </pic:spPr>
                </pic:pic>
              </a:graphicData>
            </a:graphic>
          </wp:anchor>
        </w:drawing>
      </w:r>
    </w:p>
    <w:p>
      <w:pPr>
        <w:spacing w:after="0" w:line="241" w:lineRule="exact"/>
        <w:rPr>
          <w:sz w:val="20"/>
          <w:szCs w:val="20"/>
          <w:color w:val="auto"/>
        </w:rPr>
      </w:pPr>
    </w:p>
    <w:p>
      <w:pPr>
        <w:ind w:left="880" w:hanging="872"/>
        <w:spacing w:after="0"/>
        <w:tabs>
          <w:tab w:leader="none" w:pos="88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In the ordinary course of the business, the Group is subject to periodic legal or administrative proceedings. As of December 31, 2020 the Group is not a party to any legal or administrative proceedings which will have a material adverse effect on the Group’s business, financial position, results of operations and cash flows.</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Subsequent events</w:t>
      </w:r>
    </w:p>
    <w:p>
      <w:pPr>
        <w:spacing w:after="0" w:line="225" w:lineRule="exact"/>
        <w:rPr>
          <w:sz w:val="20"/>
          <w:szCs w:val="20"/>
          <w:color w:val="auto"/>
        </w:rPr>
      </w:pPr>
    </w:p>
    <w:p>
      <w:pPr>
        <w:ind w:left="860" w:hanging="852"/>
        <w:spacing w:after="0"/>
        <w:tabs>
          <w:tab w:leader="none" w:pos="8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Issue of class B ordinary shares to and strategic cooperation with a new investor</w:t>
      </w:r>
    </w:p>
    <w:p>
      <w:pPr>
        <w:spacing w:after="0" w:line="148" w:lineRule="exact"/>
        <w:rPr>
          <w:sz w:val="20"/>
          <w:szCs w:val="20"/>
          <w:color w:val="auto"/>
        </w:rPr>
      </w:pPr>
    </w:p>
    <w:p>
      <w:pPr>
        <w:jc w:val="both"/>
        <w:ind w:left="740"/>
        <w:spacing w:after="0" w:line="214" w:lineRule="auto"/>
        <w:rPr>
          <w:sz w:val="20"/>
          <w:szCs w:val="20"/>
          <w:color w:val="auto"/>
        </w:rPr>
      </w:pPr>
      <w:r>
        <w:rPr>
          <w:rFonts w:ascii="Arial" w:cs="Arial" w:eastAsia="Arial" w:hAnsi="Arial"/>
          <w:sz w:val="18"/>
          <w:szCs w:val="18"/>
          <w:color w:val="auto"/>
        </w:rPr>
        <w:t>Pursuant to the share subscription agreement entered into between (i) Baozun Inc. ("Baozun"), a brand e-commerce service provider in the PRC, and (ii) the Company, Baozun has subscribed for 649,349 newly issued Class B ordinary shares of the Company at an aggregate subscription price of approximately US $17,223. Concurrently with the issuance of the Issued Class B Shares by iClick, Mr. Wing Hong Sammy Hsieh and Mr. Jian Tang, the current beneficial owners of Class B ordinary shares of the Company, have converted 435,530 Class B ordinary shares into Class A ordinary shares. Upon closing of the transactions on January 26, 2021, the total issued and outstanding number of Class B ordinary shares of the Company was 5,034,427.</w:t>
      </w:r>
    </w:p>
    <w:p>
      <w:pPr>
        <w:spacing w:after="0" w:line="175" w:lineRule="exact"/>
        <w:rPr>
          <w:sz w:val="20"/>
          <w:szCs w:val="20"/>
          <w:color w:val="auto"/>
        </w:rPr>
      </w:pPr>
    </w:p>
    <w:p>
      <w:pPr>
        <w:jc w:val="both"/>
        <w:ind w:left="740"/>
        <w:spacing w:after="0" w:line="279" w:lineRule="auto"/>
        <w:rPr>
          <w:sz w:val="20"/>
          <w:szCs w:val="20"/>
          <w:color w:val="auto"/>
        </w:rPr>
      </w:pPr>
      <w:r>
        <w:rPr>
          <w:rFonts w:ascii="Arial" w:cs="Arial" w:eastAsia="Arial" w:hAnsi="Arial"/>
          <w:sz w:val="17"/>
          <w:szCs w:val="17"/>
          <w:color w:val="auto"/>
        </w:rPr>
        <w:t>In addition, Baozun entered into a share purchase agreement with an existing shareholder of the Company, pursuant to which Baozun purchased from such existing shareholder of the Company 2,471,468 American Depositary Shares (“ADSs”) at an aggregate purchase price of approximately US$32,777, subject to customary settlement of the ADSs. After the closing of the above transactions, Baozun beneficially owns approximately 4% of the Company’s total outstanding shares, representing approximately 10% total voting equity of iClick.</w:t>
      </w:r>
    </w:p>
    <w:p>
      <w:pPr>
        <w:spacing w:after="0" w:line="171"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As part of the transactions, Baozun and the Company have also entered into a strategic cooperation framework agreement, pursuant to which Baozun will provide online operation and infrastructure services to customers while the Company will provide SaaS-based IT and system solutions for customers' e-commerce infrastructure establishment.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ind w:left="7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Subsequent events (Continued)</w:t>
      </w:r>
    </w:p>
    <w:p>
      <w:pPr>
        <w:spacing w:after="0" w:line="225" w:lineRule="exact"/>
        <w:rPr>
          <w:sz w:val="20"/>
          <w:szCs w:val="20"/>
          <w:color w:val="auto"/>
        </w:rPr>
      </w:pPr>
    </w:p>
    <w:p>
      <w:pPr>
        <w:ind w:left="880" w:hanging="872"/>
        <w:spacing w:after="0"/>
        <w:tabs>
          <w:tab w:leader="none" w:pos="88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a marketing platform</w:t>
      </w:r>
    </w:p>
    <w:p>
      <w:pPr>
        <w:spacing w:after="0" w:line="229" w:lineRule="exact"/>
        <w:rPr>
          <w:sz w:val="20"/>
          <w:szCs w:val="20"/>
          <w:color w:val="auto"/>
        </w:rPr>
      </w:pPr>
    </w:p>
    <w:p>
      <w:pPr>
        <w:jc w:val="both"/>
        <w:ind w:left="740"/>
        <w:spacing w:after="0" w:line="286" w:lineRule="auto"/>
        <w:rPr>
          <w:sz w:val="20"/>
          <w:szCs w:val="20"/>
          <w:color w:val="auto"/>
        </w:rPr>
      </w:pPr>
      <w:r>
        <w:rPr>
          <w:rFonts w:ascii="Arial" w:cs="Arial" w:eastAsia="Arial" w:hAnsi="Arial"/>
          <w:sz w:val="17"/>
          <w:szCs w:val="17"/>
          <w:color w:val="auto"/>
        </w:rPr>
        <w:t>The Company is in the process of completing an acquisition of a PRC-based marketing platform providing WeChat-based CRM, e-commerce and marketing software-as-a-service ("SaaS") solutions to facilitate the growth of the Company’s enterprise solutions segment. The amount of consideration has not been finalized and the transaction is expected to be completed in the first half of 2021.</w:t>
      </w:r>
    </w:p>
    <w:p>
      <w:pPr>
        <w:spacing w:after="0" w:line="175" w:lineRule="exact"/>
        <w:rPr>
          <w:sz w:val="20"/>
          <w:szCs w:val="20"/>
          <w:color w:val="auto"/>
        </w:rPr>
      </w:pPr>
    </w:p>
    <w:p>
      <w:pPr>
        <w:ind w:left="720" w:hanging="712"/>
        <w:spacing w:after="0"/>
        <w:tabs>
          <w:tab w:leader="none" w:pos="72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88" w:lineRule="exact"/>
        <w:rPr>
          <w:rFonts w:ascii="Arial" w:cs="Arial" w:eastAsia="Arial" w:hAnsi="Arial"/>
          <w:sz w:val="18"/>
          <w:szCs w:val="18"/>
          <w:b w:val="1"/>
          <w:bCs w:val="1"/>
          <w:color w:val="auto"/>
        </w:rPr>
      </w:pPr>
    </w:p>
    <w:p>
      <w:pPr>
        <w:jc w:val="both"/>
        <w:ind w:left="7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Relevant PRC laws and regulations permit payments of dividends by the Group’s subsidiary, VIE and its subsidiaries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subsidiaries, VIE and its subsidiaries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subsidiaries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subsidiaries, VIE and its subsidiaries to satisfy any obligations of the Company.</w:t>
      </w:r>
    </w:p>
    <w:p>
      <w:pPr>
        <w:spacing w:after="0" w:line="151" w:lineRule="exact"/>
        <w:rPr>
          <w:rFonts w:ascii="Arial" w:cs="Arial" w:eastAsia="Arial" w:hAnsi="Arial"/>
          <w:sz w:val="18"/>
          <w:szCs w:val="18"/>
          <w:b w:val="1"/>
          <w:bCs w:val="1"/>
          <w:color w:val="auto"/>
        </w:rPr>
      </w:pPr>
    </w:p>
    <w:p>
      <w:pPr>
        <w:jc w:val="both"/>
        <w:ind w:left="7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As of December 31, 2019 and 2020, the total restricted net assets of the Company’s subsidiaries and OptAim VIE incorporated in the PRC and subjected to restriction amounted to approximately US$60,411 and US$68,233, respectively. Except for the above there is no other restriction on the use of proceeds generated by the Company’s subsidiaries, VIE and VIE’s subsidiaries to satisfy any obligations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ADDITIONAL INFORMATION: CONDENSED FINANCIAL STATEMENTS OF PARENT COMPANY</w:t>
      </w:r>
    </w:p>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subsidiaries together exceed 25% of consolidated net assets as of the end of the most recently completed fiscal year.</w:t>
      </w:r>
    </w:p>
    <w:p>
      <w:pPr>
        <w:spacing w:after="0" w:line="13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following condensed financial statements of the Company have been prepared using the same accounting policies as set out in the Company’s consolidated financial statements except that the Company used the equity method to account for its investment in its subsidiaries and VIEs. Such investment is presented on the separate condensed balance sheets of the Company as “Investment in subsidiaries and VIEs” and “Accumulated losses in excess of investment in subsidiaries and VIEs.” The Company, its subsidiaries and VIEs were included in the consolidated financial statements whereby the inter-company balances and transactions were eliminated upon consolidation. The Company’s share of income from its subsidiaries and VIEs is reported as share of income from subsidiaries and VIEs in the condensed financial statements.</w:t>
      </w:r>
    </w:p>
    <w:p>
      <w:pPr>
        <w:spacing w:after="0" w:line="120"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1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December 31, 2019 and 2020, there were no material commitments or contingencies, significant provisions for long-term obligations or guarantees of the Company, except for those which have been separately disclosed in the consolidated financial statements, if any.</w:t>
      </w:r>
    </w:p>
    <w:p>
      <w:pPr>
        <w:spacing w:after="0" w:line="12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Inter-company charges, share-based compensation and other miscellaneous expenses for the years ended December 31, 2018, 2019 and 2020, which were previously recognized at the parent company level, had been pushed down to the WFOE/VIE level given the majority of services were provided to the WFOE/VIE entities.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condensed financial statements of the parent company should be read in conjunction with the Company’s consolidated financial statements and the accompanying notes thereto. For purposes of these condensed financial statements, the Company’s wholly owned and majority owned subsidiaries are recorded based upon its proportionate share of the subsidiaries’ net assets (similar to presenting them on the equity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1060" w:top="783" w:right="33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2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5160" w:type="dxa"/>
            <w:vAlign w:val="bottom"/>
          </w:tcPr>
          <w:p>
            <w:pPr>
              <w:spacing w:after="0"/>
              <w:rPr>
                <w:sz w:val="20"/>
                <w:szCs w:val="20"/>
                <w:color w:val="auto"/>
              </w:rPr>
            </w:pPr>
            <w:r>
              <w:rPr>
                <w:rFonts w:ascii="Arial" w:cs="Arial" w:eastAsia="Arial" w:hAnsi="Arial"/>
                <w:sz w:val="18"/>
                <w:szCs w:val="18"/>
                <w:b w:val="1"/>
                <w:bCs w:val="1"/>
                <w:color w:val="auto"/>
              </w:rPr>
              <w:t>CONDENSED BALANCE SHEETS</w:t>
            </w:r>
          </w:p>
        </w:tc>
        <w:tc>
          <w:tcPr>
            <w:tcW w:w="2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8"/>
                <w:szCs w:val="18"/>
                <w:b w:val="1"/>
                <w:bCs w:val="1"/>
                <w:color w:val="auto"/>
              </w:rPr>
              <w:t>AS OF DECEMBER 31, 2019 AND 2020</w:t>
            </w:r>
          </w:p>
        </w:tc>
        <w:tc>
          <w:tcPr>
            <w:tcW w:w="2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w w:val="93"/>
              </w:rPr>
              <w:t>(US$’000, except share data and per share data, or otherwise noted)</w:t>
            </w:r>
          </w:p>
        </w:tc>
        <w:tc>
          <w:tcPr>
            <w:tcW w:w="2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20" w:type="dxa"/>
            <w:vAlign w:val="bottom"/>
            <w:gridSpan w:val="3"/>
          </w:tcPr>
          <w:p>
            <w:pPr>
              <w:ind w:left="980"/>
              <w:spacing w:after="0"/>
              <w:rPr>
                <w:sz w:val="20"/>
                <w:szCs w:val="20"/>
                <w:color w:val="auto"/>
              </w:rPr>
            </w:pPr>
            <w:r>
              <w:rPr>
                <w:rFonts w:ascii="Arial" w:cs="Arial" w:eastAsia="Arial" w:hAnsi="Arial"/>
                <w:sz w:val="18"/>
                <w:szCs w:val="18"/>
                <w:color w:val="auto"/>
              </w:rPr>
              <w:t>As of December 31,</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5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20,459</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Time deposits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4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2,930</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Amounts due from subsidiaries and VIEs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84,831</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4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current assets</w:t>
            </w:r>
          </w:p>
        </w:tc>
        <w:tc>
          <w:tcPr>
            <w:tcW w:w="2560" w:type="dxa"/>
            <w:vAlign w:val="bottom"/>
            <w:tcBorders>
              <w:bottom w:val="single" w:sz="8" w:color="CFF0FC"/>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109,747</w:t>
            </w:r>
          </w:p>
        </w:tc>
        <w:tc>
          <w:tcPr>
            <w:tcW w:w="28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4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Investments in subsidiaries and VIEs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42,783</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116,388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investments</w:t>
            </w:r>
          </w:p>
        </w:tc>
        <w:tc>
          <w:tcPr>
            <w:tcW w:w="4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Investment in an equity investee</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non-current assets</w:t>
            </w:r>
          </w:p>
        </w:tc>
        <w:tc>
          <w:tcPr>
            <w:tcW w:w="4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44,645</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4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154,392</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56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5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 and other current liabilities</w:t>
            </w:r>
          </w:p>
        </w:tc>
        <w:tc>
          <w:tcPr>
            <w:tcW w:w="4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2,834</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Convertible notes at fair value</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49,008</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25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51,842</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Non-current liability</w:t>
            </w:r>
          </w:p>
        </w:tc>
        <w:tc>
          <w:tcPr>
            <w:tcW w:w="25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Other liabilities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non-current liability</w:t>
            </w:r>
          </w:p>
        </w:tc>
        <w:tc>
          <w:tcPr>
            <w:tcW w:w="25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4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52,291</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w:t>
            </w:r>
          </w:p>
        </w:tc>
        <w:tc>
          <w:tcPr>
            <w:tcW w:w="4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25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Ordinary shares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shares</w:t>
            </w:r>
          </w:p>
        </w:tc>
        <w:tc>
          <w:tcPr>
            <w:tcW w:w="44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(4,858)</w:t>
            </w:r>
          </w:p>
        </w:tc>
        <w:tc>
          <w:tcPr>
            <w:tcW w:w="7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(10,341)</w:t>
            </w: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Other shareholders’ equity</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106,930</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282,397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shareholders’ equity</w:t>
            </w:r>
          </w:p>
        </w:tc>
        <w:tc>
          <w:tcPr>
            <w:tcW w:w="256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102,101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272,102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154,392</w:t>
            </w:r>
          </w:p>
        </w:tc>
        <w:tc>
          <w:tcPr>
            <w:tcW w:w="28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160" w:type="dxa"/>
            <w:vAlign w:val="bottom"/>
          </w:tcPr>
          <w:p>
            <w:pPr>
              <w:spacing w:after="0"/>
              <w:rPr>
                <w:sz w:val="24"/>
                <w:szCs w:val="24"/>
                <w:color w:val="auto"/>
              </w:rPr>
            </w:pPr>
          </w:p>
        </w:tc>
        <w:tc>
          <w:tcPr>
            <w:tcW w:w="5180" w:type="dxa"/>
            <w:vAlign w:val="bottom"/>
            <w:gridSpan w:val="4"/>
          </w:tcPr>
          <w:p>
            <w:pPr>
              <w:ind w:left="300"/>
              <w:spacing w:after="0"/>
              <w:rPr>
                <w:sz w:val="20"/>
                <w:szCs w:val="20"/>
                <w:color w:val="auto"/>
              </w:rPr>
            </w:pPr>
            <w:r>
              <w:rPr>
                <w:rFonts w:ascii="Arial" w:cs="Arial" w:eastAsia="Arial" w:hAnsi="Arial"/>
                <w:sz w:val="18"/>
                <w:szCs w:val="18"/>
                <w:color w:val="auto"/>
              </w:rPr>
              <w:t>F-80</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5320" w:type="dxa"/>
            <w:vAlign w:val="bottom"/>
          </w:tcPr>
          <w:p>
            <w:pPr>
              <w:spacing w:after="0"/>
              <w:rPr>
                <w:sz w:val="20"/>
                <w:szCs w:val="20"/>
                <w:color w:val="auto"/>
              </w:rPr>
            </w:pPr>
            <w:r>
              <w:rPr>
                <w:rFonts w:ascii="Arial" w:cs="Arial" w:eastAsia="Arial" w:hAnsi="Arial"/>
                <w:sz w:val="18"/>
                <w:szCs w:val="18"/>
                <w:b w:val="1"/>
                <w:bCs w:val="1"/>
                <w:color w:val="auto"/>
              </w:rPr>
              <w:t>CONDENSED STATEMENTS OF COMPREHENSIVE LOSS</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320" w:type="dxa"/>
            <w:vAlign w:val="bottom"/>
          </w:tcPr>
          <w:p>
            <w:pPr>
              <w:spacing w:after="0"/>
              <w:rPr>
                <w:sz w:val="20"/>
                <w:szCs w:val="20"/>
                <w:color w:val="auto"/>
              </w:rPr>
            </w:pPr>
            <w:r>
              <w:rPr>
                <w:rFonts w:ascii="Arial" w:cs="Arial" w:eastAsia="Arial" w:hAnsi="Arial"/>
                <w:sz w:val="18"/>
                <w:szCs w:val="18"/>
                <w:b w:val="1"/>
                <w:bCs w:val="1"/>
                <w:color w:val="auto"/>
                <w:w w:val="98"/>
              </w:rPr>
              <w:t>FOR THE YEARS ENDED DECEMBER 31, 2018, 2019 AND 2020</w:t>
            </w: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w w:val="96"/>
              </w:rPr>
              <w:t>(US$’000, except share data and per share data, or otherwise noted)</w:t>
            </w: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80" w:type="dxa"/>
            <w:vAlign w:val="bottom"/>
            <w:gridSpan w:val="5"/>
          </w:tcPr>
          <w:p>
            <w:pPr>
              <w:ind w:left="1000"/>
              <w:spacing w:after="0"/>
              <w:rPr>
                <w:sz w:val="20"/>
                <w:szCs w:val="20"/>
                <w:color w:val="auto"/>
              </w:rPr>
            </w:pPr>
            <w:r>
              <w:rPr>
                <w:rFonts w:ascii="Arial" w:cs="Arial" w:eastAsia="Arial" w:hAnsi="Arial"/>
                <w:sz w:val="18"/>
                <w:szCs w:val="18"/>
                <w:color w:val="auto"/>
                <w:w w:val="95"/>
              </w:rPr>
              <w:t>For the years ended December 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320" w:type="dxa"/>
            <w:vAlign w:val="bottom"/>
          </w:tcPr>
          <w:p>
            <w:pPr>
              <w:spacing w:after="0"/>
              <w:rPr>
                <w:sz w:val="20"/>
                <w:szCs w:val="20"/>
                <w:color w:val="auto"/>
              </w:rPr>
            </w:pP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900" w:type="dxa"/>
            <w:vAlign w:val="bottom"/>
            <w:gridSpan w:val="3"/>
          </w:tcPr>
          <w:p>
            <w:pPr>
              <w:jc w:val="right"/>
              <w:ind w:right="180"/>
              <w:spacing w:after="0"/>
              <w:rPr>
                <w:sz w:val="20"/>
                <w:szCs w:val="20"/>
                <w:color w:val="auto"/>
              </w:rPr>
            </w:pPr>
            <w:r>
              <w:rPr>
                <w:rFonts w:ascii="Arial" w:cs="Arial" w:eastAsia="Arial" w:hAnsi="Arial"/>
                <w:sz w:val="18"/>
                <w:szCs w:val="18"/>
                <w:color w:val="auto"/>
              </w:rPr>
              <w:t>(27,643)</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(12,064)</w:t>
            </w:r>
          </w:p>
        </w:tc>
        <w:tc>
          <w:tcPr>
            <w:tcW w:w="5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(13,598)</w:t>
            </w: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operating expenses</w:t>
            </w:r>
          </w:p>
        </w:tc>
        <w:tc>
          <w:tcPr>
            <w:tcW w:w="13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(27,643)</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(12,064)</w:t>
            </w:r>
          </w:p>
        </w:tc>
        <w:tc>
          <w:tcPr>
            <w:tcW w:w="2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29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(27,643)</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(12,064)</w:t>
            </w:r>
          </w:p>
        </w:tc>
        <w:tc>
          <w:tcPr>
            <w:tcW w:w="5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(13,598)</w:t>
            </w: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Other gains/(losses), net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Fair value losses on derivative liabilities</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(11,466)</w:t>
            </w: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Fair value (losses)/gains on convertible notes</w:t>
            </w:r>
          </w:p>
        </w:tc>
        <w:tc>
          <w:tcPr>
            <w:tcW w:w="2900" w:type="dxa"/>
            <w:vAlign w:val="bottom"/>
            <w:gridSpan w:val="3"/>
          </w:tcPr>
          <w:p>
            <w:pPr>
              <w:jc w:val="right"/>
              <w:ind w:right="180"/>
              <w:spacing w:after="0"/>
              <w:rPr>
                <w:sz w:val="20"/>
                <w:szCs w:val="20"/>
                <w:color w:val="auto"/>
              </w:rPr>
            </w:pPr>
            <w:r>
              <w:rPr>
                <w:rFonts w:ascii="Arial" w:cs="Arial" w:eastAsia="Arial" w:hAnsi="Arial"/>
                <w:sz w:val="18"/>
                <w:szCs w:val="18"/>
                <w:color w:val="auto"/>
              </w:rPr>
              <w:t>(4,837)</w:t>
            </w:r>
          </w:p>
        </w:tc>
        <w:tc>
          <w:tcPr>
            <w:tcW w:w="134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(4,433)</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Share of (losses)/profits from subsidiaries and VIEs</w:t>
            </w:r>
          </w:p>
        </w:tc>
        <w:tc>
          <w:tcPr>
            <w:tcW w:w="29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(264)</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17,477</w:t>
            </w:r>
          </w:p>
        </w:tc>
        <w:tc>
          <w:tcPr>
            <w:tcW w:w="10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2900" w:type="dxa"/>
            <w:vAlign w:val="bottom"/>
            <w:gridSpan w:val="3"/>
          </w:tcPr>
          <w:p>
            <w:pPr>
              <w:jc w:val="right"/>
              <w:ind w:right="180"/>
              <w:spacing w:after="0"/>
              <w:rPr>
                <w:sz w:val="20"/>
                <w:szCs w:val="20"/>
                <w:color w:val="auto"/>
              </w:rPr>
            </w:pPr>
            <w:r>
              <w:rPr>
                <w:rFonts w:ascii="Arial" w:cs="Arial" w:eastAsia="Arial" w:hAnsi="Arial"/>
                <w:sz w:val="18"/>
                <w:szCs w:val="18"/>
                <w:color w:val="auto"/>
              </w:rPr>
              <w:t>(32,341)</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(9,127)</w:t>
            </w:r>
          </w:p>
        </w:tc>
        <w:tc>
          <w:tcPr>
            <w:tcW w:w="5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(12,429)</w:t>
            </w: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 of losses from an equity investee</w:t>
            </w:r>
          </w:p>
        </w:tc>
        <w:tc>
          <w:tcPr>
            <w:tcW w:w="13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Income tax expense</w:t>
            </w:r>
          </w:p>
        </w:tc>
        <w:tc>
          <w:tcPr>
            <w:tcW w:w="2900" w:type="dxa"/>
            <w:vAlign w:val="bottom"/>
            <w:gridSpan w:val="3"/>
          </w:tcPr>
          <w:p>
            <w:pPr>
              <w:jc w:val="right"/>
              <w:ind w:right="180"/>
              <w:spacing w:after="0"/>
              <w:rPr>
                <w:sz w:val="20"/>
                <w:szCs w:val="20"/>
                <w:color w:val="auto"/>
              </w:rPr>
            </w:pPr>
            <w:r>
              <w:rPr>
                <w:rFonts w:ascii="Arial" w:cs="Arial" w:eastAsia="Arial" w:hAnsi="Arial"/>
                <w:sz w:val="18"/>
                <w:szCs w:val="18"/>
                <w:color w:val="auto"/>
              </w:rPr>
              <w:t>(68)</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5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05"/>
        </w:trPr>
        <w:tc>
          <w:tcPr>
            <w:tcW w:w="53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loss attributable to iClick Interactive Asia Group Limited’s</w:t>
            </w:r>
          </w:p>
        </w:tc>
        <w:tc>
          <w:tcPr>
            <w:tcW w:w="134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53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ordinary shareholders</w:t>
            </w:r>
          </w:p>
        </w:tc>
        <w:tc>
          <w:tcPr>
            <w:tcW w:w="29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(32,409)</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(9,603)</w:t>
            </w:r>
          </w:p>
        </w:tc>
        <w:tc>
          <w:tcPr>
            <w:tcW w:w="5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(12,618)</w:t>
            </w: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iClick Interactive Asia Group Limited</w:t>
            </w:r>
          </w:p>
        </w:tc>
        <w:tc>
          <w:tcPr>
            <w:tcW w:w="29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(32,409)</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(9,603)</w:t>
            </w:r>
          </w:p>
        </w:tc>
        <w:tc>
          <w:tcPr>
            <w:tcW w:w="5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(12,618)</w:t>
            </w: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Other comprehensive (loss)/income:</w:t>
            </w: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 net of tax</w:t>
            </w:r>
          </w:p>
        </w:tc>
        <w:tc>
          <w:tcPr>
            <w:tcW w:w="29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(2,547)</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(1,612)</w:t>
            </w:r>
          </w:p>
        </w:tc>
        <w:tc>
          <w:tcPr>
            <w:tcW w:w="5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100" w:type="dxa"/>
            <w:vAlign w:val="bottom"/>
            <w:shd w:val="clear" w:color="auto" w:fill="CFF0FC"/>
          </w:tcPr>
          <w:p>
            <w:pPr>
              <w:spacing w:after="0"/>
              <w:rPr>
                <w:sz w:val="19"/>
                <w:szCs w:val="19"/>
                <w:color w:val="auto"/>
              </w:rPr>
            </w:pPr>
          </w:p>
        </w:tc>
      </w:tr>
      <w:tr>
        <w:trPr>
          <w:trHeight w:val="205"/>
        </w:trPr>
        <w:tc>
          <w:tcPr>
            <w:tcW w:w="5320" w:type="dxa"/>
            <w:vAlign w:val="bottom"/>
          </w:tcPr>
          <w:p>
            <w:pPr>
              <w:spacing w:after="0" w:line="205" w:lineRule="exact"/>
              <w:rPr>
                <w:sz w:val="20"/>
                <w:szCs w:val="20"/>
                <w:color w:val="auto"/>
              </w:rPr>
            </w:pPr>
            <w:r>
              <w:rPr>
                <w:rFonts w:ascii="Arial" w:cs="Arial" w:eastAsia="Arial" w:hAnsi="Arial"/>
                <w:sz w:val="18"/>
                <w:szCs w:val="18"/>
                <w:b w:val="1"/>
                <w:bCs w:val="1"/>
                <w:color w:val="auto"/>
                <w:w w:val="96"/>
              </w:rPr>
              <w:t>Comprehensive loss attributable to iClick Interactive Asia Group</w:t>
            </w:r>
          </w:p>
        </w:tc>
        <w:tc>
          <w:tcPr>
            <w:tcW w:w="13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20" w:type="dxa"/>
            <w:vAlign w:val="bottom"/>
          </w:tcPr>
          <w:p>
            <w:pPr>
              <w:ind w:left="140"/>
              <w:spacing w:after="0"/>
              <w:rPr>
                <w:sz w:val="20"/>
                <w:szCs w:val="20"/>
                <w:color w:val="auto"/>
              </w:rPr>
            </w:pPr>
            <w:r>
              <w:rPr>
                <w:rFonts w:ascii="Arial" w:cs="Arial" w:eastAsia="Arial" w:hAnsi="Arial"/>
                <w:sz w:val="18"/>
                <w:szCs w:val="18"/>
                <w:b w:val="1"/>
                <w:bCs w:val="1"/>
                <w:color w:val="auto"/>
              </w:rPr>
              <w:t>Limited</w:t>
            </w:r>
          </w:p>
        </w:tc>
        <w:tc>
          <w:tcPr>
            <w:tcW w:w="2900" w:type="dxa"/>
            <w:vAlign w:val="bottom"/>
            <w:gridSpan w:val="3"/>
          </w:tcPr>
          <w:p>
            <w:pPr>
              <w:jc w:val="right"/>
              <w:ind w:right="180"/>
              <w:spacing w:after="0"/>
              <w:rPr>
                <w:sz w:val="20"/>
                <w:szCs w:val="20"/>
                <w:color w:val="auto"/>
              </w:rPr>
            </w:pPr>
            <w:r>
              <w:rPr>
                <w:rFonts w:ascii="Arial" w:cs="Arial" w:eastAsia="Arial" w:hAnsi="Arial"/>
                <w:sz w:val="18"/>
                <w:szCs w:val="18"/>
                <w:color w:val="auto"/>
              </w:rPr>
              <w:t>(34,956)</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(11,215)</w:t>
            </w:r>
          </w:p>
        </w:tc>
        <w:tc>
          <w:tcPr>
            <w:tcW w:w="5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(7,617)</w:t>
            </w:r>
          </w:p>
        </w:tc>
      </w:tr>
      <w:tr>
        <w:trPr>
          <w:trHeight w:val="20"/>
        </w:trPr>
        <w:tc>
          <w:tcPr>
            <w:tcW w:w="5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58"/>
        </w:trPr>
        <w:tc>
          <w:tcPr>
            <w:tcW w:w="5320" w:type="dxa"/>
            <w:vAlign w:val="bottom"/>
          </w:tcPr>
          <w:p>
            <w:pPr>
              <w:spacing w:after="0"/>
              <w:rPr>
                <w:sz w:val="24"/>
                <w:szCs w:val="24"/>
                <w:color w:val="auto"/>
              </w:rPr>
            </w:pPr>
          </w:p>
        </w:tc>
        <w:tc>
          <w:tcPr>
            <w:tcW w:w="2900" w:type="dxa"/>
            <w:vAlign w:val="bottom"/>
            <w:gridSpan w:val="3"/>
          </w:tcPr>
          <w:p>
            <w:pPr>
              <w:jc w:val="right"/>
              <w:ind w:right="2420"/>
              <w:spacing w:after="0"/>
              <w:rPr>
                <w:sz w:val="20"/>
                <w:szCs w:val="20"/>
                <w:color w:val="auto"/>
              </w:rPr>
            </w:pPr>
            <w:r>
              <w:rPr>
                <w:rFonts w:ascii="Arial" w:cs="Arial" w:eastAsia="Arial" w:hAnsi="Arial"/>
                <w:sz w:val="18"/>
                <w:szCs w:val="18"/>
                <w:color w:val="auto"/>
              </w:rPr>
              <w:t>F-81</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320" w:type="dxa"/>
            <w:vAlign w:val="bottom"/>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320" w:type="dxa"/>
            <w:vAlign w:val="bottom"/>
          </w:tcPr>
          <w:p>
            <w:pPr>
              <w:spacing w:after="0"/>
              <w:rPr>
                <w:sz w:val="20"/>
                <w:szCs w:val="20"/>
                <w:color w:val="auto"/>
              </w:rPr>
            </w:pPr>
            <w:r>
              <w:rPr>
                <w:rFonts w:ascii="Arial" w:cs="Arial" w:eastAsia="Arial" w:hAnsi="Arial"/>
                <w:sz w:val="18"/>
                <w:szCs w:val="18"/>
                <w:b w:val="1"/>
                <w:bCs w:val="1"/>
                <w:color w:val="auto"/>
                <w:w w:val="98"/>
              </w:rPr>
              <w:t>FOR THE YEARS ENDED DECEMBER 31, 2018, 2019 AND 2020</w:t>
            </w: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w w:val="96"/>
              </w:rPr>
              <w:t>(US$’000, except share data and per share data, or otherwise noted)</w:t>
            </w: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80" w:type="dxa"/>
            <w:vAlign w:val="bottom"/>
            <w:gridSpan w:val="5"/>
          </w:tcPr>
          <w:p>
            <w:pPr>
              <w:ind w:left="1000"/>
              <w:spacing w:after="0"/>
              <w:rPr>
                <w:sz w:val="20"/>
                <w:szCs w:val="20"/>
                <w:color w:val="auto"/>
              </w:rPr>
            </w:pPr>
            <w:r>
              <w:rPr>
                <w:rFonts w:ascii="Arial" w:cs="Arial" w:eastAsia="Arial" w:hAnsi="Arial"/>
                <w:sz w:val="18"/>
                <w:szCs w:val="18"/>
                <w:color w:val="auto"/>
                <w:w w:val="95"/>
              </w:rPr>
              <w:t>For the years ended December 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320" w:type="dxa"/>
            <w:vAlign w:val="bottom"/>
          </w:tcPr>
          <w:p>
            <w:pPr>
              <w:spacing w:after="0"/>
              <w:rPr>
                <w:sz w:val="20"/>
                <w:szCs w:val="20"/>
                <w:color w:val="auto"/>
              </w:rPr>
            </w:pP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Net cash (used in)/provided by operating activities</w:t>
            </w:r>
          </w:p>
        </w:tc>
        <w:tc>
          <w:tcPr>
            <w:tcW w:w="2900" w:type="dxa"/>
            <w:vAlign w:val="bottom"/>
            <w:gridSpan w:val="3"/>
          </w:tcPr>
          <w:p>
            <w:pPr>
              <w:jc w:val="right"/>
              <w:ind w:right="180"/>
              <w:spacing w:after="0"/>
              <w:rPr>
                <w:sz w:val="20"/>
                <w:szCs w:val="20"/>
                <w:color w:val="auto"/>
              </w:rPr>
            </w:pPr>
            <w:r>
              <w:rPr>
                <w:rFonts w:ascii="Arial" w:cs="Arial" w:eastAsia="Arial" w:hAnsi="Arial"/>
                <w:sz w:val="18"/>
                <w:szCs w:val="18"/>
                <w:color w:val="auto"/>
              </w:rPr>
              <w:t>(32,234)</w:t>
            </w:r>
          </w:p>
        </w:tc>
        <w:tc>
          <w:tcPr>
            <w:tcW w:w="1340" w:type="dxa"/>
            <w:vAlign w:val="bottom"/>
          </w:tcPr>
          <w:p>
            <w:pPr>
              <w:jc w:val="right"/>
              <w:spacing w:after="0"/>
              <w:rPr>
                <w:sz w:val="20"/>
                <w:szCs w:val="20"/>
                <w:color w:val="auto"/>
              </w:rPr>
            </w:pPr>
            <w:r>
              <w:rPr>
                <w:rFonts w:ascii="Arial" w:cs="Arial" w:eastAsia="Arial" w:hAnsi="Arial"/>
                <w:sz w:val="18"/>
                <w:szCs w:val="18"/>
                <w:color w:val="auto"/>
              </w:rPr>
              <w:t>9,746</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(81,116)</w:t>
            </w:r>
          </w:p>
        </w:tc>
      </w:tr>
      <w:tr>
        <w:trPr>
          <w:trHeight w:val="223"/>
        </w:trPr>
        <w:tc>
          <w:tcPr>
            <w:tcW w:w="53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Increase in other long-term investments</w:t>
            </w:r>
          </w:p>
        </w:tc>
        <w:tc>
          <w:tcPr>
            <w:tcW w:w="29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(503)</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Investment in an equity investee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(566)</w:t>
            </w:r>
          </w:p>
        </w:tc>
        <w:tc>
          <w:tcPr>
            <w:tcW w:w="5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(412)</w:t>
            </w: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(Increase)/decrease in time deposits</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(301)</w:t>
            </w:r>
          </w:p>
        </w:tc>
        <w:tc>
          <w:tcPr>
            <w:tcW w:w="5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Acquisition of subsidiaries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(959)</w:t>
            </w: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2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w w:val="94"/>
              </w:rPr>
              <w:t>Proceeds from issuance of shares upon private placements and follow</w:t>
            </w: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on offering</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71,917</w:t>
            </w:r>
          </w:p>
        </w:tc>
        <w:tc>
          <w:tcPr>
            <w:tcW w:w="100" w:type="dxa"/>
            <w:vAlign w:val="bottom"/>
          </w:tcPr>
          <w:p>
            <w:pPr>
              <w:spacing w:after="0"/>
              <w:rPr>
                <w:sz w:val="20"/>
                <w:szCs w:val="20"/>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share options</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FF0FC"/>
          </w:tcPr>
          <w:p>
            <w:pPr>
              <w:spacing w:after="0"/>
              <w:rPr>
                <w:sz w:val="19"/>
                <w:szCs w:val="19"/>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Proceeds from issuance of convertible notes, net of transaction</w:t>
            </w: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expenses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27,810</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28,742</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19,184</w:t>
            </w:r>
          </w:p>
        </w:tc>
        <w:tc>
          <w:tcPr>
            <w:tcW w:w="100" w:type="dxa"/>
            <w:vAlign w:val="bottom"/>
          </w:tcPr>
          <w:p>
            <w:pPr>
              <w:spacing w:after="0"/>
              <w:rPr>
                <w:sz w:val="20"/>
                <w:szCs w:val="20"/>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Redemption of convertible notes</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(11,265)</w:t>
            </w:r>
          </w:p>
        </w:tc>
        <w:tc>
          <w:tcPr>
            <w:tcW w:w="5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(15,196)</w:t>
            </w: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Repurchase of ordinary shares</w:t>
            </w:r>
          </w:p>
        </w:tc>
        <w:tc>
          <w:tcPr>
            <w:tcW w:w="2900" w:type="dxa"/>
            <w:vAlign w:val="bottom"/>
            <w:gridSpan w:val="3"/>
          </w:tcPr>
          <w:p>
            <w:pPr>
              <w:jc w:val="right"/>
              <w:ind w:right="180"/>
              <w:spacing w:after="0"/>
              <w:rPr>
                <w:sz w:val="20"/>
                <w:szCs w:val="20"/>
                <w:color w:val="auto"/>
              </w:rPr>
            </w:pPr>
            <w:r>
              <w:rPr>
                <w:rFonts w:ascii="Arial" w:cs="Arial" w:eastAsia="Arial" w:hAnsi="Arial"/>
                <w:sz w:val="18"/>
                <w:szCs w:val="18"/>
                <w:color w:val="auto"/>
              </w:rPr>
              <w:t>(37)</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(4,414)</w:t>
            </w:r>
          </w:p>
        </w:tc>
        <w:tc>
          <w:tcPr>
            <w:tcW w:w="5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(5,677)</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Purchase of interests in subsidiaries from non-controlling interests</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(7,003)</w:t>
            </w:r>
          </w:p>
        </w:tc>
      </w:tr>
      <w:tr>
        <w:trPr>
          <w:trHeight w:val="22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34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28,429</w:t>
            </w:r>
          </w:p>
        </w:tc>
        <w:tc>
          <w:tcPr>
            <w:tcW w:w="240" w:type="dxa"/>
            <w:vAlign w:val="bottom"/>
            <w:tcBorders>
              <w:bottom w:val="single" w:sz="8" w:color="CFF0FC"/>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13,378</w:t>
            </w:r>
          </w:p>
        </w:tc>
        <w:tc>
          <w:tcPr>
            <w:tcW w:w="24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64,530</w:t>
            </w:r>
          </w:p>
        </w:tc>
        <w:tc>
          <w:tcPr>
            <w:tcW w:w="100" w:type="dxa"/>
            <w:vAlign w:val="bottom"/>
            <w:tcBorders>
              <w:bottom w:val="single" w:sz="8" w:color="CFF0FC"/>
            </w:tcBorders>
          </w:tcPr>
          <w:p>
            <w:pPr>
              <w:spacing w:after="0"/>
              <w:rPr>
                <w:sz w:val="19"/>
                <w:szCs w:val="19"/>
                <w:color w:val="auto"/>
              </w:rPr>
            </w:pPr>
          </w:p>
        </w:tc>
      </w:tr>
      <w:tr>
        <w:trPr>
          <w:trHeight w:val="205"/>
        </w:trPr>
        <w:tc>
          <w:tcPr>
            <w:tcW w:w="53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(decrease)/increase in cash and cash equivalents and</w:t>
            </w:r>
          </w:p>
        </w:tc>
        <w:tc>
          <w:tcPr>
            <w:tcW w:w="1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3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restricted cash</w:t>
            </w:r>
          </w:p>
        </w:tc>
        <w:tc>
          <w:tcPr>
            <w:tcW w:w="29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(4,308)</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21,257</w:t>
            </w: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(17,721)</w:t>
            </w: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858"/>
        </w:trPr>
        <w:tc>
          <w:tcPr>
            <w:tcW w:w="5320" w:type="dxa"/>
            <w:vAlign w:val="bottom"/>
          </w:tcPr>
          <w:p>
            <w:pPr>
              <w:spacing w:after="0"/>
              <w:rPr>
                <w:sz w:val="24"/>
                <w:szCs w:val="24"/>
                <w:color w:val="auto"/>
              </w:rPr>
            </w:pPr>
          </w:p>
        </w:tc>
        <w:tc>
          <w:tcPr>
            <w:tcW w:w="2900" w:type="dxa"/>
            <w:vAlign w:val="bottom"/>
            <w:gridSpan w:val="3"/>
          </w:tcPr>
          <w:p>
            <w:pPr>
              <w:jc w:val="right"/>
              <w:ind w:right="2420"/>
              <w:spacing w:after="0"/>
              <w:rPr>
                <w:sz w:val="20"/>
                <w:szCs w:val="20"/>
                <w:color w:val="auto"/>
              </w:rPr>
            </w:pPr>
            <w:r>
              <w:rPr>
                <w:rFonts w:ascii="Arial" w:cs="Arial" w:eastAsia="Arial" w:hAnsi="Arial"/>
                <w:sz w:val="18"/>
                <w:szCs w:val="18"/>
                <w:color w:val="auto"/>
              </w:rPr>
              <w:t>F-82</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08" w:name="page209"/>
    <w:bookmarkEnd w:id="208"/>
    <w:p>
      <w:pPr>
        <w:ind w:left="10120"/>
        <w:spacing w:after="0"/>
        <w:rPr>
          <w:sz w:val="20"/>
          <w:szCs w:val="20"/>
          <w:color w:val="auto"/>
        </w:rPr>
      </w:pPr>
      <w:r>
        <w:rPr>
          <w:rFonts w:ascii="Arial" w:cs="Arial" w:eastAsia="Arial" w:hAnsi="Arial"/>
          <w:sz w:val="19"/>
          <w:szCs w:val="19"/>
          <w:b w:val="1"/>
          <w:bCs w:val="1"/>
          <w:color w:val="auto"/>
        </w:rPr>
        <w:t>Exhibit 4.10</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RIGHTS AGREEMENT</w:t>
      </w:r>
    </w:p>
    <w:p>
      <w:pPr>
        <w:spacing w:after="0" w:line="18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REGISTRATION RIGHTS AGREEMENT, dated as of January 26, 2021 (this “</w:t>
      </w:r>
      <w:r>
        <w:rPr>
          <w:rFonts w:ascii="Arial" w:cs="Arial" w:eastAsia="Arial" w:hAnsi="Arial"/>
          <w:sz w:val="22"/>
          <w:szCs w:val="22"/>
          <w:u w:val="single" w:color="auto"/>
          <w:color w:val="auto"/>
        </w:rPr>
        <w:t>Agreement</w:t>
      </w:r>
      <w:r>
        <w:rPr>
          <w:rFonts w:ascii="Arial" w:cs="Arial" w:eastAsia="Arial" w:hAnsi="Arial"/>
          <w:sz w:val="22"/>
          <w:szCs w:val="22"/>
          <w:color w:val="auto"/>
        </w:rPr>
        <w:t>”), by and between iClick Interactive Asia Group Limited, a Cayman Islands exempted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and Baozun Inc., a Cayman Islands exempted company (the “</w:t>
      </w:r>
      <w:r>
        <w:rPr>
          <w:rFonts w:ascii="Arial" w:cs="Arial" w:eastAsia="Arial" w:hAnsi="Arial"/>
          <w:sz w:val="22"/>
          <w:szCs w:val="22"/>
          <w:u w:val="single" w:color="auto"/>
          <w:color w:val="auto"/>
        </w:rPr>
        <w:t>Investor</w:t>
      </w:r>
      <w:r>
        <w:rPr>
          <w:rFonts w:ascii="Arial" w:cs="Arial" w:eastAsia="Arial" w:hAnsi="Arial"/>
          <w:sz w:val="22"/>
          <w:szCs w:val="22"/>
          <w:color w:val="auto"/>
        </w:rPr>
        <w:t>”).</w:t>
      </w:r>
    </w:p>
    <w:p>
      <w:pPr>
        <w:spacing w:after="0" w:line="186"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1"/>
          <w:szCs w:val="21"/>
          <w:color w:val="auto"/>
        </w:rPr>
        <w:t>WHEREAS, the Company entered into a share subscription agreement with the Investor dated January 26, 2021 relating to the subscription of the Company’s Shares (as defined below) (the “</w:t>
      </w:r>
      <w:r>
        <w:rPr>
          <w:rFonts w:ascii="Arial" w:cs="Arial" w:eastAsia="Arial" w:hAnsi="Arial"/>
          <w:sz w:val="21"/>
          <w:szCs w:val="21"/>
          <w:u w:val="single" w:color="auto"/>
          <w:color w:val="auto"/>
        </w:rPr>
        <w:t>Share Subscription Agreement</w:t>
      </w:r>
      <w:r>
        <w:rPr>
          <w:rFonts w:ascii="Arial" w:cs="Arial" w:eastAsia="Arial" w:hAnsi="Arial"/>
          <w:sz w:val="21"/>
          <w:szCs w:val="21"/>
          <w:color w:val="auto"/>
        </w:rPr>
        <w:t>”).</w:t>
      </w:r>
    </w:p>
    <w:p>
      <w:pPr>
        <w:spacing w:after="0" w:line="151"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WHEREAS, certain selling shareholder(s) of the Company entered into a share purchase agreement with the Investor dated January 26, 2021 relating to the purchase of the Company’s American depositary shares (“</w:t>
      </w:r>
      <w:r>
        <w:rPr>
          <w:rFonts w:ascii="Arial" w:cs="Arial" w:eastAsia="Arial" w:hAnsi="Arial"/>
          <w:sz w:val="22"/>
          <w:szCs w:val="22"/>
          <w:u w:val="single" w:color="auto"/>
          <w:color w:val="auto"/>
        </w:rPr>
        <w:t>ADSs</w:t>
      </w:r>
      <w:r>
        <w:rPr>
          <w:rFonts w:ascii="Arial" w:cs="Arial" w:eastAsia="Arial" w:hAnsi="Arial"/>
          <w:sz w:val="22"/>
          <w:szCs w:val="22"/>
          <w:color w:val="auto"/>
        </w:rPr>
        <w:t>”), two ADSs representing one Class A Share (the “</w:t>
      </w:r>
      <w:r>
        <w:rPr>
          <w:rFonts w:ascii="Arial" w:cs="Arial" w:eastAsia="Arial" w:hAnsi="Arial"/>
          <w:sz w:val="22"/>
          <w:szCs w:val="22"/>
          <w:u w:val="single" w:color="auto"/>
          <w:color w:val="auto"/>
        </w:rPr>
        <w:t>Share Purchase Agreement</w:t>
      </w:r>
      <w:r>
        <w:rPr>
          <w:rFonts w:ascii="Arial" w:cs="Arial" w:eastAsia="Arial" w:hAnsi="Arial"/>
          <w:sz w:val="22"/>
          <w:szCs w:val="22"/>
          <w:color w:val="auto"/>
        </w:rPr>
        <w:t>”, together with the Share Subscription Agreement, the “</w:t>
      </w:r>
      <w:r>
        <w:rPr>
          <w:rFonts w:ascii="Arial" w:cs="Arial" w:eastAsia="Arial" w:hAnsi="Arial"/>
          <w:sz w:val="22"/>
          <w:szCs w:val="22"/>
          <w:u w:val="single" w:color="auto"/>
          <w:color w:val="auto"/>
        </w:rPr>
        <w:t>Equity</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Agreements</w:t>
      </w:r>
      <w:r>
        <w:rPr>
          <w:rFonts w:ascii="Arial" w:cs="Arial" w:eastAsia="Arial" w:hAnsi="Arial"/>
          <w:sz w:val="22"/>
          <w:szCs w:val="22"/>
          <w:color w:val="auto"/>
        </w:rPr>
        <w:t>”).</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in connection with the purchase of the Shares and ADSs by the Investor pursuant to the Equity Agreements, the Company and the Investor wish to execute this Agreement.</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NOW, THEREFORE, in consideration of the premises and the covenants hereinafter contained and for other good and valuable consideration, the receipt and sufficiency of which are hereby acknowledged, the Parties intending to be legally bound hereby, it is agreed as follows:</w:t>
      </w:r>
    </w:p>
    <w:p>
      <w:pPr>
        <w:spacing w:after="0" w:line="180" w:lineRule="exact"/>
        <w:rPr>
          <w:sz w:val="20"/>
          <w:szCs w:val="20"/>
          <w:color w:val="auto"/>
        </w:rPr>
      </w:pPr>
    </w:p>
    <w:p>
      <w:pPr>
        <w:ind w:left="860" w:hanging="852"/>
        <w:spacing w:after="0"/>
        <w:tabs>
          <w:tab w:leader="none" w:pos="860" w:val="left"/>
        </w:tabs>
        <w:numPr>
          <w:ilvl w:val="0"/>
          <w:numId w:val="2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p>
    <w:p>
      <w:pPr>
        <w:spacing w:after="0" w:line="212"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The following terms shall have the meanings ascribed to them below:</w:t>
      </w:r>
    </w:p>
    <w:p>
      <w:pPr>
        <w:spacing w:after="0" w:line="200"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 Person, any other Person that, directly or indirectly, Controls, is Controlled by or is under common Control with such Person.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set forth in the preamble hereof.</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Securities Laws</w:t>
      </w:r>
      <w:r>
        <w:rPr>
          <w:rFonts w:ascii="Arial" w:cs="Arial" w:eastAsia="Arial" w:hAnsi="Arial"/>
          <w:sz w:val="22"/>
          <w:szCs w:val="22"/>
          <w:color w:val="auto"/>
        </w:rPr>
        <w:t>” means (i) with respect to any offering of securities in the United States, or any other act or omission within that jurisdiction, the securities Law of the United States, including the Exchange Act and the Securities Act, and any applicable securities Laws of any state of the United States, and (ii) with respect to any offering of securities in any jurisdiction other than the United States, or any related act or omission in that jurisdiction, the applicable securities Laws of that jurisdiction.</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Arbitrator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7.4(i)</w:t>
      </w:r>
      <w:r>
        <w:rPr>
          <w:rFonts w:ascii="Arial" w:cs="Arial" w:eastAsia="Arial" w:hAnsi="Arial"/>
          <w:sz w:val="22"/>
          <w:szCs w:val="22"/>
          <w:color w:val="auto"/>
        </w:rPr>
        <w:t xml:space="preserve"> hereof.</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Commission</w:t>
      </w:r>
      <w:r>
        <w:rPr>
          <w:rFonts w:ascii="Arial" w:cs="Arial" w:eastAsia="Arial" w:hAnsi="Arial"/>
          <w:sz w:val="22"/>
          <w:szCs w:val="22"/>
          <w:color w:val="auto"/>
        </w:rPr>
        <w:t>” means (i) with respect to any offering of securities in the United States, the Securities and Exchange Commission of the United States or any other federal agency at the time administering the Securities Act, and (ii) with respect to any offering of securities in a jurisdiction other than the United States, the regulatory body of the jurisdiction with authority to supervise and regulate the offering and sale of securities in that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1748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9" w:name="page210"/>
    <w:bookmarkEnd w:id="209"/>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has the meaning set forth in the preamble hereof.</w:t>
      </w:r>
    </w:p>
    <w:p>
      <w:pPr>
        <w:spacing w:after="0" w:line="20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of a given Person means the power or authority, whether exercised or not, to direct the business, management and policies of such Person, directly or indirectly, whether through the ownership of voting securities, by contract or otherwise, which power or authority shall conclusively be presumed to exist upon possession of beneficial ownership or power to direct the vote of more than fifty percent (50%) of the votes entitled to be cast at a meeting of the members or shareholders of such Person or power to control the composition of a majority of the board of directors of such Person; the term “Controlled” has the meaning correlative to the foregoing.</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Securities</w:t>
      </w:r>
      <w:r>
        <w:rPr>
          <w:rFonts w:ascii="Arial" w:cs="Arial" w:eastAsia="Arial" w:hAnsi="Arial"/>
          <w:sz w:val="22"/>
          <w:szCs w:val="22"/>
          <w:color w:val="auto"/>
        </w:rPr>
        <w:t>” means any Ordinary Shares and/or Ordinary Share Equivalents of the Company.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United States Securities Exchange Act of 1934, as amended.</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Form F-3</w:t>
      </w:r>
      <w:r>
        <w:rPr>
          <w:rFonts w:ascii="Arial" w:cs="Arial" w:eastAsia="Arial" w:hAnsi="Arial"/>
          <w:sz w:val="22"/>
          <w:szCs w:val="22"/>
          <w:color w:val="auto"/>
        </w:rPr>
        <w:t>” means Form F-3 promulgated by the Commission under the Securities Act or any successor form or substantially similar form then in effect.</w:t>
      </w:r>
    </w:p>
    <w:p>
      <w:pPr>
        <w:spacing w:after="0" w:line="16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nation or government or any federation, province or state or any other political subdivision thereof; any entity, authority or body exercising executive, legislative, judicial, regulatory or administrative functions of or pertaining to government, including any government authority, agency, department, board, commission or instrumentality of the PRC, the Cayman Islands or any other country, or any political subdivision thereof, any court, tribunal or arbitrator, and any self-regulatory organization.</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Order</w:t>
      </w:r>
      <w:r>
        <w:rPr>
          <w:rFonts w:ascii="Arial" w:cs="Arial" w:eastAsia="Arial" w:hAnsi="Arial"/>
          <w:sz w:val="22"/>
          <w:szCs w:val="22"/>
          <w:color w:val="auto"/>
        </w:rPr>
        <w:t>” means any applicable order, ruling, decision, verdict, decree, writ, subpoena, mandate, precept, command, directive, consent, approval, award, judgment, injunction or other similar determination or finding by, before or under the supervision of any Governmental Authority.</w:t>
      </w:r>
    </w:p>
    <w:p>
      <w:pPr>
        <w:spacing w:after="0" w:line="17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Group Companies</w:t>
      </w:r>
      <w:r>
        <w:rPr>
          <w:rFonts w:ascii="Arial" w:cs="Arial" w:eastAsia="Arial" w:hAnsi="Arial"/>
          <w:sz w:val="22"/>
          <w:szCs w:val="22"/>
          <w:color w:val="auto"/>
        </w:rPr>
        <w:t>” or “</w:t>
      </w:r>
      <w:r>
        <w:rPr>
          <w:rFonts w:ascii="Arial" w:cs="Arial" w:eastAsia="Arial" w:hAnsi="Arial"/>
          <w:sz w:val="22"/>
          <w:szCs w:val="22"/>
          <w:b w:val="1"/>
          <w:bCs w:val="1"/>
          <w:color w:val="auto"/>
        </w:rPr>
        <w:t>Group</w:t>
      </w:r>
      <w:r>
        <w:rPr>
          <w:rFonts w:ascii="Arial" w:cs="Arial" w:eastAsia="Arial" w:hAnsi="Arial"/>
          <w:sz w:val="22"/>
          <w:szCs w:val="22"/>
          <w:color w:val="auto"/>
        </w:rPr>
        <w:t>” means, collectively, the Company together with its Subsidiaries and the consolidated affiliated entities, and each Person (other than a natural person) that is, directly or indirectly, Controlled by any of the foregoing, including but not limited to each joint venture in which any of the foregoing holds more than fifty percent (50%) of the voting power.</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HKIAC</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7.4(i)</w:t>
      </w:r>
      <w:r>
        <w:rPr>
          <w:rFonts w:ascii="Arial" w:cs="Arial" w:eastAsia="Arial" w:hAnsi="Arial"/>
          <w:sz w:val="22"/>
          <w:szCs w:val="22"/>
          <w:color w:val="auto"/>
        </w:rPr>
        <w:t xml:space="preserve"> hereof.</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Holders</w:t>
      </w:r>
      <w:r>
        <w:rPr>
          <w:rFonts w:ascii="Arial" w:cs="Arial" w:eastAsia="Arial" w:hAnsi="Arial"/>
          <w:sz w:val="22"/>
          <w:szCs w:val="22"/>
          <w:color w:val="auto"/>
        </w:rPr>
        <w:t>” means the Investor who is a holder of Registrable Securities and its permitted transferees that become parties to this Agreement from time to time.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Hong Kong S.A.R.</w:t>
      </w:r>
      <w:r>
        <w:rPr>
          <w:rFonts w:ascii="Arial" w:cs="Arial" w:eastAsia="Arial" w:hAnsi="Arial"/>
          <w:sz w:val="22"/>
          <w:szCs w:val="22"/>
          <w:color w:val="auto"/>
        </w:rPr>
        <w:t>” means the Hong Kong Special Administrative Region.</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Initiating Holders</w:t>
      </w:r>
      <w:r>
        <w:rPr>
          <w:rFonts w:ascii="Arial" w:cs="Arial" w:eastAsia="Arial" w:hAnsi="Arial"/>
          <w:sz w:val="22"/>
          <w:szCs w:val="22"/>
          <w:color w:val="auto"/>
        </w:rPr>
        <w:t xml:space="preserve">” means, with respect to a request duly made under or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to Register any Registrable Securities, the Holders initiating such request.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0" w:name="page211"/>
    <w:bookmarkEnd w:id="210"/>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or “</w:t>
      </w:r>
      <w:r>
        <w:rPr>
          <w:rFonts w:ascii="Arial" w:cs="Arial" w:eastAsia="Arial" w:hAnsi="Arial"/>
          <w:sz w:val="22"/>
          <w:szCs w:val="22"/>
          <w:b w:val="1"/>
          <w:bCs w:val="1"/>
          <w:color w:val="auto"/>
        </w:rPr>
        <w:t>Laws</w:t>
      </w:r>
      <w:r>
        <w:rPr>
          <w:rFonts w:ascii="Arial" w:cs="Arial" w:eastAsia="Arial" w:hAnsi="Arial"/>
          <w:sz w:val="22"/>
          <w:szCs w:val="22"/>
          <w:color w:val="auto"/>
        </w:rPr>
        <w:t>” means any constitutional provision, statute, ordinance or other law, rule, regulation, official policy or interpretation of applicable Governmental Authority and any Governmental Order in the jurisdiction of incorporation of each Group Company and where they ordinarily conduct their business, including without limitation, the Cayman Islands, the Hong Kong S.A.R. and the PRC.</w:t>
      </w:r>
    </w:p>
    <w:p>
      <w:pPr>
        <w:spacing w:after="0" w:line="18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Majority-in-Interest</w:t>
      </w:r>
      <w:r>
        <w:rPr>
          <w:rFonts w:ascii="Arial" w:cs="Arial" w:eastAsia="Arial" w:hAnsi="Arial"/>
          <w:sz w:val="22"/>
          <w:szCs w:val="22"/>
          <w:color w:val="auto"/>
        </w:rPr>
        <w:t>” means an interest in the voting securities of a Person that exceeds 50% of such voting securities of such Person.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“Maximum Number of Securities” </w:t>
      </w:r>
      <w:r>
        <w:rPr>
          <w:rFonts w:ascii="Arial" w:cs="Arial" w:eastAsia="Arial" w:hAnsi="Arial"/>
          <w:sz w:val="22"/>
          <w:szCs w:val="22"/>
          <w:color w:val="auto"/>
        </w:rPr>
        <w:t>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2.4</w:t>
      </w:r>
      <w:r>
        <w:rPr>
          <w:rFonts w:ascii="Arial" w:cs="Arial" w:eastAsia="Arial" w:hAnsi="Arial"/>
          <w:sz w:val="22"/>
          <w:szCs w:val="22"/>
          <w:b w:val="1"/>
          <w:bCs w:val="1"/>
          <w:color w:val="auto"/>
        </w:rPr>
        <w:t xml:space="preserve"> </w:t>
      </w:r>
      <w:r>
        <w:rPr>
          <w:rFonts w:ascii="Arial" w:cs="Arial" w:eastAsia="Arial" w:hAnsi="Arial"/>
          <w:sz w:val="22"/>
          <w:szCs w:val="22"/>
          <w:color w:val="auto"/>
        </w:rPr>
        <w:t>hereof.</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Ordinary Share Equivalents</w:t>
      </w:r>
      <w:r>
        <w:rPr>
          <w:rFonts w:ascii="Arial" w:cs="Arial" w:eastAsia="Arial" w:hAnsi="Arial"/>
          <w:sz w:val="19"/>
          <w:szCs w:val="19"/>
          <w:color w:val="auto"/>
        </w:rPr>
        <w:t>” means the Class B ordinary shares of the Company that are convertible into Ordinary</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Shares.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Ordinary Shares</w:t>
      </w:r>
      <w:r>
        <w:rPr>
          <w:rFonts w:ascii="Arial" w:cs="Arial" w:eastAsia="Arial" w:hAnsi="Arial"/>
          <w:sz w:val="22"/>
          <w:szCs w:val="22"/>
          <w:color w:val="auto"/>
        </w:rPr>
        <w:t>” means the Company’s Class A ordinary shares, par value US$0.001 per share.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Parties</w:t>
      </w:r>
      <w:r>
        <w:rPr>
          <w:rFonts w:ascii="Arial" w:cs="Arial" w:eastAsia="Arial" w:hAnsi="Arial"/>
          <w:sz w:val="22"/>
          <w:szCs w:val="22"/>
          <w:color w:val="auto"/>
        </w:rPr>
        <w:t>” has the meaning set forth in the preamble hereof.</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partnership, limited partnership, proprietorship, association, limited liability company, firm, trust, estate or other enterprise or entity.</w:t>
      </w:r>
    </w:p>
    <w:p>
      <w:pPr>
        <w:spacing w:after="0" w:line="162"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PRC</w:t>
      </w:r>
      <w:r>
        <w:rPr>
          <w:rFonts w:ascii="Arial" w:cs="Arial" w:eastAsia="Arial" w:hAnsi="Arial"/>
          <w:sz w:val="19"/>
          <w:szCs w:val="19"/>
          <w:color w:val="auto"/>
        </w:rPr>
        <w:t>” means the People’s Republic of China, but solely for the purposes of this Agreement and the other Transaction Documents, excluding the Hong Kong S.A.R., the Macau Special Administrative Region and the islands of Taiwan.</w:t>
      </w:r>
    </w:p>
    <w:p>
      <w:pPr>
        <w:spacing w:after="0" w:line="94"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Registrable Securities</w:t>
      </w:r>
      <w:r>
        <w:rPr>
          <w:rFonts w:ascii="Arial" w:cs="Arial" w:eastAsia="Arial" w:hAnsi="Arial"/>
          <w:sz w:val="22"/>
          <w:szCs w:val="22"/>
          <w:color w:val="auto"/>
        </w:rPr>
        <w:t>” shall mean (a) any and all Ordinary Shares held by a Holder at any time on or after the date hereof and (b) any securities issuable or issued or distributed in respect of any of the Ordinary Shares identified in clause (a) by way of stock dividend or stock split or in connection with a combination of shares, recapitalization, reorganization, merger, consolidation or otherwise.</w:t>
      </w:r>
    </w:p>
    <w:p>
      <w:pPr>
        <w:spacing w:after="0" w:line="180"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Registration</w:t>
      </w:r>
      <w:r>
        <w:rPr>
          <w:rFonts w:ascii="Arial" w:cs="Arial" w:eastAsia="Arial" w:hAnsi="Arial"/>
          <w:sz w:val="22"/>
          <w:szCs w:val="22"/>
          <w:color w:val="auto"/>
        </w:rPr>
        <w:t>” means a registration effected by preparing and filing a Registration Statement and the declaration or ordering of the effectiveness of that Registration Statement; and the terms “Register” and “Registered” have meanings concomitant with the foregoing.</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Registration Statement</w:t>
      </w:r>
      <w:r>
        <w:rPr>
          <w:rFonts w:ascii="Arial" w:cs="Arial" w:eastAsia="Arial" w:hAnsi="Arial"/>
          <w:sz w:val="22"/>
          <w:szCs w:val="22"/>
          <w:color w:val="auto"/>
        </w:rPr>
        <w:t>” means a registration statement prepared on Form F-1, F-2, F-3, S-1, S-2 or S-3 under the Securities Act (including, without limitation, Rule 415 under the Securities Act), or on any comparable form in connection with registration in a jurisdiction other than the United States.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United States Securities Act of 1933, as amended.</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means the Ordinary Shares and the Class B ordinary shares of the Company.</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1" w:name="page212"/>
    <w:bookmarkEnd w:id="211"/>
    <w:p>
      <w:pPr>
        <w:ind w:firstLine="864"/>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with respect to any specified Person, any Person of which the specified Person, directly or indirectly, owns or Controls more than fifty percent (50%) of the issued share capital, voting interests or registered capital.</w:t>
      </w:r>
    </w:p>
    <w:p>
      <w:pPr>
        <w:spacing w:after="0" w:line="9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w:t>
      </w:r>
      <w:r>
        <w:rPr>
          <w:rFonts w:ascii="Arial" w:cs="Arial" w:eastAsia="Arial" w:hAnsi="Arial"/>
          <w:sz w:val="22"/>
          <w:szCs w:val="22"/>
          <w:color w:val="auto"/>
        </w:rPr>
        <w:t>” means the United States of America.</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Violation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5.1(i)</w:t>
      </w:r>
      <w:r>
        <w:rPr>
          <w:rFonts w:ascii="Arial" w:cs="Arial" w:eastAsia="Arial" w:hAnsi="Arial"/>
          <w:sz w:val="22"/>
          <w:szCs w:val="22"/>
          <w:color w:val="auto"/>
        </w:rPr>
        <w:t xml:space="preserve"> hereof.</w:t>
      </w:r>
    </w:p>
    <w:p>
      <w:pPr>
        <w:spacing w:after="0" w:line="206" w:lineRule="exact"/>
        <w:rPr>
          <w:sz w:val="20"/>
          <w:szCs w:val="20"/>
          <w:color w:val="auto"/>
        </w:rPr>
      </w:pPr>
    </w:p>
    <w:p>
      <w:pPr>
        <w:ind w:left="860" w:hanging="852"/>
        <w:spacing w:after="0"/>
        <w:tabs>
          <w:tab w:leader="none" w:pos="860" w:val="left"/>
        </w:tabs>
        <w:numPr>
          <w:ilvl w:val="0"/>
          <w:numId w:val="2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Demand Registration.</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b w:val="1"/>
          <w:bCs w:val="1"/>
          <w:color w:val="auto"/>
        </w:rPr>
        <w:t>2.1. Registration Other Than on Form F-3 or Form S-3</w:t>
      </w:r>
      <w:r>
        <w:rPr>
          <w:rFonts w:ascii="Arial" w:cs="Arial" w:eastAsia="Arial" w:hAnsi="Arial"/>
          <w:sz w:val="21"/>
          <w:szCs w:val="21"/>
          <w:color w:val="auto"/>
        </w:rPr>
        <w:t>. Subject to the terms of this Agreement, any Holder(s) that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individually or jointly hold at least five percent (5%) of the voting power of the then outstanding Shares may request the Company in writing that the Company effect a Registration. Upon receipt of such a request, the Company shall (x) promptly give written notice of the proposed Registration to all other Holders and (y) as soon as practicable, use its reasonable best efforts to cause the Registrable Securities specified in the request, together with any Registrable Securities of any Holder who requests in writing to join such Registration within fifteen (15) days after the Company’s delivery of written notice, to be Registered. The Company shall be obligated to effect no more than two (2) Registrations pursuant to this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that have been declared and ordered effective; provided that if the sale of all of the Registrable Securities sought to be included pursuant to this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is not consummated for any reason other than due to the action or inaction of the Holders including Registrable Securities in such Registration, such Registration shall not be deemed to constitute one of the Registration rights granted pursuant to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w:t>
      </w:r>
      <w:r>
        <w:rPr>
          <w:rFonts w:ascii="Arial" w:cs="Arial" w:eastAsia="Arial" w:hAnsi="Arial"/>
          <w:sz w:val="21"/>
          <w:szCs w:val="21"/>
          <w:color w:val="auto"/>
        </w:rPr>
        <w:t>.</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2.2. Registration on Form F-3 or Form S-3</w:t>
      </w:r>
      <w:r>
        <w:rPr>
          <w:rFonts w:ascii="Arial" w:cs="Arial" w:eastAsia="Arial" w:hAnsi="Arial"/>
          <w:sz w:val="19"/>
          <w:szCs w:val="19"/>
          <w:color w:val="auto"/>
        </w:rPr>
        <w:t>. Subject to the terms of this Agreement, if the Company qualifies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registration on Form F-3 or Form S-3 (or any comparable form for Registration in a jurisdiction other than the United States), any Holder may request the Company to file, in any jurisdiction in which the Company has had a registered underwritten public offering, a Registration Statement on Form F-3 or Form S-3 (or any comparable form for Registration in a jurisdiction other than the United States), including without limitation any registration statement filed under the Securities Act providing for the registration of, and the sale on a continuous or a delayed basis by the Holders of, all of the Registrable Securities pursuant to Rule 415 under the Securities Act and/or any similar rule that may be adopted by the Commission. Upon receipt of such a request, the Company shall (i) promptly give written notice of the proposed Registration to all other Holders and (ii) as soon as practicable, use its reasonable best efforts to cause the Registrable Securities specified in the request, together with any Registrable Securities of any Holder who requests in writing to join such Registration within fifteen (15) days after the Company’s delivery of written notice, to be Registered and qualified for sale and distribution in such jurisdiction. The Company shall be obligated to effect no more than two (2) Registrations that have been declared and ordered effective within any twelve (12)-month period pursuant to this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sale of all of the Registrable Securities sought to be included pursuant to this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is not consummated for any reason other than due to the action or inaction of the Holders including Registrable Securities in such Registration, such Registration shall not be deemed to constitute one of the Registration rights granted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w:t>
      </w:r>
      <w:r>
        <w:rPr>
          <w:rFonts w:ascii="Arial" w:cs="Arial" w:eastAsia="Arial" w:hAnsi="Arial"/>
          <w:sz w:val="19"/>
          <w:szCs w:val="19"/>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2" w:name="page213"/>
    <w:bookmarkEnd w:id="212"/>
    <w:p>
      <w:pPr>
        <w:spacing w:after="0"/>
        <w:tabs>
          <w:tab w:leader="none" w:pos="96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Right of Deferral.</w:t>
      </w:r>
    </w:p>
    <w:p>
      <w:pPr>
        <w:spacing w:after="0" w:line="213" w:lineRule="exact"/>
        <w:rPr>
          <w:sz w:val="20"/>
          <w:szCs w:val="20"/>
          <w:color w:val="auto"/>
        </w:rPr>
      </w:pPr>
    </w:p>
    <w:p>
      <w:pPr>
        <w:ind w:left="1720" w:hanging="848"/>
        <w:spacing w:after="0"/>
        <w:tabs>
          <w:tab w:leader="none" w:pos="1720" w:val="left"/>
        </w:tabs>
        <w:numPr>
          <w:ilvl w:val="0"/>
          <w:numId w:val="256"/>
        </w:numPr>
        <w:rPr>
          <w:rFonts w:ascii="Arial" w:cs="Arial" w:eastAsia="Arial" w:hAnsi="Arial"/>
          <w:sz w:val="19"/>
          <w:szCs w:val="19"/>
          <w:color w:val="auto"/>
        </w:rPr>
      </w:pPr>
      <w:r>
        <w:rPr>
          <w:rFonts w:ascii="Arial" w:cs="Arial" w:eastAsia="Arial" w:hAnsi="Arial"/>
          <w:sz w:val="19"/>
          <w:szCs w:val="19"/>
          <w:color w:val="auto"/>
        </w:rPr>
        <w:t xml:space="preserve">The Company shall not be obligated to Register or qualify Registrable Securities pursuant to this </w:t>
      </w:r>
      <w:r>
        <w:rPr>
          <w:rFonts w:ascii="Arial" w:cs="Arial" w:eastAsia="Arial" w:hAnsi="Arial"/>
          <w:sz w:val="19"/>
          <w:szCs w:val="19"/>
          <w:u w:val="single" w:color="auto"/>
          <w:color w:val="auto"/>
        </w:rPr>
        <w:t>Section 2</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jc w:val="both"/>
        <w:ind w:left="880" w:firstLine="789"/>
        <w:spacing w:after="0" w:line="277" w:lineRule="auto"/>
        <w:tabs>
          <w:tab w:leader="none" w:pos="2565" w:val="left"/>
        </w:tabs>
        <w:numPr>
          <w:ilvl w:val="1"/>
          <w:numId w:val="256"/>
        </w:numPr>
        <w:rPr>
          <w:rFonts w:ascii="Arial" w:cs="Arial" w:eastAsia="Arial" w:hAnsi="Arial"/>
          <w:sz w:val="19"/>
          <w:szCs w:val="19"/>
          <w:color w:val="auto"/>
        </w:rPr>
      </w:pPr>
      <w:r>
        <w:rPr>
          <w:rFonts w:ascii="Arial" w:cs="Arial" w:eastAsia="Arial" w:hAnsi="Arial"/>
          <w:sz w:val="19"/>
          <w:szCs w:val="19"/>
          <w:color w:val="auto"/>
        </w:rPr>
        <w:t xml:space="preserve">if, within ten (10) days of the receipt of any request of the Holders to Register any Registrable Securities under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the Company gives notice to the Initiating Holders of its bona fide intention to effect the filing for its own account of a Registration Statement pertaining to Ordinary Shares within sixty (60) days of receipt of that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is actively employing in good faith its reasonable best efforts to cause that Registration Statement to become effective within sixty(60) days of receipt of that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Holders are entitled to join such Registration subject to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(other than a registration of securities in a transaction under Rule 145 of the Securities Act or with respect to an employee benefit plan);</w:t>
      </w:r>
    </w:p>
    <w:p>
      <w:pPr>
        <w:spacing w:after="0" w:line="151" w:lineRule="exact"/>
        <w:rPr>
          <w:rFonts w:ascii="Arial" w:cs="Arial" w:eastAsia="Arial" w:hAnsi="Arial"/>
          <w:sz w:val="19"/>
          <w:szCs w:val="19"/>
          <w:color w:val="auto"/>
        </w:rPr>
      </w:pPr>
    </w:p>
    <w:p>
      <w:pPr>
        <w:jc w:val="both"/>
        <w:ind w:left="880" w:firstLine="789"/>
        <w:spacing w:after="0" w:line="236" w:lineRule="auto"/>
        <w:tabs>
          <w:tab w:leader="none" w:pos="2577" w:val="left"/>
        </w:tabs>
        <w:numPr>
          <w:ilvl w:val="1"/>
          <w:numId w:val="256"/>
        </w:numPr>
        <w:rPr>
          <w:rFonts w:ascii="Arial" w:cs="Arial" w:eastAsia="Arial" w:hAnsi="Arial"/>
          <w:sz w:val="22"/>
          <w:szCs w:val="22"/>
          <w:color w:val="auto"/>
        </w:rPr>
      </w:pPr>
      <w:r>
        <w:rPr>
          <w:rFonts w:ascii="Arial" w:cs="Arial" w:eastAsia="Arial" w:hAnsi="Arial"/>
          <w:sz w:val="22"/>
          <w:szCs w:val="22"/>
          <w:color w:val="auto"/>
        </w:rPr>
        <w:t>during the period starting with the date of filing by the Company of, and ending six (6) months following the effective date of, any Registration Statement pertaining to Ordinary Shares of the Company; provided, that the Holders are entitled to join the Registration effected pursuant to such Registration Statement subject to Section 3 (other than a registration of securities in a transaction under Rule 145 of the Securities Act or with respect to an employee benefit plan); or</w:t>
      </w:r>
    </w:p>
    <w:p>
      <w:pPr>
        <w:spacing w:after="0" w:line="187" w:lineRule="exact"/>
        <w:rPr>
          <w:rFonts w:ascii="Arial" w:cs="Arial" w:eastAsia="Arial" w:hAnsi="Arial"/>
          <w:sz w:val="22"/>
          <w:szCs w:val="22"/>
          <w:color w:val="auto"/>
        </w:rPr>
      </w:pPr>
    </w:p>
    <w:p>
      <w:pPr>
        <w:jc w:val="both"/>
        <w:ind w:left="880" w:firstLine="789"/>
        <w:spacing w:after="0"/>
        <w:tabs>
          <w:tab w:leader="none" w:pos="2565" w:val="left"/>
        </w:tabs>
        <w:numPr>
          <w:ilvl w:val="1"/>
          <w:numId w:val="256"/>
        </w:numPr>
        <w:rPr>
          <w:rFonts w:ascii="Arial" w:cs="Arial" w:eastAsia="Arial" w:hAnsi="Arial"/>
          <w:sz w:val="22"/>
          <w:szCs w:val="22"/>
          <w:color w:val="auto"/>
        </w:rPr>
      </w:pPr>
      <w:r>
        <w:rPr>
          <w:rFonts w:ascii="Arial" w:cs="Arial" w:eastAsia="Arial" w:hAnsi="Arial"/>
          <w:sz w:val="22"/>
          <w:szCs w:val="22"/>
          <w:color w:val="auto"/>
        </w:rPr>
        <w:t>in any jurisdiction in which the Company would be required to execute a general consent to service of process in effecting such Registration or qualification, unless the Company is already subject to service of process in such jurisdiction.</w:t>
      </w:r>
    </w:p>
    <w:p>
      <w:pPr>
        <w:spacing w:after="0" w:line="186" w:lineRule="exact"/>
        <w:rPr>
          <w:sz w:val="20"/>
          <w:szCs w:val="20"/>
          <w:color w:val="auto"/>
        </w:rPr>
      </w:pPr>
    </w:p>
    <w:p>
      <w:pPr>
        <w:jc w:val="both"/>
        <w:ind w:firstLine="872"/>
        <w:spacing w:after="0" w:line="246" w:lineRule="auto"/>
        <w:tabs>
          <w:tab w:leader="none" w:pos="1775" w:val="left"/>
        </w:tabs>
        <w:numPr>
          <w:ilvl w:val="0"/>
          <w:numId w:val="257"/>
        </w:numPr>
        <w:rPr>
          <w:rFonts w:ascii="Arial" w:cs="Arial" w:eastAsia="Arial" w:hAnsi="Arial"/>
          <w:sz w:val="21"/>
          <w:szCs w:val="21"/>
          <w:color w:val="auto"/>
        </w:rPr>
      </w:pPr>
      <w:r>
        <w:rPr>
          <w:rFonts w:ascii="Arial" w:cs="Arial" w:eastAsia="Arial" w:hAnsi="Arial"/>
          <w:sz w:val="21"/>
          <w:szCs w:val="21"/>
          <w:color w:val="auto"/>
        </w:rPr>
        <w:t xml:space="preserve">If, after receiving a request from Holders pursuant to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hereof, the Company furnishes to the Holders a certificate signed by the chief executive officer of the Company stating that, in the good faith judgment of the Board, it would be materially detrimental to the Company or its members for a Registration Statement to be filed in the near future, then the Company shall have the right to defer such filing for the period during which such filing would be materially detrimental,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may not utilize this right and/or the deferral right contained in this clause (ii) for more than forty-five (45) days on any one occasion or for more than a total of ninety (90) days during any twelve (12) month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the Company may not Register any other of its securities during such period (except for Registrations contemplated by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2.4. Underwritten Offerings</w:t>
      </w:r>
      <w:r>
        <w:rPr>
          <w:rFonts w:ascii="Arial" w:cs="Arial" w:eastAsia="Arial" w:hAnsi="Arial"/>
          <w:sz w:val="21"/>
          <w:szCs w:val="21"/>
          <w:color w:val="auto"/>
        </w:rPr>
        <w:t>. If, in connection with a request to Register Registrable Securities under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2.1</w:t>
      </w:r>
      <w:r>
        <w:rPr>
          <w:rFonts w:ascii="Arial" w:cs="Arial" w:eastAsia="Arial" w:hAnsi="Arial"/>
          <w:sz w:val="21"/>
          <w:szCs w:val="21"/>
          <w:b w:val="1"/>
          <w:bCs w:val="1"/>
          <w:color w:val="auto"/>
        </w:rPr>
        <w:t xml:space="preserve"> </w:t>
      </w:r>
      <w:r>
        <w:rPr>
          <w:rFonts w:ascii="Arial" w:cs="Arial" w:eastAsia="Arial" w:hAnsi="Arial"/>
          <w:sz w:val="21"/>
          <w:szCs w:val="21"/>
          <w:color w:val="auto"/>
        </w:rPr>
        <w:t>or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the Initiating Holders seek to distribute such Registrable Securities in an underwritten offering, they shall so advise the Company as a part of the request, and the Company shall include such information in the written notice to the other Holders described in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2.2</w:t>
      </w:r>
      <w:r>
        <w:rPr>
          <w:rFonts w:ascii="Arial" w:cs="Arial" w:eastAsia="Arial" w:hAnsi="Arial"/>
          <w:sz w:val="21"/>
          <w:szCs w:val="21"/>
          <w:color w:val="auto"/>
        </w:rPr>
        <w:t>. In such event, the right of any Holder to include its Registrable Securities in such Registration shall be conditioned upon such Holder’s participation in such underwritten offering and the inclusion of such Holder’s Registrable Securities in the underwritten offering (unless otherwise mutually agreed by a Majority-in-Interest of the Initiating Holders and such Holder, taken together) to the extent provided herein. All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3" w:name="page214"/>
    <w:bookmarkEnd w:id="213"/>
    <w:p>
      <w:pPr>
        <w:jc w:val="both"/>
        <w:spacing w:after="0" w:line="270" w:lineRule="auto"/>
        <w:rPr>
          <w:sz w:val="20"/>
          <w:szCs w:val="20"/>
          <w:color w:val="auto"/>
        </w:rPr>
      </w:pPr>
      <w:r>
        <w:rPr>
          <w:rFonts w:ascii="Arial" w:cs="Arial" w:eastAsia="Arial" w:hAnsi="Arial"/>
          <w:sz w:val="19"/>
          <w:szCs w:val="19"/>
          <w:color w:val="auto"/>
        </w:rPr>
        <w:t>Holders proposing to distribute their securities through such underwritten offering shall enter into an underwriting agreement in customary form with the underwriter or underwriters of internationally recognized standing selected for such underwritten offering by the Company and reasonably acceptable to the holders of a majority of the voting power of all Registrable Securities proposed to be included in such Registration. Notwithstanding any other provision of this Agreement, if the managing underwriter advises the Company in writing that, in its opinion, the number of securities to be included in such offering is greater than the total number of securities which can be sold therein without having a material adverse effect on the distribution of such securities or otherwise having a material adverse effect on the marketability thereof (the “</w:t>
      </w:r>
      <w:r>
        <w:rPr>
          <w:rFonts w:ascii="Arial" w:cs="Arial" w:eastAsia="Arial" w:hAnsi="Arial"/>
          <w:sz w:val="19"/>
          <w:szCs w:val="19"/>
          <w:u w:val="single" w:color="auto"/>
          <w:color w:val="auto"/>
        </w:rPr>
        <w:t>Maximum Number of Securities</w:t>
      </w:r>
      <w:r>
        <w:rPr>
          <w:rFonts w:ascii="Arial" w:cs="Arial" w:eastAsia="Arial" w:hAnsi="Arial"/>
          <w:sz w:val="19"/>
          <w:szCs w:val="19"/>
          <w:color w:val="auto"/>
        </w:rPr>
        <w:t>”), then the Company shall include in such Registration the Registrable Securities that the participating Holders have requested to be registered thereunder only to the extent the number of such Registrable Securities does not exceed the Maximum Number of Securities. If such amount exceeds the Maximum Number of Securities, the number of Registrable Securities included in such Registration shall be allocated among all the participating Holders on a pro rata basis (based on the number of Registrable Securities held by each participating Holder). If the amount of such Registrable Securities does not exceed the Maximum Number of Securities, the Company may include in such Registration any Ordinary Shares of the Company and other Ordinary Shares held by other security holders of the Company, as the Company may in its discretion determine or be obligated to allow, in an amount which together with the Registrable Securities included in such Registration shall not exceed the Maximum Number of Securities. Any Registrable Securities excluded or withdrawn from such underwritten offering shall be withdrawn from Registration. To facilitate the allocation of shares in accordance with the above provisions, the Company or the underwriters may round the number of shares allocated to a Holder to the nearest one hundred (100) shares.</w:t>
      </w:r>
    </w:p>
    <w:p>
      <w:pPr>
        <w:spacing w:after="0" w:line="160" w:lineRule="exact"/>
        <w:rPr>
          <w:sz w:val="20"/>
          <w:szCs w:val="20"/>
          <w:color w:val="auto"/>
        </w:rPr>
      </w:pPr>
    </w:p>
    <w:p>
      <w:pPr>
        <w:ind w:left="860" w:hanging="852"/>
        <w:spacing w:after="0"/>
        <w:tabs>
          <w:tab w:leader="none" w:pos="860" w:val="left"/>
        </w:tabs>
        <w:numPr>
          <w:ilvl w:val="0"/>
          <w:numId w:val="2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Piggyback Registrations.</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color w:val="auto"/>
        </w:rPr>
        <w:t>3.1. Registration of the Company’s Securities</w:t>
      </w:r>
      <w:r>
        <w:rPr>
          <w:rFonts w:ascii="Arial" w:cs="Arial" w:eastAsia="Arial" w:hAnsi="Arial"/>
          <w:sz w:val="19"/>
          <w:szCs w:val="19"/>
          <w:color w:val="auto"/>
        </w:rPr>
        <w:t>. Subject to the terms of this Agreement, if the Company proposes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Register for its own account any of its Equity Securities, or for the account of any holder (other than a Holder) of Equity Securities any of such holder’s Equity Securities, in connection with the public offering of such securities (except as set forth in </w:t>
      </w:r>
      <w:r>
        <w:rPr>
          <w:rFonts w:ascii="Arial" w:cs="Arial" w:eastAsia="Arial" w:hAnsi="Arial"/>
          <w:sz w:val="19"/>
          <w:szCs w:val="19"/>
          <w:u w:val="single" w:color="auto"/>
          <w:color w:val="auto"/>
        </w:rPr>
        <w:t>Section 3.4</w:t>
      </w:r>
      <w:r>
        <w:rPr>
          <w:rFonts w:ascii="Arial" w:cs="Arial" w:eastAsia="Arial" w:hAnsi="Arial"/>
          <w:sz w:val="19"/>
          <w:szCs w:val="19"/>
          <w:color w:val="auto"/>
        </w:rPr>
        <w:t>), the Company shall promptly give each Holder written notice of such Registration and, upon the written request of any Holder given within fifteen (15) days after delivery of such notice, the Company shall use its reasonable best efforts to include in such Registration any Registrable Securities thereby requested to be Registered by such Holder. If a Holder decides not to include all or any of its Registrable Securities in such Registration by the Company, such Holder shall nevertheless continue to have the right to include any Registrable Securities in any subsequent Registration Statement or Registration Statements as may be filed by the Company, all upon the terms and subject to the conditions set forth herein.</w:t>
      </w:r>
    </w:p>
    <w:p>
      <w:pPr>
        <w:spacing w:after="0" w:line="150"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color w:val="auto"/>
        </w:rPr>
        <w:t>3.2. Right to Terminate Registration</w:t>
      </w:r>
      <w:r>
        <w:rPr>
          <w:rFonts w:ascii="Arial" w:cs="Arial" w:eastAsia="Arial" w:hAnsi="Arial"/>
          <w:sz w:val="19"/>
          <w:szCs w:val="19"/>
          <w:color w:val="auto"/>
        </w:rPr>
        <w:t>. The Company shall have the right to terminate or withdraw any Registration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initiated by it under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prior to the effectiveness of such Registration, whether or not any Holder has elected to participate therein. The expenses of such withdrawn Registration shall be borne by the Company in accordance with </w:t>
      </w:r>
      <w:r>
        <w:rPr>
          <w:rFonts w:ascii="Arial" w:cs="Arial" w:eastAsia="Arial" w:hAnsi="Arial"/>
          <w:sz w:val="19"/>
          <w:szCs w:val="19"/>
          <w:u w:val="single" w:color="auto"/>
          <w:color w:val="auto"/>
        </w:rPr>
        <w:t>Section 4.3.</w:t>
      </w:r>
    </w:p>
    <w:p>
      <w:pPr>
        <w:spacing w:after="0" w:line="126"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Underwriting Requirements.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4" w:name="page215"/>
    <w:bookmarkEnd w:id="214"/>
    <w:p>
      <w:pPr>
        <w:jc w:val="both"/>
        <w:ind w:firstLine="872"/>
        <w:spacing w:after="0" w:line="275" w:lineRule="auto"/>
        <w:tabs>
          <w:tab w:leader="none" w:pos="1715" w:val="left"/>
        </w:tabs>
        <w:numPr>
          <w:ilvl w:val="0"/>
          <w:numId w:val="259"/>
        </w:numPr>
        <w:rPr>
          <w:rFonts w:ascii="Arial" w:cs="Arial" w:eastAsia="Arial" w:hAnsi="Arial"/>
          <w:sz w:val="19"/>
          <w:szCs w:val="19"/>
          <w:color w:val="auto"/>
        </w:rPr>
      </w:pPr>
      <w:r>
        <w:rPr>
          <w:rFonts w:ascii="Arial" w:cs="Arial" w:eastAsia="Arial" w:hAnsi="Arial"/>
          <w:sz w:val="19"/>
          <w:szCs w:val="19"/>
          <w:color w:val="auto"/>
        </w:rPr>
        <w:t xml:space="preserve">In connection with any offering involving an underwriting of the Company’s Equity Securities, the Company shall not be required to Register the Registrable Securities of a Holder under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unless such Holder’s Registrable Securities are included in the underwritten offering and such Holder enters into an underwriting agreement in customary form with the underwriter or underwriters of internationally recognized standing selected by the Company and setting forth such terms for the underwritten offering as have been agreed upon between the Company and the underwriters. In the event the managing underwriter of such underwritten offering advises in writing that, in its opinion, the number of Registrable Securities requested to be included in the Registration in addition to the securities being registered by the Company or such other holder would be greater than the, Maximum Number of Securities (having the same meaning as defined in </w:t>
      </w:r>
      <w:r>
        <w:rPr>
          <w:rFonts w:ascii="Arial" w:cs="Arial" w:eastAsia="Arial" w:hAnsi="Arial"/>
          <w:sz w:val="19"/>
          <w:szCs w:val="19"/>
          <w:u w:val="single" w:color="auto"/>
          <w:color w:val="auto"/>
        </w:rPr>
        <w:t>Section 2.4</w:t>
      </w:r>
      <w:r>
        <w:rPr>
          <w:rFonts w:ascii="Arial" w:cs="Arial" w:eastAsia="Arial" w:hAnsi="Arial"/>
          <w:sz w:val="19"/>
          <w:szCs w:val="19"/>
          <w:color w:val="auto"/>
        </w:rPr>
        <w:t>), then:</w:t>
      </w:r>
    </w:p>
    <w:p>
      <w:pPr>
        <w:spacing w:after="0" w:line="157" w:lineRule="exact"/>
        <w:rPr>
          <w:rFonts w:ascii="Arial" w:cs="Arial" w:eastAsia="Arial" w:hAnsi="Arial"/>
          <w:sz w:val="19"/>
          <w:szCs w:val="19"/>
          <w:color w:val="auto"/>
        </w:rPr>
      </w:pPr>
    </w:p>
    <w:p>
      <w:pPr>
        <w:jc w:val="both"/>
        <w:ind w:left="880" w:firstLine="789"/>
        <w:spacing w:after="0" w:line="235" w:lineRule="auto"/>
        <w:tabs>
          <w:tab w:leader="none" w:pos="2565" w:val="left"/>
        </w:tabs>
        <w:numPr>
          <w:ilvl w:val="1"/>
          <w:numId w:val="259"/>
        </w:numPr>
        <w:rPr>
          <w:rFonts w:ascii="Arial" w:cs="Arial" w:eastAsia="Arial" w:hAnsi="Arial"/>
          <w:sz w:val="22"/>
          <w:szCs w:val="22"/>
          <w:color w:val="auto"/>
        </w:rPr>
      </w:pPr>
      <w:r>
        <w:rPr>
          <w:rFonts w:ascii="Arial" w:cs="Arial" w:eastAsia="Arial" w:hAnsi="Arial"/>
          <w:sz w:val="22"/>
          <w:szCs w:val="22"/>
          <w:color w:val="auto"/>
        </w:rPr>
        <w:t xml:space="preserve">in the event the Company initiated Registration, the Company shall include in such Registration </w:t>
      </w:r>
      <w:r>
        <w:rPr>
          <w:rFonts w:ascii="Arial" w:cs="Arial" w:eastAsia="Arial" w:hAnsi="Arial"/>
          <w:sz w:val="22"/>
          <w:szCs w:val="22"/>
          <w:u w:val="single" w:color="auto"/>
          <w:color w:val="auto"/>
        </w:rPr>
        <w:t>first</w:t>
      </w:r>
      <w:r>
        <w:rPr>
          <w:rFonts w:ascii="Arial" w:cs="Arial" w:eastAsia="Arial" w:hAnsi="Arial"/>
          <w:sz w:val="22"/>
          <w:szCs w:val="22"/>
          <w:color w:val="auto"/>
        </w:rPr>
        <w:t xml:space="preserve">, the securities the Company proposes to register and </w:t>
      </w:r>
      <w:r>
        <w:rPr>
          <w:rFonts w:ascii="Arial" w:cs="Arial" w:eastAsia="Arial" w:hAnsi="Arial"/>
          <w:sz w:val="22"/>
          <w:szCs w:val="22"/>
          <w:u w:val="single" w:color="auto"/>
          <w:color w:val="auto"/>
        </w:rPr>
        <w:t>second</w:t>
      </w:r>
      <w:r>
        <w:rPr>
          <w:rFonts w:ascii="Arial" w:cs="Arial" w:eastAsia="Arial" w:hAnsi="Arial"/>
          <w:sz w:val="22"/>
          <w:szCs w:val="22"/>
          <w:color w:val="auto"/>
        </w:rPr>
        <w:t>, the securities of all other selling security holders, including the participating Holders, to be included in such Registration in an amount which together with the securities the Company proposes to register, shall not exceed the Maximum Number of Securities, such amount to be allocated among such selling security holders on a pro rata basis (based on the number of securities of the Company held by each such selling security holder);</w:t>
      </w:r>
    </w:p>
    <w:p>
      <w:pPr>
        <w:spacing w:after="0" w:line="187" w:lineRule="exact"/>
        <w:rPr>
          <w:rFonts w:ascii="Arial" w:cs="Arial" w:eastAsia="Arial" w:hAnsi="Arial"/>
          <w:sz w:val="22"/>
          <w:szCs w:val="22"/>
          <w:color w:val="auto"/>
        </w:rPr>
      </w:pPr>
    </w:p>
    <w:p>
      <w:pPr>
        <w:jc w:val="both"/>
        <w:ind w:left="880" w:firstLine="789"/>
        <w:spacing w:after="0" w:line="245" w:lineRule="auto"/>
        <w:tabs>
          <w:tab w:leader="none" w:pos="2577" w:val="left"/>
        </w:tabs>
        <w:numPr>
          <w:ilvl w:val="1"/>
          <w:numId w:val="259"/>
        </w:numPr>
        <w:rPr>
          <w:rFonts w:ascii="Arial" w:cs="Arial" w:eastAsia="Arial" w:hAnsi="Arial"/>
          <w:sz w:val="21"/>
          <w:szCs w:val="21"/>
          <w:color w:val="auto"/>
        </w:rPr>
      </w:pPr>
      <w:r>
        <w:rPr>
          <w:rFonts w:ascii="Arial" w:cs="Arial" w:eastAsia="Arial" w:hAnsi="Arial"/>
          <w:sz w:val="21"/>
          <w:szCs w:val="21"/>
          <w:color w:val="auto"/>
        </w:rPr>
        <w:t xml:space="preserve">in the event any holder of securities of the Company initiated the Registration, the Company shall include in such Registration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the securities such initiating security holder proposes to register, and the securities of any other selling security holders (including participating Holders), in an amount which together with the securities the initiating security holder proposes to register, shall not exceed the Maximum Number of Securities, such amount to be allocated among such selling security holders on a pro rata basis (based on the number of securities of the Company held by each such selling security holder) and </w:t>
      </w:r>
      <w:r>
        <w:rPr>
          <w:rFonts w:ascii="Arial" w:cs="Arial" w:eastAsia="Arial" w:hAnsi="Arial"/>
          <w:sz w:val="21"/>
          <w:szCs w:val="21"/>
          <w:u w:val="single" w:color="auto"/>
          <w:color w:val="auto"/>
        </w:rPr>
        <w:t>second</w:t>
      </w:r>
      <w:r>
        <w:rPr>
          <w:rFonts w:ascii="Arial" w:cs="Arial" w:eastAsia="Arial" w:hAnsi="Arial"/>
          <w:sz w:val="21"/>
          <w:szCs w:val="21"/>
          <w:color w:val="auto"/>
        </w:rPr>
        <w:t>, any securities the Company proposes to register, in an amount which together with the securities the initiating security holder and the other selling security holders propose to register, shall not exceed the Maximum Number of Securities. To facilitate the allocation of shares in accordance with the above provisions, the Company or the underwriters may round the number of shares allocated to a Holder to the nearest one hundred (100) shares.</w:t>
      </w:r>
    </w:p>
    <w:p>
      <w:pPr>
        <w:spacing w:after="0" w:line="181" w:lineRule="exact"/>
        <w:rPr>
          <w:sz w:val="20"/>
          <w:szCs w:val="20"/>
          <w:color w:val="auto"/>
        </w:rPr>
      </w:pPr>
    </w:p>
    <w:p>
      <w:pPr>
        <w:jc w:val="both"/>
        <w:ind w:firstLine="872"/>
        <w:spacing w:after="0" w:line="275" w:lineRule="auto"/>
        <w:tabs>
          <w:tab w:leader="none" w:pos="1775" w:val="left"/>
        </w:tabs>
        <w:numPr>
          <w:ilvl w:val="0"/>
          <w:numId w:val="260"/>
        </w:numPr>
        <w:rPr>
          <w:rFonts w:ascii="Arial" w:cs="Arial" w:eastAsia="Arial" w:hAnsi="Arial"/>
          <w:sz w:val="19"/>
          <w:szCs w:val="19"/>
          <w:color w:val="auto"/>
        </w:rPr>
      </w:pPr>
      <w:r>
        <w:rPr>
          <w:rFonts w:ascii="Arial" w:cs="Arial" w:eastAsia="Arial" w:hAnsi="Arial"/>
          <w:sz w:val="19"/>
          <w:szCs w:val="19"/>
          <w:color w:val="auto"/>
        </w:rPr>
        <w:t xml:space="preserve">If any Holder disapproves of the terms of any underwriting; the Holder may elect to withdraw therefrom by written notice to the Company and the underwriters delivered at least ten (10) days prior to the effective date of the Registration Statement. Any Registrable Securities excluded or withdrawn from the underwritten offering shall be withdrawn from the Registration. Notwithstanding the foregoing, the Company shall not be required to pay for any expenses of any Registration proceeding begun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unless such withdrawal is due to an action or inaction of the Company or an event outside of the reasonable control of such Holders.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5" w:name="page216"/>
    <w:bookmarkEnd w:id="215"/>
    <w:p>
      <w:pPr>
        <w:jc w:val="both"/>
        <w:spacing w:after="0" w:line="248" w:lineRule="auto"/>
        <w:rPr>
          <w:sz w:val="20"/>
          <w:szCs w:val="20"/>
          <w:color w:val="auto"/>
        </w:rPr>
      </w:pPr>
      <w:r>
        <w:rPr>
          <w:rFonts w:ascii="Arial" w:cs="Arial" w:eastAsia="Arial" w:hAnsi="Arial"/>
          <w:sz w:val="21"/>
          <w:szCs w:val="21"/>
          <w:b w:val="1"/>
          <w:bCs w:val="1"/>
          <w:color w:val="auto"/>
        </w:rPr>
        <w:t>3.4. Exempt Transactions</w:t>
      </w:r>
      <w:r>
        <w:rPr>
          <w:rFonts w:ascii="Arial" w:cs="Arial" w:eastAsia="Arial" w:hAnsi="Arial"/>
          <w:sz w:val="21"/>
          <w:szCs w:val="21"/>
          <w:color w:val="auto"/>
        </w:rPr>
        <w:t>. The Company shall have no obligation to Register any Registrable Securities under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in connection with a Registration by the Company (i) relating solely to the sale of securities to participants in a Company share plan; (ii) relating to a corporate reorganization or other transaction under Rule 145 of the Securities Act (or comparable provision under the Laws of another jurisdiction, as applicable); (iii) on any form that does not include substantially the same information as would be required to be included in a registration statement covering the sale of the Registrable Securities; or (iv) relating to a registration in which the only Ordinary Shares being registered are Ordinary Shares issuable upon conversion of debt securities that are also being registered.</w:t>
      </w:r>
    </w:p>
    <w:p>
      <w:pPr>
        <w:spacing w:after="0" w:line="171" w:lineRule="exact"/>
        <w:rPr>
          <w:sz w:val="20"/>
          <w:szCs w:val="20"/>
          <w:color w:val="auto"/>
        </w:rPr>
      </w:pPr>
    </w:p>
    <w:p>
      <w:pPr>
        <w:ind w:left="860" w:hanging="852"/>
        <w:spacing w:after="0"/>
        <w:tabs>
          <w:tab w:leader="none" w:pos="860" w:val="left"/>
        </w:tabs>
        <w:numPr>
          <w:ilvl w:val="0"/>
          <w:numId w:val="2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Registration Procedures.</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4.1. Registration Procedures and Obligations</w:t>
      </w:r>
      <w:r>
        <w:rPr>
          <w:rFonts w:ascii="Arial" w:cs="Arial" w:eastAsia="Arial" w:hAnsi="Arial"/>
          <w:sz w:val="22"/>
          <w:szCs w:val="22"/>
          <w:color w:val="auto"/>
        </w:rPr>
        <w:t>. If as a result of any action, proposed action or request by a Holder,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is required to Register any Registrable Securities held by the Holders under the Securities Act with the Commission, the Company shall, as expeditiously as reasonably possible:</w:t>
      </w:r>
    </w:p>
    <w:p>
      <w:pPr>
        <w:spacing w:after="0" w:line="183" w:lineRule="exact"/>
        <w:rPr>
          <w:sz w:val="20"/>
          <w:szCs w:val="20"/>
          <w:color w:val="auto"/>
        </w:rPr>
      </w:pPr>
    </w:p>
    <w:p>
      <w:pPr>
        <w:jc w:val="both"/>
        <w:ind w:firstLine="872"/>
        <w:spacing w:after="0" w:line="273" w:lineRule="auto"/>
        <w:tabs>
          <w:tab w:leader="none" w:pos="1715" w:val="left"/>
        </w:tabs>
        <w:numPr>
          <w:ilvl w:val="0"/>
          <w:numId w:val="262"/>
        </w:numPr>
        <w:rPr>
          <w:rFonts w:ascii="Arial" w:cs="Arial" w:eastAsia="Arial" w:hAnsi="Arial"/>
          <w:sz w:val="19"/>
          <w:szCs w:val="19"/>
          <w:color w:val="auto"/>
        </w:rPr>
      </w:pPr>
      <w:r>
        <w:rPr>
          <w:rFonts w:ascii="Arial" w:cs="Arial" w:eastAsia="Arial" w:hAnsi="Arial"/>
          <w:sz w:val="19"/>
          <w:szCs w:val="19"/>
          <w:color w:val="auto"/>
        </w:rPr>
        <w:t xml:space="preserve">Prepare and file with the Commission a Registration Statement with respect to those Registrable Securities and use its reasonable best efforts to cause that Registration Statement to become effective, and, upon the request of the Holders holding a majority of the Registrable Securities Registered thereunder, keep the Registration Statement effective for up to one hundred and eighty (180) days or, if earlier, until the distribution thereunder has been completed;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(a) such one hundred and eighty (180) day period shall be extended for a period of time equal to the period any Holder refrains from selling any Registrable Securities included in such Registration at the written request of the underwriter(s) for such Registration, and (b) in the case of any Registration of Registrable Securities on Form F-3 or Form S-3 that are intended to be offered on a continuous or delayed basis, subject to compliance with applicable rules promulgated by the Commission, such one hundred and eighty (180) day period shall be extended, if necessary, to keep the Registration Statement or such comparable form, as the case may be, effective until all such Registrable Securities are sold;</w:t>
      </w:r>
    </w:p>
    <w:p>
      <w:pPr>
        <w:spacing w:after="0" w:line="160" w:lineRule="exact"/>
        <w:rPr>
          <w:rFonts w:ascii="Arial" w:cs="Arial" w:eastAsia="Arial" w:hAnsi="Arial"/>
          <w:sz w:val="19"/>
          <w:szCs w:val="19"/>
          <w:color w:val="auto"/>
        </w:rPr>
      </w:pPr>
    </w:p>
    <w:p>
      <w:pPr>
        <w:jc w:val="both"/>
        <w:ind w:firstLine="872"/>
        <w:spacing w:after="0" w:line="297" w:lineRule="auto"/>
        <w:tabs>
          <w:tab w:leader="none" w:pos="1775" w:val="left"/>
        </w:tabs>
        <w:numPr>
          <w:ilvl w:val="0"/>
          <w:numId w:val="262"/>
        </w:numPr>
        <w:rPr>
          <w:rFonts w:ascii="Arial" w:cs="Arial" w:eastAsia="Arial" w:hAnsi="Arial"/>
          <w:sz w:val="19"/>
          <w:szCs w:val="19"/>
          <w:color w:val="auto"/>
        </w:rPr>
      </w:pPr>
      <w:r>
        <w:rPr>
          <w:rFonts w:ascii="Arial" w:cs="Arial" w:eastAsia="Arial" w:hAnsi="Arial"/>
          <w:sz w:val="19"/>
          <w:szCs w:val="19"/>
          <w:color w:val="auto"/>
        </w:rPr>
        <w:t>Prepare and file with the Commission amendments and supplements to that Registration Statement and the prospectus used in connection with the Registration Statement as may be necessary to comply with the provisions of Applicable Securities Laws with respect to the disposition of all securities covered by the Registration Statement;</w:t>
      </w:r>
    </w:p>
    <w:p>
      <w:pPr>
        <w:spacing w:after="0" w:line="133" w:lineRule="exact"/>
        <w:rPr>
          <w:rFonts w:ascii="Arial" w:cs="Arial" w:eastAsia="Arial" w:hAnsi="Arial"/>
          <w:sz w:val="19"/>
          <w:szCs w:val="19"/>
          <w:color w:val="auto"/>
        </w:rPr>
      </w:pPr>
    </w:p>
    <w:p>
      <w:pPr>
        <w:jc w:val="both"/>
        <w:ind w:firstLine="872"/>
        <w:spacing w:after="0"/>
        <w:tabs>
          <w:tab w:leader="none" w:pos="1835" w:val="left"/>
        </w:tabs>
        <w:numPr>
          <w:ilvl w:val="0"/>
          <w:numId w:val="262"/>
        </w:numPr>
        <w:rPr>
          <w:rFonts w:ascii="Arial" w:cs="Arial" w:eastAsia="Arial" w:hAnsi="Arial"/>
          <w:sz w:val="22"/>
          <w:szCs w:val="22"/>
          <w:color w:val="auto"/>
        </w:rPr>
      </w:pPr>
      <w:r>
        <w:rPr>
          <w:rFonts w:ascii="Arial" w:cs="Arial" w:eastAsia="Arial" w:hAnsi="Arial"/>
          <w:sz w:val="22"/>
          <w:szCs w:val="22"/>
          <w:color w:val="auto"/>
        </w:rPr>
        <w:t>Furnish to the Holders the number of copies of a prospectus, including a preliminary prospectus, required by Applicable Securities Laws, and any other documents as they may reasonably request in order to facilitate the disposition of Registrable Securities owned by them;</w:t>
      </w:r>
    </w:p>
    <w:p>
      <w:pPr>
        <w:spacing w:after="0" w:line="186" w:lineRule="exact"/>
        <w:rPr>
          <w:rFonts w:ascii="Arial" w:cs="Arial" w:eastAsia="Arial" w:hAnsi="Arial"/>
          <w:sz w:val="22"/>
          <w:szCs w:val="22"/>
          <w:color w:val="auto"/>
        </w:rPr>
      </w:pPr>
    </w:p>
    <w:p>
      <w:pPr>
        <w:jc w:val="both"/>
        <w:ind w:firstLine="872"/>
        <w:spacing w:after="0" w:line="297" w:lineRule="auto"/>
        <w:tabs>
          <w:tab w:leader="none" w:pos="1823" w:val="left"/>
        </w:tabs>
        <w:numPr>
          <w:ilvl w:val="0"/>
          <w:numId w:val="262"/>
        </w:numPr>
        <w:rPr>
          <w:rFonts w:ascii="Arial" w:cs="Arial" w:eastAsia="Arial" w:hAnsi="Arial"/>
          <w:sz w:val="19"/>
          <w:szCs w:val="19"/>
          <w:color w:val="auto"/>
        </w:rPr>
      </w:pPr>
      <w:r>
        <w:rPr>
          <w:rFonts w:ascii="Arial" w:cs="Arial" w:eastAsia="Arial" w:hAnsi="Arial"/>
          <w:sz w:val="19"/>
          <w:szCs w:val="19"/>
          <w:color w:val="auto"/>
        </w:rPr>
        <w:t xml:space="preserve">Use its reasonable best efforts to Register and qualify the securities covered by the Registration Statement under the securities Laws of any jurisdiction, as reasonably requested by the Holders,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shall not be required to qualify to do business or file a general consent to service of process in any such jurisdiction;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6" w:name="page217"/>
    <w:bookmarkEnd w:id="216"/>
    <w:p>
      <w:pPr>
        <w:ind w:firstLine="872"/>
        <w:spacing w:after="0" w:line="251" w:lineRule="auto"/>
        <w:tabs>
          <w:tab w:leader="none" w:pos="1763" w:val="left"/>
        </w:tabs>
        <w:numPr>
          <w:ilvl w:val="0"/>
          <w:numId w:val="263"/>
        </w:numPr>
        <w:rPr>
          <w:rFonts w:ascii="Arial" w:cs="Arial" w:eastAsia="Arial" w:hAnsi="Arial"/>
          <w:sz w:val="22"/>
          <w:szCs w:val="22"/>
          <w:color w:val="auto"/>
        </w:rPr>
      </w:pPr>
      <w:r>
        <w:rPr>
          <w:rFonts w:ascii="Arial" w:cs="Arial" w:eastAsia="Arial" w:hAnsi="Arial"/>
          <w:sz w:val="22"/>
          <w:szCs w:val="22"/>
          <w:color w:val="auto"/>
        </w:rPr>
        <w:t>In the event of any underwritten public offering, enter into and perform its obligations under an underwriting agreement, in customary form, with the managing underwriter(s) of the offering;</w:t>
      </w:r>
    </w:p>
    <w:p>
      <w:pPr>
        <w:spacing w:after="0" w:line="173" w:lineRule="exact"/>
        <w:rPr>
          <w:rFonts w:ascii="Arial" w:cs="Arial" w:eastAsia="Arial" w:hAnsi="Arial"/>
          <w:sz w:val="22"/>
          <w:szCs w:val="22"/>
          <w:color w:val="auto"/>
        </w:rPr>
      </w:pPr>
    </w:p>
    <w:p>
      <w:pPr>
        <w:jc w:val="both"/>
        <w:ind w:firstLine="872"/>
        <w:spacing w:after="0" w:line="273" w:lineRule="auto"/>
        <w:tabs>
          <w:tab w:leader="none" w:pos="1823" w:val="left"/>
        </w:tabs>
        <w:numPr>
          <w:ilvl w:val="0"/>
          <w:numId w:val="263"/>
        </w:numPr>
        <w:rPr>
          <w:rFonts w:ascii="Arial" w:cs="Arial" w:eastAsia="Arial" w:hAnsi="Arial"/>
          <w:sz w:val="19"/>
          <w:szCs w:val="19"/>
          <w:color w:val="auto"/>
        </w:rPr>
      </w:pPr>
      <w:r>
        <w:rPr>
          <w:rFonts w:ascii="Arial" w:cs="Arial" w:eastAsia="Arial" w:hAnsi="Arial"/>
          <w:sz w:val="19"/>
          <w:szCs w:val="19"/>
          <w:color w:val="auto"/>
        </w:rPr>
        <w:t>Promptly notify each Holder of Registrable Securities covered by the Registration Statement at any time when a prospectus relating thereto is required to be delivered under Applicable Securities Laws of (a) the issuance of any stop order by the Commission, or (b) the happening of any event or the existence of any condition as a result of which any prospectus included in the Registration Statement, as then in effect, includes an untrue statement of a material fact or omits to state a material fact required to be stated therein or necessary to make the statements therein not misleading in the light of the circumstances under which they were made, or if in the opinion of counsel for the Company it is necessary to supplement or amend such prospectus to comply with law, and at the request of any such Holder promptly prepare and furnish to such Holder a reasonable number of copies of a supplement to or an amendment of such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light of the circumstances under which they were made or such prospectus, as supplemented or amended, shall comply with law;</w:t>
      </w:r>
    </w:p>
    <w:p>
      <w:pPr>
        <w:spacing w:after="0" w:line="155" w:lineRule="exact"/>
        <w:rPr>
          <w:rFonts w:ascii="Arial" w:cs="Arial" w:eastAsia="Arial" w:hAnsi="Arial"/>
          <w:sz w:val="19"/>
          <w:szCs w:val="19"/>
          <w:color w:val="auto"/>
        </w:rPr>
      </w:pPr>
    </w:p>
    <w:p>
      <w:pPr>
        <w:jc w:val="both"/>
        <w:ind w:firstLine="872"/>
        <w:spacing w:after="0" w:line="246" w:lineRule="auto"/>
        <w:tabs>
          <w:tab w:leader="none" w:pos="1883" w:val="left"/>
        </w:tabs>
        <w:numPr>
          <w:ilvl w:val="0"/>
          <w:numId w:val="263"/>
        </w:numPr>
        <w:rPr>
          <w:rFonts w:ascii="Arial" w:cs="Arial" w:eastAsia="Arial" w:hAnsi="Arial"/>
          <w:sz w:val="21"/>
          <w:szCs w:val="21"/>
          <w:color w:val="auto"/>
        </w:rPr>
      </w:pPr>
      <w:r>
        <w:rPr>
          <w:rFonts w:ascii="Arial" w:cs="Arial" w:eastAsia="Arial" w:hAnsi="Arial"/>
          <w:sz w:val="21"/>
          <w:szCs w:val="21"/>
          <w:color w:val="auto"/>
        </w:rPr>
        <w:t>Furnish, at the request of any Holder requesting Registration of Registrable Securities in an underwritten offering pursuant to this Agreement, on the date that such Registrable Securities are delivered for sale in connection with a Registration pursuant to this Agreement, (i) an opinion, dated the date of the sale, of the counsel representing the Company for the purposes of the Registration, in form and substance as is customarily given to underwriters in an underwritten public offering; and (ii) a comfort letter dated the date of the sale, from the independent certified public accountants of the Company, in form and substance as is customarily given by independent certified public accountants to underwriters in an underwritten public offering, addressed to the underwriters;</w:t>
      </w:r>
    </w:p>
    <w:p>
      <w:pPr>
        <w:spacing w:after="0" w:line="184" w:lineRule="exact"/>
        <w:rPr>
          <w:rFonts w:ascii="Arial" w:cs="Arial" w:eastAsia="Arial" w:hAnsi="Arial"/>
          <w:sz w:val="21"/>
          <w:szCs w:val="21"/>
          <w:color w:val="auto"/>
        </w:rPr>
      </w:pPr>
    </w:p>
    <w:p>
      <w:pPr>
        <w:jc w:val="both"/>
        <w:ind w:firstLine="872"/>
        <w:spacing w:after="0" w:line="234" w:lineRule="auto"/>
        <w:tabs>
          <w:tab w:leader="none" w:pos="1943" w:val="left"/>
        </w:tabs>
        <w:numPr>
          <w:ilvl w:val="0"/>
          <w:numId w:val="263"/>
        </w:numPr>
        <w:rPr>
          <w:rFonts w:ascii="Arial" w:cs="Arial" w:eastAsia="Arial" w:hAnsi="Arial"/>
          <w:sz w:val="22"/>
          <w:szCs w:val="22"/>
          <w:color w:val="auto"/>
        </w:rPr>
      </w:pPr>
      <w:r>
        <w:rPr>
          <w:rFonts w:ascii="Arial" w:cs="Arial" w:eastAsia="Arial" w:hAnsi="Arial"/>
          <w:sz w:val="22"/>
          <w:szCs w:val="22"/>
          <w:color w:val="auto"/>
        </w:rPr>
        <w:t>Otherwise comply with all applicable rules and regulations of the Commission to the extent applicable to the applicable registration statement and use its reasonable best efforts to make generally available to its security holders (or otherwise provide in accordance with Section 11(a) of the Securities Act) an earnings statement satisfying the provisions of Section 11(a) of the Act, no later than forty-five (45) days after the end of a twelve (12) month period (or ninety (90) days, if such period is a fiscal year) beginning with the first month of the Company’s first fiscal quarter commencing after the effective date of such registration statement, which statement shall cover such twelve (12) month period, subject to any proper and necessary extensions; and</w:t>
      </w:r>
    </w:p>
    <w:p>
      <w:pPr>
        <w:spacing w:after="0" w:line="190" w:lineRule="exact"/>
        <w:rPr>
          <w:rFonts w:ascii="Arial" w:cs="Arial" w:eastAsia="Arial" w:hAnsi="Arial"/>
          <w:sz w:val="22"/>
          <w:szCs w:val="22"/>
          <w:color w:val="auto"/>
        </w:rPr>
      </w:pPr>
    </w:p>
    <w:p>
      <w:pPr>
        <w:ind w:firstLine="872"/>
        <w:spacing w:after="0" w:line="250" w:lineRule="auto"/>
        <w:tabs>
          <w:tab w:leader="none" w:pos="1823" w:val="left"/>
        </w:tabs>
        <w:numPr>
          <w:ilvl w:val="0"/>
          <w:numId w:val="263"/>
        </w:numPr>
        <w:rPr>
          <w:rFonts w:ascii="Arial" w:cs="Arial" w:eastAsia="Arial" w:hAnsi="Arial"/>
          <w:sz w:val="22"/>
          <w:szCs w:val="22"/>
          <w:color w:val="auto"/>
        </w:rPr>
      </w:pPr>
      <w:r>
        <w:rPr>
          <w:rFonts w:ascii="Arial" w:cs="Arial" w:eastAsia="Arial" w:hAnsi="Arial"/>
          <w:sz w:val="22"/>
          <w:szCs w:val="22"/>
          <w:color w:val="auto"/>
        </w:rPr>
        <w:t>Take all reasonable action necessary to list the Registrable Securities on the primary exchange on which the Company’s securities are then traded.</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4.2. Information from Holder</w:t>
      </w:r>
      <w:r>
        <w:rPr>
          <w:rFonts w:ascii="Arial" w:cs="Arial" w:eastAsia="Arial" w:hAnsi="Arial"/>
          <w:sz w:val="21"/>
          <w:szCs w:val="21"/>
          <w:color w:val="auto"/>
        </w:rPr>
        <w:t>. It shall be a condition precedent to the obligations of the Company to take any action</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this Agreement with 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 Securities.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7" w:name="page218"/>
    <w:bookmarkEnd w:id="217"/>
    <w:p>
      <w:pPr>
        <w:jc w:val="both"/>
        <w:spacing w:after="0" w:line="280" w:lineRule="auto"/>
        <w:rPr>
          <w:sz w:val="20"/>
          <w:szCs w:val="20"/>
          <w:color w:val="auto"/>
        </w:rPr>
      </w:pPr>
      <w:r>
        <w:rPr>
          <w:rFonts w:ascii="Arial" w:cs="Arial" w:eastAsia="Arial" w:hAnsi="Arial"/>
          <w:sz w:val="19"/>
          <w:szCs w:val="19"/>
          <w:b w:val="1"/>
          <w:bCs w:val="1"/>
          <w:color w:val="auto"/>
        </w:rPr>
        <w:t>4.3. Expenses of Registration</w:t>
      </w:r>
      <w:r>
        <w:rPr>
          <w:rFonts w:ascii="Arial" w:cs="Arial" w:eastAsia="Arial" w:hAnsi="Arial"/>
          <w:sz w:val="19"/>
          <w:szCs w:val="19"/>
          <w:color w:val="auto"/>
        </w:rPr>
        <w:t>. All expenses, other than the underwriting discounts and selling commissions applicable to</w:t>
      </w:r>
      <w:r>
        <w:rPr>
          <w:rFonts w:ascii="Arial" w:cs="Arial" w:eastAsia="Arial" w:hAnsi="Arial"/>
          <w:sz w:val="19"/>
          <w:szCs w:val="19"/>
          <w:b w:val="1"/>
          <w:bCs w:val="1"/>
          <w:color w:val="auto"/>
        </w:rPr>
        <w:t xml:space="preserve"> </w:t>
      </w:r>
      <w:r>
        <w:rPr>
          <w:rFonts w:ascii="Arial" w:cs="Arial" w:eastAsia="Arial" w:hAnsi="Arial"/>
          <w:sz w:val="19"/>
          <w:szCs w:val="19"/>
          <w:color w:val="auto"/>
        </w:rPr>
        <w:t>the sale of Registrable Securities pursuant to this Agreement (which shall be borne by the Holders requesting Registration on a pro rata basis in proportion to their respective numbers of Registrable Securities sold in such Registration), incurred in connection with Registrations, filings or qualifications pursuant to this Agreement, including (without 1imitation) all Registration, filing and qualification fees, printers’ and accounting fees, professional fees and disbursements of counsel for the Company and reasonable fees and disbursement of one counsel for all selling Holders, shall be borne by the Company.</w:t>
      </w:r>
    </w:p>
    <w:p>
      <w:pPr>
        <w:spacing w:after="0" w:line="145" w:lineRule="exact"/>
        <w:rPr>
          <w:sz w:val="20"/>
          <w:szCs w:val="20"/>
          <w:color w:val="auto"/>
        </w:rPr>
      </w:pPr>
    </w:p>
    <w:p>
      <w:pPr>
        <w:ind w:left="860" w:hanging="852"/>
        <w:spacing w:after="0"/>
        <w:tabs>
          <w:tab w:leader="none" w:pos="860" w:val="left"/>
        </w:tabs>
        <w:numPr>
          <w:ilvl w:val="0"/>
          <w:numId w:val="2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Registration-Related Indemnification.</w:t>
      </w:r>
    </w:p>
    <w:p>
      <w:pPr>
        <w:spacing w:after="0" w:line="212" w:lineRule="exact"/>
        <w:rPr>
          <w:rFonts w:ascii="Arial" w:cs="Arial" w:eastAsia="Arial" w:hAnsi="Arial"/>
          <w:sz w:val="22"/>
          <w:szCs w:val="22"/>
          <w:b w:val="1"/>
          <w:bCs w:val="1"/>
          <w:color w:val="auto"/>
        </w:rPr>
      </w:pPr>
    </w:p>
    <w:p>
      <w:pPr>
        <w:ind w:left="980" w:hanging="972"/>
        <w:spacing w:after="0"/>
        <w:tabs>
          <w:tab w:leader="none" w:pos="980" w:val="left"/>
        </w:tabs>
        <w:numPr>
          <w:ilvl w:val="0"/>
          <w:numId w:val="265"/>
        </w:numPr>
        <w:rPr>
          <w:rFonts w:ascii="Arial" w:cs="Arial" w:eastAsia="Arial" w:hAnsi="Arial"/>
          <w:sz w:val="22"/>
          <w:szCs w:val="22"/>
          <w:b w:val="1"/>
          <w:bCs w:val="1"/>
          <w:color w:val="auto"/>
        </w:rPr>
      </w:pPr>
      <w:r>
        <w:rPr>
          <w:rFonts w:ascii="Arial" w:cs="Arial" w:eastAsia="Arial" w:hAnsi="Arial"/>
          <w:sz w:val="22"/>
          <w:szCs w:val="22"/>
          <w:color w:val="auto"/>
        </w:rPr>
        <w:t>Company Indemnity.</w:t>
      </w:r>
    </w:p>
    <w:p>
      <w:pPr>
        <w:spacing w:after="0" w:line="206" w:lineRule="exact"/>
        <w:rPr>
          <w:rFonts w:ascii="Arial" w:cs="Arial" w:eastAsia="Arial" w:hAnsi="Arial"/>
          <w:sz w:val="22"/>
          <w:szCs w:val="22"/>
          <w:b w:val="1"/>
          <w:bCs w:val="1"/>
          <w:color w:val="auto"/>
        </w:rPr>
      </w:pPr>
    </w:p>
    <w:p>
      <w:pPr>
        <w:jc w:val="both"/>
        <w:ind w:firstLine="872"/>
        <w:spacing w:after="0" w:line="272" w:lineRule="auto"/>
        <w:tabs>
          <w:tab w:leader="none" w:pos="1715" w:val="left"/>
        </w:tabs>
        <w:numPr>
          <w:ilvl w:val="1"/>
          <w:numId w:val="265"/>
        </w:numPr>
        <w:rPr>
          <w:rFonts w:ascii="Arial" w:cs="Arial" w:eastAsia="Arial" w:hAnsi="Arial"/>
          <w:sz w:val="19"/>
          <w:szCs w:val="19"/>
          <w:color w:val="auto"/>
        </w:rPr>
      </w:pPr>
      <w:r>
        <w:rPr>
          <w:rFonts w:ascii="Arial" w:cs="Arial" w:eastAsia="Arial" w:hAnsi="Arial"/>
          <w:sz w:val="19"/>
          <w:szCs w:val="19"/>
          <w:color w:val="auto"/>
        </w:rPr>
        <w:t>To the maximum extent permitted by Law, the Company will indemnify and hold harmless each Holder, such Holder’s officers, directors, any underwriter (as defined in the Securities Act) and each Person, if any, who controls (as defined in the Securities Act) such Holder or underwriter, against any losses, claims, damages or liabilities(joint or several) to which they may become subject under Laws which are applicable to the Company and relate to action or inaction required of the Company in connection with any Registration, qualification, or compliance, insofar as such losses, claims, damages, or liabilities (or actions in respect thereof) arise out of or are based upon any of the following statements, omissions or violations (each a “</w:t>
      </w:r>
      <w:r>
        <w:rPr>
          <w:rFonts w:ascii="Arial" w:cs="Arial" w:eastAsia="Arial" w:hAnsi="Arial"/>
          <w:sz w:val="19"/>
          <w:szCs w:val="19"/>
          <w:b w:val="1"/>
          <w:bCs w:val="1"/>
          <w:color w:val="auto"/>
        </w:rPr>
        <w:t>Violation</w:t>
      </w:r>
      <w:r>
        <w:rPr>
          <w:rFonts w:ascii="Arial" w:cs="Arial" w:eastAsia="Arial" w:hAnsi="Arial"/>
          <w:sz w:val="19"/>
          <w:szCs w:val="19"/>
          <w:color w:val="auto"/>
        </w:rPr>
        <w:t>”): (a) any untrue statement of a material fact contained in such Registration Statement, on the effective date thereof (including any preliminary prospectus or final prospectus contained therein or any amendments or supplements thereto), or (b)the omission to state in the Registration Statement, on the effective date thereof (including any preliminary prospectus or final prospectus contained therein or any amendments or supplements thereto), a material fact required to be stated therein or necessary to make the statements therein not misleading. The Company will reimburse each such Holder, underwriter or controlling person for any legal or other expenses reasonably incurred by them in connection with investigating or defending any such loss, claim, damage, liability or action.</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872"/>
        <w:spacing w:after="0" w:line="273" w:lineRule="auto"/>
        <w:tabs>
          <w:tab w:leader="none" w:pos="1775" w:val="left"/>
        </w:tabs>
        <w:numPr>
          <w:ilvl w:val="1"/>
          <w:numId w:val="265"/>
        </w:numPr>
        <w:rPr>
          <w:rFonts w:ascii="Arial" w:cs="Arial" w:eastAsia="Arial" w:hAnsi="Arial"/>
          <w:sz w:val="19"/>
          <w:szCs w:val="19"/>
          <w:color w:val="auto"/>
        </w:rPr>
      </w:pPr>
      <w:r>
        <w:rPr>
          <w:rFonts w:ascii="Arial" w:cs="Arial" w:eastAsia="Arial" w:hAnsi="Arial"/>
          <w:sz w:val="19"/>
          <w:szCs w:val="19"/>
          <w:color w:val="auto"/>
        </w:rPr>
        <w:t xml:space="preserve">The indemnity agreement contained in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shall not apply to amounts paid in settlement of any such loss, claim, damage, liability or action if such settlement is effected without the consent of the Company (which consent shall not be unreasonably withheld or delayed), nor shall the Company be liable in any such case for any such loss, claim, damage, liability or action to the extent that it arises solely out of or is solely based upon a Violation that occurs in reliance upon and in conformity with written information furnished for use in connection with such Registration by any such Holder, underwriter or controlling person. Further, the foregoing indemnity agreement with respect to any preliminary prospectus shall not inure to the benefit of any Holder or other aforementioned person, or any person controlling such Holder, from whom the person asserting any such losses, claims, damages or liabilities purchased shares in the offering, if a copy of the most current prospectus was not sent or given by or on behalf of such Holder or other aforementioned person to such person, if required by Law to have been so delivered, at or prior to the written confirmation of the sale of the shares to such person, and if the prospectus (as so amended or supplemented) would have cured the defect giving rise to such loss, claim, damage or liability.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8" w:name="page219"/>
    <w:bookmarkEnd w:id="218"/>
    <w:p>
      <w:pPr>
        <w:spacing w:after="0"/>
        <w:tabs>
          <w:tab w:leader="none" w:pos="96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Holder Indemnity.</w:t>
      </w:r>
    </w:p>
    <w:p>
      <w:pPr>
        <w:spacing w:after="0" w:line="213" w:lineRule="exact"/>
        <w:rPr>
          <w:sz w:val="20"/>
          <w:szCs w:val="20"/>
          <w:color w:val="auto"/>
        </w:rPr>
      </w:pPr>
    </w:p>
    <w:p>
      <w:pPr>
        <w:jc w:val="both"/>
        <w:ind w:firstLine="872"/>
        <w:spacing w:after="0" w:line="244" w:lineRule="auto"/>
        <w:tabs>
          <w:tab w:leader="none" w:pos="1715" w:val="left"/>
        </w:tabs>
        <w:numPr>
          <w:ilvl w:val="0"/>
          <w:numId w:val="266"/>
        </w:numPr>
        <w:rPr>
          <w:rFonts w:ascii="Arial" w:cs="Arial" w:eastAsia="Arial" w:hAnsi="Arial"/>
          <w:sz w:val="21"/>
          <w:szCs w:val="21"/>
          <w:color w:val="auto"/>
        </w:rPr>
      </w:pPr>
      <w:r>
        <w:rPr>
          <w:rFonts w:ascii="Arial" w:cs="Arial" w:eastAsia="Arial" w:hAnsi="Arial"/>
          <w:sz w:val="21"/>
          <w:szCs w:val="21"/>
          <w:color w:val="auto"/>
        </w:rPr>
        <w:t xml:space="preserve">To the maximum extent permitted by Law, each selling Holder that has included Registrable Securities in a Registration will, severally and not jointly, indemnify and hold harmless the Company, its directors, officers, any underwriter, any other Holder selling securities in connection with such Registration and each Person, if any, who controls (within the meaning of the Securities Act) the Company, such underwriter or other Holder, against any losses, claims, damages or liabilities (joint or several) to which any of the foregoing persons may become subject, under Applicable Securities Laws, or any rule or regulation promulgated under Applicable Securities Laws,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for use in connection with such Registration; and each such Holder will reimburse any Person intended to be indemnified pursuant to this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for any legal or other expenses reasonably incurred by such Person in connection with investigating or defending any such loss, claim, damage, liability or action.</w:t>
      </w:r>
    </w:p>
    <w:p>
      <w:pPr>
        <w:spacing w:after="0" w:line="188" w:lineRule="exact"/>
        <w:rPr>
          <w:rFonts w:ascii="Arial" w:cs="Arial" w:eastAsia="Arial" w:hAnsi="Arial"/>
          <w:sz w:val="21"/>
          <w:szCs w:val="21"/>
          <w:color w:val="auto"/>
        </w:rPr>
      </w:pPr>
    </w:p>
    <w:p>
      <w:pPr>
        <w:jc w:val="both"/>
        <w:ind w:firstLine="872"/>
        <w:spacing w:after="0"/>
        <w:tabs>
          <w:tab w:leader="none" w:pos="1775" w:val="left"/>
        </w:tabs>
        <w:numPr>
          <w:ilvl w:val="0"/>
          <w:numId w:val="266"/>
        </w:numPr>
        <w:rPr>
          <w:rFonts w:ascii="Arial" w:cs="Arial" w:eastAsia="Arial" w:hAnsi="Arial"/>
          <w:sz w:val="22"/>
          <w:szCs w:val="22"/>
          <w:color w:val="auto"/>
        </w:rPr>
      </w:pPr>
      <w:r>
        <w:rPr>
          <w:rFonts w:ascii="Arial" w:cs="Arial" w:eastAsia="Arial" w:hAnsi="Arial"/>
          <w:sz w:val="22"/>
          <w:szCs w:val="22"/>
          <w:color w:val="auto"/>
        </w:rPr>
        <w:t xml:space="preserve">The indemnity contained in this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shall not apply to amounts paid in settlement of any such loss, claim, damage, liability or action if such settlement is effected without the consent of the Holder (which consent shall not be unreasonably withheld or delayed).</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5.3. Notice of indemnification Claim</w:t>
      </w:r>
      <w:r>
        <w:rPr>
          <w:rFonts w:ascii="Arial" w:cs="Arial" w:eastAsia="Arial" w:hAnsi="Arial"/>
          <w:sz w:val="19"/>
          <w:szCs w:val="19"/>
          <w:color w:val="auto"/>
        </w:rPr>
        <w:t>. Promptly after receipt by an indemnified party under or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5.1</w:t>
      </w:r>
      <w:r>
        <w:rPr>
          <w:rFonts w:ascii="Arial" w:cs="Arial" w:eastAsia="Arial" w:hAnsi="Arial"/>
          <w:sz w:val="19"/>
          <w:szCs w:val="19"/>
          <w:b w:val="1"/>
          <w:bCs w:val="1"/>
          <w:color w:val="auto"/>
        </w:rPr>
        <w:t xml:space="preserve"> </w:t>
      </w:r>
      <w:r>
        <w:rPr>
          <w:rFonts w:ascii="Arial" w:cs="Arial" w:eastAsia="Arial" w:hAnsi="Arial"/>
          <w:sz w:val="19"/>
          <w:szCs w:val="19"/>
          <w:color w:val="auto"/>
        </w:rPr>
        <w:t>or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5.2</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notice of the commencement of any action (including any governmental action), such indemnified party will, if a claim in respect thereof is to be made against any indemnifying party under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indemnifying parties. An indemnified party (together with all other indemnified parties that may be represented without conflict by one counsel) shall have the right to retain one separate counsel, with the reasonably incurred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to the extent so prejudiced, of any liability to the indemnified party under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but the omission to deliver written notice to the indemnifying party will not relieve it of any liability that it may have to any indemnified party otherwise than under this </w:t>
      </w:r>
      <w:r>
        <w:rPr>
          <w:rFonts w:ascii="Arial" w:cs="Arial" w:eastAsia="Arial" w:hAnsi="Arial"/>
          <w:sz w:val="19"/>
          <w:szCs w:val="19"/>
          <w:u w:val="single" w:color="auto"/>
          <w:color w:val="auto"/>
        </w:rPr>
        <w:t>Section 5</w:t>
      </w:r>
      <w:r>
        <w:rPr>
          <w:rFonts w:ascii="Arial" w:cs="Arial" w:eastAsia="Arial" w:hAnsi="Arial"/>
          <w:sz w:val="19"/>
          <w:szCs w:val="19"/>
          <w:color w:val="auto"/>
        </w:rPr>
        <w:t>.</w:t>
      </w:r>
    </w:p>
    <w:p>
      <w:pPr>
        <w:spacing w:after="0" w:line="39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5.4. Contribution</w:t>
      </w:r>
      <w:r>
        <w:rPr>
          <w:rFonts w:ascii="Arial" w:cs="Arial" w:eastAsia="Arial" w:hAnsi="Arial"/>
          <w:sz w:val="22"/>
          <w:szCs w:val="22"/>
          <w:color w:val="auto"/>
        </w:rPr>
        <w:t>. If any indemnification provided for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5.1</w:t>
      </w:r>
      <w:r>
        <w:rPr>
          <w:rFonts w:ascii="Arial" w:cs="Arial" w:eastAsia="Arial" w:hAnsi="Arial"/>
          <w:sz w:val="22"/>
          <w:szCs w:val="22"/>
          <w:b w:val="1"/>
          <w:bCs w:val="1"/>
          <w:color w:val="auto"/>
        </w:rPr>
        <w:t xml:space="preserve"> </w:t>
      </w:r>
      <w:r>
        <w:rPr>
          <w:rFonts w:ascii="Arial" w:cs="Arial" w:eastAsia="Arial" w:hAnsi="Arial"/>
          <w:sz w:val="22"/>
          <w:szCs w:val="22"/>
          <w:color w:val="auto"/>
        </w:rPr>
        <w:t>or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5.2</w:t>
      </w:r>
      <w:r>
        <w:rPr>
          <w:rFonts w:ascii="Arial" w:cs="Arial" w:eastAsia="Arial" w:hAnsi="Arial"/>
          <w:sz w:val="22"/>
          <w:szCs w:val="22"/>
          <w:b w:val="1"/>
          <w:bCs w:val="1"/>
          <w:color w:val="auto"/>
        </w:rPr>
        <w:t xml:space="preserve"> </w:t>
      </w:r>
      <w:r>
        <w:rPr>
          <w:rFonts w:ascii="Arial" w:cs="Arial" w:eastAsia="Arial" w:hAnsi="Arial"/>
          <w:sz w:val="22"/>
          <w:szCs w:val="22"/>
          <w:color w:val="auto"/>
        </w:rPr>
        <w:t>is held by a court of competent</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to be unavailable to an indemnified party with respect to any loss, liability, claim, damage or expense referred to herein,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9" w:name="page220"/>
    <w:bookmarkEnd w:id="219"/>
    <w:p>
      <w:pPr>
        <w:jc w:val="both"/>
        <w:spacing w:after="0" w:line="236" w:lineRule="auto"/>
        <w:rPr>
          <w:sz w:val="20"/>
          <w:szCs w:val="20"/>
          <w:color w:val="auto"/>
        </w:rPr>
      </w:pPr>
      <w:r>
        <w:rPr>
          <w:rFonts w:ascii="Arial" w:cs="Arial" w:eastAsia="Arial" w:hAnsi="Arial"/>
          <w:sz w:val="22"/>
          <w:szCs w:val="22"/>
          <w:color w:val="auto"/>
        </w:rPr>
        <w:t>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5.5. Underwriting Agreement</w:t>
      </w:r>
      <w:r>
        <w:rPr>
          <w:rFonts w:ascii="Arial" w:cs="Arial" w:eastAsia="Arial" w:hAnsi="Arial"/>
          <w:sz w:val="22"/>
          <w:szCs w:val="22"/>
          <w:color w:val="auto"/>
        </w:rPr>
        <w:t>. To the extent that the provisions on indemnification and contribution contained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underwriting agreement entered into in connection with the underwritten public offering are in conflict with the foregoing provisions, the provisions in the underwriting agreement shall control.</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5.6. Survival</w:t>
      </w:r>
      <w:r>
        <w:rPr>
          <w:rFonts w:ascii="Arial" w:cs="Arial" w:eastAsia="Arial" w:hAnsi="Arial"/>
          <w:sz w:val="22"/>
          <w:szCs w:val="22"/>
          <w:color w:val="auto"/>
        </w:rPr>
        <w:t>. The obligations of the Company and Holders under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w:t>
      </w:r>
      <w:r>
        <w:rPr>
          <w:rFonts w:ascii="Arial" w:cs="Arial" w:eastAsia="Arial" w:hAnsi="Arial"/>
          <w:sz w:val="22"/>
          <w:szCs w:val="22"/>
          <w:b w:val="1"/>
          <w:bCs w:val="1"/>
          <w:color w:val="auto"/>
        </w:rPr>
        <w:t xml:space="preserve"> </w:t>
      </w:r>
      <w:r>
        <w:rPr>
          <w:rFonts w:ascii="Arial" w:cs="Arial" w:eastAsia="Arial" w:hAnsi="Arial"/>
          <w:sz w:val="22"/>
          <w:szCs w:val="22"/>
          <w:color w:val="auto"/>
        </w:rPr>
        <w:t>shall survive the completion of any</w:t>
      </w:r>
      <w:r>
        <w:rPr>
          <w:rFonts w:ascii="Arial" w:cs="Arial" w:eastAsia="Arial" w:hAnsi="Arial"/>
          <w:sz w:val="22"/>
          <w:szCs w:val="22"/>
          <w:b w:val="1"/>
          <w:bCs w:val="1"/>
          <w:color w:val="auto"/>
        </w:rPr>
        <w:t xml:space="preserve"> </w:t>
      </w:r>
      <w:r>
        <w:rPr>
          <w:rFonts w:ascii="Arial" w:cs="Arial" w:eastAsia="Arial" w:hAnsi="Arial"/>
          <w:sz w:val="22"/>
          <w:szCs w:val="22"/>
          <w:color w:val="auto"/>
        </w:rPr>
        <w:t>offering of Registrable Securities in a Registration Statement under this Agreement.</w:t>
      </w:r>
    </w:p>
    <w:p>
      <w:pPr>
        <w:spacing w:after="0" w:line="162" w:lineRule="exact"/>
        <w:rPr>
          <w:sz w:val="20"/>
          <w:szCs w:val="20"/>
          <w:color w:val="auto"/>
        </w:rPr>
      </w:pPr>
    </w:p>
    <w:p>
      <w:pPr>
        <w:ind w:left="860" w:hanging="852"/>
        <w:spacing w:after="0"/>
        <w:tabs>
          <w:tab w:leader="none" w:pos="860" w:val="left"/>
        </w:tabs>
        <w:numPr>
          <w:ilvl w:val="0"/>
          <w:numId w:val="2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Registration-Related Undertakings.</w:t>
      </w:r>
    </w:p>
    <w:p>
      <w:pPr>
        <w:spacing w:after="0" w:line="20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6.1. Reports under the Exchange Act</w:t>
      </w:r>
      <w:r>
        <w:rPr>
          <w:rFonts w:ascii="Arial" w:cs="Arial" w:eastAsia="Arial" w:hAnsi="Arial"/>
          <w:sz w:val="19"/>
          <w:szCs w:val="19"/>
          <w:color w:val="auto"/>
        </w:rPr>
        <w:t>. Where necessary and with a view to making available to the Holders the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of Rule 144 promulgated under the Securities Act and any comparable provision of any Applicable Securities Laws that may at any time permit a Holder to sell securities of the Company to the public without Registration or pursuant to a Registration on Form F-3 or Form S-3 (or any comparable form in a jurisdiction other than the United States), the Company agrees to:</w:t>
      </w:r>
    </w:p>
    <w:p>
      <w:pPr>
        <w:spacing w:after="0" w:line="142" w:lineRule="exact"/>
        <w:rPr>
          <w:sz w:val="20"/>
          <w:szCs w:val="20"/>
          <w:color w:val="auto"/>
        </w:rPr>
      </w:pPr>
    </w:p>
    <w:p>
      <w:pPr>
        <w:jc w:val="both"/>
        <w:ind w:firstLine="872"/>
        <w:spacing w:after="0" w:line="238" w:lineRule="auto"/>
        <w:tabs>
          <w:tab w:leader="none" w:pos="1715" w:val="left"/>
        </w:tabs>
        <w:numPr>
          <w:ilvl w:val="0"/>
          <w:numId w:val="268"/>
        </w:numPr>
        <w:rPr>
          <w:rFonts w:ascii="Arial" w:cs="Arial" w:eastAsia="Arial" w:hAnsi="Arial"/>
          <w:sz w:val="22"/>
          <w:szCs w:val="22"/>
          <w:color w:val="auto"/>
        </w:rPr>
      </w:pPr>
      <w:r>
        <w:rPr>
          <w:rFonts w:ascii="Arial" w:cs="Arial" w:eastAsia="Arial" w:hAnsi="Arial"/>
          <w:sz w:val="22"/>
          <w:szCs w:val="22"/>
          <w:color w:val="auto"/>
        </w:rPr>
        <w:t>make and keep public information available, as those terms are understood and defined in Rule 144 (or comparable provision, if any, under Applicable Securities Laws in any jurisdiction where the Company’s securities are listed), at all times following ninety (90) days after any Registration Statement covering securities of the Company shall have become effective;</w:t>
      </w:r>
    </w:p>
    <w:p>
      <w:pPr>
        <w:spacing w:after="0" w:line="184" w:lineRule="exact"/>
        <w:rPr>
          <w:rFonts w:ascii="Arial" w:cs="Arial" w:eastAsia="Arial" w:hAnsi="Arial"/>
          <w:sz w:val="22"/>
          <w:szCs w:val="22"/>
          <w:color w:val="auto"/>
        </w:rPr>
      </w:pPr>
    </w:p>
    <w:p>
      <w:pPr>
        <w:ind w:firstLine="872"/>
        <w:spacing w:after="0" w:line="250" w:lineRule="auto"/>
        <w:tabs>
          <w:tab w:leader="none" w:pos="1775" w:val="left"/>
        </w:tabs>
        <w:numPr>
          <w:ilvl w:val="0"/>
          <w:numId w:val="268"/>
        </w:numPr>
        <w:rPr>
          <w:rFonts w:ascii="Arial" w:cs="Arial" w:eastAsia="Arial" w:hAnsi="Arial"/>
          <w:sz w:val="22"/>
          <w:szCs w:val="22"/>
          <w:color w:val="auto"/>
        </w:rPr>
      </w:pPr>
      <w:r>
        <w:rPr>
          <w:rFonts w:ascii="Arial" w:cs="Arial" w:eastAsia="Arial" w:hAnsi="Arial"/>
          <w:sz w:val="22"/>
          <w:szCs w:val="22"/>
          <w:color w:val="auto"/>
        </w:rPr>
        <w:t>file with the Commission in a timely manner all reports and other documents required of the Company under all Applicable Securities Laws; and</w:t>
      </w:r>
    </w:p>
    <w:p>
      <w:pPr>
        <w:spacing w:after="0" w:line="174" w:lineRule="exact"/>
        <w:rPr>
          <w:rFonts w:ascii="Arial" w:cs="Arial" w:eastAsia="Arial" w:hAnsi="Arial"/>
          <w:sz w:val="22"/>
          <w:szCs w:val="22"/>
          <w:color w:val="auto"/>
        </w:rPr>
      </w:pPr>
    </w:p>
    <w:p>
      <w:pPr>
        <w:jc w:val="both"/>
        <w:ind w:firstLine="872"/>
        <w:spacing w:after="0" w:line="273" w:lineRule="auto"/>
        <w:tabs>
          <w:tab w:leader="none" w:pos="1835" w:val="left"/>
        </w:tabs>
        <w:numPr>
          <w:ilvl w:val="0"/>
          <w:numId w:val="268"/>
        </w:numPr>
        <w:rPr>
          <w:rFonts w:ascii="Arial" w:cs="Arial" w:eastAsia="Arial" w:hAnsi="Arial"/>
          <w:sz w:val="19"/>
          <w:szCs w:val="19"/>
          <w:color w:val="auto"/>
        </w:rPr>
      </w:pPr>
      <w:r>
        <w:rPr>
          <w:rFonts w:ascii="Arial" w:cs="Arial" w:eastAsia="Arial" w:hAnsi="Arial"/>
          <w:sz w:val="19"/>
          <w:szCs w:val="19"/>
          <w:color w:val="auto"/>
        </w:rPr>
        <w:t xml:space="preserve">at any time following ninety (90) days after any Registration Statement covering securities of the Company shall have become effective, promptly furnish to any Holder holding Registrable Securities, upon request (a) a written statement by the Company that it has complied with the reporting requirements of all Applicable Securities Laws at any time after it has become subject to such reporting requirements or, at any time after so qualified, that it qualifies as a registrant whose securities may be resold pursuant to Form F-3 or Form S-3 (or any form comparable thereto under Applicable Securities Laws of any jurisdiction where the Company’s securities are listed), (b) a copy of the most recent annual or quarterly report of the Company and such other reports and documents as filed by the Company with the Commission, and (c) such other information as may be reasonably requested in availing any Holder of any rule or regulation of the Commission, that permits the selling of any such securities without Registration or pursuant to Form F-3 or Form S-3 (or any form comparable thereto under Applicable Securities Laws of any jurisdiction where the Company’s Securities are listed);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be required to furnish to any Holder any document that is publicly available at the time of such request.</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6.2. Limitations on Subsequent Registration Rights</w:t>
      </w:r>
      <w:r>
        <w:rPr>
          <w:rFonts w:ascii="Arial" w:cs="Arial" w:eastAsia="Arial" w:hAnsi="Arial"/>
          <w:sz w:val="22"/>
          <w:szCs w:val="22"/>
          <w:color w:val="auto"/>
        </w:rPr>
        <w:t>. From and after the date of this Agreement, the Company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the prior written consent of a Majority-in-Interest of the Holders, enter into any agreement with any holder or prospective holder of any securities of the Company giving such holder or prospective holder any registration rights the terms of which are more favorable taken as a whole than the registration rights granted to the Holders unless the Company shall also give such rights to the Holders.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6.3. “Market Stand-Off” Agreement</w:t>
      </w:r>
      <w:r>
        <w:rPr>
          <w:rFonts w:ascii="Arial" w:cs="Arial" w:eastAsia="Arial" w:hAnsi="Arial"/>
          <w:sz w:val="19"/>
          <w:szCs w:val="19"/>
          <w:color w:val="auto"/>
        </w:rPr>
        <w:t>. Each Holder agrees, if so required by the managing underwriter(s), that it will not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during the period commencing on the date of the final prospectus relating to an underwritten offering and ending on the date specified by the Company and the managing underwriter (such period not to exceed ninety (90) days from the date of such final prospectus) (i) lend, offer, pledge, hypothecate, hedge, sell, make any short sale of, loan, contract to sell, sell any option or contract to purchase, purchase any option or contract to sell, grant any option, right or warrant to purchase, or otherwise transfer or dispose of, directly or indirectly, any Equity Securities (other than those included in such offering) or (ii) enter into any swap or other arrangement that transfers to another, in whole or in part, any of the economic consequences of ownership of the Equity Securities, whether any such transaction described in clause (i) or (ii) above is to be settled by delivery of Equity Securities or such other securities, in cash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all directors, officers and all other holders of at least one percent (1%) of the outstanding share capital of the Company must be bound by restrictions at least as restrictive as those applicable to any such holder pursuant to this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(y) this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shall not apply to the extent that any other members of the Company subject to substantially similar restrictions are released, and (z) the lockup agreements shall permit such holders to transfer their Registrable Securities to their respective Affiliates so long as the transferee enters into the same lockup agreement. The underwriters in connection with the underwritten offering are intended third party beneficiaries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6.3</w:t>
      </w:r>
      <w:r>
        <w:rPr>
          <w:rFonts w:ascii="Arial" w:cs="Arial" w:eastAsia="Arial" w:hAnsi="Arial"/>
          <w:sz w:val="19"/>
          <w:szCs w:val="19"/>
          <w:color w:val="auto"/>
        </w:rPr>
        <w:t xml:space="preserve"> and shall have the right, power and authority to enforce the provisions hereof as though they were a party hereto. In order to enforce the foregoing covenant, the Company may place restrictive legends on the certificates and impose stop-transfer instructions with respect to the Registrable Securities of each shareholder (and the shares or securities of every other person subject to the foregoing restriction) until the end of such period.</w:t>
      </w:r>
    </w:p>
    <w:p>
      <w:pPr>
        <w:spacing w:after="0" w:line="396"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6.4. Termination</w:t>
      </w:r>
      <w:r>
        <w:rPr>
          <w:rFonts w:ascii="Arial" w:cs="Arial" w:eastAsia="Arial" w:hAnsi="Arial"/>
          <w:sz w:val="19"/>
          <w:szCs w:val="19"/>
          <w:color w:val="auto"/>
        </w:rPr>
        <w:t>. The registration rights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w:t>
      </w:r>
      <w:r>
        <w:rPr>
          <w:rFonts w:ascii="Arial" w:cs="Arial" w:eastAsia="Arial" w:hAnsi="Arial"/>
          <w:sz w:val="19"/>
          <w:szCs w:val="19"/>
          <w:b w:val="1"/>
          <w:bCs w:val="1"/>
          <w:color w:val="auto"/>
        </w:rPr>
        <w:t xml:space="preserve"> </w:t>
      </w:r>
      <w:r>
        <w:rPr>
          <w:rFonts w:ascii="Arial" w:cs="Arial" w:eastAsia="Arial" w:hAnsi="Arial"/>
          <w:sz w:val="19"/>
          <w:szCs w:val="19"/>
          <w:color w:val="auto"/>
        </w:rPr>
        <w:t>and</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Agreement shall terminate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respect to any Holder, the date on which such Holder and its permitted transferee hold less than five percent (5%) of the voting power of the then outstanding Shares. This Agreement shall terminate with respect to any Holder when (a) such Holder no longer holds any Registrable Securities and (b) the Company is no longer obligated to take any action at the request of such Holder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provided that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of this Agreement shall survive any such termination.</w:t>
      </w:r>
    </w:p>
    <w:p>
      <w:pPr>
        <w:spacing w:after="0" w:line="14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6.5. Exercise of Ordinary Share Equivalents. </w:t>
      </w:r>
      <w:r>
        <w:rPr>
          <w:rFonts w:ascii="Arial" w:cs="Arial" w:eastAsia="Arial" w:hAnsi="Arial"/>
          <w:sz w:val="22"/>
          <w:szCs w:val="22"/>
          <w:color w:val="auto"/>
        </w:rPr>
        <w:t>Notwithstanding anything to the contrary provided in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shall have no obligation to Register Registrable Securities which, if constituting Ordinary Share Equivalents, have not been exercised, converted or exchanged, as applicable, for Ordinary Shares.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1" w:name="page222"/>
    <w:bookmarkEnd w:id="221"/>
    <w:p>
      <w:pPr>
        <w:ind w:left="860" w:hanging="852"/>
        <w:spacing w:after="0"/>
        <w:tabs>
          <w:tab w:leader="none" w:pos="860" w:val="left"/>
        </w:tabs>
        <w:numPr>
          <w:ilvl w:val="0"/>
          <w:numId w:val="2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p>
    <w:p>
      <w:pPr>
        <w:spacing w:after="0" w:line="207"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7.1. Further Assurances</w:t>
      </w:r>
      <w:r>
        <w:rPr>
          <w:rFonts w:ascii="Arial" w:cs="Arial" w:eastAsia="Arial" w:hAnsi="Arial"/>
          <w:sz w:val="19"/>
          <w:szCs w:val="19"/>
          <w:color w:val="auto"/>
        </w:rPr>
        <w:t>. Upon the terms and subject to the conditions herein, each of the Parties hereto agrees to use its</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best efforts to take or cause to be taken all action, to do or cause to be done, to execute such further instruments, and to assist and cooperate with the other Parties hereto in doing, all things necessary, proper or advisable under applicable Laws or otherwise to consummate and make effective, in the most expeditious manner practicable, the transactions contemplated by this Agreement and, to the extent reasonably requested by another Party, to enforce rights and obligations pursuant hereto.</w:t>
      </w:r>
    </w:p>
    <w:p>
      <w:pPr>
        <w:spacing w:after="0" w:line="143"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7.2. Assignments and Transfers; No Third Party Beneficiaries</w:t>
      </w:r>
      <w:r>
        <w:rPr>
          <w:rFonts w:ascii="Arial" w:cs="Arial" w:eastAsia="Arial" w:hAnsi="Arial"/>
          <w:sz w:val="19"/>
          <w:szCs w:val="19"/>
          <w:color w:val="auto"/>
        </w:rPr>
        <w:t>. Except as otherwise provided herein,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rights and obligations of the Parties hereunder shall inure to the benefit of, and be binding upon, their respective successors, assigns and legal representatives, but shall not otherwise be for the benefit of any third party. This Agreement and the rights and obligations of any party hereunder shall not otherwise be assigned without the mutual written consent of the other Parties; provided that the Investor may assign its rights and obligations to an Affiliate without consent of the other Parties.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7.3. Governing Law</w:t>
      </w:r>
      <w:r>
        <w:rPr>
          <w:rFonts w:ascii="Arial" w:cs="Arial" w:eastAsia="Arial" w:hAnsi="Arial"/>
          <w:sz w:val="22"/>
          <w:szCs w:val="22"/>
          <w:color w:val="auto"/>
        </w:rPr>
        <w:t>. This Agreement shall be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New York without regard to principles of conflicts of laws.</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9"/>
          <w:szCs w:val="19"/>
          <w:b w:val="1"/>
          <w:bCs w:val="1"/>
          <w:color w:val="auto"/>
        </w:rPr>
        <w:t>Dispute Resolution.</w:t>
      </w:r>
    </w:p>
    <w:p>
      <w:pPr>
        <w:spacing w:after="0" w:line="212" w:lineRule="exact"/>
        <w:rPr>
          <w:sz w:val="20"/>
          <w:szCs w:val="20"/>
          <w:color w:val="auto"/>
        </w:rPr>
      </w:pPr>
    </w:p>
    <w:p>
      <w:pPr>
        <w:jc w:val="both"/>
        <w:ind w:firstLine="872"/>
        <w:spacing w:after="0" w:line="246" w:lineRule="auto"/>
        <w:tabs>
          <w:tab w:leader="none" w:pos="1715" w:val="left"/>
        </w:tabs>
        <w:numPr>
          <w:ilvl w:val="0"/>
          <w:numId w:val="270"/>
        </w:numPr>
        <w:rPr>
          <w:rFonts w:ascii="Arial" w:cs="Arial" w:eastAsia="Arial" w:hAnsi="Arial"/>
          <w:sz w:val="21"/>
          <w:szCs w:val="21"/>
          <w:color w:val="auto"/>
        </w:rPr>
      </w:pPr>
      <w:r>
        <w:rPr>
          <w:rFonts w:ascii="Arial" w:cs="Arial" w:eastAsia="Arial" w:hAnsi="Arial"/>
          <w:sz w:val="21"/>
          <w:szCs w:val="21"/>
          <w:color w:val="auto"/>
        </w:rPr>
        <w:t>Any dispute, controversy, difference or claim arising out of or relating to this Agreement, including the existence, validity, interpretation, performance, breach or termination thereof or any dispute regarding non-contractual obligations arising out of or relating to it shall be referred to and finally resolved by arbitration administered by the Hong Kong International Arbitration Centre (“</w:t>
      </w:r>
      <w:r>
        <w:rPr>
          <w:rFonts w:ascii="Arial" w:cs="Arial" w:eastAsia="Arial" w:hAnsi="Arial"/>
          <w:sz w:val="21"/>
          <w:szCs w:val="21"/>
          <w:u w:val="single" w:color="auto"/>
          <w:color w:val="auto"/>
        </w:rPr>
        <w:t>HKIAC</w:t>
      </w:r>
      <w:r>
        <w:rPr>
          <w:rFonts w:ascii="Arial" w:cs="Arial" w:eastAsia="Arial" w:hAnsi="Arial"/>
          <w:sz w:val="21"/>
          <w:szCs w:val="21"/>
          <w:color w:val="auto"/>
        </w:rPr>
        <w:t>”) under the HKIAC Administered Arbitration Rules in force when the notice of arbitration is submitted. The seat of arbitration shall be Hong Kong. The official language of the arbitration shall be English and the arbitration tribunal shall consist of three (3) arbitrators (each, an “</w:t>
      </w:r>
      <w:r>
        <w:rPr>
          <w:rFonts w:ascii="Arial" w:cs="Arial" w:eastAsia="Arial" w:hAnsi="Arial"/>
          <w:sz w:val="21"/>
          <w:szCs w:val="21"/>
          <w:u w:val="single" w:color="auto"/>
          <w:color w:val="auto"/>
        </w:rPr>
        <w:t>Arbitrator</w:t>
      </w:r>
      <w:r>
        <w:rPr>
          <w:rFonts w:ascii="Arial" w:cs="Arial" w:eastAsia="Arial" w:hAnsi="Arial"/>
          <w:sz w:val="21"/>
          <w:szCs w:val="21"/>
          <w:color w:val="auto"/>
        </w:rPr>
        <w:t>”). The claimant shall nominate one (1) Arbitrator; the respondent shall nominate one (1) Arbitrator; and a third Arbitrator will be nominated jointly by the first two Arbitrators and shall serve as chairman of the arbitration tribunal.</w:t>
      </w:r>
    </w:p>
    <w:p>
      <w:pPr>
        <w:spacing w:after="0" w:line="179" w:lineRule="exact"/>
        <w:rPr>
          <w:rFonts w:ascii="Arial" w:cs="Arial" w:eastAsia="Arial" w:hAnsi="Arial"/>
          <w:sz w:val="21"/>
          <w:szCs w:val="21"/>
          <w:color w:val="auto"/>
        </w:rPr>
      </w:pPr>
    </w:p>
    <w:p>
      <w:pPr>
        <w:jc w:val="both"/>
        <w:ind w:firstLine="872"/>
        <w:spacing w:after="0"/>
        <w:tabs>
          <w:tab w:leader="none" w:pos="1775" w:val="left"/>
        </w:tabs>
        <w:numPr>
          <w:ilvl w:val="0"/>
          <w:numId w:val="270"/>
        </w:numPr>
        <w:rPr>
          <w:rFonts w:ascii="Arial" w:cs="Arial" w:eastAsia="Arial" w:hAnsi="Arial"/>
          <w:sz w:val="22"/>
          <w:szCs w:val="22"/>
          <w:color w:val="auto"/>
        </w:rPr>
      </w:pPr>
      <w:r>
        <w:rPr>
          <w:rFonts w:ascii="Arial" w:cs="Arial" w:eastAsia="Arial" w:hAnsi="Arial"/>
          <w:sz w:val="22"/>
          <w:szCs w:val="22"/>
          <w:color w:val="auto"/>
        </w:rPr>
        <w:t>Any party may seek interim injunctive relief, provisional rulings or other interim relief from a court of competent jurisdiction, both before and after the Arbitrators have been appointed, at any time up until the arbitrators have made their final award.</w:t>
      </w:r>
    </w:p>
    <w:p>
      <w:pPr>
        <w:spacing w:after="0" w:line="186" w:lineRule="exact"/>
        <w:rPr>
          <w:rFonts w:ascii="Arial" w:cs="Arial" w:eastAsia="Arial" w:hAnsi="Arial"/>
          <w:sz w:val="22"/>
          <w:szCs w:val="22"/>
          <w:color w:val="auto"/>
        </w:rPr>
      </w:pPr>
    </w:p>
    <w:p>
      <w:pPr>
        <w:ind w:right="20" w:firstLine="872"/>
        <w:spacing w:after="0" w:line="250" w:lineRule="auto"/>
        <w:tabs>
          <w:tab w:leader="none" w:pos="1835" w:val="left"/>
        </w:tabs>
        <w:numPr>
          <w:ilvl w:val="0"/>
          <w:numId w:val="270"/>
        </w:numPr>
        <w:rPr>
          <w:rFonts w:ascii="Arial" w:cs="Arial" w:eastAsia="Arial" w:hAnsi="Arial"/>
          <w:sz w:val="22"/>
          <w:szCs w:val="22"/>
          <w:color w:val="auto"/>
        </w:rPr>
      </w:pPr>
      <w:r>
        <w:rPr>
          <w:rFonts w:ascii="Arial" w:cs="Arial" w:eastAsia="Arial" w:hAnsi="Arial"/>
          <w:sz w:val="22"/>
          <w:szCs w:val="22"/>
          <w:color w:val="auto"/>
        </w:rPr>
        <w:t>The award rendered by the arbitral tribunal shall be final and binding on the parties. Judgment on the award may be entered in any court of competent jurisdiction.</w:t>
      </w:r>
    </w:p>
    <w:p>
      <w:pPr>
        <w:spacing w:after="0" w:line="174" w:lineRule="exact"/>
        <w:rPr>
          <w:rFonts w:ascii="Arial" w:cs="Arial" w:eastAsia="Arial" w:hAnsi="Arial"/>
          <w:sz w:val="22"/>
          <w:szCs w:val="22"/>
          <w:color w:val="auto"/>
        </w:rPr>
      </w:pPr>
    </w:p>
    <w:p>
      <w:pPr>
        <w:jc w:val="both"/>
        <w:ind w:firstLine="872"/>
        <w:spacing w:after="0" w:line="238" w:lineRule="auto"/>
        <w:tabs>
          <w:tab w:leader="none" w:pos="1823" w:val="left"/>
        </w:tabs>
        <w:numPr>
          <w:ilvl w:val="0"/>
          <w:numId w:val="270"/>
        </w:numPr>
        <w:rPr>
          <w:rFonts w:ascii="Arial" w:cs="Arial" w:eastAsia="Arial" w:hAnsi="Arial"/>
          <w:sz w:val="22"/>
          <w:szCs w:val="22"/>
          <w:color w:val="auto"/>
        </w:rPr>
      </w:pPr>
      <w:r>
        <w:rPr>
          <w:rFonts w:ascii="Arial" w:cs="Arial" w:eastAsia="Arial" w:hAnsi="Arial"/>
          <w:sz w:val="22"/>
          <w:szCs w:val="22"/>
          <w:color w:val="auto"/>
        </w:rPr>
        <w:t>Each Party agrees that money damages may not be a sufficient remedy for any breach of this Agreement by the other Party and that the injured Party shall be entitled to seek, and the other Party will not oppose the granting of, equitable relief, including injunction and specific performance, in the event of any such breach, in addition to all other remedies available to the injured party at law or in equity.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2" w:name="page223"/>
    <w:bookmarkEnd w:id="222"/>
    <w:p>
      <w:pPr>
        <w:jc w:val="both"/>
        <w:spacing w:after="0" w:line="274" w:lineRule="auto"/>
        <w:rPr>
          <w:sz w:val="20"/>
          <w:szCs w:val="20"/>
          <w:color w:val="auto"/>
        </w:rPr>
      </w:pPr>
      <w:r>
        <w:rPr>
          <w:rFonts w:ascii="Arial" w:cs="Arial" w:eastAsia="Arial" w:hAnsi="Arial"/>
          <w:sz w:val="19"/>
          <w:szCs w:val="19"/>
          <w:b w:val="1"/>
          <w:bCs w:val="1"/>
          <w:color w:val="auto"/>
        </w:rPr>
        <w:t>7.5. Notices</w:t>
      </w:r>
      <w:r>
        <w:rPr>
          <w:rFonts w:ascii="Arial" w:cs="Arial" w:eastAsia="Arial" w:hAnsi="Arial"/>
          <w:sz w:val="19"/>
          <w:szCs w:val="19"/>
          <w:color w:val="auto"/>
        </w:rPr>
        <w:t>. Any notice required or permitted pursuant to this Agreement shall be given in writing and shall be given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either personally or by sending it by next-day or second-day courier service, fax, electronic mail or similar means to the address as shown below the signature of such party on the signature page of this Agreement (or at such other address as such party may designate by fifteen (15) days’ advance written notice to the other parties to this Agreement given in accordance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7.5</w:t>
      </w:r>
      <w:r>
        <w:rPr>
          <w:rFonts w:ascii="Arial" w:cs="Arial" w:eastAsia="Arial" w:hAnsi="Arial"/>
          <w:sz w:val="19"/>
          <w:szCs w:val="19"/>
          <w:color w:val="auto"/>
        </w:rPr>
        <w:t>. Where a notice is sent by next-day or second-day courier service, service of the notice shall be deemed to be effected by properly addressing, pre-paying and sending by next-day or second-day service through an internationally-recognized courier a letter containing the notice, with a confirmation of delivery, and to have been effected at the expiration of two days after the letter containing the same is sent as aforesaid. Where a notice is sent by fax or electronic mail, service of the notice shall be deemed to be effected by properly addressing, and sending such notice through a transmitting organization, with a written confirmation of delivery, and to have been effected on the day the same is sent as aforesaid.</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7.6. Expenses</w:t>
      </w:r>
      <w:r>
        <w:rPr>
          <w:rFonts w:ascii="Arial" w:cs="Arial" w:eastAsia="Arial" w:hAnsi="Arial"/>
          <w:sz w:val="22"/>
          <w:szCs w:val="22"/>
          <w:color w:val="auto"/>
        </w:rPr>
        <w:t>. If any action at law or in equity is necessary to enforce or interpret the terms of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prevailing Party shall be entitled to reasonable attorneys’ fees, costs and necessary disbursements in addition to any other relief to which such Party may be entitled.</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7.7. Rights Cumulative</w:t>
      </w:r>
      <w:r>
        <w:rPr>
          <w:rFonts w:ascii="Arial" w:cs="Arial" w:eastAsia="Arial" w:hAnsi="Arial"/>
          <w:sz w:val="19"/>
          <w:szCs w:val="19"/>
          <w:color w:val="auto"/>
        </w:rPr>
        <w:t>. Each and all of the various rights, powers and remedies of a Party hereto will be considered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cumulative with and in addition to any other rights, powers and remedies which such Party may have at law or in equity in the event of the breach of any of the terms of this Agreement. The exercise or partial exercise of any right, power or remedy will neither constitute the exclusive election thereof nor the waiver of any other right, power or remedy available to such Party.</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7.8. Shareholding. </w:t>
      </w:r>
      <w:r>
        <w:rPr>
          <w:rFonts w:ascii="Arial" w:cs="Arial" w:eastAsia="Arial" w:hAnsi="Arial"/>
          <w:sz w:val="22"/>
          <w:szCs w:val="22"/>
          <w:color w:val="auto"/>
        </w:rPr>
        <w:t>If the Holder or its Affiliates do not have a Schedule 13D with respect to the Shares on file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SEC, upon the written request of the Company, each Holder agrees to promptly advise the Company in writing as to the number of Registrable Securities then beneficially owned by such Holder.</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7.9. Severability</w:t>
      </w:r>
      <w:r>
        <w:rPr>
          <w:rFonts w:ascii="Arial" w:cs="Arial" w:eastAsia="Arial" w:hAnsi="Arial"/>
          <w:sz w:val="22"/>
          <w:szCs w:val="22"/>
          <w:color w:val="auto"/>
        </w:rPr>
        <w:t>. In case any provision of the Agreement shall be invalid, illegal or unenforceable, the validity, legality</w:t>
      </w:r>
      <w:r>
        <w:rPr>
          <w:rFonts w:ascii="Arial" w:cs="Arial" w:eastAsia="Arial" w:hAnsi="Arial"/>
          <w:sz w:val="22"/>
          <w:szCs w:val="22"/>
          <w:b w:val="1"/>
          <w:bCs w:val="1"/>
          <w:color w:val="auto"/>
        </w:rPr>
        <w:t xml:space="preserve"> </w:t>
      </w:r>
      <w:r>
        <w:rPr>
          <w:rFonts w:ascii="Arial" w:cs="Arial" w:eastAsia="Arial" w:hAnsi="Arial"/>
          <w:sz w:val="22"/>
          <w:szCs w:val="22"/>
          <w:color w:val="auto"/>
        </w:rPr>
        <w:t>and enforceability of the remaining provisions shall not in any way be affected or impaired thereby. If, however, any provision of this Agreement shall be invalid, illegal, or unenforceable under any applicable Law in any jurisdiction, it shall, as to such jurisdiction, be deemed modified to conform to the minimum requirements of such Law, or, if for any reason it is not deemed so modified, it shall be invalid, illegal, or unenforceable only to the extent of such invalidity, illegality, or limitation on enforceability without affecting the remaining provisions of this Agreement, or the validity, legality, or enforceability of such provision in any other jurisdiction.</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7.10. Amendments and Waivers</w:t>
      </w:r>
      <w:r>
        <w:rPr>
          <w:rFonts w:ascii="Arial" w:cs="Arial" w:eastAsia="Arial" w:hAnsi="Arial"/>
          <w:sz w:val="22"/>
          <w:szCs w:val="22"/>
          <w:color w:val="auto"/>
        </w:rPr>
        <w:t>. Any term of this Agreement may be amended and the observance of any term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may be waived (either generally or in a particular instance and either retroactively or prospectively), only with the written consent of each Party. Any amendment or waiver effected in accordance with this paragraph shall be binding upon each of the Parties hereto.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3" w:name="page224"/>
    <w:bookmarkEnd w:id="223"/>
    <w:p>
      <w:pPr>
        <w:jc w:val="both"/>
        <w:spacing w:after="0" w:line="289" w:lineRule="auto"/>
        <w:rPr>
          <w:sz w:val="20"/>
          <w:szCs w:val="20"/>
          <w:color w:val="auto"/>
        </w:rPr>
      </w:pPr>
      <w:r>
        <w:rPr>
          <w:rFonts w:ascii="Arial" w:cs="Arial" w:eastAsia="Arial" w:hAnsi="Arial"/>
          <w:sz w:val="19"/>
          <w:szCs w:val="19"/>
          <w:b w:val="1"/>
          <w:bCs w:val="1"/>
          <w:color w:val="auto"/>
        </w:rPr>
        <w:t>7.11. No Presumption</w:t>
      </w:r>
      <w:r>
        <w:rPr>
          <w:rFonts w:ascii="Arial" w:cs="Arial" w:eastAsia="Arial" w:hAnsi="Arial"/>
          <w:sz w:val="19"/>
          <w:szCs w:val="19"/>
          <w:color w:val="auto"/>
        </w:rPr>
        <w:t>. The Parties acknowledge that any applicable Law that would require interpretation of any claimed</w:t>
      </w:r>
      <w:r>
        <w:rPr>
          <w:rFonts w:ascii="Arial" w:cs="Arial" w:eastAsia="Arial" w:hAnsi="Arial"/>
          <w:sz w:val="19"/>
          <w:szCs w:val="19"/>
          <w:b w:val="1"/>
          <w:bCs w:val="1"/>
          <w:color w:val="auto"/>
        </w:rPr>
        <w:t xml:space="preserve"> </w:t>
      </w:r>
      <w:r>
        <w:rPr>
          <w:rFonts w:ascii="Arial" w:cs="Arial" w:eastAsia="Arial" w:hAnsi="Arial"/>
          <w:sz w:val="19"/>
          <w:szCs w:val="19"/>
          <w:color w:val="auto"/>
        </w:rPr>
        <w:t>ambiguities in this Agreement against the Party that drafted it has no application and is expressly waived. If any claim is made by a Party relating to any conflict, omission or ambiguity in the provisions of this Agreement, no presumption or burden of proof or persuasion will be implied because this Agreement was prepared by or at the request of any Party or its counsel.</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7.12. No Waiver</w:t>
      </w:r>
      <w:r>
        <w:rPr>
          <w:rFonts w:ascii="Arial" w:cs="Arial" w:eastAsia="Arial" w:hAnsi="Arial"/>
          <w:sz w:val="22"/>
          <w:szCs w:val="22"/>
          <w:color w:val="auto"/>
        </w:rPr>
        <w:t>. Failure to insist upon strict compliance with any of the terms, covenants, or conditions hereof will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a waiver of such term, covenant, or condition, nor will any waiver or relinquishment of, or failure to insist upon strict compliance with, any right, power or remedy hereunder at any one or more times be deemed a waiver or relinquishment of such right, power or remedy at any other time or times.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color w:val="auto"/>
        </w:rPr>
        <w:t>7.13. Delays or Omissions</w:t>
      </w:r>
      <w:r>
        <w:rPr>
          <w:rFonts w:ascii="Arial" w:cs="Arial" w:eastAsia="Arial" w:hAnsi="Arial"/>
          <w:sz w:val="21"/>
          <w:szCs w:val="21"/>
          <w:color w:val="auto"/>
        </w:rPr>
        <w:t>. No delay or omission to exercise any right, power or remedy accruing to any Party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7.14. Headings and Subtitles; Interpretation</w:t>
      </w:r>
      <w:r>
        <w:rPr>
          <w:rFonts w:ascii="Arial" w:cs="Arial" w:eastAsia="Arial" w:hAnsi="Arial"/>
          <w:sz w:val="19"/>
          <w:szCs w:val="19"/>
          <w:color w:val="auto"/>
        </w:rPr>
        <w:t>. The titles and subtitles used in this Agreement are used for convenience</w:t>
      </w:r>
      <w:r>
        <w:rPr>
          <w:rFonts w:ascii="Arial" w:cs="Arial" w:eastAsia="Arial" w:hAnsi="Arial"/>
          <w:sz w:val="19"/>
          <w:szCs w:val="19"/>
          <w:b w:val="1"/>
          <w:bCs w:val="1"/>
          <w:color w:val="auto"/>
        </w:rPr>
        <w:t xml:space="preserve"> </w:t>
      </w:r>
      <w:r>
        <w:rPr>
          <w:rFonts w:ascii="Arial" w:cs="Arial" w:eastAsia="Arial" w:hAnsi="Arial"/>
          <w:sz w:val="19"/>
          <w:szCs w:val="19"/>
          <w:color w:val="auto"/>
        </w:rPr>
        <w:t>only and are not to be considered in construing or interpreting this Agreement. Unless a provision hereof expressly provides otherwise: (i) the term “or” is not exclusive; (ii) words in the singular include the plural, and words in the plural include the singular; (iii) the terms “herein”, “hereof’, and other similar words refer to this Agreement as a whole and not to any particular section, subsection, paragraph, clause, or other subdivision; (iv) the term “including” will be deemed to be followed by”, but not limited to,”; (v) the masculine, feminine, and neuter genders will each be deemed to include the others; (vi) the terms “shall”, “will”, and “agrees” are mandatory, and the term “may” is permissive; (vii) the term “day” means “calendar day”.</w:t>
      </w:r>
    </w:p>
    <w:p>
      <w:pPr>
        <w:spacing w:after="0" w:line="145"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7.15. Counterparts</w:t>
      </w:r>
      <w:r>
        <w:rPr>
          <w:rFonts w:ascii="Arial" w:cs="Arial" w:eastAsia="Arial" w:hAnsi="Arial"/>
          <w:sz w:val="22"/>
          <w:szCs w:val="22"/>
          <w:color w:val="auto"/>
        </w:rPr>
        <w:t>. This Agreement may be executed in two or more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shall constitute one and the same instrument. Facsimile and emailed copies of signatures shall be deemed to be originals for purposes of the effectiveness of this Agreement.</w:t>
      </w:r>
    </w:p>
    <w:p>
      <w:pPr>
        <w:spacing w:after="0" w:line="17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7.16. Entire Agreement</w:t>
      </w:r>
      <w:r>
        <w:rPr>
          <w:rFonts w:ascii="Arial" w:cs="Arial" w:eastAsia="Arial" w:hAnsi="Arial"/>
          <w:sz w:val="22"/>
          <w:szCs w:val="22"/>
          <w:color w:val="auto"/>
        </w:rPr>
        <w:t>. This Agreement constitutes the full and entire understanding and agreement among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with regard to the subject matter hereof and thereof, and supersedes all other agreements between or among any of the Parties with respect to the subject matter hereof. After the execution and delivery of this Agreement, to the extent that there is any conflict between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4" w:name="page225"/>
    <w:bookmarkEnd w:id="224"/>
    <w:p>
      <w:pPr>
        <w:spacing w:after="0" w:line="251" w:lineRule="auto"/>
        <w:rPr>
          <w:sz w:val="20"/>
          <w:szCs w:val="20"/>
          <w:color w:val="auto"/>
        </w:rPr>
      </w:pPr>
      <w:r>
        <w:rPr>
          <w:rFonts w:ascii="Arial" w:cs="Arial" w:eastAsia="Arial" w:hAnsi="Arial"/>
          <w:sz w:val="22"/>
          <w:szCs w:val="22"/>
          <w:color w:val="auto"/>
        </w:rPr>
        <w:t>this Agreement and any provision of any other agreement, arrangement or understanding between the Company and the Investor, the terms and conditions of this Agreement shall prevail.</w:t>
      </w:r>
    </w:p>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7.17. Aggregation of Stock</w:t>
      </w:r>
      <w:r>
        <w:rPr>
          <w:rFonts w:ascii="Arial" w:cs="Arial" w:eastAsia="Arial" w:hAnsi="Arial"/>
          <w:sz w:val="22"/>
          <w:szCs w:val="22"/>
          <w:color w:val="auto"/>
        </w:rPr>
        <w:t>. All Shares held or acquired by any Affiliates shall be aggregated together for the purpose of</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determining the availability of any rights under this Agreement.</w:t>
      </w:r>
    </w:p>
    <w:p>
      <w:pPr>
        <w:spacing w:after="0" w:line="16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has been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5" w:name="page226"/>
    <w:bookmarkEnd w:id="225"/>
    <w:p>
      <w:pPr>
        <w:jc w:val="center"/>
        <w:ind w:right="40"/>
        <w:spacing w:after="0"/>
        <w:rPr>
          <w:sz w:val="20"/>
          <w:szCs w:val="20"/>
          <w:color w:val="auto"/>
        </w:rPr>
      </w:pPr>
      <w:r>
        <w:rPr>
          <w:rFonts w:ascii="Arial" w:cs="Arial" w:eastAsia="Arial" w:hAnsi="Arial"/>
          <w:sz w:val="22"/>
          <w:szCs w:val="22"/>
          <w:color w:val="auto"/>
        </w:rPr>
        <w:t>IN WITNESS WHEREOF, the parties hereto have executed this Agreement as of the date first written above.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400" w:type="dxa"/>
            <w:vAlign w:val="bottom"/>
          </w:tcPr>
          <w:p>
            <w:pPr>
              <w:spacing w:after="0"/>
              <w:rPr>
                <w:sz w:val="20"/>
                <w:szCs w:val="20"/>
                <w:color w:val="auto"/>
              </w:rPr>
            </w:pPr>
            <w:r>
              <w:rPr>
                <w:rFonts w:ascii="Arial" w:cs="Arial" w:eastAsia="Arial" w:hAnsi="Arial"/>
                <w:sz w:val="22"/>
                <w:szCs w:val="22"/>
                <w:b w:val="1"/>
                <w:bCs w:val="1"/>
                <w:color w:val="auto"/>
              </w:rPr>
              <w:t>COMPANY:</w:t>
            </w:r>
          </w:p>
        </w:tc>
        <w:tc>
          <w:tcPr>
            <w:tcW w:w="7840" w:type="dxa"/>
            <w:vAlign w:val="bottom"/>
            <w:gridSpan w:val="2"/>
          </w:tcPr>
          <w:p>
            <w:pPr>
              <w:ind w:left="2220"/>
              <w:spacing w:after="0"/>
              <w:rPr>
                <w:sz w:val="20"/>
                <w:szCs w:val="20"/>
                <w:color w:val="auto"/>
              </w:rPr>
            </w:pPr>
            <w:r>
              <w:rPr>
                <w:rFonts w:ascii="Arial" w:cs="Arial" w:eastAsia="Arial" w:hAnsi="Arial"/>
                <w:sz w:val="22"/>
                <w:szCs w:val="22"/>
                <w:b w:val="1"/>
                <w:bCs w:val="1"/>
                <w:color w:val="auto"/>
              </w:rPr>
              <w:t>ICLICK INTERACTIVE ASIA GROUP LIMITED</w:t>
            </w:r>
          </w:p>
        </w:tc>
      </w:tr>
      <w:tr>
        <w:trPr>
          <w:trHeight w:val="449"/>
        </w:trPr>
        <w:tc>
          <w:tcPr>
            <w:tcW w:w="3400" w:type="dxa"/>
            <w:vAlign w:val="bottom"/>
          </w:tcPr>
          <w:p>
            <w:pPr>
              <w:spacing w:after="0"/>
              <w:rPr>
                <w:sz w:val="24"/>
                <w:szCs w:val="24"/>
                <w:color w:val="auto"/>
              </w:rPr>
            </w:pPr>
          </w:p>
        </w:tc>
        <w:tc>
          <w:tcPr>
            <w:tcW w:w="3080" w:type="dxa"/>
            <w:vAlign w:val="bottom"/>
          </w:tcPr>
          <w:p>
            <w:pPr>
              <w:ind w:left="2220"/>
              <w:spacing w:after="0"/>
              <w:rPr>
                <w:sz w:val="20"/>
                <w:szCs w:val="20"/>
                <w:color w:val="auto"/>
              </w:rPr>
            </w:pPr>
            <w:r>
              <w:rPr>
                <w:rFonts w:ascii="Arial" w:cs="Arial" w:eastAsia="Arial" w:hAnsi="Arial"/>
                <w:sz w:val="22"/>
                <w:szCs w:val="22"/>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Terence Li</w:t>
            </w:r>
          </w:p>
        </w:tc>
      </w:tr>
      <w:tr>
        <w:trPr>
          <w:trHeight w:val="215"/>
        </w:trPr>
        <w:tc>
          <w:tcPr>
            <w:tcW w:w="3400" w:type="dxa"/>
            <w:vAlign w:val="bottom"/>
          </w:tcPr>
          <w:p>
            <w:pPr>
              <w:spacing w:after="0"/>
              <w:rPr>
                <w:sz w:val="18"/>
                <w:szCs w:val="18"/>
                <w:color w:val="auto"/>
              </w:rPr>
            </w:pPr>
          </w:p>
        </w:tc>
        <w:tc>
          <w:tcPr>
            <w:tcW w:w="3080" w:type="dxa"/>
            <w:vAlign w:val="bottom"/>
          </w:tcPr>
          <w:p>
            <w:pPr>
              <w:ind w:left="2220"/>
              <w:spacing w:after="0" w:line="216" w:lineRule="exact"/>
              <w:rPr>
                <w:sz w:val="20"/>
                <w:szCs w:val="20"/>
                <w:color w:val="auto"/>
              </w:rPr>
            </w:pPr>
            <w:r>
              <w:rPr>
                <w:rFonts w:ascii="Arial" w:cs="Arial" w:eastAsia="Arial" w:hAnsi="Arial"/>
                <w:sz w:val="22"/>
                <w:szCs w:val="22"/>
                <w:color w:val="auto"/>
              </w:rPr>
              <w:t>Name:</w:t>
            </w: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Terence Li</w:t>
            </w:r>
          </w:p>
        </w:tc>
      </w:tr>
      <w:tr>
        <w:trPr>
          <w:trHeight w:val="274"/>
        </w:trPr>
        <w:tc>
          <w:tcPr>
            <w:tcW w:w="3400" w:type="dxa"/>
            <w:vAlign w:val="bottom"/>
          </w:tcPr>
          <w:p>
            <w:pPr>
              <w:spacing w:after="0"/>
              <w:rPr>
                <w:sz w:val="23"/>
                <w:szCs w:val="23"/>
                <w:color w:val="auto"/>
              </w:rPr>
            </w:pPr>
          </w:p>
        </w:tc>
        <w:tc>
          <w:tcPr>
            <w:tcW w:w="3080" w:type="dxa"/>
            <w:vAlign w:val="bottom"/>
          </w:tcPr>
          <w:p>
            <w:pPr>
              <w:ind w:left="2220"/>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CFO</w:t>
            </w:r>
          </w:p>
        </w:tc>
      </w:tr>
    </w:tbl>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Address: ***</w:t>
      </w:r>
    </w:p>
    <w:p>
      <w:pPr>
        <w:spacing w:after="0" w:line="206" w:lineRule="exact"/>
        <w:rPr>
          <w:sz w:val="20"/>
          <w:szCs w:val="20"/>
          <w:color w:val="auto"/>
        </w:rPr>
      </w:pPr>
    </w:p>
    <w:p>
      <w:pPr>
        <w:ind w:left="5620"/>
        <w:spacing w:after="0"/>
        <w:tabs>
          <w:tab w:leader="none" w:pos="6460" w:val="left"/>
        </w:tabs>
        <w:rPr>
          <w:sz w:val="20"/>
          <w:szCs w:val="20"/>
          <w:color w:val="auto"/>
        </w:rPr>
      </w:pPr>
      <w:r>
        <w:rPr>
          <w:rFonts w:ascii="Arial" w:cs="Arial" w:eastAsia="Arial" w:hAnsi="Arial"/>
          <w:sz w:val="22"/>
          <w:szCs w:val="22"/>
          <w:color w:val="auto"/>
        </w:rPr>
        <w:t>Email:</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748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26" w:name="page227"/>
    <w:bookmarkEnd w:id="226"/>
    <w:p>
      <w:pPr>
        <w:jc w:val="center"/>
        <w:ind w:right="60"/>
        <w:spacing w:after="0"/>
        <w:rPr>
          <w:sz w:val="20"/>
          <w:szCs w:val="20"/>
          <w:color w:val="auto"/>
        </w:rPr>
      </w:pPr>
      <w:r>
        <w:rPr>
          <w:rFonts w:ascii="Arial" w:cs="Arial" w:eastAsia="Arial" w:hAnsi="Arial"/>
          <w:sz w:val="22"/>
          <w:szCs w:val="22"/>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w:t>
      </w:r>
    </w:p>
    <w:p>
      <w:pPr>
        <w:spacing w:after="0" w:line="206" w:lineRule="exact"/>
        <w:rPr>
          <w:sz w:val="20"/>
          <w:szCs w:val="20"/>
          <w:color w:val="auto"/>
        </w:rPr>
      </w:pPr>
    </w:p>
    <w:tbl>
      <w:tblPr>
        <w:tblLayout w:type="fixed"/>
        <w:tblInd w:w="5620" w:type="dxa"/>
        <w:tblCellMar>
          <w:top w:w="0" w:type="dxa"/>
          <w:left w:w="0" w:type="dxa"/>
          <w:bottom w:w="0" w:type="dxa"/>
          <w:right w:w="0" w:type="dxa"/>
        </w:tblCellMar>
      </w:tblPr>
      <w:tr>
        <w:trPr>
          <w:trHeight w:val="280"/>
        </w:trPr>
        <w:tc>
          <w:tcPr>
            <w:tcW w:w="1260" w:type="dxa"/>
            <w:vAlign w:val="bottom"/>
          </w:tcPr>
          <w:p>
            <w:pPr>
              <w:spacing w:after="0"/>
              <w:rPr>
                <w:sz w:val="20"/>
                <w:szCs w:val="20"/>
                <w:color w:val="auto"/>
              </w:rPr>
            </w:pPr>
            <w:r>
              <w:rPr>
                <w:rFonts w:ascii="Arial" w:cs="Arial" w:eastAsia="Arial" w:hAnsi="Arial"/>
                <w:sz w:val="22"/>
                <w:szCs w:val="22"/>
                <w:b w:val="1"/>
                <w:bCs w:val="1"/>
                <w:color w:val="auto"/>
              </w:rPr>
              <w:t>Baozun Inc.</w:t>
            </w:r>
          </w:p>
        </w:tc>
        <w:tc>
          <w:tcPr>
            <w:tcW w:w="4360" w:type="dxa"/>
            <w:vAlign w:val="bottom"/>
          </w:tcPr>
          <w:p>
            <w:pPr>
              <w:spacing w:after="0"/>
              <w:rPr>
                <w:sz w:val="24"/>
                <w:szCs w:val="24"/>
                <w:color w:val="auto"/>
              </w:rPr>
            </w:pPr>
          </w:p>
        </w:tc>
      </w:tr>
      <w:tr>
        <w:trPr>
          <w:trHeight w:val="665"/>
        </w:trPr>
        <w:tc>
          <w:tcPr>
            <w:tcW w:w="126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Arthur Yu</w:t>
            </w:r>
          </w:p>
        </w:tc>
      </w:tr>
      <w:tr>
        <w:trPr>
          <w:trHeight w:val="215"/>
        </w:trPr>
        <w:tc>
          <w:tcPr>
            <w:tcW w:w="12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Pr>
          <w:p>
            <w:pPr>
              <w:spacing w:after="0" w:line="216" w:lineRule="exact"/>
              <w:rPr>
                <w:sz w:val="20"/>
                <w:szCs w:val="20"/>
                <w:color w:val="auto"/>
              </w:rPr>
            </w:pPr>
            <w:r>
              <w:rPr>
                <w:rFonts w:ascii="Arial" w:cs="Arial" w:eastAsia="Arial" w:hAnsi="Arial"/>
                <w:sz w:val="22"/>
                <w:szCs w:val="22"/>
                <w:color w:val="auto"/>
              </w:rPr>
              <w:t>Arthur Yu</w:t>
            </w: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spacing w:after="0"/>
              <w:rPr>
                <w:sz w:val="20"/>
                <w:szCs w:val="20"/>
                <w:color w:val="auto"/>
              </w:rPr>
            </w:pPr>
            <w:r>
              <w:rPr>
                <w:rFonts w:ascii="Arial" w:cs="Arial" w:eastAsia="Arial" w:hAnsi="Arial"/>
                <w:sz w:val="22"/>
                <w:szCs w:val="22"/>
                <w:color w:val="auto"/>
              </w:rPr>
              <w:t>Chief Financial Officer</w:t>
            </w:r>
          </w:p>
        </w:tc>
      </w:tr>
      <w:tr>
        <w:trPr>
          <w:trHeight w:val="459"/>
        </w:trPr>
        <w:tc>
          <w:tcPr>
            <w:tcW w:w="1260" w:type="dxa"/>
            <w:vAlign w:val="bottom"/>
          </w:tcPr>
          <w:p>
            <w:pPr>
              <w:spacing w:after="0"/>
              <w:rPr>
                <w:sz w:val="20"/>
                <w:szCs w:val="20"/>
                <w:color w:val="auto"/>
              </w:rPr>
            </w:pPr>
            <w:r>
              <w:rPr>
                <w:rFonts w:ascii="Arial" w:cs="Arial" w:eastAsia="Arial" w:hAnsi="Arial"/>
                <w:sz w:val="22"/>
                <w:szCs w:val="22"/>
                <w:color w:val="auto"/>
              </w:rPr>
              <w:t>Address:</w:t>
            </w:r>
          </w:p>
        </w:tc>
        <w:tc>
          <w:tcPr>
            <w:tcW w:w="4360" w:type="dxa"/>
            <w:vAlign w:val="bottom"/>
          </w:tcPr>
          <w:p>
            <w:pPr>
              <w:spacing w:after="0"/>
              <w:rPr>
                <w:sz w:val="20"/>
                <w:szCs w:val="20"/>
                <w:color w:val="auto"/>
              </w:rPr>
            </w:pPr>
            <w:r>
              <w:rPr>
                <w:rFonts w:ascii="Arial" w:cs="Arial" w:eastAsia="Arial" w:hAnsi="Arial"/>
                <w:sz w:val="22"/>
                <w:szCs w:val="22"/>
                <w:color w:val="auto"/>
              </w:rPr>
              <w:t>***</w:t>
            </w:r>
          </w:p>
        </w:tc>
      </w:tr>
      <w:tr>
        <w:trPr>
          <w:trHeight w:val="459"/>
        </w:trPr>
        <w:tc>
          <w:tcPr>
            <w:tcW w:w="1260" w:type="dxa"/>
            <w:vAlign w:val="bottom"/>
          </w:tcPr>
          <w:p>
            <w:pPr>
              <w:spacing w:after="0"/>
              <w:rPr>
                <w:sz w:val="20"/>
                <w:szCs w:val="20"/>
                <w:color w:val="auto"/>
              </w:rPr>
            </w:pPr>
            <w:r>
              <w:rPr>
                <w:rFonts w:ascii="Arial" w:cs="Arial" w:eastAsia="Arial" w:hAnsi="Arial"/>
                <w:sz w:val="22"/>
                <w:szCs w:val="22"/>
                <w:color w:val="auto"/>
              </w:rPr>
              <w:t>Email:</w:t>
            </w:r>
          </w:p>
        </w:tc>
        <w:tc>
          <w:tcPr>
            <w:tcW w:w="4360" w:type="dxa"/>
            <w:vAlign w:val="bottom"/>
          </w:tcPr>
          <w:p>
            <w:pPr>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1240"/>
          </w:cols>
          <w:pgMar w:left="320" w:top="550"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22"/>
          <w:szCs w:val="22"/>
          <w:b w:val="1"/>
          <w:bCs w:val="1"/>
          <w:color w:val="auto"/>
        </w:rPr>
        <w:t>Exhibit 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auto"/>
        </w:rPr>
        <w:t>Strategic Cooperation Framework Agreement</w:t>
      </w:r>
    </w:p>
    <w:p>
      <w:pPr>
        <w:spacing w:after="0" w:line="200" w:lineRule="exact"/>
        <w:rPr>
          <w:sz w:val="20"/>
          <w:szCs w:val="20"/>
          <w:color w:val="auto"/>
        </w:rPr>
      </w:pPr>
    </w:p>
    <w:p>
      <w:pPr>
        <w:spacing w:after="0" w:line="27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Between</w:t>
      </w:r>
    </w:p>
    <w:p>
      <w:pPr>
        <w:spacing w:after="0" w:line="200" w:lineRule="exact"/>
        <w:rPr>
          <w:sz w:val="20"/>
          <w:szCs w:val="20"/>
          <w:color w:val="auto"/>
        </w:rPr>
      </w:pPr>
    </w:p>
    <w:p>
      <w:pPr>
        <w:spacing w:after="0" w:line="27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Baozun Inc.</w:t>
      </w:r>
    </w:p>
    <w:p>
      <w:pPr>
        <w:spacing w:after="0" w:line="200" w:lineRule="exact"/>
        <w:rPr>
          <w:sz w:val="20"/>
          <w:szCs w:val="20"/>
          <w:color w:val="auto"/>
        </w:rPr>
      </w:pPr>
    </w:p>
    <w:p>
      <w:pPr>
        <w:spacing w:after="0" w:line="276"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iClick Interactive Asia Group Limited</w:t>
      </w:r>
    </w:p>
    <w:p>
      <w:pPr>
        <w:spacing w:after="0" w:line="239"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Dated January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971550</wp:posOffset>
            </wp:positionV>
            <wp:extent cx="71748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228" w:name="page229"/>
    <w:bookmarkEnd w:id="228"/>
    <w:p>
      <w:pPr>
        <w:ind w:right="100"/>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t>This STRATEGIC COOPERATION FRAMEWORK AGREEMENT (this “Agreement”), dated as of January 26, 2021, is made by and between:</w:t>
      </w:r>
    </w:p>
    <w:p>
      <w:pPr>
        <w:spacing w:after="0" w:line="202" w:lineRule="exact"/>
        <w:rPr>
          <w:sz w:val="20"/>
          <w:szCs w:val="20"/>
          <w:color w:val="auto"/>
        </w:rPr>
      </w:pPr>
    </w:p>
    <w:p>
      <w:pPr>
        <w:ind w:right="20" w:firstLine="8"/>
        <w:spacing w:after="0" w:line="250" w:lineRule="auto"/>
        <w:tabs>
          <w:tab w:leader="none" w:pos="63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Baozun Inc., a Cayman Islands exempted company (together with its consolidated subsidiaries and variable interest entity and its subsidiaries, “Baozun”); and</w:t>
      </w:r>
    </w:p>
    <w:p>
      <w:pPr>
        <w:spacing w:after="0" w:line="201" w:lineRule="exact"/>
        <w:rPr>
          <w:rFonts w:ascii="Arial" w:cs="Arial" w:eastAsia="Arial" w:hAnsi="Arial"/>
          <w:sz w:val="22"/>
          <w:szCs w:val="22"/>
          <w:color w:val="auto"/>
        </w:rPr>
      </w:pPr>
    </w:p>
    <w:p>
      <w:pPr>
        <w:ind w:right="100" w:firstLine="8"/>
        <w:spacing w:after="0" w:line="250" w:lineRule="auto"/>
        <w:tabs>
          <w:tab w:leader="none" w:pos="63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iClick Interactive Asia Group Limited, a Cayman Islands exempted company (together with its consolidated subsidiaries and variable interest entity and its subsidiaries, “iClick”).</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Baozun and iClick are each referred to herein as a “Party,” and collectively as the “Parties.”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Baozun is a leader and a pioneer in the brand e-commerce service industry in China;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iClick is a leading independent online marketing and enterprise data solutions provider in China;</w:t>
      </w:r>
    </w:p>
    <w:p>
      <w:pPr>
        <w:spacing w:after="0" w:line="233"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Baozun and iClick intends to sign this Agreement to initiate business cooperation in connection with the Cooperation Business (as defined below) to integrate resources and leverage the strength of each Party; and</w:t>
      </w:r>
    </w:p>
    <w:p>
      <w:pPr>
        <w:spacing w:after="0" w:line="202"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The Parties acknowledge and agree that this Agreement only provides the framework for the business cooperation and supports between the Parties, of which details are subject to discussion, agreement and implementation by the Parties after execution of this Agreement in compliance with applicable law and regulation.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NOW, THEREFORE, the Parties agree as follows:</w:t>
      </w:r>
    </w:p>
    <w:p>
      <w:pPr>
        <w:spacing w:after="0" w:line="227" w:lineRule="exact"/>
        <w:rPr>
          <w:sz w:val="20"/>
          <w:szCs w:val="20"/>
          <w:color w:val="auto"/>
        </w:rPr>
      </w:pPr>
    </w:p>
    <w:p>
      <w:pPr>
        <w:ind w:left="440" w:hanging="432"/>
        <w:spacing w:after="0"/>
        <w:tabs>
          <w:tab w:leader="none" w:pos="440" w:val="left"/>
        </w:tabs>
        <w:numPr>
          <w:ilvl w:val="0"/>
          <w:numId w:val="272"/>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33" w:lineRule="exact"/>
        <w:rPr>
          <w:rFonts w:ascii="Arial" w:cs="Arial" w:eastAsia="Arial" w:hAnsi="Arial"/>
          <w:sz w:val="22"/>
          <w:szCs w:val="22"/>
          <w:b w:val="1"/>
          <w:bCs w:val="1"/>
          <w:color w:val="auto"/>
        </w:rPr>
      </w:pPr>
    </w:p>
    <w:p>
      <w:pPr>
        <w:ind w:left="880" w:hanging="440"/>
        <w:spacing w:after="0" w:line="256" w:lineRule="auto"/>
        <w:tabs>
          <w:tab w:leader="none" w:pos="880" w:val="left"/>
        </w:tabs>
        <w:numPr>
          <w:ilvl w:val="1"/>
          <w:numId w:val="2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 Person, any other Person that, directly or indirectly, Controls, is Controlled by or is under common Control with such Person.</w:t>
      </w:r>
    </w:p>
    <w:p>
      <w:pPr>
        <w:spacing w:after="0" w:line="189" w:lineRule="exact"/>
        <w:rPr>
          <w:rFonts w:ascii="Arial" w:cs="Arial" w:eastAsia="Arial" w:hAnsi="Arial"/>
          <w:sz w:val="22"/>
          <w:szCs w:val="22"/>
          <w:color w:val="auto"/>
        </w:rPr>
      </w:pPr>
    </w:p>
    <w:p>
      <w:pPr>
        <w:ind w:left="880" w:right="80" w:hanging="440"/>
        <w:spacing w:after="0" w:line="334" w:lineRule="auto"/>
        <w:tabs>
          <w:tab w:leader="none" w:pos="880" w:val="left"/>
        </w:tabs>
        <w:numPr>
          <w:ilvl w:val="1"/>
          <w:numId w:val="2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Annual Gross Merchandise Value</w:t>
      </w:r>
      <w:r>
        <w:rPr>
          <w:rFonts w:ascii="Arial" w:cs="Arial" w:eastAsia="Arial" w:hAnsi="Arial"/>
          <w:sz w:val="19"/>
          <w:szCs w:val="19"/>
          <w:color w:val="auto"/>
        </w:rPr>
        <w:t>” or “</w:t>
      </w:r>
      <w:r>
        <w:rPr>
          <w:rFonts w:ascii="Arial" w:cs="Arial" w:eastAsia="Arial" w:hAnsi="Arial"/>
          <w:sz w:val="19"/>
          <w:szCs w:val="19"/>
          <w:b w:val="1"/>
          <w:bCs w:val="1"/>
          <w:color w:val="auto"/>
        </w:rPr>
        <w:t>Annual GMV</w:t>
      </w:r>
      <w:r>
        <w:rPr>
          <w:rFonts w:ascii="Arial" w:cs="Arial" w:eastAsia="Arial" w:hAnsi="Arial"/>
          <w:sz w:val="19"/>
          <w:szCs w:val="19"/>
          <w:color w:val="auto"/>
        </w:rPr>
        <w:t>” means total amounts of forecasted gross merchandise value for any business in relation to Tencent’s e-commerce business of a brand partner within a specific year.</w:t>
      </w:r>
    </w:p>
    <w:p>
      <w:pPr>
        <w:spacing w:after="0" w:line="120" w:lineRule="exact"/>
        <w:rPr>
          <w:rFonts w:ascii="Arial" w:cs="Arial" w:eastAsia="Arial" w:hAnsi="Arial"/>
          <w:sz w:val="19"/>
          <w:szCs w:val="19"/>
          <w:color w:val="auto"/>
        </w:rPr>
      </w:pPr>
    </w:p>
    <w:p>
      <w:pPr>
        <w:ind w:left="880" w:hanging="440"/>
        <w:spacing w:after="0"/>
        <w:tabs>
          <w:tab w:leader="none" w:pos="880" w:val="left"/>
        </w:tabs>
        <w:numPr>
          <w:ilvl w:val="1"/>
          <w:numId w:val="2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Category A Brand Partners</w:t>
      </w:r>
      <w:r>
        <w:rPr>
          <w:rFonts w:ascii="Arial" w:cs="Arial" w:eastAsia="Arial" w:hAnsi="Arial"/>
          <w:sz w:val="19"/>
          <w:szCs w:val="19"/>
          <w:color w:val="auto"/>
        </w:rPr>
        <w:t>” means brand partners whose Annual GMV equals to or exceeds RMB30 million.</w:t>
      </w:r>
    </w:p>
    <w:p>
      <w:pPr>
        <w:spacing w:after="0" w:line="267" w:lineRule="exact"/>
        <w:rPr>
          <w:rFonts w:ascii="Arial" w:cs="Arial" w:eastAsia="Arial" w:hAnsi="Arial"/>
          <w:sz w:val="19"/>
          <w:szCs w:val="19"/>
          <w:color w:val="auto"/>
        </w:rPr>
      </w:pPr>
    </w:p>
    <w:p>
      <w:pPr>
        <w:ind w:left="880" w:hanging="440"/>
        <w:spacing w:after="0"/>
        <w:tabs>
          <w:tab w:leader="none" w:pos="880" w:val="left"/>
        </w:tabs>
        <w:numPr>
          <w:ilvl w:val="1"/>
          <w:numId w:val="272"/>
        </w:numPr>
        <w:rPr>
          <w:rFonts w:ascii="Arial" w:cs="Arial" w:eastAsia="Arial" w:hAnsi="Arial"/>
          <w:sz w:val="22"/>
          <w:szCs w:val="22"/>
          <w:color w:val="auto"/>
        </w:rPr>
      </w:pPr>
      <w:r>
        <w:rPr>
          <w:rFonts w:ascii="Arial" w:cs="Arial" w:eastAsia="Arial" w:hAnsi="Arial"/>
          <w:sz w:val="22"/>
          <w:szCs w:val="22"/>
          <w:b w:val="1"/>
          <w:bCs w:val="1"/>
          <w:color w:val="auto"/>
        </w:rPr>
        <w:t>“Category B Brand Partners</w:t>
      </w:r>
      <w:r>
        <w:rPr>
          <w:rFonts w:ascii="Arial" w:cs="Arial" w:eastAsia="Arial" w:hAnsi="Arial"/>
          <w:sz w:val="22"/>
          <w:szCs w:val="22"/>
          <w:color w:val="auto"/>
        </w:rPr>
        <w:t>” means brand partners whose Annual GMV is less than RMB10 million.</w:t>
      </w:r>
    </w:p>
    <w:p>
      <w:pPr>
        <w:spacing w:after="0" w:line="233" w:lineRule="exact"/>
        <w:rPr>
          <w:rFonts w:ascii="Arial" w:cs="Arial" w:eastAsia="Arial" w:hAnsi="Arial"/>
          <w:sz w:val="22"/>
          <w:szCs w:val="22"/>
          <w:color w:val="auto"/>
        </w:rPr>
      </w:pPr>
    </w:p>
    <w:p>
      <w:pPr>
        <w:ind w:left="880" w:right="120" w:hanging="440"/>
        <w:spacing w:after="0" w:line="256" w:lineRule="auto"/>
        <w:tabs>
          <w:tab w:leader="none" w:pos="880" w:val="left"/>
        </w:tabs>
        <w:numPr>
          <w:ilvl w:val="1"/>
          <w:numId w:val="272"/>
        </w:numPr>
        <w:rPr>
          <w:rFonts w:ascii="Arial" w:cs="Arial" w:eastAsia="Arial" w:hAnsi="Arial"/>
          <w:sz w:val="22"/>
          <w:szCs w:val="22"/>
          <w:color w:val="auto"/>
        </w:rPr>
      </w:pPr>
      <w:r>
        <w:rPr>
          <w:rFonts w:ascii="Arial" w:cs="Arial" w:eastAsia="Arial" w:hAnsi="Arial"/>
          <w:sz w:val="22"/>
          <w:szCs w:val="22"/>
          <w:b w:val="1"/>
          <w:bCs w:val="1"/>
          <w:color w:val="auto"/>
        </w:rPr>
        <w:t>“Category C Brand Partners</w:t>
      </w:r>
      <w:r>
        <w:rPr>
          <w:rFonts w:ascii="Arial" w:cs="Arial" w:eastAsia="Arial" w:hAnsi="Arial"/>
          <w:sz w:val="22"/>
          <w:szCs w:val="22"/>
          <w:color w:val="auto"/>
        </w:rPr>
        <w:t>” means brand partners whose Annual GMV equals to or exceed RMB10 million but is</w:t>
      </w:r>
      <w:r>
        <w:rPr>
          <w:rFonts w:ascii="Arial" w:cs="Arial" w:eastAsia="Arial" w:hAnsi="Arial"/>
          <w:sz w:val="22"/>
          <w:szCs w:val="22"/>
          <w:b w:val="1"/>
          <w:bCs w:val="1"/>
          <w:color w:val="auto"/>
        </w:rPr>
        <w:t xml:space="preserve"> </w:t>
      </w:r>
      <w:r>
        <w:rPr>
          <w:rFonts w:ascii="Arial" w:cs="Arial" w:eastAsia="Arial" w:hAnsi="Arial"/>
          <w:sz w:val="22"/>
          <w:szCs w:val="22"/>
          <w:color w:val="auto"/>
        </w:rPr>
        <w:t>less than RMB30 million.</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847" w:right="399" w:bottom="1440" w:gutter="0" w:footer="0" w:header="0"/>
        </w:sectPr>
      </w:pPr>
    </w:p>
    <w:bookmarkStart w:id="229" w:name="page230"/>
    <w:bookmarkEnd w:id="229"/>
    <w:p>
      <w:pPr>
        <w:ind w:left="872" w:right="40" w:hanging="440"/>
        <w:spacing w:after="0" w:line="280" w:lineRule="auto"/>
        <w:tabs>
          <w:tab w:leader="none" w:pos="872" w:val="left"/>
        </w:tabs>
        <w:numPr>
          <w:ilvl w:val="0"/>
          <w:numId w:val="273"/>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t>“</w:t>
      </w:r>
      <w:r>
        <w:rPr>
          <w:rFonts w:ascii="Arial" w:cs="Arial" w:eastAsia="Arial" w:hAnsi="Arial"/>
          <w:sz w:val="19"/>
          <w:szCs w:val="19"/>
          <w:b w:val="1"/>
          <w:bCs w:val="1"/>
          <w:color w:val="auto"/>
        </w:rPr>
        <w:t>Control</w:t>
      </w:r>
      <w:r>
        <w:rPr>
          <w:rFonts w:ascii="Arial" w:cs="Arial" w:eastAsia="Arial" w:hAnsi="Arial"/>
          <w:sz w:val="19"/>
          <w:szCs w:val="19"/>
          <w:color w:val="auto"/>
        </w:rPr>
        <w:t>” of a given Person means the power or authority, whether exercised or not, to direct the business, management and policies of such Person, directly or indirectly, whether through the ownership of voting securities, by contract or otherwise, which power or authority shall conclusively be presumed to exist upon possession of beneficial ownership or power to direct the vote of more than fifty percent (50%) of the votes entitled to be cast at a meeting of the members or shareholders of such Person or power to control the composition of a majority of the board of directors of such Person; the term “Controlled” has the meaning correlative to the foregoing.</w:t>
      </w:r>
    </w:p>
    <w:p>
      <w:pPr>
        <w:spacing w:after="0" w:line="279" w:lineRule="exact"/>
        <w:rPr>
          <w:rFonts w:ascii="Arial" w:cs="Arial" w:eastAsia="Arial" w:hAnsi="Arial"/>
          <w:sz w:val="19"/>
          <w:szCs w:val="19"/>
          <w:color w:val="auto"/>
        </w:rPr>
      </w:pPr>
    </w:p>
    <w:p>
      <w:pPr>
        <w:ind w:left="872" w:right="200" w:hanging="440"/>
        <w:spacing w:after="0" w:line="243" w:lineRule="auto"/>
        <w:tabs>
          <w:tab w:leader="none" w:pos="872" w:val="left"/>
        </w:tabs>
        <w:numPr>
          <w:ilvl w:val="0"/>
          <w:numId w:val="2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firm, corporation, partnership, proprietorship, association, limited liability company, firm, union, trust or estate or any other enterprise or entity or organization whether or not having separate legal existence.</w:t>
      </w:r>
    </w:p>
    <w:p>
      <w:pPr>
        <w:spacing w:after="0" w:line="311" w:lineRule="exact"/>
        <w:rPr>
          <w:rFonts w:ascii="Arial" w:cs="Arial" w:eastAsia="Arial" w:hAnsi="Arial"/>
          <w:sz w:val="22"/>
          <w:szCs w:val="22"/>
          <w:color w:val="auto"/>
        </w:rPr>
      </w:pPr>
    </w:p>
    <w:p>
      <w:pPr>
        <w:ind w:left="872" w:hanging="440"/>
        <w:spacing w:after="0"/>
        <w:tabs>
          <w:tab w:leader="none" w:pos="872" w:val="left"/>
        </w:tabs>
        <w:numPr>
          <w:ilvl w:val="0"/>
          <w:numId w:val="2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Cooperation Business</w:t>
      </w:r>
      <w:r>
        <w:rPr>
          <w:rFonts w:ascii="Arial" w:cs="Arial" w:eastAsia="Arial" w:hAnsi="Arial"/>
          <w:sz w:val="22"/>
          <w:szCs w:val="22"/>
          <w:color w:val="auto"/>
        </w:rPr>
        <w:t>” means business on Tencent’s e-commerce ecosystem.</w:t>
      </w:r>
    </w:p>
    <w:p>
      <w:pPr>
        <w:spacing w:after="0" w:line="233" w:lineRule="exact"/>
        <w:rPr>
          <w:rFonts w:ascii="Arial" w:cs="Arial" w:eastAsia="Arial" w:hAnsi="Arial"/>
          <w:sz w:val="22"/>
          <w:szCs w:val="22"/>
          <w:color w:val="auto"/>
        </w:rPr>
      </w:pPr>
    </w:p>
    <w:p>
      <w:pPr>
        <w:ind w:left="872" w:right="100" w:hanging="440"/>
        <w:spacing w:after="0" w:line="247" w:lineRule="auto"/>
        <w:tabs>
          <w:tab w:leader="none" w:pos="872" w:val="left"/>
        </w:tabs>
        <w:numPr>
          <w:ilvl w:val="0"/>
          <w:numId w:val="273"/>
        </w:numPr>
        <w:rPr>
          <w:rFonts w:ascii="Arial" w:cs="Arial" w:eastAsia="Arial" w:hAnsi="Arial"/>
          <w:sz w:val="21"/>
          <w:szCs w:val="21"/>
          <w:color w:val="auto"/>
        </w:rPr>
      </w:pPr>
      <w:r>
        <w:rPr>
          <w:rFonts w:ascii="Arial" w:cs="Arial" w:eastAsia="Arial" w:hAnsi="Arial"/>
          <w:sz w:val="21"/>
          <w:szCs w:val="21"/>
          <w:b w:val="1"/>
          <w:bCs w:val="1"/>
          <w:color w:val="auto"/>
        </w:rPr>
        <w:t xml:space="preserve">“Force Majeure” </w:t>
      </w:r>
      <w:r>
        <w:rPr>
          <w:rFonts w:ascii="Arial" w:cs="Arial" w:eastAsia="Arial" w:hAnsi="Arial"/>
          <w:sz w:val="21"/>
          <w:szCs w:val="21"/>
          <w:color w:val="auto"/>
        </w:rPr>
        <w:t>means occurrence of any event after the date of this Agreement which interferes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performance of all or any part of this Agreement by any of the Parties and is beyond the control, unavoidable, insurmountable, unresolvable by any of the Parties, and unforeseeable upon execution of this Agreement. Such event includes, among others, earthquake, typhoon, floods, pandemics, wars, international or domestic traffic interruption, breakdown of power, network, computer, communications and other systems, strikes (including lock-outs or industrial disturbances), labor disputes, government actions, orders from international or domestic courts. For avoidance of any doubt, such event will not constitute Force Majeure under this Agreement unless it is beyond the control of, unavoidable, insurmountable and unresolvable by the Parties.</w:t>
      </w:r>
    </w:p>
    <w:p>
      <w:pPr>
        <w:spacing w:after="0" w:line="198" w:lineRule="exact"/>
        <w:rPr>
          <w:rFonts w:ascii="Arial" w:cs="Arial" w:eastAsia="Arial" w:hAnsi="Arial"/>
          <w:sz w:val="21"/>
          <w:szCs w:val="21"/>
          <w:color w:val="auto"/>
        </w:rPr>
      </w:pPr>
    </w:p>
    <w:p>
      <w:pPr>
        <w:ind w:left="872" w:hanging="440"/>
        <w:spacing w:after="0" w:line="256" w:lineRule="auto"/>
        <w:tabs>
          <w:tab w:leader="none" w:pos="872" w:val="left"/>
        </w:tabs>
        <w:numPr>
          <w:ilvl w:val="0"/>
          <w:numId w:val="2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Period of Cooperation</w:t>
      </w:r>
      <w:r>
        <w:rPr>
          <w:rFonts w:ascii="Arial" w:cs="Arial" w:eastAsia="Arial" w:hAnsi="Arial"/>
          <w:sz w:val="22"/>
          <w:szCs w:val="22"/>
          <w:color w:val="auto"/>
        </w:rPr>
        <w:t>” means the period from the date of this Agreement to the third anniversary of the execution of this Agreement.</w:t>
      </w:r>
    </w:p>
    <w:p>
      <w:pPr>
        <w:spacing w:after="0" w:line="189" w:lineRule="exact"/>
        <w:rPr>
          <w:rFonts w:ascii="Arial" w:cs="Arial" w:eastAsia="Arial" w:hAnsi="Arial"/>
          <w:sz w:val="22"/>
          <w:szCs w:val="22"/>
          <w:color w:val="auto"/>
        </w:rPr>
      </w:pPr>
    </w:p>
    <w:p>
      <w:pPr>
        <w:ind w:left="872" w:right="540" w:hanging="440"/>
        <w:spacing w:after="0" w:line="256" w:lineRule="auto"/>
        <w:tabs>
          <w:tab w:leader="none" w:pos="872" w:val="left"/>
        </w:tabs>
        <w:numPr>
          <w:ilvl w:val="0"/>
          <w:numId w:val="2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Tencent</w:t>
      </w:r>
      <w:r>
        <w:rPr>
          <w:rFonts w:ascii="Arial" w:cs="Arial" w:eastAsia="Arial" w:hAnsi="Arial"/>
          <w:sz w:val="22"/>
          <w:szCs w:val="22"/>
          <w:color w:val="auto"/>
        </w:rPr>
        <w:t>” means Tencent Holdings Limited and its consolidated subsidiaries and variable interest entities and its subsidiaries.</w:t>
      </w:r>
    </w:p>
    <w:p>
      <w:pPr>
        <w:spacing w:after="0" w:line="189" w:lineRule="exact"/>
        <w:rPr>
          <w:sz w:val="20"/>
          <w:szCs w:val="20"/>
          <w:color w:val="auto"/>
        </w:rPr>
      </w:pPr>
    </w:p>
    <w:p>
      <w:pPr>
        <w:ind w:left="432" w:hanging="432"/>
        <w:spacing w:after="0"/>
        <w:tabs>
          <w:tab w:leader="none" w:pos="432" w:val="left"/>
        </w:tabs>
        <w:numPr>
          <w:ilvl w:val="0"/>
          <w:numId w:val="274"/>
        </w:numPr>
        <w:rPr>
          <w:rFonts w:ascii="Arial" w:cs="Arial" w:eastAsia="Arial" w:hAnsi="Arial"/>
          <w:sz w:val="22"/>
          <w:szCs w:val="22"/>
          <w:b w:val="1"/>
          <w:bCs w:val="1"/>
          <w:color w:val="auto"/>
        </w:rPr>
      </w:pPr>
      <w:r>
        <w:rPr>
          <w:rFonts w:ascii="Arial" w:cs="Arial" w:eastAsia="Arial" w:hAnsi="Arial"/>
          <w:sz w:val="22"/>
          <w:szCs w:val="22"/>
          <w:b w:val="1"/>
          <w:bCs w:val="1"/>
          <w:color w:val="auto"/>
        </w:rPr>
        <w:t>CONSENSUS BETWEEN BAOZUN AND ICLICK</w:t>
      </w:r>
    </w:p>
    <w:p>
      <w:pPr>
        <w:spacing w:after="0" w:line="239" w:lineRule="exact"/>
        <w:rPr>
          <w:sz w:val="20"/>
          <w:szCs w:val="20"/>
          <w:color w:val="auto"/>
        </w:rPr>
      </w:pPr>
    </w:p>
    <w:p>
      <w:pPr>
        <w:ind w:left="512" w:right="80" w:hanging="512"/>
        <w:spacing w:after="0" w:line="297" w:lineRule="auto"/>
        <w:tabs>
          <w:tab w:leader="none" w:pos="492"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Baozun and iClick share the same view on the huge potential for future growth of Tencent’s e-commerce ecosystem. The Parties have reached a consensus to form a business cooperation relating to Cooperation Business pursuant to the terms set forth in this Agreement to achieve a win-win situation during the Period of Cooperation.</w:t>
      </w:r>
    </w:p>
    <w:p>
      <w:pPr>
        <w:spacing w:after="0" w:line="161" w:lineRule="exact"/>
        <w:rPr>
          <w:sz w:val="20"/>
          <w:szCs w:val="20"/>
          <w:color w:val="auto"/>
        </w:rPr>
      </w:pPr>
    </w:p>
    <w:p>
      <w:pPr>
        <w:ind w:left="512" w:right="180" w:hanging="512"/>
        <w:spacing w:after="0" w:line="297" w:lineRule="auto"/>
        <w:tabs>
          <w:tab w:leader="none" w:pos="492"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Baozun and iClick shall cooperate to develop a full-cycle closed-loop e-commerce service model, based on the Software-as-a-Service (“SaaS”), covering but not limited to system development, IT services, digital marketing, stores operation, customer services and warehousing and fulfillment services to better serve potential brand partners.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92"/>
          </w:cols>
          <w:pgMar w:left="328" w:top="625" w:right="379" w:bottom="1440" w:gutter="0" w:footer="0" w:header="0"/>
        </w:sectPr>
      </w:pPr>
    </w:p>
    <w:bookmarkStart w:id="230" w:name="page231"/>
    <w:bookmarkEnd w:id="230"/>
    <w:p>
      <w:pPr>
        <w:ind w:left="512" w:right="240" w:hanging="512"/>
        <w:spacing w:after="0"/>
        <w:tabs>
          <w:tab w:leader="none" w:pos="492"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t>2.3.</w:t>
        <w:tab/>
        <w:t>Baozun and iClick will continue to maintain the cooperation relationship with their existing brand partners, respectively, and agree to discuss in good faith with each other on the future cooperation with such clients according to the terms set forth in this Agreement.</w:t>
      </w:r>
    </w:p>
    <w:p>
      <w:pPr>
        <w:spacing w:after="0" w:line="207" w:lineRule="exact"/>
        <w:rPr>
          <w:sz w:val="20"/>
          <w:szCs w:val="20"/>
          <w:color w:val="auto"/>
        </w:rPr>
      </w:pPr>
    </w:p>
    <w:p>
      <w:pPr>
        <w:ind w:left="432" w:right="3540" w:hanging="432"/>
        <w:spacing w:after="0" w:line="483" w:lineRule="auto"/>
        <w:tabs>
          <w:tab w:leader="none" w:pos="432" w:val="left"/>
        </w:tabs>
        <w:numPr>
          <w:ilvl w:val="0"/>
          <w:numId w:val="27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COOPERATION BUSINESS AND ALLOCATION OF RESPONSIBILITIES </w:t>
      </w:r>
      <w:r>
        <w:rPr>
          <w:rFonts w:ascii="Arial" w:cs="Arial" w:eastAsia="Arial" w:hAnsi="Arial"/>
          <w:sz w:val="21"/>
          <w:szCs w:val="21"/>
          <w:color w:val="auto"/>
        </w:rPr>
        <w:t>In connection with the Cooperation Business, the Parties agree as follows:</w:t>
      </w:r>
    </w:p>
    <w:p>
      <w:pPr>
        <w:ind w:left="512" w:right="240" w:hanging="512"/>
        <w:spacing w:after="0" w:line="260" w:lineRule="auto"/>
        <w:tabs>
          <w:tab w:leader="none" w:pos="492"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b w:val="1"/>
          <w:bCs w:val="1"/>
          <w:color w:val="auto"/>
        </w:rPr>
        <w:t xml:space="preserve">Establishing E-commerce Platform. </w:t>
      </w:r>
      <w:r>
        <w:rPr>
          <w:rFonts w:ascii="Arial" w:cs="Arial" w:eastAsia="Arial" w:hAnsi="Arial"/>
          <w:sz w:val="21"/>
          <w:szCs w:val="21"/>
          <w:color w:val="auto"/>
        </w:rPr>
        <w:t>iClick will be responsible to offer SaaS-based IT and system solutions (“E-commerce Platform Setup Services”) for any client who plans to establish its e-commerce infrastructure in the Tencent’s ecosystem. E-commerce Platform Setup Services include but are not limited to:</w:t>
      </w:r>
    </w:p>
    <w:p>
      <w:pPr>
        <w:spacing w:after="0" w:line="193" w:lineRule="exact"/>
        <w:rPr>
          <w:sz w:val="20"/>
          <w:szCs w:val="20"/>
          <w:color w:val="auto"/>
        </w:rPr>
      </w:pPr>
    </w:p>
    <w:p>
      <w:pPr>
        <w:ind w:left="1612" w:hanging="600"/>
        <w:spacing w:after="0"/>
        <w:tabs>
          <w:tab w:leader="none" w:pos="1612" w:val="left"/>
        </w:tabs>
        <w:numPr>
          <w:ilvl w:val="0"/>
          <w:numId w:val="276"/>
        </w:numPr>
        <w:rPr>
          <w:rFonts w:ascii="Arial" w:cs="Arial" w:eastAsia="Arial" w:hAnsi="Arial"/>
          <w:sz w:val="22"/>
          <w:szCs w:val="22"/>
          <w:color w:val="auto"/>
        </w:rPr>
      </w:pPr>
      <w:r>
        <w:rPr>
          <w:rFonts w:ascii="Arial" w:cs="Arial" w:eastAsia="Arial" w:hAnsi="Arial"/>
          <w:sz w:val="22"/>
          <w:szCs w:val="22"/>
          <w:color w:val="auto"/>
        </w:rPr>
        <w:t>store setup system;</w:t>
      </w:r>
    </w:p>
    <w:p>
      <w:pPr>
        <w:spacing w:after="0" w:line="233" w:lineRule="exact"/>
        <w:rPr>
          <w:rFonts w:ascii="Arial" w:cs="Arial" w:eastAsia="Arial" w:hAnsi="Arial"/>
          <w:sz w:val="22"/>
          <w:szCs w:val="22"/>
          <w:color w:val="auto"/>
        </w:rPr>
      </w:pPr>
    </w:p>
    <w:p>
      <w:pPr>
        <w:ind w:left="1612" w:hanging="600"/>
        <w:spacing w:after="0"/>
        <w:tabs>
          <w:tab w:leader="none" w:pos="1612" w:val="left"/>
        </w:tabs>
        <w:numPr>
          <w:ilvl w:val="0"/>
          <w:numId w:val="276"/>
        </w:numPr>
        <w:rPr>
          <w:rFonts w:ascii="Arial" w:cs="Arial" w:eastAsia="Arial" w:hAnsi="Arial"/>
          <w:sz w:val="22"/>
          <w:szCs w:val="22"/>
          <w:color w:val="auto"/>
        </w:rPr>
      </w:pPr>
      <w:r>
        <w:rPr>
          <w:rFonts w:ascii="Arial" w:cs="Arial" w:eastAsia="Arial" w:hAnsi="Arial"/>
          <w:sz w:val="22"/>
          <w:szCs w:val="22"/>
          <w:color w:val="auto"/>
        </w:rPr>
        <w:t>WeCom/WeChat-based Social CRM system;</w:t>
      </w:r>
    </w:p>
    <w:p>
      <w:pPr>
        <w:spacing w:after="0" w:line="233" w:lineRule="exact"/>
        <w:rPr>
          <w:rFonts w:ascii="Arial" w:cs="Arial" w:eastAsia="Arial" w:hAnsi="Arial"/>
          <w:sz w:val="22"/>
          <w:szCs w:val="22"/>
          <w:color w:val="auto"/>
        </w:rPr>
      </w:pPr>
    </w:p>
    <w:p>
      <w:pPr>
        <w:ind w:left="1612" w:hanging="600"/>
        <w:spacing w:after="0"/>
        <w:tabs>
          <w:tab w:leader="none" w:pos="1612" w:val="left"/>
        </w:tabs>
        <w:numPr>
          <w:ilvl w:val="0"/>
          <w:numId w:val="276"/>
        </w:numPr>
        <w:rPr>
          <w:rFonts w:ascii="Arial" w:cs="Arial" w:eastAsia="Arial" w:hAnsi="Arial"/>
          <w:sz w:val="22"/>
          <w:szCs w:val="22"/>
          <w:color w:val="auto"/>
        </w:rPr>
      </w:pPr>
      <w:r>
        <w:rPr>
          <w:rFonts w:ascii="Arial" w:cs="Arial" w:eastAsia="Arial" w:hAnsi="Arial"/>
          <w:sz w:val="22"/>
          <w:szCs w:val="22"/>
          <w:color w:val="auto"/>
        </w:rPr>
        <w:t>Tencent’s ecosystem-based customer data platform;</w:t>
      </w:r>
    </w:p>
    <w:p>
      <w:pPr>
        <w:spacing w:after="0" w:line="233" w:lineRule="exact"/>
        <w:rPr>
          <w:rFonts w:ascii="Arial" w:cs="Arial" w:eastAsia="Arial" w:hAnsi="Arial"/>
          <w:sz w:val="22"/>
          <w:szCs w:val="22"/>
          <w:color w:val="auto"/>
        </w:rPr>
      </w:pPr>
    </w:p>
    <w:p>
      <w:pPr>
        <w:ind w:left="1612" w:hanging="600"/>
        <w:spacing w:after="0"/>
        <w:tabs>
          <w:tab w:leader="none" w:pos="1612" w:val="left"/>
        </w:tabs>
        <w:numPr>
          <w:ilvl w:val="0"/>
          <w:numId w:val="276"/>
        </w:numPr>
        <w:rPr>
          <w:rFonts w:ascii="Arial" w:cs="Arial" w:eastAsia="Arial" w:hAnsi="Arial"/>
          <w:sz w:val="22"/>
          <w:szCs w:val="22"/>
          <w:color w:val="auto"/>
        </w:rPr>
      </w:pPr>
      <w:r>
        <w:rPr>
          <w:rFonts w:ascii="Arial" w:cs="Arial" w:eastAsia="Arial" w:hAnsi="Arial"/>
          <w:sz w:val="22"/>
          <w:szCs w:val="22"/>
          <w:color w:val="auto"/>
        </w:rPr>
        <w:t>marketing automation system; and</w:t>
      </w:r>
    </w:p>
    <w:p>
      <w:pPr>
        <w:spacing w:after="0" w:line="233" w:lineRule="exact"/>
        <w:rPr>
          <w:rFonts w:ascii="Arial" w:cs="Arial" w:eastAsia="Arial" w:hAnsi="Arial"/>
          <w:sz w:val="22"/>
          <w:szCs w:val="22"/>
          <w:color w:val="auto"/>
        </w:rPr>
      </w:pPr>
    </w:p>
    <w:p>
      <w:pPr>
        <w:ind w:left="1612" w:right="640" w:hanging="600"/>
        <w:spacing w:after="0" w:line="250" w:lineRule="auto"/>
        <w:tabs>
          <w:tab w:leader="none" w:pos="1612" w:val="left"/>
        </w:tabs>
        <w:numPr>
          <w:ilvl w:val="0"/>
          <w:numId w:val="276"/>
        </w:numPr>
        <w:rPr>
          <w:rFonts w:ascii="Arial" w:cs="Arial" w:eastAsia="Arial" w:hAnsi="Arial"/>
          <w:sz w:val="22"/>
          <w:szCs w:val="22"/>
          <w:color w:val="auto"/>
        </w:rPr>
      </w:pPr>
      <w:r>
        <w:rPr>
          <w:rFonts w:ascii="Arial" w:cs="Arial" w:eastAsia="Arial" w:hAnsi="Arial"/>
          <w:sz w:val="22"/>
          <w:szCs w:val="22"/>
          <w:color w:val="auto"/>
        </w:rPr>
        <w:t>additional customization and technology implementation services (“Additional Services”) based on the aforementioned SaaS products.</w:t>
      </w:r>
    </w:p>
    <w:p>
      <w:pPr>
        <w:spacing w:after="0" w:line="202" w:lineRule="exact"/>
        <w:rPr>
          <w:sz w:val="20"/>
          <w:szCs w:val="20"/>
          <w:color w:val="auto"/>
        </w:rPr>
      </w:pPr>
    </w:p>
    <w:p>
      <w:pPr>
        <w:ind w:left="512"/>
        <w:spacing w:after="0" w:line="238" w:lineRule="auto"/>
        <w:rPr>
          <w:sz w:val="20"/>
          <w:szCs w:val="20"/>
          <w:color w:val="auto"/>
        </w:rPr>
      </w:pPr>
      <w:r>
        <w:rPr>
          <w:rFonts w:ascii="Arial" w:cs="Arial" w:eastAsia="Arial" w:hAnsi="Arial"/>
          <w:sz w:val="22"/>
          <w:szCs w:val="22"/>
          <w:color w:val="auto"/>
        </w:rPr>
        <w:t>Notwithstanding any of the foregoing, Baozun will reserve its rights to provide Additional Services for brand partners if so required by such brand partners; the exercise of such rights shall be subject to prior consultation with iClick, and Baozun will communicate with iClick in advance in good faith regarding the detailed arrangement in connection with these Additional Services.</w:t>
      </w:r>
    </w:p>
    <w:p>
      <w:pPr>
        <w:spacing w:after="0" w:line="206" w:lineRule="exact"/>
        <w:rPr>
          <w:sz w:val="20"/>
          <w:szCs w:val="20"/>
          <w:color w:val="auto"/>
        </w:rPr>
      </w:pPr>
    </w:p>
    <w:p>
      <w:pPr>
        <w:jc w:val="both"/>
        <w:ind w:left="512" w:right="60" w:hanging="512"/>
        <w:spacing w:after="0" w:line="260" w:lineRule="auto"/>
        <w:tabs>
          <w:tab w:leader="none" w:pos="492"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b w:val="1"/>
          <w:bCs w:val="1"/>
          <w:color w:val="auto"/>
        </w:rPr>
        <w:t xml:space="preserve">Online Operation and Services. </w:t>
      </w:r>
      <w:r>
        <w:rPr>
          <w:rFonts w:ascii="Arial" w:cs="Arial" w:eastAsia="Arial" w:hAnsi="Arial"/>
          <w:sz w:val="21"/>
          <w:szCs w:val="21"/>
          <w:color w:val="auto"/>
        </w:rPr>
        <w:t>Baozun will be responsible to provide online operation and services (“Online Operation</w:t>
      </w:r>
      <w:r>
        <w:rPr>
          <w:rFonts w:ascii="Arial" w:cs="Arial" w:eastAsia="Arial" w:hAnsi="Arial"/>
          <w:sz w:val="21"/>
          <w:szCs w:val="21"/>
          <w:b w:val="1"/>
          <w:bCs w:val="1"/>
          <w:color w:val="auto"/>
        </w:rPr>
        <w:t xml:space="preserve"> </w:t>
      </w:r>
      <w:r>
        <w:rPr>
          <w:rFonts w:ascii="Arial" w:cs="Arial" w:eastAsia="Arial" w:hAnsi="Arial"/>
          <w:sz w:val="21"/>
          <w:szCs w:val="21"/>
          <w:color w:val="auto"/>
        </w:rPr>
        <w:t>and Services”) for clients to fulfill clients’ demand in order generation and order fulfillment in Tencent’s ecosystem on the basis of online transactions. Online Operation and Services include but are not limited to:</w:t>
      </w:r>
    </w:p>
    <w:p>
      <w:pPr>
        <w:spacing w:after="0" w:line="193" w:lineRule="exact"/>
        <w:rPr>
          <w:sz w:val="20"/>
          <w:szCs w:val="20"/>
          <w:color w:val="auto"/>
        </w:rPr>
      </w:pPr>
    </w:p>
    <w:p>
      <w:pPr>
        <w:ind w:left="1612" w:hanging="600"/>
        <w:spacing w:after="0"/>
        <w:tabs>
          <w:tab w:leader="none" w:pos="1612" w:val="left"/>
        </w:tabs>
        <w:numPr>
          <w:ilvl w:val="0"/>
          <w:numId w:val="277"/>
        </w:numPr>
        <w:rPr>
          <w:rFonts w:ascii="Arial" w:cs="Arial" w:eastAsia="Arial" w:hAnsi="Arial"/>
          <w:sz w:val="22"/>
          <w:szCs w:val="22"/>
          <w:color w:val="auto"/>
        </w:rPr>
      </w:pPr>
      <w:r>
        <w:rPr>
          <w:rFonts w:ascii="Arial" w:cs="Arial" w:eastAsia="Arial" w:hAnsi="Arial"/>
          <w:sz w:val="22"/>
          <w:szCs w:val="22"/>
          <w:color w:val="auto"/>
        </w:rPr>
        <w:t>performance-based advertising;</w:t>
      </w:r>
    </w:p>
    <w:p>
      <w:pPr>
        <w:spacing w:after="0" w:line="233" w:lineRule="exact"/>
        <w:rPr>
          <w:rFonts w:ascii="Arial" w:cs="Arial" w:eastAsia="Arial" w:hAnsi="Arial"/>
          <w:sz w:val="22"/>
          <w:szCs w:val="22"/>
          <w:color w:val="auto"/>
        </w:rPr>
      </w:pPr>
    </w:p>
    <w:p>
      <w:pPr>
        <w:ind w:left="1612" w:hanging="600"/>
        <w:spacing w:after="0"/>
        <w:tabs>
          <w:tab w:leader="none" w:pos="1612" w:val="left"/>
        </w:tabs>
        <w:numPr>
          <w:ilvl w:val="0"/>
          <w:numId w:val="277"/>
        </w:numPr>
        <w:rPr>
          <w:rFonts w:ascii="Arial" w:cs="Arial" w:eastAsia="Arial" w:hAnsi="Arial"/>
          <w:sz w:val="22"/>
          <w:szCs w:val="22"/>
          <w:color w:val="auto"/>
        </w:rPr>
      </w:pPr>
      <w:r>
        <w:rPr>
          <w:rFonts w:ascii="Arial" w:cs="Arial" w:eastAsia="Arial" w:hAnsi="Arial"/>
          <w:sz w:val="22"/>
          <w:szCs w:val="22"/>
          <w:color w:val="auto"/>
        </w:rPr>
        <w:t>online-store operation, including product and consumer operations;</w:t>
      </w:r>
    </w:p>
    <w:p>
      <w:pPr>
        <w:spacing w:after="0" w:line="233" w:lineRule="exact"/>
        <w:rPr>
          <w:rFonts w:ascii="Arial" w:cs="Arial" w:eastAsia="Arial" w:hAnsi="Arial"/>
          <w:sz w:val="22"/>
          <w:szCs w:val="22"/>
          <w:color w:val="auto"/>
        </w:rPr>
      </w:pPr>
    </w:p>
    <w:p>
      <w:pPr>
        <w:ind w:left="1612" w:hanging="600"/>
        <w:spacing w:after="0"/>
        <w:tabs>
          <w:tab w:leader="none" w:pos="1612" w:val="left"/>
        </w:tabs>
        <w:numPr>
          <w:ilvl w:val="0"/>
          <w:numId w:val="277"/>
        </w:numPr>
        <w:rPr>
          <w:rFonts w:ascii="Arial" w:cs="Arial" w:eastAsia="Arial" w:hAnsi="Arial"/>
          <w:sz w:val="22"/>
          <w:szCs w:val="22"/>
          <w:color w:val="auto"/>
        </w:rPr>
      </w:pPr>
      <w:r>
        <w:rPr>
          <w:rFonts w:ascii="Arial" w:cs="Arial" w:eastAsia="Arial" w:hAnsi="Arial"/>
          <w:sz w:val="22"/>
          <w:szCs w:val="22"/>
          <w:color w:val="auto"/>
        </w:rPr>
        <w:t>customer service;</w:t>
      </w:r>
    </w:p>
    <w:p>
      <w:pPr>
        <w:spacing w:after="0" w:line="233" w:lineRule="exact"/>
        <w:rPr>
          <w:rFonts w:ascii="Arial" w:cs="Arial" w:eastAsia="Arial" w:hAnsi="Arial"/>
          <w:sz w:val="22"/>
          <w:szCs w:val="22"/>
          <w:color w:val="auto"/>
        </w:rPr>
      </w:pPr>
    </w:p>
    <w:p>
      <w:pPr>
        <w:ind w:left="1612" w:hanging="600"/>
        <w:spacing w:after="0"/>
        <w:tabs>
          <w:tab w:leader="none" w:pos="1612" w:val="left"/>
        </w:tabs>
        <w:numPr>
          <w:ilvl w:val="0"/>
          <w:numId w:val="277"/>
        </w:numPr>
        <w:rPr>
          <w:rFonts w:ascii="Arial" w:cs="Arial" w:eastAsia="Arial" w:hAnsi="Arial"/>
          <w:sz w:val="22"/>
          <w:szCs w:val="22"/>
          <w:color w:val="auto"/>
        </w:rPr>
      </w:pPr>
      <w:r>
        <w:rPr>
          <w:rFonts w:ascii="Arial" w:cs="Arial" w:eastAsia="Arial" w:hAnsi="Arial"/>
          <w:sz w:val="22"/>
          <w:szCs w:val="22"/>
          <w:color w:val="auto"/>
        </w:rPr>
        <w:t>warehousing and fulfillment; and</w:t>
      </w:r>
    </w:p>
    <w:p>
      <w:pPr>
        <w:spacing w:after="0" w:line="233" w:lineRule="exact"/>
        <w:rPr>
          <w:rFonts w:ascii="Arial" w:cs="Arial" w:eastAsia="Arial" w:hAnsi="Arial"/>
          <w:sz w:val="22"/>
          <w:szCs w:val="22"/>
          <w:color w:val="auto"/>
        </w:rPr>
      </w:pPr>
    </w:p>
    <w:p>
      <w:pPr>
        <w:ind w:left="1612" w:hanging="600"/>
        <w:spacing w:after="0"/>
        <w:tabs>
          <w:tab w:leader="none" w:pos="1612" w:val="left"/>
        </w:tabs>
        <w:numPr>
          <w:ilvl w:val="0"/>
          <w:numId w:val="277"/>
        </w:numPr>
        <w:rPr>
          <w:rFonts w:ascii="Arial" w:cs="Arial" w:eastAsia="Arial" w:hAnsi="Arial"/>
          <w:sz w:val="22"/>
          <w:szCs w:val="22"/>
          <w:color w:val="auto"/>
        </w:rPr>
      </w:pPr>
      <w:r>
        <w:rPr>
          <w:rFonts w:ascii="Arial" w:cs="Arial" w:eastAsia="Arial" w:hAnsi="Arial"/>
          <w:sz w:val="22"/>
          <w:szCs w:val="22"/>
          <w:color w:val="auto"/>
        </w:rPr>
        <w:t>back-end systems, such as OMS, WMS, ROSS, selling machines and other retail operation tools.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52"/>
          </w:cols>
          <w:pgMar w:left="328" w:top="604" w:right="419" w:bottom="1440" w:gutter="0" w:footer="0" w:header="0"/>
        </w:sectPr>
      </w:pPr>
    </w:p>
    <w:bookmarkStart w:id="231" w:name="page232"/>
    <w:bookmarkEnd w:id="231"/>
    <w:p>
      <w:pPr>
        <w:ind w:left="520" w:hanging="512"/>
        <w:spacing w:after="0" w:line="235" w:lineRule="auto"/>
        <w:tabs>
          <w:tab w:leader="none" w:pos="50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t>3.3.</w:t>
      </w:r>
      <w:r>
        <w:rPr>
          <w:sz w:val="20"/>
          <w:szCs w:val="20"/>
          <w:color w:val="auto"/>
        </w:rPr>
        <w:tab/>
      </w:r>
      <w:r>
        <w:rPr>
          <w:rFonts w:ascii="Arial" w:cs="Arial" w:eastAsia="Arial" w:hAnsi="Arial"/>
          <w:sz w:val="22"/>
          <w:szCs w:val="22"/>
          <w:b w:val="1"/>
          <w:bCs w:val="1"/>
          <w:color w:val="auto"/>
        </w:rPr>
        <w:t xml:space="preserve">Jointly Developing Traffic Platforms within Tencent’s Ecosystem. </w:t>
      </w:r>
      <w:r>
        <w:rPr>
          <w:rFonts w:ascii="Arial" w:cs="Arial" w:eastAsia="Arial" w:hAnsi="Arial"/>
          <w:sz w:val="22"/>
          <w:szCs w:val="22"/>
          <w:color w:val="auto"/>
        </w:rPr>
        <w:t>Baozun and iClick shall work together to build traffic</w:t>
      </w:r>
      <w:r>
        <w:rPr>
          <w:rFonts w:ascii="Arial" w:cs="Arial" w:eastAsia="Arial" w:hAnsi="Arial"/>
          <w:sz w:val="22"/>
          <w:szCs w:val="22"/>
          <w:b w:val="1"/>
          <w:bCs w:val="1"/>
          <w:color w:val="auto"/>
        </w:rPr>
        <w:t xml:space="preserve"> </w:t>
      </w:r>
      <w:r>
        <w:rPr>
          <w:rFonts w:ascii="Arial" w:cs="Arial" w:eastAsia="Arial" w:hAnsi="Arial"/>
          <w:sz w:val="22"/>
          <w:szCs w:val="22"/>
          <w:color w:val="auto"/>
        </w:rPr>
        <w:t>platforms jointly owned by Baozun and iClick within Tencent’s ecosystem. The purpose of such platform is to integrate the public traffic accessible to Baozun and iClick, and complement it with private traffic of the platforms jointly owned by Baozun and iClick to attract new and existing brand partners to Tencent’s ecosystem and achieve economies of scales. Leveraging effective utilization of the consumer data collected from multiple channels by both Parties in full compliance with applicable laws and regulations, this platform is expected to benefit brand customers with effective allocation and distribution of traffic.</w:t>
      </w:r>
    </w:p>
    <w:p>
      <w:pPr>
        <w:spacing w:after="0" w:line="210" w:lineRule="exact"/>
        <w:rPr>
          <w:sz w:val="20"/>
          <w:szCs w:val="20"/>
          <w:color w:val="auto"/>
        </w:rPr>
      </w:pPr>
    </w:p>
    <w:p>
      <w:pPr>
        <w:ind w:left="440" w:hanging="432"/>
        <w:spacing w:after="0"/>
        <w:tabs>
          <w:tab w:leader="none" w:pos="440" w:val="left"/>
        </w:tabs>
        <w:numPr>
          <w:ilvl w:val="0"/>
          <w:numId w:val="278"/>
        </w:numPr>
        <w:rPr>
          <w:rFonts w:ascii="Arial" w:cs="Arial" w:eastAsia="Arial" w:hAnsi="Arial"/>
          <w:sz w:val="22"/>
          <w:szCs w:val="22"/>
          <w:b w:val="1"/>
          <w:bCs w:val="1"/>
          <w:color w:val="auto"/>
        </w:rPr>
      </w:pPr>
      <w:r>
        <w:rPr>
          <w:rFonts w:ascii="Arial" w:cs="Arial" w:eastAsia="Arial" w:hAnsi="Arial"/>
          <w:sz w:val="22"/>
          <w:szCs w:val="22"/>
          <w:b w:val="1"/>
          <w:bCs w:val="1"/>
          <w:color w:val="auto"/>
        </w:rPr>
        <w:t>COOPERATION MECHANISM</w:t>
      </w:r>
    </w:p>
    <w:p>
      <w:pPr>
        <w:spacing w:after="0" w:line="233"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Business Cooperation Arrangements</w:t>
      </w:r>
    </w:p>
    <w:p>
      <w:pPr>
        <w:spacing w:after="0" w:line="239" w:lineRule="exact"/>
        <w:rPr>
          <w:sz w:val="20"/>
          <w:szCs w:val="20"/>
          <w:color w:val="auto"/>
        </w:rPr>
      </w:pPr>
    </w:p>
    <w:p>
      <w:pPr>
        <w:ind w:left="1620" w:right="100" w:hanging="600"/>
        <w:spacing w:after="0" w:line="250" w:lineRule="auto"/>
        <w:tabs>
          <w:tab w:leader="none" w:pos="162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Creation of Solution Package. Baozun and iClick shall work closely to create a full-cycle closed-loop solution package to be delivered to potential brand partners.</w:t>
      </w:r>
    </w:p>
    <w:p>
      <w:pPr>
        <w:spacing w:after="0" w:line="201" w:lineRule="exact"/>
        <w:rPr>
          <w:rFonts w:ascii="Arial" w:cs="Arial" w:eastAsia="Arial" w:hAnsi="Arial"/>
          <w:sz w:val="22"/>
          <w:szCs w:val="22"/>
          <w:color w:val="auto"/>
        </w:rPr>
      </w:pPr>
    </w:p>
    <w:p>
      <w:pPr>
        <w:ind w:left="1620" w:right="200" w:hanging="600"/>
        <w:spacing w:after="0" w:line="282" w:lineRule="auto"/>
        <w:tabs>
          <w:tab w:leader="none" w:pos="162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Routine Communication. Baozun and iClick shall each designate a working team with at least two key members to maintain a bi-weekly communication mechanism and, to the extent permitted by applicable laws and regulations, subject to any confidentiality obligations, transparently share potential projects and clients pipeline in the ecosystem of Tencent with each other; any such confidentiality obligations to any third party shall be agreed by the relevant Party with such third party in good faith.</w:t>
      </w:r>
    </w:p>
    <w:p>
      <w:pPr>
        <w:spacing w:after="0" w:line="174" w:lineRule="exact"/>
        <w:rPr>
          <w:rFonts w:ascii="Arial" w:cs="Arial" w:eastAsia="Arial" w:hAnsi="Arial"/>
          <w:sz w:val="19"/>
          <w:szCs w:val="19"/>
          <w:color w:val="auto"/>
        </w:rPr>
      </w:pPr>
    </w:p>
    <w:p>
      <w:pPr>
        <w:ind w:left="1620" w:right="100" w:hanging="600"/>
        <w:spacing w:after="0" w:line="279" w:lineRule="auto"/>
        <w:tabs>
          <w:tab w:leader="none" w:pos="162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Client Arrangements. Baozun shall lead the business development, cooperation and negotiation and execution of business agreements with Category A Brand Partners in connection with the Cooperation Business, while iClick shall lead the business development, cooperation and negotiation and execution of business agreements with Category B Brand Partners in connection with the Cooperation Business. Baozun will also take the lead, in principle, in the aforementioned activities with Category C Brand Partners in connection with the Cooperation Business and will discuss with iClick in a good faith on relevant arrangements.</w:t>
      </w:r>
    </w:p>
    <w:p>
      <w:pPr>
        <w:spacing w:after="0" w:line="177" w:lineRule="exact"/>
        <w:rPr>
          <w:rFonts w:ascii="Arial" w:cs="Arial" w:eastAsia="Arial" w:hAnsi="Arial"/>
          <w:sz w:val="19"/>
          <w:szCs w:val="19"/>
          <w:color w:val="auto"/>
        </w:rPr>
      </w:pPr>
    </w:p>
    <w:p>
      <w:pPr>
        <w:ind w:left="1620" w:right="80" w:hanging="600"/>
        <w:spacing w:after="0" w:line="248" w:lineRule="auto"/>
        <w:tabs>
          <w:tab w:leader="none" w:pos="1620" w:val="left"/>
        </w:tabs>
        <w:numPr>
          <w:ilvl w:val="0"/>
          <w:numId w:val="279"/>
        </w:numPr>
        <w:rPr>
          <w:rFonts w:ascii="Arial" w:cs="Arial" w:eastAsia="Arial" w:hAnsi="Arial"/>
          <w:sz w:val="21"/>
          <w:szCs w:val="21"/>
          <w:color w:val="auto"/>
        </w:rPr>
      </w:pPr>
      <w:r>
        <w:rPr>
          <w:rFonts w:ascii="Arial" w:cs="Arial" w:eastAsia="Arial" w:hAnsi="Arial"/>
          <w:sz w:val="21"/>
          <w:szCs w:val="21"/>
          <w:color w:val="auto"/>
        </w:rPr>
        <w:t>Subcontractor Arrangement. To the extent permitted by applicable laws and regulations, subject to any confidentiality obligations, Baozun and iClick both agree to share relevant opportunities and discuss in good faith with the other Party on the subcontracting arrangements if any of them signs any agreements with clients in relation to the services or products included in the Cooperation Business unless otherwise required by the brand partner(s); any such confidentiality obligations to any third party shall be agreed by the relevant Party with such third party in good faith. Specifically:</w:t>
      </w:r>
    </w:p>
    <w:p>
      <w:pPr>
        <w:spacing w:after="0" w:line="203" w:lineRule="exact"/>
        <w:rPr>
          <w:rFonts w:ascii="Arial" w:cs="Arial" w:eastAsia="Arial" w:hAnsi="Arial"/>
          <w:sz w:val="21"/>
          <w:szCs w:val="21"/>
          <w:color w:val="auto"/>
        </w:rPr>
      </w:pPr>
    </w:p>
    <w:p>
      <w:pPr>
        <w:ind w:left="2280" w:right="160" w:hanging="436"/>
        <w:spacing w:after="0" w:line="250" w:lineRule="auto"/>
        <w:tabs>
          <w:tab w:leader="none" w:pos="2280" w:val="left"/>
        </w:tabs>
        <w:numPr>
          <w:ilvl w:val="1"/>
          <w:numId w:val="279"/>
        </w:numPr>
        <w:rPr>
          <w:rFonts w:ascii="Arial" w:cs="Arial" w:eastAsia="Arial" w:hAnsi="Arial"/>
          <w:sz w:val="22"/>
          <w:szCs w:val="22"/>
          <w:color w:val="auto"/>
        </w:rPr>
      </w:pPr>
      <w:r>
        <w:rPr>
          <w:rFonts w:ascii="Arial" w:cs="Arial" w:eastAsia="Arial" w:hAnsi="Arial"/>
          <w:sz w:val="22"/>
          <w:szCs w:val="22"/>
          <w:color w:val="auto"/>
        </w:rPr>
        <w:t>Baozun shall subcontract E-commerce Platform Setup Services to iClick if Baozun signs any services agreements in connection with the Cooperation Business.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232" w:name="page233"/>
    <w:bookmarkEnd w:id="232"/>
    <w:p>
      <w:pPr>
        <w:ind w:left="2280" w:right="980" w:hanging="436"/>
        <w:spacing w:after="0" w:line="250" w:lineRule="auto"/>
        <w:tabs>
          <w:tab w:leader="none" w:pos="2280" w:val="left"/>
        </w:tabs>
        <w:numPr>
          <w:ilvl w:val="0"/>
          <w:numId w:val="280"/>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t>iClick shall subcontract Online Operation and Services to Baozun if iClick signs any service agreements in connection with the Cooperation Business.</w:t>
      </w:r>
    </w:p>
    <w:p>
      <w:pPr>
        <w:spacing w:after="0" w:line="19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color w:val="auto"/>
        </w:rPr>
        <w:t>Technology Integration and Cooperation</w:t>
      </w:r>
    </w:p>
    <w:p>
      <w:pPr>
        <w:spacing w:after="0" w:line="239" w:lineRule="exact"/>
        <w:rPr>
          <w:sz w:val="20"/>
          <w:szCs w:val="20"/>
          <w:color w:val="auto"/>
        </w:rPr>
      </w:pPr>
    </w:p>
    <w:p>
      <w:pPr>
        <w:ind w:left="1620" w:hanging="600"/>
        <w:spacing w:after="0" w:line="236" w:lineRule="auto"/>
        <w:tabs>
          <w:tab w:leader="none" w:pos="162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Baozun and iClick IT teams shall routinely work together to open the application programming interfaces (“API”) in order to integrate the front-end and back-end operating systems in the Cooperation Business. iClick shall be mainly responsible for the development of SaaS-based front-end functions, and Baozun shall be mainly responsible for development of back-end functions in relation to the order-based transaction, generation and fulfillment platform.</w:t>
      </w:r>
    </w:p>
    <w:p>
      <w:pPr>
        <w:spacing w:after="0" w:line="214" w:lineRule="exact"/>
        <w:rPr>
          <w:rFonts w:ascii="Arial" w:cs="Arial" w:eastAsia="Arial" w:hAnsi="Arial"/>
          <w:sz w:val="22"/>
          <w:szCs w:val="22"/>
          <w:color w:val="auto"/>
        </w:rPr>
      </w:pPr>
    </w:p>
    <w:p>
      <w:pPr>
        <w:ind w:left="1620" w:right="160" w:hanging="600"/>
        <w:spacing w:after="0" w:line="249" w:lineRule="auto"/>
        <w:tabs>
          <w:tab w:leader="none" w:pos="1620" w:val="left"/>
        </w:tabs>
        <w:numPr>
          <w:ilvl w:val="0"/>
          <w:numId w:val="281"/>
        </w:numPr>
        <w:rPr>
          <w:rFonts w:ascii="Arial" w:cs="Arial" w:eastAsia="Arial" w:hAnsi="Arial"/>
          <w:sz w:val="21"/>
          <w:szCs w:val="21"/>
          <w:color w:val="auto"/>
        </w:rPr>
      </w:pPr>
      <w:r>
        <w:rPr>
          <w:rFonts w:ascii="Arial" w:cs="Arial" w:eastAsia="Arial" w:hAnsi="Arial"/>
          <w:sz w:val="21"/>
          <w:szCs w:val="21"/>
          <w:color w:val="auto"/>
        </w:rPr>
        <w:t>Reserved Rights. To ensure the integration of future developed technologies, functions or platforms, to the extent permitted by applicable laws and regulations, subject to any confidentiality obligations, Baozun is entitled to the rights to review and provide advice to any technologies or tools developed by iClick in relation to the services or products provided in this Agreement; any such confidentiality obligations to any third party shall be agreed by the relevant Party with such third party in good faith.</w:t>
      </w:r>
    </w:p>
    <w:p>
      <w:pPr>
        <w:spacing w:after="0" w:line="199" w:lineRule="exact"/>
        <w:rPr>
          <w:sz w:val="20"/>
          <w:szCs w:val="20"/>
          <w:color w:val="auto"/>
        </w:rPr>
      </w:pPr>
    </w:p>
    <w:p>
      <w:pPr>
        <w:jc w:val="both"/>
        <w:ind w:left="520" w:right="420" w:hanging="512"/>
        <w:spacing w:after="0" w:line="300" w:lineRule="auto"/>
        <w:tabs>
          <w:tab w:leader="none" w:pos="50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color w:val="auto"/>
        </w:rPr>
        <w:t xml:space="preserve">Establishment of Platform Jointly Owned by the Parties. </w:t>
      </w:r>
      <w:r>
        <w:rPr>
          <w:rFonts w:ascii="Arial" w:cs="Arial" w:eastAsia="Arial" w:hAnsi="Arial"/>
          <w:sz w:val="19"/>
          <w:szCs w:val="19"/>
          <w:color w:val="auto"/>
        </w:rPr>
        <w:t>Baozun and iClick shall work closely on the research and</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for purposes of establishing any platform in connection with the Cooperation Business that will be jointly owned by Baozun and iClick in the future. The platform may include but is not limited to:</w:t>
      </w:r>
    </w:p>
    <w:p>
      <w:pPr>
        <w:spacing w:after="0" w:line="159" w:lineRule="exact"/>
        <w:rPr>
          <w:sz w:val="20"/>
          <w:szCs w:val="20"/>
          <w:color w:val="auto"/>
        </w:rPr>
      </w:pPr>
    </w:p>
    <w:p>
      <w:pPr>
        <w:ind w:left="1620" w:hanging="600"/>
        <w:spacing w:after="0"/>
        <w:tabs>
          <w:tab w:leader="none" w:pos="162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traffic management and targeted advertising platform, primarily based on Tencent’s ecosystem;</w:t>
      </w:r>
    </w:p>
    <w:p>
      <w:pPr>
        <w:spacing w:after="0" w:line="233" w:lineRule="exact"/>
        <w:rPr>
          <w:rFonts w:ascii="Arial" w:cs="Arial" w:eastAsia="Arial" w:hAnsi="Arial"/>
          <w:sz w:val="22"/>
          <w:szCs w:val="22"/>
          <w:color w:val="auto"/>
        </w:rPr>
      </w:pPr>
    </w:p>
    <w:p>
      <w:pPr>
        <w:ind w:left="1620" w:right="60" w:hanging="600"/>
        <w:spacing w:after="0" w:line="297" w:lineRule="auto"/>
        <w:tabs>
          <w:tab w:leader="none" w:pos="162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efficient management, use and distribution mechanisms formulated and used for Cooperation Business with respect to traffic acquired by Parties, individually or jointly, through purchase, low-cost business development, testing, offline-to-online flows, in full compliance with applicable laws and regulations;</w:t>
      </w:r>
    </w:p>
    <w:p>
      <w:pPr>
        <w:spacing w:after="0" w:line="160" w:lineRule="exact"/>
        <w:rPr>
          <w:rFonts w:ascii="Arial" w:cs="Arial" w:eastAsia="Arial" w:hAnsi="Arial"/>
          <w:sz w:val="19"/>
          <w:szCs w:val="19"/>
          <w:color w:val="auto"/>
        </w:rPr>
      </w:pPr>
    </w:p>
    <w:p>
      <w:pPr>
        <w:ind w:left="1620" w:right="60" w:hanging="600"/>
        <w:spacing w:after="0" w:line="238" w:lineRule="auto"/>
        <w:tabs>
          <w:tab w:leader="none" w:pos="162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effective approaches researched and developed to optimizing the use of consumer data collected from multiple channels by both Parties in full compliance with applicable laws and regulations, which will guide the targeted advertising described in paragraph 4.3(a) and improve the data insights in connection with paragraph 3.1(c); and</w:t>
      </w:r>
    </w:p>
    <w:p>
      <w:pPr>
        <w:spacing w:after="0" w:line="211" w:lineRule="exact"/>
        <w:rPr>
          <w:rFonts w:ascii="Arial" w:cs="Arial" w:eastAsia="Arial" w:hAnsi="Arial"/>
          <w:sz w:val="22"/>
          <w:szCs w:val="22"/>
          <w:color w:val="auto"/>
        </w:rPr>
      </w:pPr>
    </w:p>
    <w:p>
      <w:pPr>
        <w:ind w:left="1620" w:right="140" w:hanging="600"/>
        <w:spacing w:after="0"/>
        <w:tabs>
          <w:tab w:leader="none" w:pos="162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reasonable, legal data application strategies and guidelines that are researched and established by Parties in compliance with industry standards and applicable laws and regulations, which will guide the implementation of 4.3(c).</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31" w:right="339" w:bottom="1440" w:gutter="0" w:footer="0" w:header="0"/>
        </w:sectPr>
      </w:pPr>
    </w:p>
    <w:bookmarkStart w:id="233" w:name="page234"/>
    <w:bookmarkEnd w:id="233"/>
    <w:p>
      <w:pPr>
        <w:ind w:left="440" w:hanging="432"/>
        <w:spacing w:after="0"/>
        <w:tabs>
          <w:tab w:leader="none" w:pos="440" w:val="left"/>
        </w:tabs>
        <w:numPr>
          <w:ilvl w:val="0"/>
          <w:numId w:val="283"/>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t>Other Covenants</w:t>
      </w:r>
    </w:p>
    <w:p>
      <w:pPr>
        <w:spacing w:after="0" w:line="239"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Both Parties agree to make best efforts to negotiate in good faith on the provisions in Sections 2, 3 and 4 of this Agreement. The details to execute and implement such provisions may be provided in any supplemental or ancillary agreement to ensure operation by both Parties in accordance with and for purpose of this Agreement. If any provision set forth in Section 2, 3 and 4 of this Agreement needs to be amended due to reasonable causes, both Parties also agree to negotiate and discuss in good faith.</w:t>
      </w:r>
    </w:p>
    <w:p>
      <w:pPr>
        <w:spacing w:after="0" w:line="170" w:lineRule="exact"/>
        <w:rPr>
          <w:sz w:val="20"/>
          <w:szCs w:val="20"/>
          <w:color w:val="auto"/>
        </w:rPr>
      </w:pPr>
    </w:p>
    <w:p>
      <w:pPr>
        <w:ind w:right="700"/>
        <w:spacing w:after="0" w:line="328" w:lineRule="auto"/>
        <w:rPr>
          <w:sz w:val="20"/>
          <w:szCs w:val="20"/>
          <w:color w:val="auto"/>
        </w:rPr>
      </w:pPr>
      <w:r>
        <w:rPr>
          <w:rFonts w:ascii="Arial" w:cs="Arial" w:eastAsia="Arial" w:hAnsi="Arial"/>
          <w:sz w:val="19"/>
          <w:szCs w:val="19"/>
          <w:color w:val="auto"/>
        </w:rPr>
        <w:t>The Parties shall cooperate to ensure compliance with applicable laws and regulations in the operation of the Cooperation Business. Each Party shall obtain and maintain all licenses and approvals required to operate the Cooperation Business.</w:t>
      </w:r>
    </w:p>
    <w:p>
      <w:pPr>
        <w:spacing w:after="0" w:line="126" w:lineRule="exact"/>
        <w:rPr>
          <w:sz w:val="20"/>
          <w:szCs w:val="20"/>
          <w:color w:val="auto"/>
        </w:rPr>
      </w:pPr>
    </w:p>
    <w:p>
      <w:pPr>
        <w:ind w:left="440" w:hanging="432"/>
        <w:spacing w:after="0"/>
        <w:tabs>
          <w:tab w:leader="none" w:pos="440" w:val="left"/>
        </w:tabs>
        <w:numPr>
          <w:ilvl w:val="0"/>
          <w:numId w:val="284"/>
        </w:numPr>
        <w:rPr>
          <w:rFonts w:ascii="Arial" w:cs="Arial" w:eastAsia="Arial" w:hAnsi="Arial"/>
          <w:sz w:val="22"/>
          <w:szCs w:val="22"/>
          <w:b w:val="1"/>
          <w:bCs w:val="1"/>
          <w:color w:val="auto"/>
        </w:rPr>
      </w:pPr>
      <w:r>
        <w:rPr>
          <w:rFonts w:ascii="Arial" w:cs="Arial" w:eastAsia="Arial" w:hAnsi="Arial"/>
          <w:sz w:val="22"/>
          <w:szCs w:val="22"/>
          <w:b w:val="1"/>
          <w:bCs w:val="1"/>
          <w:color w:val="auto"/>
        </w:rPr>
        <w:t>Non-disclosure and Use of Information</w:t>
      </w:r>
    </w:p>
    <w:p>
      <w:pPr>
        <w:spacing w:after="0" w:line="239"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Parties acknowledge and agree that any oral or written information exchanged between each other in connection with this Agreement and the existence and any content of this Agreement are confidential and shall be kept in confidence by each Party, and may not be disclosed to any third party without prior written consent of the other Party, except for: (1) any information which has been available to the general public not disclosed by the receiving Party or any of its Affiliates; (2) any information required for disclosure by any applicable law, competent government agency, stock exchange, exchange rules or guidelines, under which circumstance and to the extent permitted by law, the disclosing Party will notify the other Party in advance so that the Parties will reach agreement regarding the scope and content of such disclosure; or (3) any information provided by any Party to its legal or financial advisor on as-need basis, provided that such legal or financial advisor will also comply with non-disclosure provisions similar to this Section. The Parties agree to use the confidential information provided by the other Party only in connection with this Agreement and, at the request of the providing Party, destroy or return such confidential information upon the termination of this Agreement. Any Party will be liable for breach of this Section by any Party’s Affiliate, any employee of such Affiliate or any of its advisors which breach will be deemed breach by such Party. This Section 6 shall survive any termination or expiration of this Agreement for any reason.</w:t>
      </w:r>
    </w:p>
    <w:p>
      <w:pPr>
        <w:spacing w:after="0" w:line="200" w:lineRule="exact"/>
        <w:rPr>
          <w:sz w:val="20"/>
          <w:szCs w:val="20"/>
          <w:color w:val="auto"/>
        </w:rPr>
      </w:pPr>
    </w:p>
    <w:p>
      <w:pPr>
        <w:spacing w:after="0" w:line="225" w:lineRule="exact"/>
        <w:rPr>
          <w:sz w:val="20"/>
          <w:szCs w:val="20"/>
          <w:color w:val="auto"/>
        </w:rPr>
      </w:pPr>
    </w:p>
    <w:p>
      <w:pPr>
        <w:ind w:left="440" w:hanging="432"/>
        <w:spacing w:after="0"/>
        <w:tabs>
          <w:tab w:leader="none" w:pos="440" w:val="left"/>
        </w:tabs>
        <w:numPr>
          <w:ilvl w:val="0"/>
          <w:numId w:val="285"/>
        </w:numPr>
        <w:rPr>
          <w:rFonts w:ascii="Arial" w:cs="Arial" w:eastAsia="Arial" w:hAnsi="Arial"/>
          <w:sz w:val="22"/>
          <w:szCs w:val="22"/>
          <w:b w:val="1"/>
          <w:bCs w:val="1"/>
          <w:color w:val="auto"/>
        </w:rPr>
      </w:pPr>
      <w:r>
        <w:rPr>
          <w:rFonts w:ascii="Arial" w:cs="Arial" w:eastAsia="Arial" w:hAnsi="Arial"/>
          <w:sz w:val="22"/>
          <w:szCs w:val="22"/>
          <w:b w:val="1"/>
          <w:bCs w:val="1"/>
          <w:color w:val="auto"/>
        </w:rPr>
        <w:t>Taxes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Each Party will bear any and all of its own taxes arising from execution and performance of this Agreement.</w:t>
      </w:r>
    </w:p>
    <w:p>
      <w:pPr>
        <w:spacing w:after="0" w:line="227" w:lineRule="exact"/>
        <w:rPr>
          <w:sz w:val="20"/>
          <w:szCs w:val="20"/>
          <w:color w:val="auto"/>
        </w:rPr>
      </w:pPr>
    </w:p>
    <w:p>
      <w:pPr>
        <w:ind w:left="440" w:hanging="432"/>
        <w:spacing w:after="0"/>
        <w:tabs>
          <w:tab w:leader="none" w:pos="440" w:val="left"/>
        </w:tabs>
        <w:numPr>
          <w:ilvl w:val="0"/>
          <w:numId w:val="286"/>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and Warranties</w:t>
      </w:r>
    </w:p>
    <w:p>
      <w:pPr>
        <w:spacing w:after="0" w:line="239"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Each Party represents and warrants to the other Party that:</w:t>
      </w:r>
    </w:p>
    <w:p>
      <w:pPr>
        <w:spacing w:after="0" w:line="233" w:lineRule="exact"/>
        <w:rPr>
          <w:sz w:val="20"/>
          <w:szCs w:val="20"/>
          <w:color w:val="auto"/>
        </w:rPr>
      </w:pPr>
    </w:p>
    <w:p>
      <w:pPr>
        <w:ind w:left="1620" w:hanging="600"/>
        <w:spacing w:after="0"/>
        <w:tabs>
          <w:tab w:leader="none" w:pos="162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It is a company duly incorporated and validly existing;</w:t>
      </w:r>
    </w:p>
    <w:p>
      <w:pPr>
        <w:spacing w:after="0" w:line="233" w:lineRule="exact"/>
        <w:rPr>
          <w:rFonts w:ascii="Arial" w:cs="Arial" w:eastAsia="Arial" w:hAnsi="Arial"/>
          <w:sz w:val="22"/>
          <w:szCs w:val="22"/>
          <w:color w:val="auto"/>
        </w:rPr>
      </w:pPr>
    </w:p>
    <w:p>
      <w:pPr>
        <w:ind w:left="1620" w:right="40" w:hanging="600"/>
        <w:spacing w:after="0" w:line="250" w:lineRule="auto"/>
        <w:tabs>
          <w:tab w:leader="none" w:pos="162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It has the power to enter into this Agreement, and its authorized representative has the full authority to execute this Agreement on its behalf;</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234" w:name="page235"/>
    <w:bookmarkEnd w:id="234"/>
    <w:p>
      <w:pPr>
        <w:ind w:left="1620" w:right="80" w:hanging="600"/>
        <w:spacing w:after="0" w:line="252" w:lineRule="auto"/>
        <w:tabs>
          <w:tab w:leader="none" w:pos="1620" w:val="left"/>
        </w:tabs>
        <w:numPr>
          <w:ilvl w:val="0"/>
          <w:numId w:val="288"/>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t>Other than submissions to the U.S. Securities and Exchange Commission and, with respect to Baozun, the Hong Kong Stock Exchange, no filing with or notice with any government agency, and no license, consent, permit or any other approval from any government agency or any third party is required in connection with its execution, delivery and performance of this Agreement; and</w:t>
      </w:r>
    </w:p>
    <w:p>
      <w:pPr>
        <w:spacing w:after="0" w:line="200" w:lineRule="exact"/>
        <w:rPr>
          <w:rFonts w:ascii="Arial" w:cs="Arial" w:eastAsia="Arial" w:hAnsi="Arial"/>
          <w:sz w:val="21"/>
          <w:szCs w:val="21"/>
          <w:color w:val="auto"/>
        </w:rPr>
      </w:pPr>
    </w:p>
    <w:p>
      <w:pPr>
        <w:ind w:left="1620" w:right="560" w:hanging="600"/>
        <w:spacing w:after="0" w:line="250" w:lineRule="auto"/>
        <w:tabs>
          <w:tab w:leader="none" w:pos="162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It is capable to perform its obligations under this Agreement, and such performance shall not violate any provision of its articles of association or any other organizational document.</w:t>
      </w:r>
    </w:p>
    <w:p>
      <w:pPr>
        <w:spacing w:after="0" w:line="202" w:lineRule="exact"/>
        <w:rPr>
          <w:sz w:val="20"/>
          <w:szCs w:val="20"/>
          <w:color w:val="auto"/>
        </w:rPr>
      </w:pPr>
    </w:p>
    <w:p>
      <w:pPr>
        <w:ind w:left="520" w:right="160" w:hanging="512"/>
        <w:spacing w:after="0" w:line="238" w:lineRule="auto"/>
        <w:tabs>
          <w:tab w:leader="none" w:pos="500" w:val="left"/>
        </w:tabs>
        <w:rPr>
          <w:sz w:val="20"/>
          <w:szCs w:val="20"/>
          <w:color w:val="auto"/>
        </w:rPr>
      </w:pPr>
      <w:r>
        <w:rPr>
          <w:rFonts w:ascii="Arial" w:cs="Arial" w:eastAsia="Arial" w:hAnsi="Arial"/>
          <w:sz w:val="22"/>
          <w:szCs w:val="22"/>
          <w:color w:val="auto"/>
        </w:rPr>
        <w:t>8.2.</w:t>
        <w:tab/>
        <w:t>If any legal document signed by it prior to the date of this Agreement has any conflict with any term of this Agreement, it will notify the other Party in writing so that the Parties may resolve such conflict amicably and through good faith negotiations. It will also be liable to the extent of the Indemnity Cap (as defined in Section 10 of this Agreement) for any loss incurred by the other Party arising from such conflict.</w:t>
      </w:r>
    </w:p>
    <w:p>
      <w:pPr>
        <w:spacing w:after="0" w:line="212" w:lineRule="exact"/>
        <w:rPr>
          <w:sz w:val="20"/>
          <w:szCs w:val="20"/>
          <w:color w:val="auto"/>
        </w:rPr>
      </w:pPr>
    </w:p>
    <w:p>
      <w:pPr>
        <w:ind w:left="520" w:right="40" w:hanging="512"/>
        <w:spacing w:after="0" w:line="238" w:lineRule="auto"/>
        <w:tabs>
          <w:tab w:leader="none" w:pos="500" w:val="left"/>
        </w:tabs>
        <w:rPr>
          <w:sz w:val="20"/>
          <w:szCs w:val="20"/>
          <w:color w:val="auto"/>
        </w:rPr>
      </w:pPr>
      <w:r>
        <w:rPr>
          <w:rFonts w:ascii="Arial" w:cs="Arial" w:eastAsia="Arial" w:hAnsi="Arial"/>
          <w:sz w:val="22"/>
          <w:szCs w:val="22"/>
          <w:color w:val="auto"/>
        </w:rPr>
        <w:t>8.3.</w:t>
        <w:tab/>
        <w:t>If any consent, agreement or approval from any third party is found necessary during its performance of this Agreement, it will notify the other Party in writing within 30 days and make best efforts to obtain such consent, agreement or approval; if such consent, agreement or approval fails to be obtained within a reasonable period, it will provide a resolution for such issue acceptable to the other Party.</w:t>
      </w:r>
    </w:p>
    <w:p>
      <w:pPr>
        <w:spacing w:after="0" w:line="206" w:lineRule="exact"/>
        <w:rPr>
          <w:sz w:val="20"/>
          <w:szCs w:val="20"/>
          <w:color w:val="auto"/>
        </w:rPr>
      </w:pPr>
    </w:p>
    <w:p>
      <w:pPr>
        <w:ind w:left="440" w:hanging="432"/>
        <w:spacing w:after="0"/>
        <w:tabs>
          <w:tab w:leader="none" w:pos="440" w:val="left"/>
        </w:tabs>
        <w:numPr>
          <w:ilvl w:val="0"/>
          <w:numId w:val="289"/>
        </w:numPr>
        <w:rPr>
          <w:rFonts w:ascii="Arial" w:cs="Arial" w:eastAsia="Arial" w:hAnsi="Arial"/>
          <w:sz w:val="22"/>
          <w:szCs w:val="22"/>
          <w:b w:val="1"/>
          <w:bCs w:val="1"/>
          <w:color w:val="auto"/>
        </w:rPr>
      </w:pPr>
      <w:r>
        <w:rPr>
          <w:rFonts w:ascii="Arial" w:cs="Arial" w:eastAsia="Arial" w:hAnsi="Arial"/>
          <w:sz w:val="22"/>
          <w:szCs w:val="22"/>
          <w:b w:val="1"/>
          <w:bCs w:val="1"/>
          <w:color w:val="auto"/>
        </w:rPr>
        <w:t>Force Majeure and Limited Liabilities</w:t>
      </w:r>
    </w:p>
    <w:p>
      <w:pPr>
        <w:spacing w:after="0" w:line="239"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Any delay in performance of this Agreement arising from any Force Majeure event will not constitute breach of this Agreement by any of the Parties. Neither Party will be liable for any damages arising thereof, provided such Party will make efforts to eliminate the cause of such delay and exert commercially reasonable efforts (including without limitation seeking and using any alternative ways and methods) to eliminate any damage caused by such Force Majeure event, and notify the other Party of the occurrence and the potential damages of such Force Majeure within 15 business days (excluding the day of notice) when the elements of such Force Majeure are eliminated. During delayed performance of this Agreement, the Party encountering the Force Majeure event will implement reasonable alternatives or take any other commercially reasonable action to facilitate performance of its obligations under this Agreement until such delay is eliminated.</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Breach Liability</w:t>
      </w:r>
    </w:p>
    <w:p>
      <w:pPr>
        <w:spacing w:after="0" w:line="239" w:lineRule="exact"/>
        <w:rPr>
          <w:sz w:val="20"/>
          <w:szCs w:val="20"/>
          <w:color w:val="auto"/>
        </w:rPr>
      </w:pPr>
    </w:p>
    <w:p>
      <w:pPr>
        <w:ind w:left="520" w:hanging="512"/>
        <w:spacing w:after="0" w:line="235" w:lineRule="auto"/>
        <w:rPr>
          <w:sz w:val="20"/>
          <w:szCs w:val="20"/>
          <w:color w:val="auto"/>
        </w:rPr>
      </w:pPr>
      <w:r>
        <w:rPr>
          <w:rFonts w:ascii="Arial" w:cs="Arial" w:eastAsia="Arial" w:hAnsi="Arial"/>
          <w:sz w:val="22"/>
          <w:szCs w:val="22"/>
          <w:color w:val="auto"/>
        </w:rPr>
        <w:t>10.1. Any of the Parties (the “Indemnifying Party”) shall indemnify and hold the other Party and its respective directors, officers, employees, Affiliates, agents, auditors, or advisors (collectively, the “Indemnified Party”) harmless from and against any losses, claims, damages, judgments, fines, obligations, expenses and liabilities of any kind or nature whatsoever, including but not limited to any investigative, legal and other expenses incurred in connection with, and any amounts paid in settlement of, any pending or threatened legal action or proceeding, and any taxes or levies that may be payable by such person by reason</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31" w:right="379" w:bottom="1440" w:gutter="0" w:footer="0" w:header="0"/>
        </w:sectPr>
      </w:pPr>
    </w:p>
    <w:bookmarkStart w:id="235" w:name="page236"/>
    <w:bookmarkEnd w:id="235"/>
    <w:p>
      <w:pPr>
        <w:ind w:left="520" w:right="200"/>
        <w:spacing w:after="0" w:line="246" w:lineRule="auto"/>
        <w:rPr>
          <w:sz w:val="20"/>
          <w:szCs w:val="20"/>
          <w:color w:val="auto"/>
        </w:rPr>
      </w:pPr>
      <w:r>
        <w:rPr>
          <w:rFonts w:ascii="Arial" w:cs="Arial" w:eastAsia="Arial" w:hAnsi="Arial"/>
          <w:sz w:val="21"/>
          <w:szCs w:val="21"/>
          <w:color w:val="auto"/>
        </w:rPr>
        <w:t>of the indemnification of any indemnifiable loss hereunder (collectively, “Losses”) resulting from or arising out of: (i) the breach of any representation or warranty of the Indemnifying Party contained in this Agreement or in any schedule or exhibit hereto; or (ii) the violation or nonperformance, partial or total, of any covenant or agreement of the Indemnifying Party contained in this Agreement for reasons other than gross negligence, fraud or willful misconduct of the Indemnified Party. In calculating the amount of any Losses of the Indemnified Party hereunder, there shall be subtracted the amount of any insurance proceeds and third-party payments, if any, that have been actually and irrevocably received by the Indemnified Party with respect to such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-1094740</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ind w:left="520" w:right="140" w:hanging="512"/>
        <w:spacing w:after="0" w:line="234" w:lineRule="auto"/>
        <w:rPr>
          <w:sz w:val="20"/>
          <w:szCs w:val="20"/>
          <w:color w:val="auto"/>
        </w:rPr>
      </w:pPr>
      <w:r>
        <w:rPr>
          <w:rFonts w:ascii="Arial" w:cs="Arial" w:eastAsia="Arial" w:hAnsi="Arial"/>
          <w:sz w:val="22"/>
          <w:szCs w:val="22"/>
          <w:color w:val="auto"/>
        </w:rPr>
        <w:t>10.2. If any third-party shall notify the Indemnified Party in writing with respect to any matter involving a claim by such person (a “Third Party Claim”) which the Indemnified Party believes would give rise to a claim for indemnification against the Indemnifying Party under this Section 10, then the Indemnified Party shall promptly (i) notify the Indemnifying Party thereof in writing within thirty (30) days of receipt of notice of such claim and (ii) transmit to the Indemnifying Party a written notice (“Claim Notice”) describing in reasonable detail the nature of the Third Party Claim, a copy of all papers served with respect to such claim, if any, and the basis of the Indemnified Party’s request for indemnification under this Agreement.</w:t>
      </w:r>
    </w:p>
    <w:p>
      <w:pPr>
        <w:spacing w:after="0" w:line="218" w:lineRule="exact"/>
        <w:rPr>
          <w:sz w:val="20"/>
          <w:szCs w:val="20"/>
          <w:color w:val="auto"/>
        </w:rPr>
      </w:pPr>
    </w:p>
    <w:p>
      <w:pPr>
        <w:ind w:left="520" w:hanging="512"/>
        <w:spacing w:after="0" w:line="279" w:lineRule="auto"/>
        <w:rPr>
          <w:sz w:val="20"/>
          <w:szCs w:val="20"/>
          <w:color w:val="auto"/>
        </w:rPr>
      </w:pPr>
      <w:r>
        <w:rPr>
          <w:rFonts w:ascii="Arial" w:cs="Arial" w:eastAsia="Arial" w:hAnsi="Arial"/>
          <w:sz w:val="19"/>
          <w:szCs w:val="19"/>
          <w:color w:val="auto"/>
        </w:rPr>
        <w:t>10.3. Upon receipt of a Claim Notice with respect to a Third Party Claim, the Indemnifying Party shall have the right to assume the defense of any Third Party Claim by, within thirty (30) days of receipt of the Claim Notice, notifying the Indemnified Party in writing that the Indemnifying Party elects to assume the defense of such Third Party Claim, and upon delivery of such notice by the Indemnifying Party, the Indemnifying Party shall have the right to fully control and settle the proceeding, provided, that, any such settlement or compromise shall be permitted hereunder only with the written consent of the Indemnified Party, which consent shall not be unreasonably withheld or delayed.</w:t>
      </w:r>
    </w:p>
    <w:p>
      <w:pPr>
        <w:spacing w:after="0" w:line="177" w:lineRule="exact"/>
        <w:rPr>
          <w:sz w:val="20"/>
          <w:szCs w:val="20"/>
          <w:color w:val="auto"/>
        </w:rPr>
      </w:pPr>
    </w:p>
    <w:p>
      <w:pPr>
        <w:ind w:left="520" w:right="20" w:hanging="512"/>
        <w:spacing w:after="0" w:line="246" w:lineRule="auto"/>
        <w:rPr>
          <w:sz w:val="20"/>
          <w:szCs w:val="20"/>
          <w:color w:val="auto"/>
        </w:rPr>
      </w:pPr>
      <w:r>
        <w:rPr>
          <w:rFonts w:ascii="Arial" w:cs="Arial" w:eastAsia="Arial" w:hAnsi="Arial"/>
          <w:sz w:val="21"/>
          <w:szCs w:val="21"/>
          <w:color w:val="auto"/>
        </w:rPr>
        <w:t>10.4. If requested by the Indemnifying Party, the Indemnified Party shall, at the sole cost and expense of the Indemnifying Party, cooperate reasonably with the Indemnifying Party and its counsel in contesting any Third Party Claim which the Indemnifying Party elects to contest, including the making of any related counterclaim against the person asserting the Third Party Claim or any cross complaint against any person. The Indemnified Party shall have the right to receive copies of all pleadings, notices and communications with respect to any Third Party Claim, other than any privileged communications between the Indemnifying Party and its counsel, and shall be entitled, at its sole cost and expense, to retain separate co-counsel and participate in, but not control, any defense or settlement of any Third Party Claim assumed by the Indemnifying Party pursuant to Section 10.3.</w:t>
      </w:r>
    </w:p>
    <w:p>
      <w:pPr>
        <w:spacing w:after="0" w:line="207" w:lineRule="exact"/>
        <w:rPr>
          <w:sz w:val="20"/>
          <w:szCs w:val="20"/>
          <w:color w:val="auto"/>
        </w:rPr>
      </w:pPr>
    </w:p>
    <w:p>
      <w:pPr>
        <w:ind w:left="520" w:right="40" w:hanging="512"/>
        <w:spacing w:after="0" w:line="236" w:lineRule="auto"/>
        <w:rPr>
          <w:sz w:val="20"/>
          <w:szCs w:val="20"/>
          <w:color w:val="auto"/>
        </w:rPr>
      </w:pPr>
      <w:r>
        <w:rPr>
          <w:rFonts w:ascii="Arial" w:cs="Arial" w:eastAsia="Arial" w:hAnsi="Arial"/>
          <w:sz w:val="22"/>
          <w:szCs w:val="22"/>
          <w:color w:val="auto"/>
        </w:rPr>
        <w:t>10.5. In the event of a Third Party Claim for which the Indemnifying Party elects not to assume the defense or fails to make such an election within thirty (30) days of its receipt of the Claim Notice, the Indemnified Party may, at its option, defend, settle, compromise or pay such action or claim at the expense of the Indemnifying Party; provided, that, any such settlement or compromise shall be permitted hereunder only with the written consent of the Indemnifying Party, which consent shall not be unreasonably withheld or delayed.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36" w:name="page237"/>
    <w:bookmarkEnd w:id="236"/>
    <w:p>
      <w:pPr>
        <w:ind w:left="520" w:right="120" w:hanging="512"/>
        <w:spacing w:after="0" w:line="234"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10.6. In the event the Indemnified Party should have a claim against the Indemnifying Party hereunder which does not involve a Third Party Claim, the Indemnified Party shall promptly transmit to the Indemnifying Party a written notice (the “Indemnity Notice”) describing in reasonable detail the nature of the claim, the Indemnified Party’s best estimate of the amount of Losses attributable to such claim and the basis of the Indemnified Party’s request for indemnification under this Agreement. If the Indemnifying Party does not notify the Indemnified Party within thirty (30) days from its receipt of the Indemnity Notice that the Indemnifying Party disputes such claim, the Indemnifying Party shall be deemed to have accepted and agreed with such claim.</w:t>
      </w:r>
    </w:p>
    <w:p>
      <w:pPr>
        <w:spacing w:after="0" w:line="218" w:lineRule="exact"/>
        <w:rPr>
          <w:sz w:val="20"/>
          <w:szCs w:val="20"/>
          <w:color w:val="auto"/>
        </w:rPr>
      </w:pPr>
    </w:p>
    <w:p>
      <w:pPr>
        <w:ind w:left="520" w:right="40" w:hanging="512"/>
        <w:spacing w:after="0"/>
        <w:rPr>
          <w:sz w:val="20"/>
          <w:szCs w:val="20"/>
          <w:color w:val="auto"/>
        </w:rPr>
      </w:pPr>
      <w:r>
        <w:rPr>
          <w:rFonts w:ascii="Arial" w:cs="Arial" w:eastAsia="Arial" w:hAnsi="Arial"/>
          <w:sz w:val="22"/>
          <w:szCs w:val="22"/>
          <w:color w:val="auto"/>
        </w:rPr>
        <w:t>10.7. Notwithstanding the foregoing, the Indemnifying Party shall have no liability (for indemnification or otherwise) with respect to any Losses, singly or in the aggregate, in excess of the aggregate indemnity cap of US$3 million (the “Indemnity Cap”).</w:t>
      </w:r>
    </w:p>
    <w:p>
      <w:pPr>
        <w:spacing w:after="0" w:line="213" w:lineRule="exact"/>
        <w:rPr>
          <w:sz w:val="20"/>
          <w:szCs w:val="20"/>
          <w:color w:val="auto"/>
        </w:rPr>
      </w:pPr>
    </w:p>
    <w:p>
      <w:pPr>
        <w:ind w:left="520" w:right="60" w:hanging="512"/>
        <w:spacing w:after="0" w:line="328" w:lineRule="auto"/>
        <w:rPr>
          <w:sz w:val="20"/>
          <w:szCs w:val="20"/>
          <w:color w:val="auto"/>
        </w:rPr>
      </w:pPr>
      <w:r>
        <w:rPr>
          <w:rFonts w:ascii="Arial" w:cs="Arial" w:eastAsia="Arial" w:hAnsi="Arial"/>
          <w:sz w:val="19"/>
          <w:szCs w:val="19"/>
          <w:color w:val="auto"/>
        </w:rPr>
        <w:t>10.8. This Section 10 will be included in any agreement made between any Party and any of its Affiliates in connection with this Agreement. For the avoidance of doubt, any indemnity included in such agreements will be subject to the Indemnity Cap.</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Governing Law and Dispute Resolution</w:t>
      </w:r>
    </w:p>
    <w:p>
      <w:pPr>
        <w:spacing w:after="0" w:line="239" w:lineRule="exact"/>
        <w:rPr>
          <w:sz w:val="20"/>
          <w:szCs w:val="20"/>
          <w:color w:val="auto"/>
        </w:rPr>
      </w:pPr>
    </w:p>
    <w:p>
      <w:pPr>
        <w:jc w:val="right"/>
        <w:ind w:right="560"/>
        <w:spacing w:after="0" w:line="328" w:lineRule="auto"/>
        <w:rPr>
          <w:sz w:val="20"/>
          <w:szCs w:val="20"/>
          <w:color w:val="auto"/>
        </w:rPr>
      </w:pPr>
      <w:r>
        <w:rPr>
          <w:rFonts w:ascii="Arial" w:cs="Arial" w:eastAsia="Arial" w:hAnsi="Arial"/>
          <w:sz w:val="19"/>
          <w:szCs w:val="19"/>
          <w:color w:val="auto"/>
        </w:rPr>
        <w:t>11.1. Execution, validity, interpretation, performance, amendment and termination of this Agreement and resolution of any dispute arising thereof shall be governed by the laws of Hong Kong without regard to principles of conflicts of laws.</w:t>
      </w:r>
    </w:p>
    <w:p>
      <w:pPr>
        <w:spacing w:after="0" w:line="132" w:lineRule="exact"/>
        <w:rPr>
          <w:sz w:val="20"/>
          <w:szCs w:val="20"/>
          <w:color w:val="auto"/>
        </w:rPr>
      </w:pPr>
    </w:p>
    <w:p>
      <w:pPr>
        <w:ind w:left="520" w:hanging="512"/>
        <w:spacing w:after="0" w:line="245" w:lineRule="auto"/>
        <w:rPr>
          <w:sz w:val="20"/>
          <w:szCs w:val="20"/>
          <w:color w:val="auto"/>
        </w:rPr>
      </w:pPr>
      <w:r>
        <w:rPr>
          <w:rFonts w:ascii="Arial" w:cs="Arial" w:eastAsia="Arial" w:hAnsi="Arial"/>
          <w:sz w:val="21"/>
          <w:szCs w:val="21"/>
          <w:color w:val="auto"/>
        </w:rPr>
        <w:t>11.2. Any dispute, controversy, difference or claim arising out of or relating to this Agreement, including the existence, validity, interpretation, performance, breach or termination thereof or any dispute regarding non-contractual obligations arising out of or relating to it shall be referred to and finally resolved by arbitration administered by the Hong Kong International Arbitration Centre (“HKIAC”) under the HKIAC Administered Arbitration Rules in force when the notice of arbitration is submitted. The seat of arbitration shall be Hong Kong. The official language of the arbitration shall be English and the arbitration tribunal shall consist of three (3) arbitrators (each, an “Arbitrator”). The claimant shall nominate one (1) Arbitrator; the respondent shall nominate one (1) Arbitrator; and a third Arbitrator will be nominated jointly by the first two Arbitrators and shall serve as chairman of the arbitration tribunal. If the first two Arbitrators fail to nominate the third Arbitrator within 10 days after receipt of a Party’s nomination of the third Arbitrator, the Chair or co-Chair of HKIAC shall nominate the third Arbitrator.</w:t>
      </w:r>
    </w:p>
    <w:p>
      <w:pPr>
        <w:spacing w:after="0" w:line="208" w:lineRule="exact"/>
        <w:rPr>
          <w:sz w:val="20"/>
          <w:szCs w:val="20"/>
          <w:color w:val="auto"/>
        </w:rPr>
      </w:pPr>
    </w:p>
    <w:p>
      <w:pPr>
        <w:ind w:left="520" w:right="120" w:hanging="512"/>
        <w:spacing w:after="0"/>
        <w:rPr>
          <w:sz w:val="20"/>
          <w:szCs w:val="20"/>
          <w:color w:val="auto"/>
        </w:rPr>
      </w:pPr>
      <w:r>
        <w:rPr>
          <w:rFonts w:ascii="Arial" w:cs="Arial" w:eastAsia="Arial" w:hAnsi="Arial"/>
          <w:sz w:val="22"/>
          <w:szCs w:val="22"/>
          <w:color w:val="auto"/>
        </w:rPr>
        <w:t>11.3. Any Party may seek interim injunctive relief, provisional rulings or other interim relief from a court of competent jurisdiction, both before and after the Arbitrators have been appointed, at any time up until the Arbitrators have made their final award.</w:t>
      </w:r>
    </w:p>
    <w:p>
      <w:pPr>
        <w:spacing w:after="0" w:line="213" w:lineRule="exact"/>
        <w:rPr>
          <w:sz w:val="20"/>
          <w:szCs w:val="20"/>
          <w:color w:val="auto"/>
        </w:rPr>
      </w:pPr>
    </w:p>
    <w:p>
      <w:pPr>
        <w:ind w:left="520" w:right="100" w:hanging="512"/>
        <w:spacing w:after="0" w:line="250" w:lineRule="auto"/>
        <w:rPr>
          <w:sz w:val="20"/>
          <w:szCs w:val="20"/>
          <w:color w:val="auto"/>
        </w:rPr>
      </w:pPr>
      <w:r>
        <w:rPr>
          <w:rFonts w:ascii="Arial" w:cs="Arial" w:eastAsia="Arial" w:hAnsi="Arial"/>
          <w:sz w:val="22"/>
          <w:szCs w:val="22"/>
          <w:color w:val="auto"/>
        </w:rPr>
        <w:t>11.4. The award rendered by the arbitral tribunal shall be non-appealable, final, binding and conclusive on the Parties. Judgment on the award may be entered in any court of competent jurisdiction.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31" w:right="359" w:bottom="1440" w:gutter="0" w:footer="0" w:header="0"/>
        </w:sectPr>
      </w:pPr>
    </w:p>
    <w:bookmarkStart w:id="237" w:name="page238"/>
    <w:bookmarkEnd w:id="237"/>
    <w:p>
      <w:pPr>
        <w:ind w:left="520" w:right="20" w:hanging="512"/>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t>11.5. Each Party agrees that money damages may not be a sufficient remedy for any breach of this Agreement by the other Party and that the injured Party shall be entitled to seek, and the other Party will not oppose the granting of, equitable relief, including injunction and specific performance, in the event of any such breach, in addition to all other remedies available to the injured party at law or in equity.</w:t>
      </w:r>
    </w:p>
    <w:p>
      <w:pPr>
        <w:spacing w:after="0" w:line="212" w:lineRule="exact"/>
        <w:rPr>
          <w:sz w:val="20"/>
          <w:szCs w:val="20"/>
          <w:color w:val="auto"/>
        </w:rPr>
      </w:pPr>
    </w:p>
    <w:p>
      <w:pPr>
        <w:ind w:left="520" w:right="100" w:hanging="512"/>
        <w:spacing w:after="0" w:line="250" w:lineRule="auto"/>
        <w:rPr>
          <w:sz w:val="20"/>
          <w:szCs w:val="20"/>
          <w:color w:val="auto"/>
        </w:rPr>
      </w:pPr>
      <w:r>
        <w:rPr>
          <w:rFonts w:ascii="Arial" w:cs="Arial" w:eastAsia="Arial" w:hAnsi="Arial"/>
          <w:sz w:val="22"/>
          <w:szCs w:val="22"/>
          <w:color w:val="auto"/>
        </w:rPr>
        <w:t>11.6. During arbitration of any dispute arising from interpretation or performance of this Agreement, other than the matter under dispute, each Party shall continue to have all of its rights and obligations under this Agreement.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Miscellaneous</w:t>
      </w:r>
    </w:p>
    <w:p>
      <w:pPr>
        <w:spacing w:after="0" w:line="239" w:lineRule="exact"/>
        <w:rPr>
          <w:sz w:val="20"/>
          <w:szCs w:val="20"/>
          <w:color w:val="auto"/>
        </w:rPr>
      </w:pPr>
    </w:p>
    <w:p>
      <w:pPr>
        <w:ind w:left="520" w:right="400" w:hanging="512"/>
        <w:spacing w:after="0" w:line="274" w:lineRule="auto"/>
        <w:rPr>
          <w:sz w:val="20"/>
          <w:szCs w:val="20"/>
          <w:color w:val="auto"/>
        </w:rPr>
      </w:pPr>
      <w:r>
        <w:rPr>
          <w:rFonts w:ascii="Arial" w:cs="Arial" w:eastAsia="Arial" w:hAnsi="Arial"/>
          <w:sz w:val="21"/>
          <w:szCs w:val="21"/>
          <w:color w:val="auto"/>
        </w:rPr>
        <w:t>12.1. Any amendment or supplement to this Agreement shall be made in writing. Any amendment or supplement hereto duly executed by the Parties will be an integral part of and have the same effect with this Agreement.</w:t>
      </w:r>
    </w:p>
    <w:p>
      <w:pPr>
        <w:spacing w:after="0" w:line="178" w:lineRule="exact"/>
        <w:rPr>
          <w:sz w:val="20"/>
          <w:szCs w:val="20"/>
          <w:color w:val="auto"/>
        </w:rPr>
      </w:pPr>
    </w:p>
    <w:p>
      <w:pPr>
        <w:jc w:val="right"/>
        <w:ind w:right="540"/>
        <w:spacing w:after="0" w:line="328" w:lineRule="auto"/>
        <w:rPr>
          <w:sz w:val="20"/>
          <w:szCs w:val="20"/>
          <w:color w:val="auto"/>
        </w:rPr>
      </w:pPr>
      <w:r>
        <w:rPr>
          <w:rFonts w:ascii="Arial" w:cs="Arial" w:eastAsia="Arial" w:hAnsi="Arial"/>
          <w:sz w:val="19"/>
          <w:szCs w:val="19"/>
          <w:color w:val="auto"/>
        </w:rPr>
        <w:t>12.2. Without prior written consent of the other Party, neither Party may transfer any of its rights and obligations under this Agreement to any third party, except that it may delegate its Affiliate to perform its obligations under this Agreement.</w:t>
      </w:r>
    </w:p>
    <w:p>
      <w:pPr>
        <w:spacing w:after="0" w:line="132" w:lineRule="exact"/>
        <w:rPr>
          <w:sz w:val="20"/>
          <w:szCs w:val="20"/>
          <w:color w:val="auto"/>
        </w:rPr>
      </w:pPr>
    </w:p>
    <w:p>
      <w:pPr>
        <w:ind w:left="520" w:right="100" w:hanging="512"/>
        <w:spacing w:after="0" w:line="257" w:lineRule="auto"/>
        <w:rPr>
          <w:sz w:val="20"/>
          <w:szCs w:val="20"/>
          <w:color w:val="auto"/>
        </w:rPr>
      </w:pPr>
      <w:r>
        <w:rPr>
          <w:rFonts w:ascii="Arial" w:cs="Arial" w:eastAsia="Arial" w:hAnsi="Arial"/>
          <w:sz w:val="21"/>
          <w:szCs w:val="21"/>
          <w:color w:val="auto"/>
        </w:rPr>
        <w:t>12.3. Unless otherwise provided, during the term of this Agreement, neither Party may make any negative comment on the other Party, including without limitation any comment regarding corporate image, branding, product design, development, application, business strategy and all other corporate or product information of the other Party.</w:t>
      </w:r>
    </w:p>
    <w:p>
      <w:pPr>
        <w:spacing w:after="0" w:line="196" w:lineRule="exact"/>
        <w:rPr>
          <w:sz w:val="20"/>
          <w:szCs w:val="20"/>
          <w:color w:val="auto"/>
        </w:rPr>
      </w:pPr>
    </w:p>
    <w:p>
      <w:pPr>
        <w:ind w:left="520" w:right="60" w:hanging="512"/>
        <w:spacing w:after="0" w:line="238" w:lineRule="auto"/>
        <w:rPr>
          <w:sz w:val="20"/>
          <w:szCs w:val="20"/>
          <w:color w:val="auto"/>
        </w:rPr>
      </w:pPr>
      <w:r>
        <w:rPr>
          <w:rFonts w:ascii="Arial" w:cs="Arial" w:eastAsia="Arial" w:hAnsi="Arial"/>
          <w:sz w:val="22"/>
          <w:szCs w:val="22"/>
          <w:color w:val="auto"/>
        </w:rPr>
        <w:t>12.4. This Agreement shall be effective upon its execution by the parties and effective during the Period of Cooperation. Once effective, this Agreement will constitute the entire agreement and understanding between the Parties in respect of the subject matter under this Agreement, and supersede any and all agreements and understanding, oral or written, made by the Parties prior to the date of this Agreement.</w:t>
      </w:r>
    </w:p>
    <w:p>
      <w:pPr>
        <w:spacing w:after="0" w:line="212" w:lineRule="exact"/>
        <w:rPr>
          <w:sz w:val="20"/>
          <w:szCs w:val="20"/>
          <w:color w:val="auto"/>
        </w:rPr>
      </w:pPr>
    </w:p>
    <w:p>
      <w:pPr>
        <w:ind w:left="520" w:right="200" w:hanging="512"/>
        <w:spacing w:after="0" w:line="238" w:lineRule="auto"/>
        <w:rPr>
          <w:sz w:val="20"/>
          <w:szCs w:val="20"/>
          <w:color w:val="auto"/>
        </w:rPr>
      </w:pPr>
      <w:r>
        <w:rPr>
          <w:rFonts w:ascii="Arial" w:cs="Arial" w:eastAsia="Arial" w:hAnsi="Arial"/>
          <w:sz w:val="22"/>
          <w:szCs w:val="22"/>
          <w:color w:val="auto"/>
        </w:rPr>
        <w:t>12.5. This Agreement shall terminate (i) automatically at the end of the third anniversary of the date of this Agreement or (ii) immediately upon written notice of termination by the non-defaulting Party due to the non-completion of the subscription and issuance of iClick shares to Baozun pursuant to the terms of a share subscription agreement dated the date hereof between the Parties hereto.</w:t>
      </w:r>
    </w:p>
    <w:p>
      <w:pPr>
        <w:spacing w:after="0" w:line="212" w:lineRule="exact"/>
        <w:rPr>
          <w:sz w:val="20"/>
          <w:szCs w:val="20"/>
          <w:color w:val="auto"/>
        </w:rPr>
      </w:pPr>
    </w:p>
    <w:p>
      <w:pPr>
        <w:ind w:left="520" w:hanging="512"/>
        <w:spacing w:after="0" w:line="257" w:lineRule="auto"/>
        <w:rPr>
          <w:sz w:val="20"/>
          <w:szCs w:val="20"/>
          <w:color w:val="auto"/>
        </w:rPr>
      </w:pPr>
      <w:r>
        <w:rPr>
          <w:rFonts w:ascii="Arial" w:cs="Arial" w:eastAsia="Arial" w:hAnsi="Arial"/>
          <w:sz w:val="21"/>
          <w:szCs w:val="21"/>
          <w:color w:val="auto"/>
        </w:rPr>
        <w:t>12.6. If any provision herein is held invalid, illegal or unenforceable, it will not affect the validity, legality or enforceability of the remainder of this Agreement. The Parties shall negotiate in good faith to address such invalid, illegal or unenforceable provision with the view to realizing the original business intent as much as possible.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31"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t>IN WITNESS WHEREOF</w:t>
      </w:r>
      <w:r>
        <w:rPr>
          <w:rFonts w:ascii="Arial" w:cs="Arial" w:eastAsia="Arial" w:hAnsi="Arial"/>
          <w:sz w:val="22"/>
          <w:szCs w:val="22"/>
          <w:color w:val="auto"/>
        </w:rPr>
        <w:t>, the parties hereto have duly executed this Agreement effective as of the date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first above written.</w:t>
      </w:r>
    </w:p>
    <w:p>
      <w:pPr>
        <w:spacing w:after="0" w:line="209"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Baozun Inc.</w:t>
      </w:r>
    </w:p>
    <w:p>
      <w:pPr>
        <w:spacing w:after="0" w:line="200" w:lineRule="exact"/>
        <w:rPr>
          <w:sz w:val="20"/>
          <w:szCs w:val="20"/>
          <w:color w:val="auto"/>
        </w:rPr>
      </w:pPr>
    </w:p>
    <w:p>
      <w:pPr>
        <w:spacing w:after="0" w:line="282" w:lineRule="exact"/>
        <w:rPr>
          <w:sz w:val="20"/>
          <w:szCs w:val="20"/>
          <w:color w:val="auto"/>
        </w:rPr>
      </w:pPr>
    </w:p>
    <w:p>
      <w:pPr>
        <w:ind w:left="5520"/>
        <w:spacing w:after="0"/>
        <w:tabs>
          <w:tab w:leader="none" w:pos="6100" w:val="left"/>
        </w:tabs>
        <w:rPr>
          <w:sz w:val="20"/>
          <w:szCs w:val="20"/>
          <w:color w:val="auto"/>
        </w:rPr>
      </w:pPr>
      <w:r>
        <w:rPr>
          <w:rFonts w:ascii="Arial" w:cs="Arial" w:eastAsia="Arial" w:hAnsi="Arial"/>
          <w:sz w:val="22"/>
          <w:szCs w:val="22"/>
          <w:color w:val="auto"/>
        </w:rPr>
        <w:t>By:</w:t>
        <w:tab/>
        <w:t>/s/ Vincent Wenbin Qiu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6985</wp:posOffset>
            </wp:positionV>
            <wp:extent cx="325755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22"/>
          <w:szCs w:val="22"/>
          <w:color w:val="auto"/>
        </w:rPr>
        <w:t>Name:Vincent Wenbin Qiu</w:t>
      </w:r>
    </w:p>
    <w:p>
      <w:pPr>
        <w:ind w:left="552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Strategic Cooperation Framework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320" w:top="598" w:right="679" w:bottom="1440" w:gutter="0" w:footer="0" w:header="0"/>
        </w:sectPr>
      </w:pPr>
    </w:p>
    <w:bookmarkStart w:id="239" w:name="page240"/>
    <w:bookmarkEnd w:id="23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t>IN WITNESS WHEREOF</w:t>
      </w:r>
      <w:r>
        <w:rPr>
          <w:rFonts w:ascii="Arial" w:cs="Arial" w:eastAsia="Arial" w:hAnsi="Arial"/>
          <w:sz w:val="22"/>
          <w:szCs w:val="22"/>
          <w:color w:val="auto"/>
        </w:rPr>
        <w:t>, the parties hereto have duly executed this Agreement effective as of the date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first above written.</w:t>
      </w:r>
    </w:p>
    <w:p>
      <w:pPr>
        <w:spacing w:after="0" w:line="209" w:lineRule="exact"/>
        <w:rPr>
          <w:sz w:val="20"/>
          <w:szCs w:val="20"/>
          <w:color w:val="auto"/>
        </w:rPr>
      </w:pPr>
    </w:p>
    <w:p>
      <w:pPr>
        <w:ind w:left="5560"/>
        <w:spacing w:after="0"/>
        <w:rPr>
          <w:sz w:val="20"/>
          <w:szCs w:val="20"/>
          <w:color w:val="auto"/>
        </w:rPr>
      </w:pPr>
      <w:r>
        <w:rPr>
          <w:rFonts w:ascii="Arial" w:cs="Arial" w:eastAsia="Arial" w:hAnsi="Arial"/>
          <w:sz w:val="22"/>
          <w:szCs w:val="22"/>
          <w:b w:val="1"/>
          <w:bCs w:val="1"/>
          <w:color w:val="auto"/>
        </w:rPr>
        <w:t>iClick Interactive Asia Group Limited</w:t>
      </w:r>
    </w:p>
    <w:p>
      <w:pPr>
        <w:spacing w:after="0" w:line="200" w:lineRule="exact"/>
        <w:rPr>
          <w:sz w:val="20"/>
          <w:szCs w:val="20"/>
          <w:color w:val="auto"/>
        </w:rPr>
      </w:pPr>
    </w:p>
    <w:p>
      <w:pPr>
        <w:spacing w:after="0" w:line="282" w:lineRule="exact"/>
        <w:rPr>
          <w:sz w:val="20"/>
          <w:szCs w:val="20"/>
          <w:color w:val="auto"/>
        </w:rPr>
      </w:pPr>
    </w:p>
    <w:p>
      <w:pPr>
        <w:ind w:left="5560"/>
        <w:spacing w:after="0"/>
        <w:tabs>
          <w:tab w:leader="none" w:pos="6120" w:val="left"/>
        </w:tabs>
        <w:rPr>
          <w:sz w:val="20"/>
          <w:szCs w:val="20"/>
          <w:color w:val="auto"/>
        </w:rPr>
      </w:pPr>
      <w:r>
        <w:rPr>
          <w:rFonts w:ascii="Arial" w:cs="Arial" w:eastAsia="Arial" w:hAnsi="Arial"/>
          <w:sz w:val="22"/>
          <w:szCs w:val="22"/>
          <w:color w:val="auto"/>
        </w:rPr>
        <w:t>By:</w:t>
        <w:tab/>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6985</wp:posOffset>
            </wp:positionV>
            <wp:extent cx="324040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5560"/>
        <w:spacing w:after="0"/>
        <w:rPr>
          <w:sz w:val="20"/>
          <w:szCs w:val="20"/>
          <w:color w:val="auto"/>
        </w:rPr>
      </w:pPr>
      <w:r>
        <w:rPr>
          <w:rFonts w:ascii="Arial" w:cs="Arial" w:eastAsia="Arial" w:hAnsi="Arial"/>
          <w:sz w:val="22"/>
          <w:szCs w:val="22"/>
          <w:color w:val="auto"/>
        </w:rPr>
        <w:t>Name:Jian Tang</w:t>
      </w:r>
    </w:p>
    <w:p>
      <w:pPr>
        <w:ind w:left="556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Strategic Cooperation Framework Agreement</w:t>
      </w:r>
      <w:r>
        <w:rPr>
          <w:rFonts w:ascii="Arial" w:cs="Arial" w:eastAsia="Arial" w:hAnsi="Arial"/>
          <w:sz w:val="22"/>
          <w:szCs w:val="22"/>
          <w:color w:val="auto"/>
        </w:rPr>
        <w:t>]</w:t>
      </w:r>
    </w:p>
    <w:p>
      <w:pPr>
        <w:sectPr>
          <w:pgSz w:w="11900" w:h="16838" w:orient="portrait"/>
          <w:cols w:equalWidth="0" w:num="1">
            <w:col w:w="10900"/>
          </w:cols>
          <w:pgMar w:left="320" w:top="598" w:right="67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8.1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of iClick Interactive Asia Group Limited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Subsidiaries</w:t>
            </w:r>
          </w:p>
        </w:tc>
        <w:tc>
          <w:tcPr>
            <w:tcW w:w="400" w:type="dxa"/>
            <w:vAlign w:val="bottom"/>
            <w:tcBorders>
              <w:bottom w:val="single" w:sz="8" w:color="CCEEFF"/>
            </w:tcBorders>
          </w:tcPr>
          <w:p>
            <w:pPr>
              <w:spacing w:after="0"/>
              <w:rPr>
                <w:sz w:val="14"/>
                <w:szCs w:val="14"/>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Place of Incorporation</w:t>
            </w:r>
          </w:p>
        </w:tc>
        <w:tc>
          <w:tcPr>
            <w:tcW w:w="100" w:type="dxa"/>
            <w:vAlign w:val="bottom"/>
            <w:tcBorders>
              <w:bottom w:val="single" w:sz="8" w:color="CCEEFF"/>
            </w:tcBorders>
          </w:tcPr>
          <w:p>
            <w:pPr>
              <w:spacing w:after="0"/>
              <w:rPr>
                <w:sz w:val="14"/>
                <w:szCs w:val="14"/>
                <w:color w:val="auto"/>
              </w:rPr>
            </w:pP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Optimix Media Asia Limited</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Hong Kong</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iClick Interactive Asia Limited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Hong Kong</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Digital Marketing Group Limited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Hong Kong</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Tetris Media Limited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Hong Kong</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iClick Interactive (Singapore) Pte. Ltd.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Singapore</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Performance Media Group Limited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Hong Kong</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iClick Data Technology (Beijing) Limited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People’s Republic of China</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Tetris Information Technology (Shanghai) Co., Ltd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People’s Republic of China</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Diablo Holdings Corporation</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Harmattan Capital Holdings Corporation</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 Search (Asia) Limited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Hong Kong</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Search Asia Technology (Shenzhen) Co., Ltd.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People’s Republic of China</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CMRS Group Holding Limited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Hong Kong</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Beyond Digital Solutions Limited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Hong Kong</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CMRS Digital Solutions Limited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Hong Kong</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CruiSo Digital Solutions Limited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Hong Kong</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CruiSo Directions Limited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Hong Kong</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SociaLink Consultancy Limited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Hong Kong</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Guangzhou Kushu Information Technology Co., Ltd.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People’s Republic of China</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Trophy Aim Holdings Limited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Focus Joy International Limited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Even Treasure Holdings Limited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Interactive Wealth International Limited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Solar Extra Limited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Deep Wisdom Global Limited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Apex Shield Development Limited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Cipher Fortune Development Limited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Cypress Glory Group Limited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Searing Powers Holdings Limited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Shining Nature Limited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Flame Glory Limited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Optimal Power Limited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Dragon Force Global Limited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Full Lucky International Limited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Hong Kong</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Turbo Summit Holdings Limited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Hong Kong</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iClick Interactive Hongkong Limited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Hong Kong</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V-Click Technology Co., Ltd.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Kingdom of Thailand</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HBV Changyi Company Limited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 Changyi Company Limited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British Virgin Islands</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Tetris (Shanghai) Data Technology Co., Ltd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People’s Republic of China</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OptAim Limited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Cayman Islands</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OptAim (HK) Limited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Hong Kong</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OptAim (Beijing) Information Technology Co., Ltd.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People’s Republic of China</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Anhui Zhiyunzhong Information Technology Co., Ltd.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People’s Republic of China</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OptAim Network Technology Co., Ltd.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r>
              <w:rPr>
                <w:rFonts w:ascii="Arial" w:cs="Arial" w:eastAsia="Arial" w:hAnsi="Arial"/>
                <w:sz w:val="11"/>
                <w:szCs w:val="11"/>
                <w:color w:val="auto"/>
              </w:rPr>
              <w:t>(1)</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People’s Republic of China</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Zhiyunzhong (Shanghai) Technology Co., Ltd.</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r>
              <w:rPr>
                <w:rFonts w:ascii="Arial" w:cs="Arial" w:eastAsia="Arial" w:hAnsi="Arial"/>
                <w:sz w:val="11"/>
                <w:szCs w:val="11"/>
                <w:color w:val="auto"/>
              </w:rPr>
              <w:t>(2)</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People’s Republic of China</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Myhayo Technology Co., Ltd.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r>
              <w:rPr>
                <w:rFonts w:ascii="Arial" w:cs="Arial" w:eastAsia="Arial" w:hAnsi="Arial"/>
                <w:sz w:val="11"/>
                <w:szCs w:val="11"/>
                <w:color w:val="auto"/>
              </w:rPr>
              <w:t>(2)</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People’s Republic of China</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Anhui Myhayo Technology Co., Ltd.</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r>
              <w:rPr>
                <w:rFonts w:ascii="Arial" w:cs="Arial" w:eastAsia="Arial" w:hAnsi="Arial"/>
                <w:sz w:val="11"/>
                <w:szCs w:val="11"/>
                <w:color w:val="auto"/>
              </w:rPr>
              <w:t>(2)</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People’s Republic of China</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Mike Yaqi Technology Co., Ltd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r>
              <w:rPr>
                <w:rFonts w:ascii="Arial" w:cs="Arial" w:eastAsia="Arial" w:hAnsi="Arial"/>
                <w:sz w:val="11"/>
                <w:szCs w:val="11"/>
                <w:color w:val="auto"/>
              </w:rPr>
              <w:t>(2)</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People’s Republic of China</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Changyi (Shanghai) Information Technology Ltd.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People’s Republic of China</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Xi'an Changzhan Information Technology Ltd.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People’s Republic of China</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Anhui Changyi Information Technology Co., Ltd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People’s Republic of China</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Changyu Information Technology Co., Ltd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People’s Republic of China</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Suzhou Changyi Information Technology Ltd.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People’s Republic of China</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iClick Interactive Asia Limited, Taiwan Branch</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r>
              <w:rPr>
                <w:rFonts w:ascii="Arial" w:cs="Arial" w:eastAsia="Arial" w:hAnsi="Arial"/>
                <w:sz w:val="11"/>
                <w:szCs w:val="11"/>
                <w:color w:val="auto"/>
              </w:rPr>
              <w:t>(3)</w:t>
            </w:r>
          </w:p>
        </w:tc>
        <w:tc>
          <w:tcPr>
            <w:tcW w:w="3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Taiwan</w:t>
            </w: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iClick Interactive Asia Limited, Korea Liaison Office</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r>
              <w:rPr>
                <w:rFonts w:ascii="Arial" w:cs="Arial" w:eastAsia="Arial" w:hAnsi="Arial"/>
                <w:sz w:val="11"/>
                <w:szCs w:val="11"/>
                <w:color w:val="auto"/>
              </w:rPr>
              <w:t>(4)</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Republic of Korea</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(1)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59448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 VIE’s subsidiary.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Subsidiary’s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Subsidiary’s liaison office.</w:t>
      </w:r>
    </w:p>
    <w:p>
      <w:pPr>
        <w:sectPr>
          <w:pgSz w:w="11900" w:h="16838" w:orient="portrait"/>
          <w:cols w:equalWidth="0" w:num="1">
            <w:col w:w="11240"/>
          </w:cols>
          <w:pgMar w:left="320" w:top="121"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12.1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Jian Tang, certify that:</w:t>
      </w:r>
    </w:p>
    <w:p>
      <w:pPr>
        <w:spacing w:after="0" w:line="239" w:lineRule="exact"/>
        <w:rPr>
          <w:sz w:val="20"/>
          <w:szCs w:val="20"/>
          <w:color w:val="auto"/>
        </w:rPr>
      </w:pPr>
    </w:p>
    <w:p>
      <w:pPr>
        <w:ind w:left="460" w:hanging="452"/>
        <w:spacing w:after="0"/>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iClick Interactive Asia Group Limited;</w:t>
      </w:r>
    </w:p>
    <w:p>
      <w:pPr>
        <w:spacing w:after="0" w:line="238" w:lineRule="exact"/>
        <w:rPr>
          <w:rFonts w:ascii="Arial" w:cs="Arial" w:eastAsia="Arial" w:hAnsi="Arial"/>
          <w:sz w:val="18"/>
          <w:szCs w:val="18"/>
          <w:color w:val="auto"/>
        </w:rPr>
      </w:pPr>
    </w:p>
    <w:p>
      <w:pPr>
        <w:jc w:val="both"/>
        <w:ind w:left="460" w:right="320" w:hanging="452"/>
        <w:spacing w:after="0" w:line="263" w:lineRule="auto"/>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9" w:lineRule="exact"/>
        <w:rPr>
          <w:rFonts w:ascii="Arial" w:cs="Arial" w:eastAsia="Arial" w:hAnsi="Arial"/>
          <w:sz w:val="17"/>
          <w:szCs w:val="17"/>
          <w:color w:val="auto"/>
        </w:rPr>
      </w:pPr>
    </w:p>
    <w:p>
      <w:pPr>
        <w:ind w:left="460" w:right="320" w:hanging="452"/>
        <w:spacing w:after="0" w:line="263" w:lineRule="auto"/>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97" w:lineRule="exact"/>
        <w:rPr>
          <w:rFonts w:ascii="Arial" w:cs="Arial" w:eastAsia="Arial" w:hAnsi="Arial"/>
          <w:sz w:val="18"/>
          <w:szCs w:val="18"/>
          <w:color w:val="auto"/>
        </w:rPr>
      </w:pPr>
    </w:p>
    <w:p>
      <w:pPr>
        <w:ind w:left="900" w:right="140" w:hanging="447"/>
        <w:spacing w:after="0" w:line="263" w:lineRule="auto"/>
        <w:tabs>
          <w:tab w:leader="none" w:pos="90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00" w:right="440" w:hanging="447"/>
        <w:spacing w:after="0" w:line="263" w:lineRule="auto"/>
        <w:tabs>
          <w:tab w:leader="none" w:pos="90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900" w:right="620" w:hanging="447"/>
        <w:spacing w:after="0" w:line="342" w:lineRule="auto"/>
        <w:tabs>
          <w:tab w:leader="none" w:pos="90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jc w:val="both"/>
        <w:ind w:left="900" w:right="220" w:hanging="447"/>
        <w:spacing w:after="0" w:line="342" w:lineRule="auto"/>
        <w:tabs>
          <w:tab w:leader="none" w:pos="90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w:t>
      </w:r>
    </w:p>
    <w:p>
      <w:pPr>
        <w:spacing w:after="0" w:line="137" w:lineRule="exact"/>
        <w:rPr>
          <w:rFonts w:ascii="Arial" w:cs="Arial" w:eastAsia="Arial" w:hAnsi="Arial"/>
          <w:sz w:val="16"/>
          <w:szCs w:val="16"/>
          <w:color w:val="auto"/>
        </w:rPr>
      </w:pPr>
    </w:p>
    <w:p>
      <w:pPr>
        <w:ind w:left="460" w:right="220" w:hanging="452"/>
        <w:spacing w:after="0" w:line="308" w:lineRule="auto"/>
        <w:tabs>
          <w:tab w:leader="none" w:pos="4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9" w:lineRule="exact"/>
        <w:rPr>
          <w:rFonts w:ascii="Arial" w:cs="Arial" w:eastAsia="Arial" w:hAnsi="Arial"/>
          <w:sz w:val="17"/>
          <w:szCs w:val="17"/>
          <w:color w:val="auto"/>
        </w:rPr>
      </w:pPr>
    </w:p>
    <w:p>
      <w:pPr>
        <w:ind w:left="900" w:right="40" w:hanging="447"/>
        <w:spacing w:after="0" w:line="277" w:lineRule="auto"/>
        <w:tabs>
          <w:tab w:leader="none" w:pos="90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3" w:lineRule="exact"/>
        <w:rPr>
          <w:rFonts w:ascii="Arial" w:cs="Arial" w:eastAsia="Arial" w:hAnsi="Arial"/>
          <w:sz w:val="18"/>
          <w:szCs w:val="18"/>
          <w:color w:val="auto"/>
        </w:rPr>
      </w:pPr>
    </w:p>
    <w:p>
      <w:pPr>
        <w:ind w:left="900" w:right="20" w:hanging="447"/>
        <w:spacing w:after="0" w:line="277" w:lineRule="auto"/>
        <w:tabs>
          <w:tab w:leader="none" w:pos="90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21,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Jian Tang</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Jian Tang</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51"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12.2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Terence Li, certify that:</w:t>
      </w:r>
    </w:p>
    <w:p>
      <w:pPr>
        <w:spacing w:after="0" w:line="239" w:lineRule="exact"/>
        <w:rPr>
          <w:sz w:val="20"/>
          <w:szCs w:val="20"/>
          <w:color w:val="auto"/>
        </w:rPr>
      </w:pPr>
    </w:p>
    <w:p>
      <w:pPr>
        <w:ind w:left="460" w:hanging="452"/>
        <w:spacing w:after="0"/>
        <w:tabs>
          <w:tab w:leader="none" w:pos="4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iClick Interactive Asia Group Limited;</w:t>
      </w:r>
    </w:p>
    <w:p>
      <w:pPr>
        <w:spacing w:after="0" w:line="238" w:lineRule="exact"/>
        <w:rPr>
          <w:rFonts w:ascii="Arial" w:cs="Arial" w:eastAsia="Arial" w:hAnsi="Arial"/>
          <w:sz w:val="18"/>
          <w:szCs w:val="18"/>
          <w:color w:val="auto"/>
        </w:rPr>
      </w:pPr>
    </w:p>
    <w:p>
      <w:pPr>
        <w:jc w:val="both"/>
        <w:ind w:left="460" w:right="320" w:hanging="452"/>
        <w:spacing w:after="0" w:line="263" w:lineRule="auto"/>
        <w:tabs>
          <w:tab w:leader="none" w:pos="4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9" w:lineRule="exact"/>
        <w:rPr>
          <w:rFonts w:ascii="Arial" w:cs="Arial" w:eastAsia="Arial" w:hAnsi="Arial"/>
          <w:sz w:val="17"/>
          <w:szCs w:val="17"/>
          <w:color w:val="auto"/>
        </w:rPr>
      </w:pPr>
    </w:p>
    <w:p>
      <w:pPr>
        <w:ind w:left="460" w:right="380" w:hanging="452"/>
        <w:spacing w:after="0" w:line="263" w:lineRule="auto"/>
        <w:tabs>
          <w:tab w:leader="none" w:pos="4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p>
      <w:pPr>
        <w:spacing w:after="0" w:line="197" w:lineRule="exact"/>
        <w:rPr>
          <w:rFonts w:ascii="Arial" w:cs="Arial" w:eastAsia="Arial" w:hAnsi="Arial"/>
          <w:sz w:val="18"/>
          <w:szCs w:val="18"/>
          <w:color w:val="auto"/>
        </w:rPr>
      </w:pPr>
    </w:p>
    <w:p>
      <w:pPr>
        <w:ind w:left="900" w:right="140" w:hanging="447"/>
        <w:spacing w:after="0" w:line="263" w:lineRule="auto"/>
        <w:tabs>
          <w:tab w:leader="none" w:pos="90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00" w:right="440" w:hanging="447"/>
        <w:spacing w:after="0" w:line="263" w:lineRule="auto"/>
        <w:tabs>
          <w:tab w:leader="none" w:pos="90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900" w:right="620" w:hanging="447"/>
        <w:spacing w:after="0" w:line="342" w:lineRule="auto"/>
        <w:tabs>
          <w:tab w:leader="none" w:pos="90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jc w:val="both"/>
        <w:ind w:left="900" w:right="220" w:hanging="447"/>
        <w:spacing w:after="0" w:line="342" w:lineRule="auto"/>
        <w:tabs>
          <w:tab w:leader="none" w:pos="90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37" w:lineRule="exact"/>
        <w:rPr>
          <w:rFonts w:ascii="Arial" w:cs="Arial" w:eastAsia="Arial" w:hAnsi="Arial"/>
          <w:sz w:val="16"/>
          <w:szCs w:val="16"/>
          <w:color w:val="auto"/>
        </w:rPr>
      </w:pPr>
    </w:p>
    <w:p>
      <w:pPr>
        <w:ind w:left="460" w:right="220" w:hanging="452"/>
        <w:spacing w:after="0" w:line="308" w:lineRule="auto"/>
        <w:tabs>
          <w:tab w:leader="none" w:pos="46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59" w:lineRule="exact"/>
        <w:rPr>
          <w:rFonts w:ascii="Arial" w:cs="Arial" w:eastAsia="Arial" w:hAnsi="Arial"/>
          <w:sz w:val="17"/>
          <w:szCs w:val="17"/>
          <w:color w:val="auto"/>
        </w:rPr>
      </w:pPr>
    </w:p>
    <w:p>
      <w:pPr>
        <w:ind w:left="900" w:right="40" w:hanging="447"/>
        <w:spacing w:after="0" w:line="277" w:lineRule="auto"/>
        <w:tabs>
          <w:tab w:leader="none" w:pos="90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3" w:lineRule="exact"/>
        <w:rPr>
          <w:rFonts w:ascii="Arial" w:cs="Arial" w:eastAsia="Arial" w:hAnsi="Arial"/>
          <w:sz w:val="18"/>
          <w:szCs w:val="18"/>
          <w:color w:val="auto"/>
        </w:rPr>
      </w:pPr>
    </w:p>
    <w:p>
      <w:pPr>
        <w:ind w:left="900" w:right="20" w:hanging="447"/>
        <w:spacing w:after="0" w:line="277" w:lineRule="auto"/>
        <w:tabs>
          <w:tab w:leader="none" w:pos="90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21,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351"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connection with the Annual Report of (the “Company”) on Form 20-F for the fiscal year ended December 31, 2020 as filed with the Securities and Exchange Commission on the date hereof (the “Report”), I, Jian Tang, Chief Executive Officer of the Company, certify, pursuant to 18 U.S.C. Section 1350, as adopted pursuant to Section 906 of the Sarbanes-Oxley Act of 2002, that to my knowledge:</w:t>
      </w:r>
    </w:p>
    <w:p>
      <w:pPr>
        <w:spacing w:after="0" w:line="184" w:lineRule="exact"/>
        <w:rPr>
          <w:sz w:val="20"/>
          <w:szCs w:val="20"/>
          <w:color w:val="auto"/>
        </w:rPr>
      </w:pPr>
    </w:p>
    <w:p>
      <w:pPr>
        <w:ind w:left="900" w:hanging="407"/>
        <w:spacing w:after="0"/>
        <w:tabs>
          <w:tab w:leader="none" w:pos="9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right="680" w:hanging="407"/>
        <w:spacing w:after="0" w:line="277" w:lineRule="auto"/>
        <w:tabs>
          <w:tab w:leader="none" w:pos="88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Jian Tang</w:t>
            </w:r>
          </w:p>
        </w:tc>
      </w:tr>
      <w:tr>
        <w:trPr>
          <w:trHeight w:val="195"/>
        </w:trPr>
        <w:tc>
          <w:tcPr>
            <w:tcW w:w="9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Jian Tang</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100" w:firstLine="510"/>
        <w:spacing w:after="0" w:line="311" w:lineRule="auto"/>
        <w:rPr>
          <w:sz w:val="20"/>
          <w:szCs w:val="20"/>
          <w:color w:val="auto"/>
        </w:rPr>
      </w:pPr>
      <w:r>
        <w:rPr>
          <w:rFonts w:ascii="Arial" w:cs="Arial" w:eastAsia="Arial" w:hAnsi="Arial"/>
          <w:sz w:val="16"/>
          <w:szCs w:val="16"/>
          <w:color w:val="auto"/>
        </w:rPr>
        <w:t>In connection with the Annual Report of iClick Interactive Asia Group Limited (the “Company”) on Form 20-F for the fiscal year ended December 31, 2020 as filed with the Securities and Exchange Commission on the date hereof (the “Report”), I, Terence Li, Chief Financial Officer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900" w:hanging="407"/>
        <w:spacing w:after="0"/>
        <w:tabs>
          <w:tab w:leader="none" w:pos="9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right="680" w:hanging="407"/>
        <w:spacing w:after="0" w:line="277" w:lineRule="auto"/>
        <w:tabs>
          <w:tab w:leader="none" w:pos="88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154305</wp:posOffset>
            </wp:positionV>
            <wp:extent cx="1525905" cy="9429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extLst>
                        <a:ext uri="{28A0092B-C50C-407E-A947-70E740481C1C}"/>
                      </a:extLst>
                    </a:blip>
                    <a:srcRect/>
                    <a:stretch>
                      <a:fillRect/>
                    </a:stretch>
                  </pic:blipFill>
                  <pic:spPr bwMode="auto">
                    <a:xfrm>
                      <a:off x="0" y="0"/>
                      <a:ext cx="152590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Office:</w:t>
      </w:r>
      <w:r>
        <w:rPr>
          <w:sz w:val="20"/>
          <w:szCs w:val="20"/>
          <w:color w:val="auto"/>
        </w:rPr>
        <w:tab/>
      </w:r>
      <w:r>
        <w:rPr>
          <w:rFonts w:ascii="Arial" w:cs="Arial" w:eastAsia="Arial" w:hAnsi="Arial"/>
          <w:sz w:val="18"/>
          <w:szCs w:val="18"/>
          <w:color w:val="auto"/>
        </w:rPr>
        <w:t>+852 2801 6066</w:t>
      </w:r>
    </w:p>
    <w:p>
      <w:pPr>
        <w:spacing w:after="0" w:line="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Mobile:</w:t>
      </w:r>
      <w:r>
        <w:rPr>
          <w:sz w:val="20"/>
          <w:szCs w:val="20"/>
          <w:color w:val="auto"/>
        </w:rPr>
        <w:tab/>
      </w:r>
      <w:r>
        <w:rPr>
          <w:rFonts w:ascii="Arial" w:cs="Arial" w:eastAsia="Arial" w:hAnsi="Arial"/>
          <w:sz w:val="18"/>
          <w:szCs w:val="18"/>
          <w:color w:val="auto"/>
        </w:rPr>
        <w:t>+852 9718 8740</w:t>
      </w:r>
    </w:p>
    <w:p>
      <w:pPr>
        <w:spacing w:after="0" w:line="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Email:</w:t>
      </w:r>
      <w:r>
        <w:rPr>
          <w:sz w:val="20"/>
          <w:szCs w:val="20"/>
          <w:color w:val="auto"/>
        </w:rPr>
        <w:tab/>
      </w:r>
      <w:r>
        <w:rPr>
          <w:rFonts w:ascii="Arial" w:cs="Arial" w:eastAsia="Arial" w:hAnsi="Arial"/>
          <w:sz w:val="18"/>
          <w:szCs w:val="18"/>
          <w:color w:val="auto"/>
        </w:rPr>
        <w:t>rthorp@tta.lawyer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663 King’s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Quarry Bay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 April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We have acted as legal advisers as to the laws of the Cayman Islands to iClick Interactive Asia Group Limited, a Cayman Islands exempted company incorporated with limited liability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filing by the Company with the United States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of an annual report on Form 20-F for the year ended 31 December 2020 (“</w:t>
      </w:r>
      <w:r>
        <w:rPr>
          <w:rFonts w:ascii="Arial" w:cs="Arial" w:eastAsia="Arial" w:hAnsi="Arial"/>
          <w:sz w:val="17"/>
          <w:szCs w:val="17"/>
          <w:b w:val="1"/>
          <w:bCs w:val="1"/>
          <w:color w:val="auto"/>
        </w:rPr>
        <w:t>Form 20-F</w:t>
      </w:r>
      <w:r>
        <w:rPr>
          <w:rFonts w:ascii="Arial" w:cs="Arial" w:eastAsia="Arial" w:hAnsi="Arial"/>
          <w:sz w:val="17"/>
          <w:szCs w:val="17"/>
          <w:color w:val="auto"/>
        </w:rPr>
        <w:t>”).</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hereby consent to the reference of our name under the headings, “Item 10.E Additional Information—Taxation—Cayman Islands Taxation” in the Form 20-F, and further consent to the incorporation by reference of the summaries of our opinions under these captions into iClick Interactive Asia Group Limited’s registration statement on Form S-8 (File No. 333-225568) that was filed on 12 June 2018, Form S-8 (File No. 333-227747) that was filed on 9 October 2018 and Form S-8 (File No. 333-253596) that was filed on 26 February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Travers Thorp Alberga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TRAVERS THORP ALBERGA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151765</wp:posOffset>
            </wp:positionV>
            <wp:extent cx="2177415" cy="7461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extLst>
                        <a:ext uri="{28A0092B-C50C-407E-A947-70E740481C1C}"/>
                      </a:extLst>
                    </a:blip>
                    <a:srcRect/>
                    <a:stretch>
                      <a:fillRect/>
                    </a:stretch>
                  </pic:blipFill>
                  <pic:spPr bwMode="auto">
                    <a:xfrm>
                      <a:off x="0" y="0"/>
                      <a:ext cx="2177415" cy="746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154305</wp:posOffset>
            </wp:positionV>
            <wp:extent cx="2922905" cy="11830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2922905"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April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reference to our firm under the headings “Item 3. Key Information—D. Risk Factors—Risks Related to Our Corporate Structure” “Item</w:t>
      </w:r>
    </w:p>
    <w:p>
      <w:pPr>
        <w:spacing w:after="0" w:line="46" w:lineRule="exact"/>
        <w:rPr>
          <w:sz w:val="20"/>
          <w:szCs w:val="20"/>
          <w:color w:val="auto"/>
        </w:rPr>
      </w:pPr>
    </w:p>
    <w:p>
      <w:pPr>
        <w:jc w:val="both"/>
        <w:ind w:right="240" w:firstLine="8"/>
        <w:spacing w:after="0" w:line="255" w:lineRule="auto"/>
        <w:tabs>
          <w:tab w:leader="none" w:pos="1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Information On the Company—B. Business Overview—Regulation—Regulations on Foreign-related Surveys Measures” “Item 4. Information On the Company—C. Organizational Structure” in the Annual Report of iClick Interactive Asia Group Limited on Form 20-F for the year ended December 31, 2020, which will be filed with the Securities and Exchange Commission in the month of April 2021.</w:t>
      </w:r>
    </w:p>
    <w:p>
      <w:pPr>
        <w:spacing w:after="0" w:line="19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Jingtian &amp; Gongcheng</w:t>
      </w:r>
    </w:p>
    <w:p>
      <w:pPr>
        <w:sectPr>
          <w:pgSz w:w="11900" w:h="16838" w:orient="portrait"/>
          <w:cols w:equalWidth="0" w:num="1">
            <w:col w:w="11240"/>
          </w:cols>
          <w:pgMar w:left="320" w:top="121"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15.3</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9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333-225568, No. 333-227747, and No. 333-253596) of iClick Interactive Asia Group Limited of our report dated April 21, 2021 relating to the consolidated financial statements, which appears in this Form 20-F.</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21,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B5E776"/>
    <w:multiLevelType w:val="hybridMultilevel"/>
    <w:lvl w:ilvl="0">
      <w:lvlJc w:val="left"/>
      <w:lvlText w:val="☐"/>
      <w:numFmt w:val="bullet"/>
      <w:start w:val="1"/>
    </w:lvl>
  </w:abstractNum>
  <w:abstractNum w:abstractNumId="1">
    <w:nsid w:val="75486E47"/>
    <w:multiLevelType w:val="hybridMultilevel"/>
    <w:lvl w:ilvl="0">
      <w:lvlJc w:val="left"/>
      <w:lvlText w:val="☒"/>
      <w:numFmt w:val="bullet"/>
      <w:start w:val="1"/>
    </w:lvl>
  </w:abstractNum>
  <w:abstractNum w:abstractNumId="2">
    <w:nsid w:val="6E534CDE"/>
    <w:multiLevelType w:val="hybridMultilevel"/>
    <w:lvl w:ilvl="0">
      <w:lvlJc w:val="left"/>
      <w:lvlText w:val="☐"/>
      <w:numFmt w:val="bullet"/>
      <w:start w:val="1"/>
    </w:lvl>
  </w:abstractNum>
  <w:abstractNum w:abstractNumId="3">
    <w:nsid w:val="1A0DDE32"/>
    <w:multiLevelType w:val="hybridMultilevel"/>
    <w:lvl w:ilvl="0">
      <w:lvlJc w:val="left"/>
      <w:lvlText w:val="☐"/>
      <w:numFmt w:val="bullet"/>
      <w:start w:val="1"/>
    </w:lvl>
  </w:abstractNum>
  <w:abstractNum w:abstractNumId="4">
    <w:nsid w:val="65968C1C"/>
    <w:multiLevelType w:val="hybridMultilevel"/>
    <w:lvl w:ilvl="0">
      <w:lvlJc w:val="left"/>
      <w:lvlText w:val="☒"/>
      <w:numFmt w:val="bullet"/>
      <w:start w:val="1"/>
    </w:lvl>
  </w:abstractNum>
  <w:abstractNum w:abstractNumId="5">
    <w:nsid w:val="46263DEC"/>
    <w:multiLevelType w:val="hybridMultilevel"/>
    <w:lvl w:ilvl="0">
      <w:lvlJc w:val="left"/>
      <w:lvlText w:val="☐"/>
      <w:numFmt w:val="bullet"/>
      <w:start w:val="1"/>
    </w:lvl>
  </w:abstractNum>
  <w:abstractNum w:abstractNumId="6">
    <w:nsid w:val="260D8C4A"/>
    <w:multiLevelType w:val="hybridMultilevel"/>
    <w:lvl w:ilvl="0">
      <w:lvlJc w:val="left"/>
      <w:lvlText w:val="☒"/>
      <w:numFmt w:val="bullet"/>
      <w:start w:val="1"/>
    </w:lvl>
  </w:abstractNum>
  <w:abstractNum w:abstractNumId="7">
    <w:nsid w:val="73D4D3C4"/>
    <w:multiLevelType w:val="hybridMultilevel"/>
    <w:lvl w:ilvl="0">
      <w:lvlJc w:val="left"/>
      <w:lvlText w:val="☐"/>
      <w:numFmt w:val="bullet"/>
      <w:start w:val="1"/>
    </w:lvl>
  </w:abstractNum>
  <w:abstractNum w:abstractNumId="8">
    <w:nsid w:val="746F2E30"/>
    <w:multiLevelType w:val="hybridMultilevel"/>
    <w:lvl w:ilvl="0">
      <w:lvlJc w:val="left"/>
      <w:lvlText w:val="☐"/>
      <w:numFmt w:val="bullet"/>
      <w:start w:val="1"/>
    </w:lvl>
  </w:abstractNum>
  <w:abstractNum w:abstractNumId="9">
    <w:nsid w:val="6FDE8AF6"/>
    <w:multiLevelType w:val="hybridMultilevel"/>
    <w:lvl w:ilvl="0">
      <w:lvlJc w:val="left"/>
      <w:lvlText w:val="†"/>
      <w:numFmt w:val="bullet"/>
      <w:start w:val="1"/>
    </w:lvl>
    <w:lvl w:ilvl="1">
      <w:lvlJc w:val="left"/>
      <w:lvlText w:val="☐"/>
      <w:numFmt w:val="bullet"/>
      <w:start w:val="1"/>
    </w:lvl>
  </w:abstractNum>
  <w:abstractNum w:abstractNumId="10">
    <w:nsid w:val="3FC32E20"/>
    <w:multiLevelType w:val="hybridMultilevel"/>
    <w:lvl w:ilvl="0">
      <w:lvlJc w:val="left"/>
      <w:lvlText w:val="•"/>
      <w:numFmt w:val="bullet"/>
      <w:start w:val="1"/>
    </w:lvl>
  </w:abstractNum>
  <w:abstractNum w:abstractNumId="11">
    <w:nsid w:val="49C0E823"/>
    <w:multiLevelType w:val="hybridMultilevel"/>
    <w:lvl w:ilvl="0">
      <w:lvlJc w:val="left"/>
      <w:lvlText w:val="•"/>
      <w:numFmt w:val="bullet"/>
      <w:start w:val="1"/>
    </w:lvl>
  </w:abstractNum>
  <w:abstractNum w:abstractNumId="12">
    <w:nsid w:val="14D53685"/>
    <w:multiLevelType w:val="hybridMultilevel"/>
    <w:lvl w:ilvl="0">
      <w:lvlJc w:val="left"/>
      <w:lvlText w:val="%1."/>
      <w:numFmt w:val="upperLetter"/>
      <w:start w:val="1"/>
    </w:lvl>
  </w:abstractNum>
  <w:abstractNum w:abstractNumId="13">
    <w:nsid w:val="230F856C"/>
    <w:multiLevelType w:val="hybridMultilevel"/>
    <w:lvl w:ilvl="0">
      <w:lvlJc w:val="left"/>
      <w:lvlText w:val="(%1)"/>
      <w:numFmt w:val="decimal"/>
      <w:start w:val="1"/>
    </w:lvl>
  </w:abstractNum>
  <w:abstractNum w:abstractNumId="14">
    <w:nsid w:val="6EAA85FB"/>
    <w:multiLevelType w:val="hybridMultilevel"/>
    <w:lvl w:ilvl="0">
      <w:lvlJc w:val="left"/>
      <w:lvlText w:val="%1"/>
      <w:numFmt w:val="upperLetter"/>
      <w:start w:val="1"/>
    </w:lvl>
    <w:lvl w:ilvl="1">
      <w:lvlJc w:val="left"/>
      <w:lvlText w:val="(%2)"/>
      <w:numFmt w:val="decimal"/>
      <w:start w:val="2"/>
    </w:lvl>
  </w:abstractNum>
  <w:abstractNum w:abstractNumId="15">
    <w:nsid w:val="3F06ECB2"/>
    <w:multiLevelType w:val="hybridMultilevel"/>
    <w:lvl w:ilvl="0">
      <w:lvlJc w:val="left"/>
      <w:lvlText w:val="%1."/>
      <w:numFmt w:val="upperLetter"/>
      <w:start w:val="2"/>
    </w:lvl>
    <w:lvl w:ilvl="1">
      <w:lvlJc w:val="left"/>
      <w:lvlText w:val="%2"/>
      <w:numFmt w:val="decimal"/>
      <w:start w:val="1"/>
    </w:lvl>
  </w:abstractNum>
  <w:abstractNum w:abstractNumId="16">
    <w:nsid w:val="3B594807"/>
    <w:multiLevelType w:val="hybridMultilevel"/>
    <w:lvl w:ilvl="0">
      <w:lvlJc w:val="left"/>
      <w:lvlText w:val="•"/>
      <w:numFmt w:val="bullet"/>
      <w:start w:val="1"/>
    </w:lvl>
  </w:abstractNum>
  <w:abstractNum w:abstractNumId="17">
    <w:nsid w:val="6CAA2304"/>
    <w:multiLevelType w:val="hybridMultilevel"/>
    <w:lvl w:ilvl="0">
      <w:lvlJc w:val="left"/>
      <w:lvlText w:val="•"/>
      <w:numFmt w:val="bullet"/>
      <w:start w:val="1"/>
    </w:lvl>
  </w:abstractNum>
  <w:abstractNum w:abstractNumId="18">
    <w:nsid w:val="3F7C2FF4"/>
    <w:multiLevelType w:val="hybridMultilevel"/>
    <w:lvl w:ilvl="0">
      <w:lvlJc w:val="left"/>
      <w:lvlText w:val="•"/>
      <w:numFmt w:val="bullet"/>
      <w:start w:val="1"/>
    </w:lvl>
  </w:abstractNum>
  <w:abstractNum w:abstractNumId="19">
    <w:nsid w:val="25413BEC"/>
    <w:multiLevelType w:val="hybridMultilevel"/>
    <w:lvl w:ilvl="0">
      <w:lvlJc w:val="left"/>
      <w:lvlText w:val="•"/>
      <w:numFmt w:val="bullet"/>
      <w:start w:val="1"/>
    </w:lvl>
  </w:abstractNum>
  <w:abstractNum w:abstractNumId="20">
    <w:nsid w:val="17180B0B"/>
    <w:multiLevelType w:val="hybridMultilevel"/>
    <w:lvl w:ilvl="0">
      <w:lvlJc w:val="left"/>
      <w:lvlText w:val="(%1)"/>
      <w:numFmt w:val="lowerRoman"/>
      <w:start w:val="1"/>
    </w:lvl>
  </w:abstractNum>
  <w:abstractNum w:abstractNumId="21">
    <w:nsid w:val="579328B9"/>
    <w:multiLevelType w:val="hybridMultilevel"/>
    <w:lvl w:ilvl="0">
      <w:lvlJc w:val="left"/>
      <w:lvlText w:val="•"/>
      <w:numFmt w:val="bullet"/>
      <w:start w:val="1"/>
    </w:lvl>
  </w:abstractNum>
  <w:abstractNum w:abstractNumId="22">
    <w:nsid w:val="5D205E20"/>
    <w:multiLevelType w:val="hybridMultilevel"/>
    <w:lvl w:ilvl="0">
      <w:lvlJc w:val="left"/>
      <w:lvlText w:val="•"/>
      <w:numFmt w:val="bullet"/>
      <w:start w:val="1"/>
    </w:lvl>
  </w:abstractNum>
  <w:abstractNum w:abstractNumId="23">
    <w:nsid w:val="11CCA8BA"/>
    <w:multiLevelType w:val="hybridMultilevel"/>
    <w:lvl w:ilvl="0">
      <w:lvlJc w:val="left"/>
      <w:lvlText w:val="•"/>
      <w:numFmt w:val="bullet"/>
      <w:start w:val="1"/>
    </w:lvl>
  </w:abstractNum>
  <w:abstractNum w:abstractNumId="24">
    <w:nsid w:val="4D32AB86"/>
    <w:multiLevelType w:val="hybridMultilevel"/>
    <w:lvl w:ilvl="0">
      <w:lvlJc w:val="left"/>
      <w:lvlText w:val="•"/>
      <w:numFmt w:val="bullet"/>
      <w:start w:val="1"/>
    </w:lvl>
  </w:abstractNum>
  <w:abstractNum w:abstractNumId="25">
    <w:nsid w:val="3F07ACC3"/>
    <w:multiLevelType w:val="hybridMultilevel"/>
    <w:lvl w:ilvl="0">
      <w:lvlJc w:val="left"/>
      <w:lvlText w:val="•"/>
      <w:numFmt w:val="bullet"/>
      <w:start w:val="1"/>
    </w:lvl>
  </w:abstractNum>
  <w:abstractNum w:abstractNumId="26">
    <w:nsid w:val="6B47F63E"/>
    <w:multiLevelType w:val="hybridMultilevel"/>
    <w:lvl w:ilvl="0">
      <w:lvlJc w:val="left"/>
      <w:lvlText w:val="•"/>
      <w:numFmt w:val="bullet"/>
      <w:start w:val="1"/>
    </w:lvl>
  </w:abstractNum>
  <w:abstractNum w:abstractNumId="27">
    <w:nsid w:val="5CB44A05"/>
    <w:multiLevelType w:val="hybridMultilevel"/>
    <w:lvl w:ilvl="0">
      <w:lvlJc w:val="left"/>
      <w:lvlText w:val="•"/>
      <w:numFmt w:val="bullet"/>
      <w:start w:val="1"/>
    </w:lvl>
  </w:abstractNum>
  <w:abstractNum w:abstractNumId="28">
    <w:nsid w:val="16CF80F1"/>
    <w:multiLevelType w:val="hybridMultilevel"/>
    <w:lvl w:ilvl="0">
      <w:lvlJc w:val="left"/>
      <w:lvlText w:val="•"/>
      <w:numFmt w:val="bullet"/>
      <w:start w:val="1"/>
    </w:lvl>
  </w:abstractNum>
  <w:abstractNum w:abstractNumId="29">
    <w:nsid w:val="1C695DEC"/>
    <w:multiLevelType w:val="hybridMultilevel"/>
    <w:lvl w:ilvl="0">
      <w:lvlJc w:val="left"/>
      <w:lvlText w:val="%1."/>
      <w:numFmt w:val="upperLetter"/>
      <w:start w:val="1"/>
    </w:lvl>
  </w:abstractNum>
  <w:abstractNum w:abstractNumId="30">
    <w:nsid w:val="3FCFAED9"/>
    <w:multiLevelType w:val="hybridMultilevel"/>
    <w:lvl w:ilvl="0">
      <w:lvlJc w:val="left"/>
      <w:lvlText w:val="%1."/>
      <w:numFmt w:val="upperLetter"/>
      <w:start w:val="2"/>
    </w:lvl>
  </w:abstractNum>
  <w:abstractNum w:abstractNumId="31">
    <w:nsid w:val="F856867"/>
    <w:multiLevelType w:val="hybridMultilevel"/>
    <w:lvl w:ilvl="0">
      <w:lvlJc w:val="left"/>
      <w:lvlText w:val="•"/>
      <w:numFmt w:val="bullet"/>
      <w:start w:val="1"/>
    </w:lvl>
  </w:abstractNum>
  <w:abstractNum w:abstractNumId="32">
    <w:nsid w:val="11B1CC33"/>
    <w:multiLevelType w:val="hybridMultilevel"/>
    <w:lvl w:ilvl="0">
      <w:lvlJc w:val="left"/>
      <w:lvlText w:val="•"/>
      <w:numFmt w:val="bullet"/>
      <w:start w:val="1"/>
    </w:lvl>
  </w:abstractNum>
  <w:abstractNum w:abstractNumId="33">
    <w:nsid w:val="2E22FBB7"/>
    <w:multiLevelType w:val="hybridMultilevel"/>
    <w:lvl w:ilvl="0">
      <w:lvlJc w:val="left"/>
      <w:lvlText w:val="•"/>
      <w:numFmt w:val="bullet"/>
      <w:start w:val="1"/>
    </w:lvl>
  </w:abstractNum>
  <w:abstractNum w:abstractNumId="34">
    <w:nsid w:val="29934699"/>
    <w:multiLevelType w:val="hybridMultilevel"/>
    <w:lvl w:ilvl="0">
      <w:lvlJc w:val="left"/>
      <w:lvlText w:val="•"/>
      <w:numFmt w:val="bullet"/>
      <w:start w:val="1"/>
    </w:lvl>
  </w:abstractNum>
  <w:abstractNum w:abstractNumId="35">
    <w:nsid w:val="77485850"/>
    <w:multiLevelType w:val="hybridMultilevel"/>
    <w:lvl w:ilvl="0">
      <w:lvlJc w:val="left"/>
      <w:lvlText w:val="•"/>
      <w:numFmt w:val="bullet"/>
      <w:start w:val="1"/>
    </w:lvl>
  </w:abstractNum>
  <w:abstractNum w:abstractNumId="36">
    <w:nsid w:val="744939A3"/>
    <w:multiLevelType w:val="hybridMultilevel"/>
    <w:lvl w:ilvl="0">
      <w:lvlJc w:val="left"/>
      <w:lvlText w:val="•"/>
      <w:numFmt w:val="bullet"/>
      <w:start w:val="1"/>
    </w:lvl>
  </w:abstractNum>
  <w:abstractNum w:abstractNumId="37">
    <w:nsid w:val="4FA0D2E3"/>
    <w:multiLevelType w:val="hybridMultilevel"/>
    <w:lvl w:ilvl="0">
      <w:lvlJc w:val="left"/>
      <w:lvlText w:val="•"/>
      <w:numFmt w:val="bullet"/>
      <w:start w:val="1"/>
    </w:lvl>
  </w:abstractNum>
  <w:abstractNum w:abstractNumId="38">
    <w:nsid w:val="6B1D2C14"/>
    <w:multiLevelType w:val="hybridMultilevel"/>
    <w:lvl w:ilvl="0">
      <w:lvlJc w:val="left"/>
      <w:lvlText w:val="•"/>
      <w:numFmt w:val="bullet"/>
      <w:start w:val="1"/>
    </w:lvl>
  </w:abstractNum>
  <w:abstractNum w:abstractNumId="39">
    <w:nsid w:val="68B867D3"/>
    <w:multiLevelType w:val="hybridMultilevel"/>
    <w:lvl w:ilvl="0">
      <w:lvlJc w:val="left"/>
      <w:lvlText w:val="•"/>
      <w:numFmt w:val="bullet"/>
      <w:start w:val="1"/>
    </w:lvl>
  </w:abstractNum>
  <w:abstractNum w:abstractNumId="40">
    <w:nsid w:val="3F7F5DD9"/>
    <w:multiLevelType w:val="hybridMultilevel"/>
    <w:lvl w:ilvl="0">
      <w:lvlJc w:val="left"/>
      <w:lvlText w:val="%1."/>
      <w:numFmt w:val="upperLetter"/>
      <w:start w:val="3"/>
    </w:lvl>
  </w:abstractNum>
  <w:abstractNum w:abstractNumId="41">
    <w:nsid w:val="2AE05A34"/>
    <w:multiLevelType w:val="hybridMultilevel"/>
    <w:lvl w:ilvl="0">
      <w:lvlJc w:val="left"/>
      <w:lvlText w:val="(%1)"/>
      <w:numFmt w:val="decimal"/>
      <w:start w:val="1"/>
    </w:lvl>
  </w:abstractNum>
  <w:abstractNum w:abstractNumId="42">
    <w:nsid w:val="32794FF7"/>
    <w:multiLevelType w:val="hybridMultilevel"/>
    <w:lvl w:ilvl="0">
      <w:lvlJc w:val="left"/>
      <w:lvlText w:val="•"/>
      <w:numFmt w:val="bullet"/>
      <w:start w:val="1"/>
    </w:lvl>
  </w:abstractNum>
  <w:abstractNum w:abstractNumId="43">
    <w:nsid w:val="5454945E"/>
    <w:multiLevelType w:val="hybridMultilevel"/>
    <w:lvl w:ilvl="0">
      <w:lvlJc w:val="left"/>
      <w:lvlText w:val="•"/>
      <w:numFmt w:val="bullet"/>
      <w:start w:val="1"/>
    </w:lvl>
  </w:abstractNum>
  <w:abstractNum w:abstractNumId="44">
    <w:nsid w:val="4DEFDFA0"/>
    <w:multiLevelType w:val="hybridMultilevel"/>
    <w:lvl w:ilvl="0">
      <w:lvlJc w:val="left"/>
      <w:lvlText w:val="•"/>
      <w:numFmt w:val="bullet"/>
      <w:start w:val="1"/>
    </w:lvl>
  </w:abstractNum>
  <w:abstractNum w:abstractNumId="45">
    <w:nsid w:val="2123D5F2"/>
    <w:multiLevelType w:val="hybridMultilevel"/>
    <w:lvl w:ilvl="0">
      <w:lvlJc w:val="left"/>
      <w:lvlText w:val="%1."/>
      <w:numFmt w:val="upperLetter"/>
      <w:start w:val="4"/>
    </w:lvl>
  </w:abstractNum>
  <w:abstractNum w:abstractNumId="46">
    <w:nsid w:val="135B8110"/>
    <w:multiLevelType w:val="hybridMultilevel"/>
    <w:lvl w:ilvl="0">
      <w:lvlJc w:val="left"/>
      <w:lvlText w:val="%1."/>
      <w:numFmt w:val="upperLetter"/>
      <w:start w:val="1"/>
    </w:lvl>
  </w:abstractNum>
  <w:abstractNum w:abstractNumId="47">
    <w:nsid w:val="94927A8"/>
    <w:multiLevelType w:val="hybridMultilevel"/>
    <w:lvl w:ilvl="0">
      <w:lvlJc w:val="left"/>
      <w:lvlText w:val="•"/>
      <w:numFmt w:val="bullet"/>
      <w:start w:val="1"/>
    </w:lvl>
  </w:abstractNum>
  <w:abstractNum w:abstractNumId="48">
    <w:nsid w:val="DCDF8F6"/>
    <w:multiLevelType w:val="hybridMultilevel"/>
    <w:lvl w:ilvl="0">
      <w:lvlJc w:val="left"/>
      <w:lvlText w:val="•"/>
      <w:numFmt w:val="bullet"/>
      <w:start w:val="1"/>
    </w:lvl>
  </w:abstractNum>
  <w:abstractNum w:abstractNumId="49">
    <w:nsid w:val="52D7B105"/>
    <w:multiLevelType w:val="hybridMultilevel"/>
    <w:lvl w:ilvl="0">
      <w:lvlJc w:val="left"/>
      <w:lvlText w:val="(%1)"/>
      <w:numFmt w:val="lowerRoman"/>
      <w:start w:val="1"/>
    </w:lvl>
  </w:abstractNum>
  <w:abstractNum w:abstractNumId="50">
    <w:nsid w:val="2E8A6394"/>
    <w:multiLevelType w:val="hybridMultilevel"/>
    <w:lvl w:ilvl="0">
      <w:lvlJc w:val="left"/>
      <w:lvlText w:val="(%1)"/>
      <w:numFmt w:val="decimal"/>
      <w:start w:val="1"/>
    </w:lvl>
  </w:abstractNum>
  <w:abstractNum w:abstractNumId="51">
    <w:nsid w:val="24E60401"/>
    <w:multiLevelType w:val="hybridMultilevel"/>
    <w:lvl w:ilvl="0">
      <w:lvlJc w:val="left"/>
      <w:lvlText w:val="(%1)"/>
      <w:numFmt w:val="decimal"/>
      <w:start w:val="4"/>
    </w:lvl>
  </w:abstractNum>
  <w:abstractNum w:abstractNumId="52">
    <w:nsid w:val="2A6AD9BE"/>
    <w:multiLevelType w:val="hybridMultilevel"/>
    <w:lvl w:ilvl="0">
      <w:lvlJc w:val="left"/>
      <w:lvlText w:val="*"/>
      <w:numFmt w:val="bullet"/>
      <w:start w:val="1"/>
    </w:lvl>
  </w:abstractNum>
  <w:abstractNum w:abstractNumId="53">
    <w:nsid w:val="BAAC1B4"/>
    <w:multiLevelType w:val="hybridMultilevel"/>
    <w:lvl w:ilvl="0">
      <w:lvlJc w:val="left"/>
      <w:lvlText w:val="(%1)"/>
      <w:numFmt w:val="lowerRoman"/>
      <w:start w:val="2"/>
    </w:lvl>
  </w:abstractNum>
  <w:abstractNum w:abstractNumId="54">
    <w:nsid w:val="36B2ACBC"/>
    <w:multiLevelType w:val="hybridMultilevel"/>
    <w:lvl w:ilvl="0">
      <w:lvlJc w:val="left"/>
      <w:lvlText w:val="*"/>
      <w:numFmt w:val="bullet"/>
      <w:start w:val="1"/>
    </w:lvl>
  </w:abstractNum>
  <w:abstractNum w:abstractNumId="55">
    <w:nsid w:val="779D8544"/>
    <w:multiLevelType w:val="hybridMultilevel"/>
    <w:lvl w:ilvl="0">
      <w:lvlJc w:val="left"/>
      <w:lvlText w:val="•"/>
      <w:numFmt w:val="bullet"/>
      <w:start w:val="1"/>
    </w:lvl>
  </w:abstractNum>
  <w:abstractNum w:abstractNumId="56">
    <w:nsid w:val="4AB26E78"/>
    <w:multiLevelType w:val="hybridMultilevel"/>
    <w:lvl w:ilvl="0">
      <w:lvlJc w:val="left"/>
      <w:lvlText w:val="•"/>
      <w:numFmt w:val="bullet"/>
      <w:start w:val="1"/>
    </w:lvl>
  </w:abstractNum>
  <w:abstractNum w:abstractNumId="57">
    <w:nsid w:val="21FAA2FA"/>
    <w:multiLevelType w:val="hybridMultilevel"/>
    <w:lvl w:ilvl="0">
      <w:lvlJc w:val="left"/>
      <w:lvlText w:val="•"/>
      <w:numFmt w:val="bullet"/>
      <w:start w:val="1"/>
    </w:lvl>
  </w:abstractNum>
  <w:abstractNum w:abstractNumId="58">
    <w:nsid w:val="5451CF49"/>
    <w:multiLevelType w:val="hybridMultilevel"/>
    <w:lvl w:ilvl="0">
      <w:lvlJc w:val="left"/>
      <w:lvlText w:val="•"/>
      <w:numFmt w:val="bullet"/>
      <w:start w:val="1"/>
    </w:lvl>
  </w:abstractNum>
  <w:abstractNum w:abstractNumId="59">
    <w:nsid w:val="6181EF69"/>
    <w:multiLevelType w:val="hybridMultilevel"/>
    <w:lvl w:ilvl="0">
      <w:lvlJc w:val="left"/>
      <w:lvlText w:val="%1."/>
      <w:numFmt w:val="upperLetter"/>
      <w:start w:val="2"/>
    </w:lvl>
  </w:abstractNum>
  <w:abstractNum w:abstractNumId="60">
    <w:nsid w:val="3E6400E6"/>
    <w:multiLevelType w:val="hybridMultilevel"/>
    <w:lvl w:ilvl="0">
      <w:lvlJc w:val="left"/>
      <w:lvlText w:val="%1."/>
      <w:numFmt w:val="upperLetter"/>
      <w:start w:val="3"/>
    </w:lvl>
  </w:abstractNum>
  <w:abstractNum w:abstractNumId="61">
    <w:nsid w:val="14217E23"/>
    <w:multiLevelType w:val="hybridMultilevel"/>
    <w:lvl w:ilvl="0">
      <w:lvlJc w:val="left"/>
      <w:lvlText w:val="%1."/>
      <w:numFmt w:val="upperLetter"/>
      <w:start w:val="5"/>
    </w:lvl>
  </w:abstractNum>
  <w:abstractNum w:abstractNumId="62">
    <w:nsid w:val="710757D0"/>
    <w:multiLevelType w:val="hybridMultilevel"/>
    <w:lvl w:ilvl="0">
      <w:lvlJc w:val="left"/>
      <w:lvlText w:val="%1."/>
      <w:numFmt w:val="upperLetter"/>
      <w:start w:val="6"/>
    </w:lvl>
  </w:abstractNum>
  <w:abstractNum w:abstractNumId="63">
    <w:nsid w:val="5015CD1A"/>
    <w:multiLevelType w:val="hybridMultilevel"/>
    <w:lvl w:ilvl="0">
      <w:lvlJc w:val="left"/>
      <w:lvlText w:val="%1."/>
      <w:numFmt w:val="upperLetter"/>
      <w:start w:val="7"/>
    </w:lvl>
  </w:abstractNum>
  <w:abstractNum w:abstractNumId="64">
    <w:nsid w:val="424479DA"/>
    <w:multiLevelType w:val="hybridMultilevel"/>
    <w:lvl w:ilvl="0">
      <w:lvlJc w:val="left"/>
      <w:lvlText w:val="%1."/>
      <w:numFmt w:val="upperLetter"/>
      <w:start w:val="1"/>
    </w:lvl>
  </w:abstractNum>
  <w:abstractNum w:abstractNumId="65">
    <w:nsid w:val="1A9A9E69"/>
    <w:multiLevelType w:val="hybridMultilevel"/>
    <w:lvl w:ilvl="0">
      <w:lvlJc w:val="left"/>
      <w:lvlText w:val="%1."/>
      <w:numFmt w:val="upperLetter"/>
      <w:start w:val="2"/>
    </w:lvl>
  </w:abstractNum>
  <w:abstractNum w:abstractNumId="66">
    <w:nsid w:val="475E256A"/>
    <w:multiLevelType w:val="hybridMultilevel"/>
    <w:lvl w:ilvl="0">
      <w:lvlJc w:val="left"/>
      <w:lvlText w:val="*"/>
      <w:numFmt w:val="bullet"/>
      <w:start w:val="1"/>
    </w:lvl>
  </w:abstractNum>
  <w:abstractNum w:abstractNumId="67">
    <w:nsid w:val="368DB37E"/>
    <w:multiLevelType w:val="hybridMultilevel"/>
    <w:lvl w:ilvl="0">
      <w:lvlJc w:val="left"/>
      <w:lvlText w:val="%1."/>
      <w:numFmt w:val="upperLetter"/>
      <w:start w:val="3"/>
    </w:lvl>
  </w:abstractNum>
  <w:abstractNum w:abstractNumId="68">
    <w:nsid w:val="6A3B714C"/>
    <w:multiLevelType w:val="hybridMultilevel"/>
    <w:lvl w:ilvl="0">
      <w:lvlJc w:val="left"/>
      <w:lvlText w:val="•"/>
      <w:numFmt w:val="bullet"/>
      <w:start w:val="1"/>
    </w:lvl>
  </w:abstractNum>
  <w:abstractNum w:abstractNumId="69">
    <w:nsid w:val="327B517E"/>
    <w:multiLevelType w:val="hybridMultilevel"/>
    <w:lvl w:ilvl="0">
      <w:lvlJc w:val="left"/>
      <w:lvlText w:val="•"/>
      <w:numFmt w:val="bullet"/>
      <w:start w:val="1"/>
    </w:lvl>
  </w:abstractNum>
  <w:abstractNum w:abstractNumId="70">
    <w:nsid w:val="1F461B51"/>
    <w:multiLevelType w:val="hybridMultilevel"/>
    <w:lvl w:ilvl="0">
      <w:lvlJc w:val="left"/>
      <w:lvlText w:val="•"/>
      <w:numFmt w:val="bullet"/>
      <w:start w:val="1"/>
    </w:lvl>
  </w:abstractNum>
  <w:abstractNum w:abstractNumId="71">
    <w:nsid w:val="29BACF25"/>
    <w:multiLevelType w:val="hybridMultilevel"/>
    <w:lvl w:ilvl="0">
      <w:lvlJc w:val="left"/>
      <w:lvlText w:val="•"/>
      <w:numFmt w:val="bullet"/>
      <w:start w:val="1"/>
    </w:lvl>
  </w:abstractNum>
  <w:abstractNum w:abstractNumId="72">
    <w:nsid w:val="5D5BABB3"/>
    <w:multiLevelType w:val="hybridMultilevel"/>
    <w:lvl w:ilvl="0">
      <w:lvlJc w:val="left"/>
      <w:lvlText w:val="%1."/>
      <w:numFmt w:val="upperLetter"/>
      <w:start w:val="4"/>
    </w:lvl>
  </w:abstractNum>
  <w:abstractNum w:abstractNumId="73">
    <w:nsid w:val="51BF6B48"/>
    <w:multiLevelType w:val="hybridMultilevel"/>
    <w:lvl w:ilvl="0">
      <w:lvlJc w:val="left"/>
      <w:lvlText w:val="%1."/>
      <w:numFmt w:val="upperLetter"/>
      <w:start w:val="5"/>
    </w:lvl>
    <w:lvl w:ilvl="1">
      <w:lvlJc w:val="left"/>
      <w:lvlText w:val="•"/>
      <w:numFmt w:val="bullet"/>
      <w:start w:val="1"/>
    </w:lvl>
  </w:abstractNum>
  <w:abstractNum w:abstractNumId="74">
    <w:nsid w:val="7E0F6384"/>
    <w:multiLevelType w:val="hybridMultilevel"/>
    <w:lvl w:ilvl="0">
      <w:lvlJc w:val="left"/>
      <w:lvlText w:val="(%1)"/>
      <w:numFmt w:val="lowerRoman"/>
      <w:start w:val="1"/>
    </w:lvl>
  </w:abstractNum>
  <w:abstractNum w:abstractNumId="75">
    <w:nsid w:val="2B4B8B53"/>
    <w:multiLevelType w:val="hybridMultilevel"/>
    <w:lvl w:ilvl="0">
      <w:lvlJc w:val="left"/>
      <w:lvlText w:val="†"/>
      <w:numFmt w:val="bullet"/>
      <w:start w:val="1"/>
    </w:lvl>
  </w:abstractNum>
  <w:abstractNum w:abstractNumId="76">
    <w:nsid w:val="72E3413A"/>
    <w:multiLevelType w:val="hybridMultilevel"/>
    <w:lvl w:ilvl="0">
      <w:lvlJc w:val="left"/>
      <w:lvlText w:val="(%1)"/>
      <w:numFmt w:val="decimal"/>
      <w:start w:val="1"/>
    </w:lvl>
  </w:abstractNum>
  <w:abstractNum w:abstractNumId="77">
    <w:nsid w:val="116AE494"/>
    <w:multiLevelType w:val="hybridMultilevel"/>
    <w:lvl w:ilvl="0">
      <w:lvlJc w:val="left"/>
      <w:lvlText w:val="(%1)"/>
      <w:numFmt w:val="decimal"/>
      <w:start w:val="2"/>
    </w:lvl>
  </w:abstractNum>
  <w:abstractNum w:abstractNumId="78">
    <w:nsid w:val="3494B2FB"/>
    <w:multiLevelType w:val="hybridMultilevel"/>
    <w:lvl w:ilvl="0">
      <w:lvlJc w:val="left"/>
      <w:lvlText w:val="%1."/>
      <w:numFmt w:val="upperLetter"/>
      <w:start w:val="1"/>
    </w:lvl>
  </w:abstractNum>
  <w:abstractNum w:abstractNumId="79">
    <w:nsid w:val="B13A31"/>
    <w:multiLevelType w:val="hybridMultilevel"/>
    <w:lvl w:ilvl="0">
      <w:lvlJc w:val="left"/>
      <w:lvlText w:val="%1."/>
      <w:numFmt w:val="upperLetter"/>
      <w:start w:val="3"/>
    </w:lvl>
  </w:abstractNum>
  <w:abstractNum w:abstractNumId="80">
    <w:nsid w:val="64429599"/>
    <w:multiLevelType w:val="hybridMultilevel"/>
    <w:lvl w:ilvl="0">
      <w:lvlJc w:val="left"/>
      <w:lvlText w:val="%1."/>
      <w:numFmt w:val="upperLetter"/>
      <w:start w:val="1"/>
    </w:lvl>
  </w:abstractNum>
  <w:abstractNum w:abstractNumId="81">
    <w:nsid w:val="631F1690"/>
    <w:multiLevelType w:val="hybridMultilevel"/>
    <w:lvl w:ilvl="0">
      <w:lvlJc w:val="left"/>
      <w:lvlText w:val="%1."/>
      <w:numFmt w:val="upperLetter"/>
      <w:start w:val="2"/>
    </w:lvl>
  </w:abstractNum>
  <w:abstractNum w:abstractNumId="82">
    <w:nsid w:val="25973E32"/>
    <w:multiLevelType w:val="hybridMultilevel"/>
    <w:lvl w:ilvl="0">
      <w:lvlJc w:val="left"/>
      <w:lvlText w:val="%1."/>
      <w:numFmt w:val="upperLetter"/>
      <w:start w:val="1"/>
    </w:lvl>
  </w:abstractNum>
  <w:abstractNum w:abstractNumId="83">
    <w:nsid w:val="EAD6F57"/>
    <w:multiLevelType w:val="hybridMultilevel"/>
    <w:lvl w:ilvl="0">
      <w:lvlJc w:val="left"/>
      <w:lvlText w:val="%1."/>
      <w:numFmt w:val="upperLetter"/>
      <w:start w:val="1"/>
    </w:lvl>
  </w:abstractNum>
  <w:abstractNum w:abstractNumId="84">
    <w:nsid w:val="6EC9D844"/>
    <w:multiLevelType w:val="hybridMultilevel"/>
    <w:lvl w:ilvl="0">
      <w:lvlJc w:val="left"/>
      <w:lvlText w:val="(%1)"/>
      <w:numFmt w:val="lowerLetter"/>
      <w:start w:val="1"/>
    </w:lvl>
  </w:abstractNum>
  <w:abstractNum w:abstractNumId="85">
    <w:nsid w:val="5C49EAEE"/>
    <w:multiLevelType w:val="hybridMultilevel"/>
    <w:lvl w:ilvl="0">
      <w:lvlJc w:val="left"/>
      <w:lvlText w:val="•"/>
      <w:numFmt w:val="bullet"/>
      <w:start w:val="1"/>
    </w:lvl>
  </w:abstractNum>
  <w:abstractNum w:abstractNumId="86">
    <w:nsid w:val="64AF49B"/>
    <w:multiLevelType w:val="hybridMultilevel"/>
    <w:lvl w:ilvl="0">
      <w:lvlJc w:val="left"/>
      <w:lvlText w:val="•"/>
      <w:numFmt w:val="bullet"/>
      <w:start w:val="1"/>
    </w:lvl>
  </w:abstractNum>
  <w:abstractNum w:abstractNumId="87">
    <w:nsid w:val="397C46BC"/>
    <w:multiLevelType w:val="hybridMultilevel"/>
    <w:lvl w:ilvl="0">
      <w:lvlJc w:val="left"/>
      <w:lvlText w:val="•"/>
      <w:numFmt w:val="bullet"/>
      <w:start w:val="1"/>
    </w:lvl>
  </w:abstractNum>
  <w:abstractNum w:abstractNumId="88">
    <w:nsid w:val="7E448DE9"/>
    <w:multiLevelType w:val="hybridMultilevel"/>
    <w:lvl w:ilvl="0">
      <w:lvlJc w:val="left"/>
      <w:lvlText w:val="%1."/>
      <w:numFmt w:val="upperLetter"/>
      <w:start w:val="2"/>
    </w:lvl>
    <w:lvl w:ilvl="1">
      <w:lvlJc w:val="left"/>
      <w:lvlText w:val="•"/>
      <w:numFmt w:val="bullet"/>
      <w:start w:val="1"/>
    </w:lvl>
  </w:abstractNum>
  <w:abstractNum w:abstractNumId="89">
    <w:nsid w:val="5A9CC3E5"/>
    <w:multiLevelType w:val="hybridMultilevel"/>
    <w:lvl w:ilvl="0">
      <w:lvlJc w:val="left"/>
      <w:lvlText w:val="%1."/>
      <w:numFmt w:val="upperLetter"/>
      <w:start w:val="4"/>
    </w:lvl>
  </w:abstractNum>
  <w:abstractNum w:abstractNumId="90">
    <w:nsid w:val="1AFE3625"/>
    <w:multiLevelType w:val="hybridMultilevel"/>
    <w:lvl w:ilvl="0">
      <w:lvlJc w:val="left"/>
      <w:lvlText w:val="%1."/>
      <w:numFmt w:val="upperLetter"/>
      <w:start w:val="5"/>
    </w:lvl>
  </w:abstractNum>
  <w:abstractNum w:abstractNumId="91">
    <w:nsid w:val="3CA88ECF"/>
    <w:multiLevelType w:val="hybridMultilevel"/>
    <w:lvl w:ilvl="0">
      <w:lvlJc w:val="left"/>
      <w:lvlText w:val="(%1)"/>
      <w:numFmt w:val="lowerRoman"/>
      <w:start w:val="1"/>
    </w:lvl>
  </w:abstractNum>
  <w:abstractNum w:abstractNumId="92">
    <w:nsid w:val="6EBE4208"/>
    <w:multiLevelType w:val="hybridMultilevel"/>
    <w:lvl w:ilvl="0">
      <w:lvlJc w:val="left"/>
      <w:lvlText w:val="•"/>
      <w:numFmt w:val="bullet"/>
      <w:start w:val="1"/>
    </w:lvl>
  </w:abstractNum>
  <w:abstractNum w:abstractNumId="93">
    <w:nsid w:val="C058DF5"/>
    <w:multiLevelType w:val="hybridMultilevel"/>
    <w:lvl w:ilvl="0">
      <w:lvlJc w:val="left"/>
      <w:lvlText w:val="•"/>
      <w:numFmt w:val="bullet"/>
      <w:start w:val="1"/>
    </w:lvl>
  </w:abstractNum>
  <w:abstractNum w:abstractNumId="94">
    <w:nsid w:val="CBE5BE9"/>
    <w:multiLevelType w:val="hybridMultilevel"/>
    <w:lvl w:ilvl="0">
      <w:lvlJc w:val="left"/>
      <w:lvlText w:val="%1."/>
      <w:numFmt w:val="upperLetter"/>
      <w:start w:val="6"/>
    </w:lvl>
  </w:abstractNum>
  <w:abstractNum w:abstractNumId="95">
    <w:nsid w:val="3102BBE2"/>
    <w:multiLevelType w:val="hybridMultilevel"/>
    <w:lvl w:ilvl="0">
      <w:lvlJc w:val="left"/>
      <w:lvlText w:val="%1."/>
      <w:numFmt w:val="upperLetter"/>
      <w:start w:val="8"/>
    </w:lvl>
  </w:abstractNum>
  <w:abstractNum w:abstractNumId="96">
    <w:nsid w:val="26A02C5E"/>
    <w:multiLevelType w:val="hybridMultilevel"/>
    <w:lvl w:ilvl="0">
      <w:lvlJc w:val="left"/>
      <w:lvlText w:val="%1."/>
      <w:numFmt w:val="upperLetter"/>
      <w:start w:val="9"/>
    </w:lvl>
  </w:abstractNum>
  <w:abstractNum w:abstractNumId="97">
    <w:nsid w:val="541C8153"/>
    <w:multiLevelType w:val="hybridMultilevel"/>
    <w:lvl w:ilvl="0">
      <w:lvlJc w:val="left"/>
      <w:lvlText w:val="%1."/>
      <w:numFmt w:val="upperLetter"/>
      <w:start w:val="1"/>
    </w:lvl>
  </w:abstractNum>
  <w:abstractNum w:abstractNumId="98">
    <w:nsid w:val="67906F60"/>
    <w:multiLevelType w:val="hybridMultilevel"/>
    <w:lvl w:ilvl="0">
      <w:lvlJc w:val="left"/>
      <w:lvlText w:val="•"/>
      <w:numFmt w:val="bullet"/>
      <w:start w:val="1"/>
    </w:lvl>
  </w:abstractNum>
  <w:abstractNum w:abstractNumId="99">
    <w:nsid w:val="10DB9DAA"/>
    <w:multiLevelType w:val="hybridMultilevel"/>
    <w:lvl w:ilvl="0">
      <w:lvlJc w:val="left"/>
      <w:lvlText w:val="•"/>
      <w:numFmt w:val="bullet"/>
      <w:start w:val="1"/>
    </w:lvl>
  </w:abstractNum>
  <w:abstractNum w:abstractNumId="100">
    <w:nsid w:val="697D2D2"/>
    <w:multiLevelType w:val="hybridMultilevel"/>
    <w:lvl w:ilvl="0">
      <w:lvlJc w:val="left"/>
      <w:lvlText w:val="•"/>
      <w:numFmt w:val="bullet"/>
      <w:start w:val="1"/>
    </w:lvl>
  </w:abstractNum>
  <w:abstractNum w:abstractNumId="101">
    <w:nsid w:val="6D68AB2"/>
    <w:multiLevelType w:val="hybridMultilevel"/>
    <w:lvl w:ilvl="0">
      <w:lvlJc w:val="left"/>
      <w:lvlText w:val="•"/>
      <w:numFmt w:val="bullet"/>
      <w:start w:val="1"/>
    </w:lvl>
  </w:abstractNum>
  <w:abstractNum w:abstractNumId="102">
    <w:nsid w:val="3A966CD0"/>
    <w:multiLevelType w:val="hybridMultilevel"/>
    <w:lvl w:ilvl="0">
      <w:lvlJc w:val="left"/>
      <w:lvlText w:val="(%1)"/>
      <w:numFmt w:val="decimal"/>
      <w:start w:val="1"/>
    </w:lvl>
  </w:abstractNum>
  <w:abstractNum w:abstractNumId="103">
    <w:nsid w:val="63F37E85"/>
    <w:multiLevelType w:val="hybridMultilevel"/>
    <w:lvl w:ilvl="0">
      <w:lvlJc w:val="left"/>
      <w:lvlText w:val="(%1)"/>
      <w:numFmt w:val="decimal"/>
      <w:start w:val="1"/>
    </w:lvl>
  </w:abstractNum>
  <w:abstractNum w:abstractNumId="104">
    <w:nsid w:val="5895F5FA"/>
    <w:multiLevelType w:val="hybridMultilevel"/>
    <w:lvl w:ilvl="0">
      <w:lvlJc w:val="left"/>
      <w:lvlText w:val="•"/>
      <w:numFmt w:val="bullet"/>
      <w:start w:val="1"/>
    </w:lvl>
  </w:abstractNum>
  <w:abstractNum w:abstractNumId="105">
    <w:nsid w:val="38A5D054"/>
    <w:multiLevelType w:val="hybridMultilevel"/>
    <w:lvl w:ilvl="0">
      <w:lvlJc w:val="left"/>
      <w:lvlText w:val="*"/>
      <w:numFmt w:val="bullet"/>
      <w:start w:val="1"/>
    </w:lvl>
  </w:abstractNum>
  <w:abstractNum w:abstractNumId="106">
    <w:nsid w:val="F3F09D8"/>
    <w:multiLevelType w:val="hybridMultilevel"/>
    <w:lvl w:ilvl="0">
      <w:lvlJc w:val="left"/>
      <w:lvlText w:val="**"/>
      <w:numFmt w:val="bullet"/>
      <w:start w:val="1"/>
    </w:lvl>
  </w:abstractNum>
  <w:abstractNum w:abstractNumId="107">
    <w:nsid w:val="4B793735"/>
    <w:multiLevelType w:val="hybridMultilevel"/>
    <w:lvl w:ilvl="0">
      <w:lvlJc w:val="left"/>
      <w:lvlText w:val="1"/>
      <w:numFmt w:val="bullet"/>
      <w:start w:val="1"/>
    </w:lvl>
  </w:abstractNum>
  <w:abstractNum w:abstractNumId="108">
    <w:nsid w:val="4A10B4E8"/>
    <w:multiLevelType w:val="hybridMultilevel"/>
    <w:lvl w:ilvl="0">
      <w:lvlJc w:val="left"/>
      <w:lvlText w:val="(%1)"/>
      <w:numFmt w:val="lowerLetter"/>
      <w:start w:val="1"/>
    </w:lvl>
  </w:abstractNum>
  <w:abstractNum w:abstractNumId="109">
    <w:nsid w:val="43D3BCD4"/>
    <w:multiLevelType w:val="hybridMultilevel"/>
    <w:lvl w:ilvl="0">
      <w:lvlJc w:val="left"/>
      <w:lvlText w:val="1"/>
      <w:numFmt w:val="bullet"/>
      <w:start w:val="1"/>
    </w:lvl>
  </w:abstractNum>
  <w:abstractNum w:abstractNumId="110">
    <w:nsid w:val="4C2A7166"/>
    <w:multiLevelType w:val="hybridMultilevel"/>
    <w:lvl w:ilvl="0">
      <w:lvlJc w:val="left"/>
      <w:lvlText w:val="(%1)"/>
      <w:numFmt w:val="lowerLetter"/>
      <w:start w:val="1"/>
    </w:lvl>
  </w:abstractNum>
  <w:abstractNum w:abstractNumId="111">
    <w:nsid w:val="2E534A82"/>
    <w:multiLevelType w:val="hybridMultilevel"/>
    <w:lvl w:ilvl="0">
      <w:lvlJc w:val="left"/>
      <w:lvlText w:val="(%1)"/>
      <w:numFmt w:val="lowerRoman"/>
      <w:start w:val="1"/>
    </w:lvl>
  </w:abstractNum>
  <w:abstractNum w:abstractNumId="112">
    <w:nsid w:val="26F2D364"/>
    <w:multiLevelType w:val="hybridMultilevel"/>
    <w:lvl w:ilvl="0">
      <w:lvlJc w:val="left"/>
      <w:lvlText w:val="1"/>
      <w:numFmt w:val="bullet"/>
      <w:start w:val="1"/>
    </w:lvl>
  </w:abstractNum>
  <w:abstractNum w:abstractNumId="113">
    <w:nsid w:val="71C1AF98"/>
    <w:multiLevelType w:val="hybridMultilevel"/>
    <w:lvl w:ilvl="0">
      <w:lvlJc w:val="left"/>
      <w:lvlText w:val="(%1)"/>
      <w:numFmt w:val="lowerLetter"/>
      <w:start w:val="1"/>
    </w:lvl>
  </w:abstractNum>
  <w:abstractNum w:abstractNumId="114">
    <w:nsid w:val="3D00B9D9"/>
    <w:multiLevelType w:val="hybridMultilevel"/>
    <w:lvl w:ilvl="0">
      <w:lvlJc w:val="left"/>
      <w:lvlText w:val="(%1)"/>
      <w:numFmt w:val="lowerRoman"/>
      <w:start w:val="2"/>
    </w:lvl>
    <w:lvl w:ilvl="1">
      <w:lvlJc w:val="left"/>
      <w:lvlText w:val="-"/>
      <w:numFmt w:val="bullet"/>
      <w:start w:val="1"/>
    </w:lvl>
  </w:abstractNum>
  <w:abstractNum w:abstractNumId="115">
    <w:nsid w:val="15BCABA8"/>
    <w:multiLevelType w:val="hybridMultilevel"/>
    <w:lvl w:ilvl="0">
      <w:lvlJc w:val="left"/>
      <w:lvlText w:val="(%1)"/>
      <w:numFmt w:val="lowerRoman"/>
      <w:start w:val="5"/>
    </w:lvl>
  </w:abstractNum>
  <w:abstractNum w:abstractNumId="116">
    <w:nsid w:val="4E0B9A87"/>
    <w:multiLevelType w:val="hybridMultilevel"/>
    <w:lvl w:ilvl="0">
      <w:lvlJc w:val="left"/>
      <w:lvlText w:val="1"/>
      <w:numFmt w:val="bullet"/>
      <w:start w:val="1"/>
    </w:lvl>
  </w:abstractNum>
  <w:abstractNum w:abstractNumId="117">
    <w:nsid w:val="434BAE75"/>
    <w:multiLevelType w:val="hybridMultilevel"/>
    <w:lvl w:ilvl="0">
      <w:lvlJc w:val="left"/>
      <w:lvlText w:val="(%1)"/>
      <w:numFmt w:val="lowerLetter"/>
      <w:start w:val="2"/>
    </w:lvl>
  </w:abstractNum>
  <w:abstractNum w:abstractNumId="118">
    <w:nsid w:val="4F38F265"/>
    <w:multiLevelType w:val="hybridMultilevel"/>
    <w:lvl w:ilvl="0">
      <w:lvlJc w:val="left"/>
      <w:lvlText w:val="•"/>
      <w:numFmt w:val="bullet"/>
      <w:start w:val="1"/>
    </w:lvl>
  </w:abstractNum>
  <w:abstractNum w:abstractNumId="119">
    <w:nsid w:val="4C502870"/>
    <w:multiLevelType w:val="hybridMultilevel"/>
    <w:lvl w:ilvl="0">
      <w:lvlJc w:val="left"/>
      <w:lvlText w:val="•"/>
      <w:numFmt w:val="bullet"/>
      <w:start w:val="1"/>
    </w:lvl>
  </w:abstractNum>
  <w:abstractNum w:abstractNumId="120">
    <w:nsid w:val="1DE8725A"/>
    <w:multiLevelType w:val="hybridMultilevel"/>
    <w:lvl w:ilvl="0">
      <w:lvlJc w:val="left"/>
      <w:lvlText w:val="•"/>
      <w:numFmt w:val="bullet"/>
      <w:start w:val="1"/>
    </w:lvl>
  </w:abstractNum>
  <w:abstractNum w:abstractNumId="121">
    <w:nsid w:val="6A37288A"/>
    <w:multiLevelType w:val="hybridMultilevel"/>
    <w:lvl w:ilvl="0">
      <w:lvlJc w:val="left"/>
      <w:lvlText w:val="•"/>
      <w:numFmt w:val="bullet"/>
      <w:start w:val="1"/>
    </w:lvl>
  </w:abstractNum>
  <w:abstractNum w:abstractNumId="122">
    <w:nsid w:val="8F8B73F"/>
    <w:multiLevelType w:val="hybridMultilevel"/>
    <w:lvl w:ilvl="0">
      <w:lvlJc w:val="left"/>
      <w:lvlText w:val="1"/>
      <w:numFmt w:val="bullet"/>
      <w:start w:val="1"/>
    </w:lvl>
  </w:abstractNum>
  <w:abstractNum w:abstractNumId="123">
    <w:nsid w:val="CA6B462"/>
    <w:multiLevelType w:val="hybridMultilevel"/>
    <w:lvl w:ilvl="0">
      <w:lvlJc w:val="left"/>
      <w:lvlText w:val="(%1)"/>
      <w:numFmt w:val="lowerLetter"/>
      <w:start w:val="2"/>
    </w:lvl>
  </w:abstractNum>
  <w:abstractNum w:abstractNumId="124">
    <w:nsid w:val="763CB680"/>
    <w:multiLevelType w:val="hybridMultilevel"/>
    <w:lvl w:ilvl="0">
      <w:lvlJc w:val="left"/>
      <w:lvlText w:val="•"/>
      <w:numFmt w:val="bullet"/>
      <w:start w:val="1"/>
    </w:lvl>
  </w:abstractNum>
  <w:abstractNum w:abstractNumId="125">
    <w:nsid w:val="15B71329"/>
    <w:multiLevelType w:val="hybridMultilevel"/>
    <w:lvl w:ilvl="0">
      <w:lvlJc w:val="left"/>
      <w:lvlText w:val="•"/>
      <w:numFmt w:val="bullet"/>
      <w:start w:val="1"/>
    </w:lvl>
  </w:abstractNum>
  <w:abstractNum w:abstractNumId="126">
    <w:nsid w:val="3DA97044"/>
    <w:multiLevelType w:val="hybridMultilevel"/>
    <w:lvl w:ilvl="0">
      <w:lvlJc w:val="left"/>
      <w:lvlText w:val="1"/>
      <w:numFmt w:val="bullet"/>
      <w:start w:val="1"/>
    </w:lvl>
  </w:abstractNum>
  <w:abstractNum w:abstractNumId="127">
    <w:nsid w:val="1CDCE2DE"/>
    <w:multiLevelType w:val="hybridMultilevel"/>
    <w:lvl w:ilvl="0">
      <w:lvlJc w:val="left"/>
      <w:lvlText w:val="(%1)"/>
      <w:numFmt w:val="lowerLetter"/>
      <w:start w:val="3"/>
    </w:lvl>
    <w:lvl w:ilvl="1">
      <w:lvlJc w:val="left"/>
      <w:lvlText w:val="(%2)"/>
      <w:numFmt w:val="lowerLetter"/>
      <w:start w:val="9"/>
    </w:lvl>
  </w:abstractNum>
  <w:abstractNum w:abstractNumId="128">
    <w:nsid w:val="69D3947C"/>
    <w:multiLevelType w:val="hybridMultilevel"/>
    <w:lvl w:ilvl="0">
      <w:lvlJc w:val="left"/>
      <w:lvlText w:val="(%1)"/>
      <w:numFmt w:val="lowerRoman"/>
      <w:start w:val="2"/>
    </w:lvl>
  </w:abstractNum>
  <w:abstractNum w:abstractNumId="129">
    <w:nsid w:val="2539DFA5"/>
    <w:multiLevelType w:val="hybridMultilevel"/>
    <w:lvl w:ilvl="0">
      <w:lvlJc w:val="left"/>
      <w:lvlText w:val="2"/>
      <w:numFmt w:val="bullet"/>
      <w:start w:val="1"/>
    </w:lvl>
  </w:abstractNum>
  <w:abstractNum w:abstractNumId="130">
    <w:nsid w:val="2DB88089"/>
    <w:multiLevelType w:val="hybridMultilevel"/>
    <w:lvl w:ilvl="0">
      <w:lvlJc w:val="left"/>
      <w:lvlText w:val="(%1)"/>
      <w:numFmt w:val="lowerLetter"/>
      <w:start w:val="1"/>
    </w:lvl>
  </w:abstractNum>
  <w:abstractNum w:abstractNumId="131">
    <w:nsid w:val="706B674E"/>
    <w:multiLevelType w:val="hybridMultilevel"/>
    <w:lvl w:ilvl="0">
      <w:lvlJc w:val="left"/>
      <w:lvlText w:val="2"/>
      <w:numFmt w:val="bullet"/>
      <w:start w:val="1"/>
    </w:lvl>
  </w:abstractNum>
  <w:abstractNum w:abstractNumId="132">
    <w:nsid w:val="2C106A57"/>
    <w:multiLevelType w:val="hybridMultilevel"/>
    <w:lvl w:ilvl="0">
      <w:lvlJc w:val="left"/>
      <w:lvlText w:val="(%1)"/>
      <w:numFmt w:val="lowerLetter"/>
      <w:start w:val="3"/>
    </w:lvl>
  </w:abstractNum>
  <w:abstractNum w:abstractNumId="133">
    <w:nsid w:val="684EED59"/>
    <w:multiLevelType w:val="hybridMultilevel"/>
    <w:lvl w:ilvl="0">
      <w:lvlJc w:val="left"/>
      <w:lvlText w:val="2"/>
      <w:numFmt w:val="bullet"/>
      <w:start w:val="1"/>
    </w:lvl>
  </w:abstractNum>
  <w:abstractNum w:abstractNumId="134">
    <w:nsid w:val="545EE5D3"/>
    <w:multiLevelType w:val="hybridMultilevel"/>
    <w:lvl w:ilvl="0">
      <w:lvlJc w:val="left"/>
      <w:lvlText w:val="(%1)"/>
      <w:numFmt w:val="lowerLetter"/>
      <w:start w:val="5"/>
    </w:lvl>
  </w:abstractNum>
  <w:abstractNum w:abstractNumId="135">
    <w:nsid w:val="4A66051"/>
    <w:multiLevelType w:val="hybridMultilevel"/>
    <w:lvl w:ilvl="0">
      <w:lvlJc w:val="left"/>
      <w:lvlText w:val="2"/>
      <w:numFmt w:val="bullet"/>
      <w:start w:val="1"/>
    </w:lvl>
  </w:abstractNum>
  <w:abstractNum w:abstractNumId="136">
    <w:nsid w:val="20F4BDAD"/>
    <w:multiLevelType w:val="hybridMultilevel"/>
    <w:lvl w:ilvl="0">
      <w:lvlJc w:val="left"/>
      <w:lvlText w:val="(%1)"/>
      <w:numFmt w:val="lowerLetter"/>
      <w:start w:val="5"/>
    </w:lvl>
    <w:lvl w:ilvl="1">
      <w:lvlJc w:val="left"/>
      <w:lvlText w:val="•"/>
      <w:numFmt w:val="bullet"/>
      <w:start w:val="1"/>
    </w:lvl>
  </w:abstractNum>
  <w:abstractNum w:abstractNumId="137">
    <w:nsid w:val="639DEFAC"/>
    <w:multiLevelType w:val="hybridMultilevel"/>
    <w:lvl w:ilvl="0">
      <w:lvlJc w:val="left"/>
      <w:lvlText w:val="2"/>
      <w:numFmt w:val="bullet"/>
      <w:start w:val="1"/>
    </w:lvl>
  </w:abstractNum>
  <w:abstractNum w:abstractNumId="138">
    <w:nsid w:val="501F9786"/>
    <w:multiLevelType w:val="hybridMultilevel"/>
    <w:lvl w:ilvl="0">
      <w:lvlJc w:val="left"/>
      <w:lvlText w:val="(%1)"/>
      <w:numFmt w:val="lowerLetter"/>
      <w:start w:val="7"/>
    </w:lvl>
  </w:abstractNum>
  <w:abstractNum w:abstractNumId="139">
    <w:nsid w:val="6B057295"/>
    <w:multiLevelType w:val="hybridMultilevel"/>
    <w:lvl w:ilvl="0">
      <w:lvlJc w:val="left"/>
      <w:lvlText w:val="2"/>
      <w:numFmt w:val="bullet"/>
      <w:start w:val="1"/>
    </w:lvl>
  </w:abstractNum>
  <w:abstractNum w:abstractNumId="140">
    <w:nsid w:val="2771AC80"/>
    <w:multiLevelType w:val="hybridMultilevel"/>
    <w:lvl w:ilvl="0">
      <w:lvlJc w:val="left"/>
      <w:lvlText w:val="(%1)"/>
      <w:numFmt w:val="lowerLetter"/>
      <w:start w:val="10"/>
    </w:lvl>
  </w:abstractNum>
  <w:abstractNum w:abstractNumId="141">
    <w:nsid w:val="1C4A08EC"/>
    <w:multiLevelType w:val="hybridMultilevel"/>
    <w:lvl w:ilvl="0">
      <w:lvlJc w:val="left"/>
      <w:lvlText w:val="(%1)"/>
      <w:numFmt w:val="lowerLetter"/>
      <w:start w:val="11"/>
    </w:lvl>
    <w:lvl w:ilvl="1">
      <w:lvlJc w:val="left"/>
      <w:lvlText w:val="(%2)"/>
      <w:numFmt w:val="lowerLetter"/>
      <w:start w:val="9"/>
    </w:lvl>
  </w:abstractNum>
  <w:abstractNum w:abstractNumId="142">
    <w:nsid w:val="1958BD17"/>
    <w:multiLevelType w:val="hybridMultilevel"/>
    <w:lvl w:ilvl="0">
      <w:lvlJc w:val="left"/>
      <w:lvlText w:val="2"/>
      <w:numFmt w:val="bullet"/>
      <w:start w:val="1"/>
    </w:lvl>
  </w:abstractNum>
  <w:abstractNum w:abstractNumId="143">
    <w:nsid w:val="4E647FE4"/>
    <w:multiLevelType w:val="hybridMultilevel"/>
    <w:lvl w:ilvl="0">
      <w:lvlJc w:val="left"/>
      <w:lvlText w:val="(%1)"/>
      <w:numFmt w:val="lowerLetter"/>
      <w:start w:val="11"/>
    </w:lvl>
  </w:abstractNum>
  <w:abstractNum w:abstractNumId="144">
    <w:nsid w:val="E0BB885"/>
    <w:multiLevelType w:val="hybridMultilevel"/>
    <w:lvl w:ilvl="0">
      <w:lvlJc w:val="left"/>
      <w:lvlText w:val="(%1)"/>
      <w:numFmt w:val="lowerRoman"/>
      <w:start w:val="2"/>
    </w:lvl>
  </w:abstractNum>
  <w:abstractNum w:abstractNumId="145">
    <w:nsid w:val="565976F1"/>
    <w:multiLevelType w:val="hybridMultilevel"/>
    <w:lvl w:ilvl="0">
      <w:lvlJc w:val="left"/>
      <w:lvlText w:val="(%1)"/>
      <w:numFmt w:val="lowerRoman"/>
      <w:start w:val="3"/>
    </w:lvl>
  </w:abstractNum>
  <w:abstractNum w:abstractNumId="146">
    <w:nsid w:val="64212B8C"/>
    <w:multiLevelType w:val="hybridMultilevel"/>
    <w:lvl w:ilvl="0">
      <w:lvlJc w:val="left"/>
      <w:lvlText w:val="(%1)"/>
      <w:numFmt w:val="lowerRoman"/>
      <w:start w:val="4"/>
    </w:lvl>
  </w:abstractNum>
  <w:abstractNum w:abstractNumId="147">
    <w:nsid w:val="5C17530C"/>
    <w:multiLevelType w:val="hybridMultilevel"/>
    <w:lvl w:ilvl="0">
      <w:lvlJc w:val="left"/>
      <w:lvlText w:val="(%1)"/>
      <w:numFmt w:val="lowerLetter"/>
      <w:start w:val="12"/>
    </w:lvl>
  </w:abstractNum>
  <w:abstractNum w:abstractNumId="148">
    <w:nsid w:val="19A52566"/>
    <w:multiLevelType w:val="hybridMultilevel"/>
    <w:lvl w:ilvl="0">
      <w:lvlJc w:val="left"/>
      <w:lvlText w:val="2"/>
      <w:numFmt w:val="bullet"/>
      <w:start w:val="1"/>
    </w:lvl>
  </w:abstractNum>
  <w:abstractNum w:abstractNumId="149">
    <w:nsid w:val="335A1DF1"/>
    <w:multiLevelType w:val="hybridMultilevel"/>
    <w:lvl w:ilvl="0">
      <w:lvlJc w:val="left"/>
      <w:lvlText w:val="(%1)"/>
      <w:numFmt w:val="lowerLetter"/>
      <w:start w:val="13"/>
    </w:lvl>
  </w:abstractNum>
  <w:abstractNum w:abstractNumId="150">
    <w:nsid w:val="28677B7C"/>
    <w:multiLevelType w:val="hybridMultilevel"/>
    <w:lvl w:ilvl="0">
      <w:lvlJc w:val="left"/>
      <w:lvlText w:val="2"/>
      <w:numFmt w:val="bullet"/>
      <w:start w:val="1"/>
    </w:lvl>
  </w:abstractNum>
  <w:abstractNum w:abstractNumId="151">
    <w:nsid w:val="378D97C0"/>
    <w:multiLevelType w:val="hybridMultilevel"/>
    <w:lvl w:ilvl="0">
      <w:lvlJc w:val="left"/>
      <w:lvlText w:val="(%1)"/>
      <w:numFmt w:val="lowerLetter"/>
      <w:start w:val="15"/>
    </w:lvl>
  </w:abstractNum>
  <w:abstractNum w:abstractNumId="152">
    <w:nsid w:val="1D91467C"/>
    <w:multiLevelType w:val="hybridMultilevel"/>
    <w:lvl w:ilvl="0">
      <w:lvlJc w:val="left"/>
      <w:lvlText w:val="(%1)"/>
      <w:numFmt w:val="lowerRoman"/>
      <w:start w:val="2"/>
    </w:lvl>
  </w:abstractNum>
  <w:abstractNum w:abstractNumId="153">
    <w:nsid w:val="316032BB"/>
    <w:multiLevelType w:val="hybridMultilevel"/>
    <w:lvl w:ilvl="0">
      <w:lvlJc w:val="left"/>
      <w:lvlText w:val="(%1)"/>
      <w:numFmt w:val="lowerLetter"/>
      <w:start w:val="16"/>
    </w:lvl>
  </w:abstractNum>
  <w:abstractNum w:abstractNumId="154">
    <w:nsid w:val="44344C22"/>
    <w:multiLevelType w:val="hybridMultilevel"/>
    <w:lvl w:ilvl="0">
      <w:lvlJc w:val="left"/>
      <w:lvlText w:val="2"/>
      <w:numFmt w:val="bullet"/>
      <w:start w:val="1"/>
    </w:lvl>
  </w:abstractNum>
  <w:abstractNum w:abstractNumId="155">
    <w:nsid w:val="13CDFCFC"/>
    <w:multiLevelType w:val="hybridMultilevel"/>
    <w:lvl w:ilvl="0">
      <w:lvlJc w:val="left"/>
      <w:lvlText w:val="(%1)"/>
      <w:numFmt w:val="lowerLetter"/>
      <w:start w:val="17"/>
    </w:lvl>
  </w:abstractNum>
  <w:abstractNum w:abstractNumId="156">
    <w:nsid w:val="471745E4"/>
    <w:multiLevelType w:val="hybridMultilevel"/>
    <w:lvl w:ilvl="0">
      <w:lvlJc w:val="left"/>
      <w:lvlText w:val="2"/>
      <w:numFmt w:val="bullet"/>
      <w:start w:val="1"/>
    </w:lvl>
  </w:abstractNum>
  <w:abstractNum w:abstractNumId="157">
    <w:nsid w:val="1DDBC66"/>
    <w:multiLevelType w:val="hybridMultilevel"/>
    <w:lvl w:ilvl="0">
      <w:lvlJc w:val="left"/>
      <w:lvlText w:val="(%1)"/>
      <w:numFmt w:val="lowerLetter"/>
      <w:start w:val="19"/>
    </w:lvl>
  </w:abstractNum>
  <w:abstractNum w:abstractNumId="158">
    <w:nsid w:val="30AADFDA"/>
    <w:multiLevelType w:val="hybridMultilevel"/>
    <w:lvl w:ilvl="0">
      <w:lvlJc w:val="left"/>
      <w:lvlText w:val="2"/>
      <w:numFmt w:val="bullet"/>
      <w:start w:val="1"/>
    </w:lvl>
  </w:abstractNum>
  <w:abstractNum w:abstractNumId="159">
    <w:nsid w:val="30EADA61"/>
    <w:multiLevelType w:val="hybridMultilevel"/>
    <w:lvl w:ilvl="0">
      <w:lvlJc w:val="left"/>
      <w:lvlText w:val="(%1)"/>
      <w:numFmt w:val="lowerLetter"/>
      <w:start w:val="22"/>
    </w:lvl>
  </w:abstractNum>
  <w:abstractNum w:abstractNumId="160">
    <w:nsid w:val="27179C0B"/>
    <w:multiLevelType w:val="hybridMultilevel"/>
    <w:lvl w:ilvl="0">
      <w:lvlJc w:val="left"/>
      <w:lvlText w:val="2"/>
      <w:numFmt w:val="bullet"/>
      <w:start w:val="1"/>
    </w:lvl>
  </w:abstractNum>
  <w:abstractNum w:abstractNumId="161">
    <w:nsid w:val="5E636063"/>
    <w:multiLevelType w:val="hybridMultilevel"/>
    <w:lvl w:ilvl="0">
      <w:lvlJc w:val="left"/>
      <w:lvlText w:val="(%1)"/>
      <w:numFmt w:val="lowerRoman"/>
      <w:start w:val="10"/>
    </w:lvl>
  </w:abstractNum>
  <w:abstractNum w:abstractNumId="162">
    <w:nsid w:val="215641AF"/>
    <w:multiLevelType w:val="hybridMultilevel"/>
    <w:lvl w:ilvl="0">
      <w:lvlJc w:val="left"/>
      <w:lvlText w:val="2"/>
      <w:numFmt w:val="bullet"/>
      <w:start w:val="1"/>
    </w:lvl>
  </w:abstractNum>
  <w:abstractNum w:abstractNumId="163">
    <w:nsid w:val="53280662"/>
    <w:multiLevelType w:val="hybridMultilevel"/>
    <w:lvl w:ilvl="0">
      <w:lvlJc w:val="left"/>
      <w:lvlText w:val="(%1)"/>
      <w:numFmt w:val="lowerRoman"/>
      <w:start w:val="10"/>
    </w:lvl>
  </w:abstractNum>
  <w:abstractNum w:abstractNumId="164">
    <w:nsid w:val="46B24DBC"/>
    <w:multiLevelType w:val="hybridMultilevel"/>
    <w:lvl w:ilvl="0">
      <w:lvlJc w:val="left"/>
      <w:lvlText w:val="2"/>
      <w:numFmt w:val="bullet"/>
      <w:start w:val="1"/>
    </w:lvl>
  </w:abstractNum>
  <w:abstractNum w:abstractNumId="165">
    <w:nsid w:val="75B52783"/>
    <w:multiLevelType w:val="hybridMultilevel"/>
    <w:lvl w:ilvl="0">
      <w:lvlJc w:val="left"/>
      <w:lvlText w:val="(%1)"/>
      <w:numFmt w:val="lowerRoman"/>
      <w:start w:val="10"/>
    </w:lvl>
  </w:abstractNum>
  <w:abstractNum w:abstractNumId="166">
    <w:nsid w:val="57CE66B4"/>
    <w:multiLevelType w:val="hybridMultilevel"/>
    <w:lvl w:ilvl="0">
      <w:lvlJc w:val="left"/>
      <w:lvlText w:val="2"/>
      <w:numFmt w:val="bullet"/>
      <w:start w:val="1"/>
    </w:lvl>
  </w:abstractNum>
  <w:abstractNum w:abstractNumId="167">
    <w:nsid w:val="67A70B69"/>
    <w:multiLevelType w:val="hybridMultilevel"/>
    <w:lvl w:ilvl="0">
      <w:lvlJc w:val="left"/>
      <w:lvlText w:val="(%1)"/>
      <w:numFmt w:val="lowerLetter"/>
      <w:start w:val="24"/>
    </w:lvl>
    <w:lvl w:ilvl="1">
      <w:lvlJc w:val="left"/>
      <w:lvlText w:val="(%2)"/>
      <w:numFmt w:val="lowerRoman"/>
      <w:start w:val="1"/>
    </w:lvl>
  </w:abstractNum>
  <w:abstractNum w:abstractNumId="168">
    <w:nsid w:val="5953172F"/>
    <w:multiLevelType w:val="hybridMultilevel"/>
    <w:lvl w:ilvl="0">
      <w:lvlJc w:val="left"/>
      <w:lvlText w:val="2"/>
      <w:numFmt w:val="bullet"/>
      <w:start w:val="1"/>
    </w:lvl>
  </w:abstractNum>
  <w:abstractNum w:abstractNumId="169">
    <w:nsid w:val="27EDFE3A"/>
    <w:multiLevelType w:val="hybridMultilevel"/>
    <w:lvl w:ilvl="0">
      <w:lvlJc w:val="left"/>
      <w:lvlText w:val="(%1)"/>
      <w:numFmt w:val="lowerLetter"/>
      <w:start w:val="26"/>
    </w:lvl>
    <w:lvl w:ilvl="1">
      <w:lvlJc w:val="left"/>
      <w:lvlText w:val="(%2)"/>
      <w:numFmt w:val="lowerLetter"/>
      <w:start w:val="61"/>
    </w:lvl>
  </w:abstractNum>
  <w:abstractNum w:abstractNumId="170">
    <w:nsid w:val="52AC7DFF"/>
    <w:multiLevelType w:val="hybridMultilevel"/>
    <w:lvl w:ilvl="0">
      <w:lvlJc w:val="left"/>
      <w:lvlText w:val="(%1)"/>
      <w:numFmt w:val="lowerLetter"/>
      <w:start w:val="27"/>
    </w:lvl>
  </w:abstractNum>
  <w:abstractNum w:abstractNumId="171">
    <w:nsid w:val="C4C3AF"/>
    <w:multiLevelType w:val="hybridMultilevel"/>
    <w:lvl w:ilvl="0">
      <w:lvlJc w:val="left"/>
      <w:lvlText w:val="2"/>
      <w:numFmt w:val="bullet"/>
      <w:start w:val="1"/>
    </w:lvl>
  </w:abstractNum>
  <w:abstractNum w:abstractNumId="172">
    <w:nsid w:val="44380727"/>
    <w:multiLevelType w:val="hybridMultilevel"/>
    <w:lvl w:ilvl="0">
      <w:lvlJc w:val="left"/>
      <w:lvlText w:val="2"/>
      <w:numFmt w:val="bullet"/>
      <w:start w:val="1"/>
    </w:lvl>
  </w:abstractNum>
  <w:abstractNum w:abstractNumId="173">
    <w:nsid w:val="6C053B16"/>
    <w:multiLevelType w:val="hybridMultilevel"/>
    <w:lvl w:ilvl="0">
      <w:lvlJc w:val="left"/>
      <w:lvlText w:val="2"/>
      <w:numFmt w:val="bullet"/>
      <w:start w:val="1"/>
    </w:lvl>
  </w:abstractNum>
  <w:abstractNum w:abstractNumId="174">
    <w:nsid w:val="4F294393"/>
    <w:multiLevelType w:val="hybridMultilevel"/>
    <w:lvl w:ilvl="0">
      <w:lvlJc w:val="left"/>
      <w:lvlText w:val="2"/>
      <w:numFmt w:val="bullet"/>
      <w:start w:val="1"/>
    </w:lvl>
  </w:abstractNum>
  <w:abstractNum w:abstractNumId="175">
    <w:nsid w:val="5243BFAC"/>
    <w:multiLevelType w:val="hybridMultilevel"/>
    <w:lvl w:ilvl="0">
      <w:lvlJc w:val="left"/>
      <w:lvlText w:val="2"/>
      <w:numFmt w:val="bullet"/>
      <w:start w:val="1"/>
    </w:lvl>
  </w:abstractNum>
  <w:abstractNum w:abstractNumId="176">
    <w:nsid w:val="425EB207"/>
    <w:multiLevelType w:val="hybridMultilevel"/>
    <w:lvl w:ilvl="0">
      <w:lvlJc w:val="left"/>
      <w:lvlText w:val="3"/>
      <w:numFmt w:val="bullet"/>
      <w:start w:val="1"/>
    </w:lvl>
  </w:abstractNum>
  <w:abstractNum w:abstractNumId="177">
    <w:nsid w:val="334A6F1F"/>
    <w:multiLevelType w:val="hybridMultilevel"/>
    <w:lvl w:ilvl="0">
      <w:lvlJc w:val="left"/>
      <w:lvlText w:val="(%1)"/>
      <w:numFmt w:val="lowerLetter"/>
      <w:start w:val="1"/>
    </w:lvl>
  </w:abstractNum>
  <w:abstractNum w:abstractNumId="178">
    <w:nsid w:val="2E5B12B8"/>
    <w:multiLevelType w:val="hybridMultilevel"/>
    <w:lvl w:ilvl="0">
      <w:lvlJc w:val="left"/>
      <w:lvlText w:val="•"/>
      <w:numFmt w:val="bullet"/>
      <w:start w:val="1"/>
    </w:lvl>
  </w:abstractNum>
  <w:abstractNum w:abstractNumId="179">
    <w:nsid w:val="5C03D76D"/>
    <w:multiLevelType w:val="hybridMultilevel"/>
    <w:lvl w:ilvl="0">
      <w:lvlJc w:val="left"/>
      <w:lvlText w:val="3"/>
      <w:numFmt w:val="bullet"/>
      <w:start w:val="1"/>
    </w:lvl>
  </w:abstractNum>
  <w:abstractNum w:abstractNumId="180">
    <w:nsid w:val="66A48D11"/>
    <w:multiLevelType w:val="hybridMultilevel"/>
    <w:lvl w:ilvl="0">
      <w:lvlJc w:val="left"/>
      <w:lvlText w:val="(%1)"/>
      <w:numFmt w:val="lowerLetter"/>
      <w:start w:val="1"/>
    </w:lvl>
  </w:abstractNum>
  <w:abstractNum w:abstractNumId="181">
    <w:nsid w:val="56C28E34"/>
    <w:multiLevelType w:val="hybridMultilevel"/>
    <w:lvl w:ilvl="0">
      <w:lvlJc w:val="left"/>
      <w:lvlText w:val="3"/>
      <w:numFmt w:val="bullet"/>
      <w:start w:val="1"/>
    </w:lvl>
  </w:abstractNum>
  <w:abstractNum w:abstractNumId="182">
    <w:nsid w:val="13916F2D"/>
    <w:multiLevelType w:val="hybridMultilevel"/>
    <w:lvl w:ilvl="0">
      <w:lvlJc w:val="left"/>
      <w:lvlText w:val="(%1)"/>
      <w:numFmt w:val="lowerLetter"/>
      <w:start w:val="1"/>
    </w:lvl>
  </w:abstractNum>
  <w:abstractNum w:abstractNumId="183">
    <w:nsid w:val="435D38D"/>
    <w:multiLevelType w:val="hybridMultilevel"/>
    <w:lvl w:ilvl="0">
      <w:lvlJc w:val="left"/>
      <w:lvlText w:val="3"/>
      <w:numFmt w:val="bullet"/>
      <w:start w:val="1"/>
    </w:lvl>
  </w:abstractNum>
  <w:abstractNum w:abstractNumId="184">
    <w:nsid w:val="822C0EF"/>
    <w:multiLevelType w:val="hybridMultilevel"/>
    <w:lvl w:ilvl="0">
      <w:lvlJc w:val="left"/>
      <w:lvlText w:val="(%1)"/>
      <w:numFmt w:val="lowerLetter"/>
      <w:start w:val="2"/>
    </w:lvl>
  </w:abstractNum>
  <w:abstractNum w:abstractNumId="185">
    <w:nsid w:val="57C5BB4F"/>
    <w:multiLevelType w:val="hybridMultilevel"/>
    <w:lvl w:ilvl="0">
      <w:lvlJc w:val="left"/>
      <w:lvlText w:val="3"/>
      <w:numFmt w:val="bullet"/>
      <w:start w:val="1"/>
    </w:lvl>
  </w:abstractNum>
  <w:abstractNum w:abstractNumId="186">
    <w:nsid w:val="1803D089"/>
    <w:multiLevelType w:val="hybridMultilevel"/>
    <w:lvl w:ilvl="0">
      <w:lvlJc w:val="left"/>
      <w:lvlText w:val="(%1)"/>
      <w:numFmt w:val="lowerLetter"/>
      <w:start w:val="3"/>
    </w:lvl>
    <w:lvl w:ilvl="1">
      <w:lvlJc w:val="left"/>
      <w:lvlText w:val="(%2)"/>
      <w:numFmt w:val="lowerLetter"/>
      <w:start w:val="9"/>
    </w:lvl>
  </w:abstractNum>
  <w:abstractNum w:abstractNumId="187">
    <w:nsid w:val="4F3A06D4"/>
    <w:multiLevelType w:val="hybridMultilevel"/>
    <w:lvl w:ilvl="0">
      <w:lvlJc w:val="left"/>
      <w:lvlText w:val="3"/>
      <w:numFmt w:val="bullet"/>
      <w:start w:val="1"/>
    </w:lvl>
  </w:abstractNum>
  <w:abstractNum w:abstractNumId="188">
    <w:nsid w:val="59A377B6"/>
    <w:multiLevelType w:val="hybridMultilevel"/>
    <w:lvl w:ilvl="0">
      <w:lvlJc w:val="left"/>
      <w:lvlText w:val="(%1)"/>
      <w:numFmt w:val="lowerLetter"/>
      <w:start w:val="3"/>
    </w:lvl>
  </w:abstractNum>
  <w:abstractNum w:abstractNumId="189">
    <w:nsid w:val="48AEB063"/>
    <w:multiLevelType w:val="hybridMultilevel"/>
    <w:lvl w:ilvl="0">
      <w:lvlJc w:val="left"/>
      <w:lvlText w:val="(%1)"/>
      <w:numFmt w:val="lowerRoman"/>
      <w:start w:val="2"/>
    </w:lvl>
  </w:abstractNum>
  <w:abstractNum w:abstractNumId="190">
    <w:nsid w:val="24E135"/>
    <w:multiLevelType w:val="hybridMultilevel"/>
    <w:lvl w:ilvl="0">
      <w:lvlJc w:val="left"/>
      <w:lvlText w:val="(%1)"/>
      <w:numFmt w:val="lowerLetter"/>
      <w:start w:val="4"/>
    </w:lvl>
    <w:lvl w:ilvl="1">
      <w:lvlJc w:val="left"/>
      <w:lvlText w:val="(%2)"/>
      <w:numFmt w:val="lowerLetter"/>
      <w:start w:val="9"/>
    </w:lvl>
  </w:abstractNum>
  <w:abstractNum w:abstractNumId="191">
    <w:nsid w:val="BB13C1"/>
    <w:multiLevelType w:val="hybridMultilevel"/>
    <w:lvl w:ilvl="0">
      <w:lvlJc w:val="left"/>
      <w:lvlText w:val="(%1)"/>
      <w:numFmt w:val="lowerRoman"/>
      <w:start w:val="2"/>
    </w:lvl>
  </w:abstractNum>
  <w:abstractNum w:abstractNumId="192">
    <w:nsid w:val="271210C7"/>
    <w:multiLevelType w:val="hybridMultilevel"/>
    <w:lvl w:ilvl="0">
      <w:lvlJc w:val="left"/>
      <w:lvlText w:val="(%1)"/>
      <w:numFmt w:val="lowerRoman"/>
      <w:start w:val="3"/>
    </w:lvl>
  </w:abstractNum>
  <w:abstractNum w:abstractNumId="193">
    <w:nsid w:val="217B22E4"/>
    <w:multiLevelType w:val="hybridMultilevel"/>
    <w:lvl w:ilvl="0">
      <w:lvlJc w:val="left"/>
      <w:lvlText w:val="4"/>
      <w:numFmt w:val="bullet"/>
      <w:start w:val="1"/>
    </w:lvl>
  </w:abstractNum>
  <w:abstractNum w:abstractNumId="194">
    <w:nsid w:val="53E31A24"/>
    <w:multiLevelType w:val="hybridMultilevel"/>
    <w:lvl w:ilvl="0">
      <w:lvlJc w:val="left"/>
      <w:lvlText w:val="(%1)"/>
      <w:numFmt w:val="lowerLetter"/>
      <w:start w:val="1"/>
    </w:lvl>
  </w:abstractNum>
  <w:abstractNum w:abstractNumId="195">
    <w:nsid w:val="6DC45E83"/>
    <w:multiLevelType w:val="hybridMultilevel"/>
    <w:lvl w:ilvl="0">
      <w:lvlJc w:val="left"/>
      <w:lvlText w:val="4"/>
      <w:numFmt w:val="bullet"/>
      <w:start w:val="1"/>
    </w:lvl>
  </w:abstractNum>
  <w:abstractNum w:abstractNumId="196">
    <w:nsid w:val="17304A67"/>
    <w:multiLevelType w:val="hybridMultilevel"/>
    <w:lvl w:ilvl="0">
      <w:lvlJc w:val="left"/>
      <w:lvlText w:val="(%1)"/>
      <w:numFmt w:val="lowerLetter"/>
      <w:start w:val="1"/>
    </w:lvl>
  </w:abstractNum>
  <w:abstractNum w:abstractNumId="197">
    <w:nsid w:val="2BB180D8"/>
    <w:multiLevelType w:val="hybridMultilevel"/>
    <w:lvl w:ilvl="0">
      <w:lvlJc w:val="left"/>
      <w:lvlText w:val="4"/>
      <w:numFmt w:val="bullet"/>
      <w:start w:val="1"/>
    </w:lvl>
  </w:abstractNum>
  <w:abstractNum w:abstractNumId="198">
    <w:nsid w:val="556B69ED"/>
    <w:multiLevelType w:val="hybridMultilevel"/>
    <w:lvl w:ilvl="0">
      <w:lvlJc w:val="left"/>
      <w:lvlText w:val="(%1)"/>
      <w:numFmt w:val="lowerLetter"/>
      <w:start w:val="2"/>
    </w:lvl>
  </w:abstractNum>
  <w:abstractNum w:abstractNumId="199">
    <w:nsid w:val="70836196"/>
    <w:multiLevelType w:val="hybridMultilevel"/>
    <w:lvl w:ilvl="0">
      <w:lvlJc w:val="left"/>
      <w:lvlText w:val="(%1)"/>
      <w:numFmt w:val="lowerLetter"/>
      <w:start w:val="3"/>
    </w:lvl>
  </w:abstractNum>
  <w:abstractNum w:abstractNumId="200">
    <w:nsid w:val="539F7F12"/>
    <w:multiLevelType w:val="hybridMultilevel"/>
    <w:lvl w:ilvl="0">
      <w:lvlJc w:val="left"/>
      <w:lvlText w:val="4"/>
      <w:numFmt w:val="bullet"/>
      <w:start w:val="1"/>
    </w:lvl>
  </w:abstractNum>
  <w:abstractNum w:abstractNumId="201">
    <w:nsid w:val="2817E7EC"/>
    <w:multiLevelType w:val="hybridMultilevel"/>
    <w:lvl w:ilvl="0">
      <w:lvlJc w:val="left"/>
      <w:lvlText w:val="(%1)"/>
      <w:numFmt w:val="lowerLetter"/>
      <w:start w:val="3"/>
    </w:lvl>
  </w:abstractNum>
  <w:abstractNum w:abstractNumId="202">
    <w:nsid w:val="71482545"/>
    <w:multiLevelType w:val="hybridMultilevel"/>
    <w:lvl w:ilvl="0">
      <w:lvlJc w:val="left"/>
      <w:lvlText w:val="4"/>
      <w:numFmt w:val="bullet"/>
      <w:start w:val="1"/>
    </w:lvl>
  </w:abstractNum>
  <w:abstractNum w:abstractNumId="203">
    <w:nsid w:val="17D78639"/>
    <w:multiLevelType w:val="hybridMultilevel"/>
    <w:lvl w:ilvl="0">
      <w:lvlJc w:val="left"/>
      <w:lvlText w:val="(%1)"/>
      <w:numFmt w:val="lowerLetter"/>
      <w:start w:val="5"/>
    </w:lvl>
  </w:abstractNum>
  <w:abstractNum w:abstractNumId="204">
    <w:nsid w:val="141D2302"/>
    <w:multiLevelType w:val="hybridMultilevel"/>
    <w:lvl w:ilvl="0">
      <w:lvlJc w:val="left"/>
      <w:lvlText w:val="4"/>
      <w:numFmt w:val="bullet"/>
      <w:start w:val="1"/>
    </w:lvl>
  </w:abstractNum>
  <w:abstractNum w:abstractNumId="205">
    <w:nsid w:val="407168D8"/>
    <w:multiLevelType w:val="hybridMultilevel"/>
    <w:lvl w:ilvl="0">
      <w:lvlJc w:val="left"/>
      <w:lvlText w:val="(%1)"/>
      <w:numFmt w:val="lowerLetter"/>
      <w:start w:val="5"/>
    </w:lvl>
  </w:abstractNum>
  <w:abstractNum w:abstractNumId="206">
    <w:nsid w:val="6A1B45E5"/>
    <w:multiLevelType w:val="hybridMultilevel"/>
    <w:lvl w:ilvl="0">
      <w:lvlJc w:val="left"/>
      <w:lvlText w:val="5"/>
      <w:numFmt w:val="bullet"/>
      <w:start w:val="1"/>
    </w:lvl>
  </w:abstractNum>
  <w:abstractNum w:abstractNumId="207">
    <w:nsid w:val="567BD50A"/>
    <w:multiLevelType w:val="hybridMultilevel"/>
    <w:lvl w:ilvl="0">
      <w:lvlJc w:val="left"/>
      <w:lvlText w:val="6"/>
      <w:numFmt w:val="bullet"/>
      <w:start w:val="1"/>
    </w:lvl>
  </w:abstractNum>
  <w:abstractNum w:abstractNumId="208">
    <w:nsid w:val="73BBD7F8"/>
    <w:multiLevelType w:val="hybridMultilevel"/>
    <w:lvl w:ilvl="0">
      <w:lvlJc w:val="left"/>
      <w:lvlText w:val="7"/>
      <w:numFmt w:val="bullet"/>
      <w:start w:val="1"/>
    </w:lvl>
  </w:abstractNum>
  <w:abstractNum w:abstractNumId="209">
    <w:nsid w:val="1876589D"/>
    <w:multiLevelType w:val="hybridMultilevel"/>
    <w:lvl w:ilvl="0">
      <w:lvlJc w:val="left"/>
      <w:lvlText w:val="(%1)"/>
      <w:numFmt w:val="lowerLetter"/>
      <w:start w:val="1"/>
    </w:lvl>
  </w:abstractNum>
  <w:abstractNum w:abstractNumId="210">
    <w:nsid w:val="327FAC77"/>
    <w:multiLevelType w:val="hybridMultilevel"/>
    <w:lvl w:ilvl="0">
      <w:lvlJc w:val="left"/>
      <w:lvlText w:val="(%1)"/>
      <w:numFmt w:val="lowerLetter"/>
      <w:start w:val="2"/>
    </w:lvl>
  </w:abstractNum>
  <w:abstractNum w:abstractNumId="211">
    <w:nsid w:val="5A606509"/>
    <w:multiLevelType w:val="hybridMultilevel"/>
    <w:lvl w:ilvl="0">
      <w:lvlJc w:val="left"/>
      <w:lvlText w:val="8"/>
      <w:numFmt w:val="bullet"/>
      <w:start w:val="1"/>
    </w:lvl>
  </w:abstractNum>
  <w:abstractNum w:abstractNumId="212">
    <w:nsid w:val="6F38E6D1"/>
    <w:multiLevelType w:val="hybridMultilevel"/>
    <w:lvl w:ilvl="0">
      <w:lvlJc w:val="left"/>
      <w:lvlText w:val="%1"/>
      <w:numFmt w:val="decimal"/>
      <w:start w:val="11"/>
    </w:lvl>
  </w:abstractNum>
  <w:abstractNum w:abstractNumId="213">
    <w:nsid w:val="46111BA5"/>
    <w:multiLevelType w:val="hybridMultilevel"/>
    <w:lvl w:ilvl="0">
      <w:lvlJc w:val="left"/>
      <w:lvlText w:val="%1"/>
      <w:numFmt w:val="decimal"/>
      <w:start w:val="12"/>
    </w:lvl>
  </w:abstractNum>
  <w:abstractNum w:abstractNumId="214">
    <w:nsid w:val="5E963896"/>
    <w:multiLevelType w:val="hybridMultilevel"/>
    <w:lvl w:ilvl="0">
      <w:lvlJc w:val="left"/>
      <w:lvlText w:val="%1"/>
      <w:numFmt w:val="decimal"/>
      <w:start w:val="13"/>
    </w:lvl>
  </w:abstractNum>
  <w:abstractNum w:abstractNumId="215">
    <w:nsid w:val="775BA7C1"/>
    <w:multiLevelType w:val="hybridMultilevel"/>
    <w:lvl w:ilvl="0">
      <w:lvlJc w:val="left"/>
      <w:lvlText w:val="%1"/>
      <w:numFmt w:val="decimal"/>
      <w:start w:val="14"/>
    </w:lvl>
  </w:abstractNum>
  <w:abstractNum w:abstractNumId="216">
    <w:nsid w:val="1DD6D6F4"/>
    <w:multiLevelType w:val="hybridMultilevel"/>
    <w:lvl w:ilvl="0">
      <w:lvlJc w:val="left"/>
      <w:lvlText w:val="%1"/>
      <w:numFmt w:val="decimal"/>
      <w:start w:val="14"/>
    </w:lvl>
  </w:abstractNum>
  <w:abstractNum w:abstractNumId="217">
    <w:nsid w:val="769A091F"/>
    <w:multiLevelType w:val="hybridMultilevel"/>
    <w:lvl w:ilvl="0">
      <w:lvlJc w:val="left"/>
      <w:lvlText w:val="%1"/>
      <w:numFmt w:val="decimal"/>
      <w:start w:val="16"/>
    </w:lvl>
  </w:abstractNum>
  <w:abstractNum w:abstractNumId="218">
    <w:nsid w:val="4695AE95"/>
    <w:multiLevelType w:val="hybridMultilevel"/>
    <w:lvl w:ilvl="0">
      <w:lvlJc w:val="left"/>
      <w:lvlText w:val="(%1)"/>
      <w:numFmt w:val="lowerRoman"/>
      <w:start w:val="1"/>
    </w:lvl>
  </w:abstractNum>
  <w:abstractNum w:abstractNumId="219">
    <w:nsid w:val="777A4EAA"/>
    <w:multiLevelType w:val="hybridMultilevel"/>
    <w:lvl w:ilvl="0">
      <w:lvlJc w:val="left"/>
      <w:lvlText w:val="%1"/>
      <w:numFmt w:val="decimal"/>
      <w:start w:val="18"/>
    </w:lvl>
  </w:abstractNum>
  <w:abstractNum w:abstractNumId="220">
    <w:nsid w:val="3F48B982"/>
    <w:multiLevelType w:val="hybridMultilevel"/>
    <w:lvl w:ilvl="0">
      <w:lvlJc w:val="left"/>
      <w:lvlText w:val="(%1)"/>
      <w:numFmt w:val="lowerRoman"/>
      <w:start w:val="1"/>
    </w:lvl>
  </w:abstractNum>
  <w:abstractNum w:abstractNumId="221">
    <w:nsid w:val="46BA8FCA"/>
    <w:multiLevelType w:val="hybridMultilevel"/>
    <w:lvl w:ilvl="0">
      <w:lvlJc w:val="left"/>
      <w:lvlText w:val="%1"/>
      <w:numFmt w:val="decimal"/>
      <w:start w:val="18"/>
    </w:lvl>
    <w:lvl w:ilvl="1">
      <w:lvlJc w:val="left"/>
      <w:lvlText w:val="(%2)"/>
      <w:numFmt w:val="lowerRoman"/>
      <w:start w:val="2"/>
    </w:lvl>
  </w:abstractNum>
  <w:abstractNum w:abstractNumId="222">
    <w:nsid w:val="7835626C"/>
    <w:multiLevelType w:val="hybridMultilevel"/>
    <w:lvl w:ilvl="0">
      <w:lvlJc w:val="left"/>
      <w:lvlText w:val="%1"/>
      <w:numFmt w:val="decimal"/>
      <w:start w:val="18"/>
    </w:lvl>
    <w:lvl w:ilvl="1">
      <w:lvlJc w:val="left"/>
      <w:lvlText w:val="(%2)"/>
      <w:numFmt w:val="lowerRoman"/>
      <w:start w:val="4"/>
    </w:lvl>
  </w:abstractNum>
  <w:abstractNum w:abstractNumId="223">
    <w:nsid w:val="665ACA49"/>
    <w:multiLevelType w:val="hybridMultilevel"/>
    <w:lvl w:ilvl="0">
      <w:lvlJc w:val="left"/>
      <w:lvlText w:val="(%1)"/>
      <w:numFmt w:val="lowerRoman"/>
      <w:start w:val="5"/>
    </w:lvl>
  </w:abstractNum>
  <w:abstractNum w:abstractNumId="224">
    <w:nsid w:val="6835B2AE"/>
    <w:multiLevelType w:val="hybridMultilevel"/>
    <w:lvl w:ilvl="0">
      <w:lvlJc w:val="left"/>
      <w:lvlText w:val="%1"/>
      <w:numFmt w:val="decimal"/>
      <w:start w:val="18"/>
    </w:lvl>
    <w:lvl w:ilvl="1">
      <w:lvlJc w:val="left"/>
      <w:lvlText w:val="(%2)"/>
      <w:numFmt w:val="lowerRoman"/>
      <w:start w:val="6"/>
    </w:lvl>
  </w:abstractNum>
  <w:abstractNum w:abstractNumId="225">
    <w:nsid w:val="4C187C90"/>
    <w:multiLevelType w:val="hybridMultilevel"/>
    <w:lvl w:ilvl="0">
      <w:lvlJc w:val="left"/>
      <w:lvlText w:val="(%1)"/>
      <w:numFmt w:val="lowerRoman"/>
      <w:start w:val="7"/>
    </w:lvl>
  </w:abstractNum>
  <w:abstractNum w:abstractNumId="226">
    <w:nsid w:val="541F28CD"/>
    <w:multiLevelType w:val="hybridMultilevel"/>
    <w:lvl w:ilvl="0">
      <w:lvlJc w:val="left"/>
      <w:lvlText w:val="%1"/>
      <w:numFmt w:val="decimal"/>
      <w:start w:val="19"/>
    </w:lvl>
  </w:abstractNum>
  <w:abstractNum w:abstractNumId="227">
    <w:nsid w:val="7F65FD16"/>
    <w:multiLevelType w:val="hybridMultilevel"/>
    <w:lvl w:ilvl="0">
      <w:lvlJc w:val="left"/>
      <w:lvlText w:val="%1"/>
      <w:numFmt w:val="decimal"/>
      <w:start w:val="20"/>
    </w:lvl>
  </w:abstractNum>
  <w:abstractNum w:abstractNumId="228">
    <w:nsid w:val="77C9FD68"/>
    <w:multiLevelType w:val="hybridMultilevel"/>
    <w:lvl w:ilvl="0">
      <w:lvlJc w:val="left"/>
      <w:lvlText w:val="(%1)"/>
      <w:numFmt w:val="lowerLetter"/>
      <w:start w:val="1"/>
    </w:lvl>
  </w:abstractNum>
  <w:abstractNum w:abstractNumId="229">
    <w:nsid w:val="298A92BA"/>
    <w:multiLevelType w:val="hybridMultilevel"/>
    <w:lvl w:ilvl="0">
      <w:lvlJc w:val="left"/>
      <w:lvlText w:val="%1"/>
      <w:numFmt w:val="decimal"/>
      <w:start w:val="21"/>
    </w:lvl>
  </w:abstractNum>
  <w:abstractNum w:abstractNumId="230">
    <w:nsid w:val="6FE95EAC"/>
    <w:multiLevelType w:val="hybridMultilevel"/>
    <w:lvl w:ilvl="0">
      <w:lvlJc w:val="left"/>
      <w:lvlText w:val="(%1)"/>
      <w:numFmt w:val="lowerLetter"/>
      <w:start w:val="2"/>
    </w:lvl>
  </w:abstractNum>
  <w:abstractNum w:abstractNumId="231">
    <w:nsid w:val="4B697C7A"/>
    <w:multiLevelType w:val="hybridMultilevel"/>
    <w:lvl w:ilvl="0">
      <w:lvlJc w:val="left"/>
      <w:lvlText w:val="(%1)"/>
      <w:numFmt w:val="lowerRoman"/>
      <w:start w:val="1"/>
    </w:lvl>
  </w:abstractNum>
  <w:abstractNum w:abstractNumId="232">
    <w:nsid w:val="51A27AA6"/>
    <w:multiLevelType w:val="hybridMultilevel"/>
    <w:lvl w:ilvl="0">
      <w:lvlJc w:val="left"/>
      <w:lvlText w:val="(%1)"/>
      <w:numFmt w:val="lowerLetter"/>
      <w:start w:val="2"/>
    </w:lvl>
    <w:lvl w:ilvl="1">
      <w:lvlJc w:val="left"/>
      <w:lvlText w:val="(%2)"/>
      <w:numFmt w:val="lowerRoman"/>
      <w:start w:val="3"/>
    </w:lvl>
  </w:abstractNum>
  <w:abstractNum w:abstractNumId="233">
    <w:nsid w:val="613183F2"/>
    <w:multiLevelType w:val="hybridMultilevel"/>
    <w:lvl w:ilvl="0">
      <w:lvlJc w:val="left"/>
      <w:lvlText w:val="(%1)"/>
      <w:numFmt w:val="lowerLetter"/>
      <w:start w:val="4"/>
    </w:lvl>
  </w:abstractNum>
  <w:abstractNum w:abstractNumId="234">
    <w:nsid w:val="634102B4"/>
    <w:multiLevelType w:val="hybridMultilevel"/>
    <w:lvl w:ilvl="0">
      <w:lvlJc w:val="left"/>
      <w:lvlText w:val="(%1)"/>
      <w:numFmt w:val="lowerRoman"/>
      <w:start w:val="1"/>
    </w:lvl>
  </w:abstractNum>
  <w:abstractNum w:abstractNumId="235">
    <w:nsid w:val="65BF9DA8"/>
    <w:multiLevelType w:val="hybridMultilevel"/>
    <w:lvl w:ilvl="0">
      <w:lvlJc w:val="left"/>
      <w:lvlText w:val="(%1)"/>
      <w:numFmt w:val="lowerLetter"/>
      <w:start w:val="1"/>
    </w:lvl>
  </w:abstractNum>
  <w:abstractNum w:abstractNumId="236">
    <w:nsid w:val="21A2ECCA"/>
    <w:multiLevelType w:val="hybridMultilevel"/>
    <w:lvl w:ilvl="0">
      <w:lvlJc w:val="left"/>
      <w:lvlText w:val="(%1)"/>
      <w:numFmt w:val="lowerLetter"/>
      <w:start w:val="2"/>
    </w:lvl>
  </w:abstractNum>
  <w:abstractNum w:abstractNumId="237">
    <w:nsid w:val="4D5C4899"/>
    <w:multiLevelType w:val="hybridMultilevel"/>
    <w:lvl w:ilvl="0">
      <w:lvlJc w:val="left"/>
      <w:lvlText w:val="(%1)"/>
      <w:numFmt w:val="lowerLetter"/>
      <w:start w:val="5"/>
    </w:lvl>
  </w:abstractNum>
  <w:abstractNum w:abstractNumId="238">
    <w:nsid w:val="3C3B72B2"/>
    <w:multiLevelType w:val="hybridMultilevel"/>
    <w:lvl w:ilvl="0">
      <w:lvlJc w:val="left"/>
      <w:lvlText w:val="(%1)"/>
      <w:numFmt w:val="lowerRoman"/>
      <w:start w:val="1"/>
    </w:lvl>
  </w:abstractNum>
  <w:abstractNum w:abstractNumId="239">
    <w:nsid w:val="155EC4C2"/>
    <w:multiLevelType w:val="hybridMultilevel"/>
    <w:lvl w:ilvl="0">
      <w:lvlJc w:val="left"/>
      <w:lvlText w:val="(%1)"/>
      <w:numFmt w:val="lowerRoman"/>
      <w:start w:val="2"/>
    </w:lvl>
  </w:abstractNum>
  <w:abstractNum w:abstractNumId="240">
    <w:nsid w:val="65D2A137"/>
    <w:multiLevelType w:val="hybridMultilevel"/>
    <w:lvl w:ilvl="0">
      <w:lvlJc w:val="left"/>
      <w:lvlText w:val="(%1)"/>
      <w:numFmt w:val="lowerLetter"/>
      <w:start w:val="5"/>
    </w:lvl>
  </w:abstractNum>
  <w:abstractNum w:abstractNumId="241">
    <w:nsid w:val="6EBB1F2A"/>
    <w:multiLevelType w:val="hybridMultilevel"/>
    <w:lvl w:ilvl="0">
      <w:lvlJc w:val="left"/>
      <w:lvlText w:val="(%1)"/>
      <w:numFmt w:val="lowerLetter"/>
      <w:start w:val="6"/>
    </w:lvl>
  </w:abstractNum>
  <w:abstractNum w:abstractNumId="242">
    <w:nsid w:val="6FBF29CB"/>
    <w:multiLevelType w:val="hybridMultilevel"/>
    <w:lvl w:ilvl="0">
      <w:lvlJc w:val="left"/>
      <w:lvlText w:val="(%1)"/>
      <w:numFmt w:val="lowerRoman"/>
      <w:start w:val="1"/>
    </w:lvl>
  </w:abstractNum>
  <w:abstractNum w:abstractNumId="243">
    <w:nsid w:val="550B8808"/>
    <w:multiLevelType w:val="hybridMultilevel"/>
    <w:lvl w:ilvl="0">
      <w:lvlJc w:val="left"/>
      <w:lvlText w:val="(%1)"/>
      <w:numFmt w:val="lowerLetter"/>
      <w:start w:val="6"/>
    </w:lvl>
    <w:lvl w:ilvl="1">
      <w:lvlJc w:val="left"/>
      <w:lvlText w:val="(%2)"/>
      <w:numFmt w:val="lowerRoman"/>
      <w:start w:val="2"/>
    </w:lvl>
  </w:abstractNum>
  <w:abstractNum w:abstractNumId="244">
    <w:nsid w:val="34CC3ACF"/>
    <w:multiLevelType w:val="hybridMultilevel"/>
    <w:lvl w:ilvl="0">
      <w:lvlJc w:val="left"/>
      <w:lvlText w:val="%1"/>
      <w:numFmt w:val="decimal"/>
      <w:start w:val="24"/>
    </w:lvl>
  </w:abstractNum>
  <w:abstractNum w:abstractNumId="245">
    <w:nsid w:val="4E556261"/>
    <w:multiLevelType w:val="hybridMultilevel"/>
    <w:lvl w:ilvl="0">
      <w:lvlJc w:val="left"/>
      <w:lvlText w:val="%1"/>
      <w:numFmt w:val="decimal"/>
      <w:start w:val="25"/>
    </w:lvl>
  </w:abstractNum>
  <w:abstractNum w:abstractNumId="246">
    <w:nsid w:val="4C672FC9"/>
    <w:multiLevelType w:val="hybridMultilevel"/>
    <w:lvl w:ilvl="0">
      <w:lvlJc w:val="left"/>
      <w:lvlText w:val="(%1)"/>
      <w:numFmt w:val="lowerLetter"/>
      <w:start w:val="1"/>
    </w:lvl>
  </w:abstractNum>
  <w:abstractNum w:abstractNumId="247">
    <w:nsid w:val="52A311C3"/>
    <w:multiLevelType w:val="hybridMultilevel"/>
    <w:lvl w:ilvl="0">
      <w:lvlJc w:val="left"/>
      <w:lvlText w:val="%1"/>
      <w:numFmt w:val="decimal"/>
      <w:start w:val="26"/>
    </w:lvl>
  </w:abstractNum>
  <w:abstractNum w:abstractNumId="248">
    <w:nsid w:val="44EF6B80"/>
    <w:multiLevelType w:val="hybridMultilevel"/>
    <w:lvl w:ilvl="0">
      <w:lvlJc w:val="left"/>
      <w:lvlText w:val="(%1)"/>
      <w:numFmt w:val="lowerLetter"/>
      <w:start w:val="1"/>
    </w:lvl>
  </w:abstractNum>
  <w:abstractNum w:abstractNumId="249">
    <w:nsid w:val="12FCDE5E"/>
    <w:multiLevelType w:val="hybridMultilevel"/>
    <w:lvl w:ilvl="0">
      <w:lvlJc w:val="left"/>
      <w:lvlText w:val="(%1)"/>
      <w:numFmt w:val="lowerLetter"/>
      <w:start w:val="2"/>
    </w:lvl>
  </w:abstractNum>
  <w:abstractNum w:abstractNumId="250">
    <w:nsid w:val="4A1D606E"/>
    <w:multiLevelType w:val="hybridMultilevel"/>
    <w:lvl w:ilvl="0">
      <w:lvlJc w:val="left"/>
      <w:lvlText w:val="(%1)"/>
      <w:numFmt w:val="lowerLetter"/>
      <w:start w:val="1"/>
    </w:lvl>
  </w:abstractNum>
  <w:abstractNum w:abstractNumId="251">
    <w:nsid w:val="4382503"/>
    <w:multiLevelType w:val="hybridMultilevel"/>
    <w:lvl w:ilvl="0">
      <w:lvlJc w:val="left"/>
      <w:lvlText w:val="(%1)"/>
      <w:numFmt w:val="lowerLetter"/>
      <w:start w:val="2"/>
    </w:lvl>
  </w:abstractNum>
  <w:abstractNum w:abstractNumId="252">
    <w:nsid w:val="59B76E28"/>
    <w:multiLevelType w:val="hybridMultilevel"/>
    <w:lvl w:ilvl="0">
      <w:lvlJc w:val="left"/>
      <w:lvlText w:val="%1"/>
      <w:numFmt w:val="decimal"/>
      <w:start w:val="29"/>
    </w:lvl>
  </w:abstractNum>
  <w:abstractNum w:abstractNumId="253">
    <w:nsid w:val="4252C2DA"/>
    <w:multiLevelType w:val="hybridMultilevel"/>
    <w:lvl w:ilvl="0">
      <w:lvlJc w:val="left"/>
      <w:lvlText w:val="%1."/>
      <w:numFmt w:val="decimal"/>
      <w:start w:val="1"/>
    </w:lvl>
  </w:abstractNum>
  <w:abstractNum w:abstractNumId="254">
    <w:nsid w:val="6A92EF4C"/>
    <w:multiLevelType w:val="hybridMultilevel"/>
    <w:lvl w:ilvl="0">
      <w:lvlJc w:val="left"/>
      <w:lvlText w:val="%1."/>
      <w:numFmt w:val="decimal"/>
      <w:start w:val="2"/>
    </w:lvl>
  </w:abstractNum>
  <w:abstractNum w:abstractNumId="255">
    <w:nsid w:val="41ED20D7"/>
    <w:multiLevelType w:val="hybridMultilevel"/>
    <w:lvl w:ilvl="0">
      <w:lvlJc w:val="left"/>
      <w:lvlText w:val="(%1)"/>
      <w:numFmt w:val="lowerLetter"/>
      <w:start w:val="9"/>
    </w:lvl>
    <w:lvl w:ilvl="1">
      <w:lvlJc w:val="left"/>
      <w:lvlText w:val="(%2)"/>
      <w:numFmt w:val="lowerLetter"/>
      <w:start w:val="1"/>
    </w:lvl>
  </w:abstractNum>
  <w:abstractNum w:abstractNumId="256">
    <w:nsid w:val="E6B3F6A"/>
    <w:multiLevelType w:val="hybridMultilevel"/>
    <w:lvl w:ilvl="0">
      <w:lvlJc w:val="left"/>
      <w:lvlText w:val="(%1)"/>
      <w:numFmt w:val="lowerRoman"/>
      <w:start w:val="2"/>
    </w:lvl>
  </w:abstractNum>
  <w:abstractNum w:abstractNumId="257">
    <w:nsid w:val="3EB21819"/>
    <w:multiLevelType w:val="hybridMultilevel"/>
    <w:lvl w:ilvl="0">
      <w:lvlJc w:val="left"/>
      <w:lvlText w:val="%1."/>
      <w:numFmt w:val="decimal"/>
      <w:start w:val="3"/>
    </w:lvl>
  </w:abstractNum>
  <w:abstractNum w:abstractNumId="258">
    <w:nsid w:val="41531DED"/>
    <w:multiLevelType w:val="hybridMultilevel"/>
    <w:lvl w:ilvl="0">
      <w:lvlJc w:val="left"/>
      <w:lvlText w:val="(%1)"/>
      <w:numFmt w:val="lowerLetter"/>
      <w:start w:val="9"/>
    </w:lvl>
    <w:lvl w:ilvl="1">
      <w:lvlJc w:val="left"/>
      <w:lvlText w:val="(%2)"/>
      <w:numFmt w:val="lowerLetter"/>
      <w:start w:val="1"/>
    </w:lvl>
  </w:abstractNum>
  <w:abstractNum w:abstractNumId="259">
    <w:nsid w:val="6353CD2"/>
    <w:multiLevelType w:val="hybridMultilevel"/>
    <w:lvl w:ilvl="0">
      <w:lvlJc w:val="left"/>
      <w:lvlText w:val="(%1)"/>
      <w:numFmt w:val="lowerRoman"/>
      <w:start w:val="2"/>
    </w:lvl>
  </w:abstractNum>
  <w:abstractNum w:abstractNumId="260">
    <w:nsid w:val="683CAAD3"/>
    <w:multiLevelType w:val="hybridMultilevel"/>
    <w:lvl w:ilvl="0">
      <w:lvlJc w:val="left"/>
      <w:lvlText w:val="%1."/>
      <w:numFmt w:val="decimal"/>
      <w:start w:val="4"/>
    </w:lvl>
  </w:abstractNum>
  <w:abstractNum w:abstractNumId="261">
    <w:nsid w:val="313C7C99"/>
    <w:multiLevelType w:val="hybridMultilevel"/>
    <w:lvl w:ilvl="0">
      <w:lvlJc w:val="left"/>
      <w:lvlText w:val="(%1)"/>
      <w:numFmt w:val="lowerRoman"/>
      <w:start w:val="1"/>
    </w:lvl>
  </w:abstractNum>
  <w:abstractNum w:abstractNumId="262">
    <w:nsid w:val="519EB94C"/>
    <w:multiLevelType w:val="hybridMultilevel"/>
    <w:lvl w:ilvl="0">
      <w:lvlJc w:val="left"/>
      <w:lvlText w:val="(%1)"/>
      <w:numFmt w:val="lowerRoman"/>
      <w:start w:val="5"/>
    </w:lvl>
  </w:abstractNum>
  <w:abstractNum w:abstractNumId="263">
    <w:nsid w:val="39DF2579"/>
    <w:multiLevelType w:val="hybridMultilevel"/>
    <w:lvl w:ilvl="0">
      <w:lvlJc w:val="left"/>
      <w:lvlText w:val="%1."/>
      <w:numFmt w:val="decimal"/>
      <w:start w:val="5"/>
    </w:lvl>
    <w:lvl w:ilvl="1">
      <w:lvlJc w:val="left"/>
      <w:lvlText w:val="%2"/>
      <w:numFmt w:val="lowerRoman"/>
      <w:start w:val="1"/>
    </w:lvl>
  </w:abstractNum>
  <w:abstractNum w:abstractNumId="264">
    <w:nsid w:val="126E008B"/>
    <w:multiLevelType w:val="hybridMultilevel"/>
    <w:lvl w:ilvl="0">
      <w:lvlJc w:val="left"/>
      <w:lvlText w:val="5.%1."/>
      <w:numFmt w:val="decimal"/>
      <w:start w:val="1"/>
    </w:lvl>
    <w:lvl w:ilvl="1">
      <w:lvlJc w:val="left"/>
      <w:lvlText w:val="(%2)"/>
      <w:numFmt w:val="lowerRoman"/>
      <w:start w:val="1"/>
    </w:lvl>
  </w:abstractNum>
  <w:abstractNum w:abstractNumId="265">
    <w:nsid w:val="34DFBC00"/>
    <w:multiLevelType w:val="hybridMultilevel"/>
    <w:lvl w:ilvl="0">
      <w:lvlJc w:val="left"/>
      <w:lvlText w:val="(%1)"/>
      <w:numFmt w:val="lowerRoman"/>
      <w:start w:val="1"/>
    </w:lvl>
  </w:abstractNum>
  <w:abstractNum w:abstractNumId="266">
    <w:nsid w:val="1F9EC322"/>
    <w:multiLevelType w:val="hybridMultilevel"/>
    <w:lvl w:ilvl="0">
      <w:lvlJc w:val="left"/>
      <w:lvlText w:val="%1."/>
      <w:numFmt w:val="decimal"/>
      <w:start w:val="6"/>
    </w:lvl>
  </w:abstractNum>
  <w:abstractNum w:abstractNumId="267">
    <w:nsid w:val="3410ED56"/>
    <w:multiLevelType w:val="hybridMultilevel"/>
    <w:lvl w:ilvl="0">
      <w:lvlJc w:val="left"/>
      <w:lvlText w:val="(%1)"/>
      <w:numFmt w:val="lowerRoman"/>
      <w:start w:val="1"/>
    </w:lvl>
  </w:abstractNum>
  <w:abstractNum w:abstractNumId="268">
    <w:nsid w:val="23C049A"/>
    <w:multiLevelType w:val="hybridMultilevel"/>
    <w:lvl w:ilvl="0">
      <w:lvlJc w:val="left"/>
      <w:lvlText w:val="%1."/>
      <w:numFmt w:val="decimal"/>
      <w:start w:val="7"/>
    </w:lvl>
  </w:abstractNum>
  <w:abstractNum w:abstractNumId="269">
    <w:nsid w:val="5BDA35D4"/>
    <w:multiLevelType w:val="hybridMultilevel"/>
    <w:lvl w:ilvl="0">
      <w:lvlJc w:val="left"/>
      <w:lvlText w:val="(%1)"/>
      <w:numFmt w:val="lowerRoman"/>
      <w:start w:val="1"/>
    </w:lvl>
  </w:abstractNum>
  <w:abstractNum w:abstractNumId="270">
    <w:nsid w:val="496FB218"/>
    <w:multiLevelType w:val="hybridMultilevel"/>
    <w:lvl w:ilvl="0">
      <w:lvlJc w:val="left"/>
      <w:lvlText w:val="(%1)"/>
      <w:numFmt w:val="decimal"/>
      <w:start w:val="1"/>
    </w:lvl>
  </w:abstractNum>
  <w:abstractNum w:abstractNumId="271">
    <w:nsid w:val="680EA5D1"/>
    <w:multiLevelType w:val="hybridMultilevel"/>
    <w:lvl w:ilvl="0">
      <w:lvlJc w:val="left"/>
      <w:lvlText w:val="%1."/>
      <w:numFmt w:val="decimal"/>
      <w:start w:val="1"/>
    </w:lvl>
    <w:lvl w:ilvl="1">
      <w:lvlJc w:val="left"/>
      <w:lvlText w:val="(%2)"/>
      <w:numFmt w:val="decimal"/>
      <w:start w:val="1"/>
    </w:lvl>
  </w:abstractNum>
  <w:abstractNum w:abstractNumId="272">
    <w:nsid w:val="4A9554FE"/>
    <w:multiLevelType w:val="hybridMultilevel"/>
    <w:lvl w:ilvl="0">
      <w:lvlJc w:val="left"/>
      <w:lvlText w:val="(%1)"/>
      <w:numFmt w:val="decimal"/>
      <w:start w:val="6"/>
    </w:lvl>
  </w:abstractNum>
  <w:abstractNum w:abstractNumId="273">
    <w:nsid w:val="392EDBE4"/>
    <w:multiLevelType w:val="hybridMultilevel"/>
    <w:lvl w:ilvl="0">
      <w:lvlJc w:val="left"/>
      <w:lvlText w:val="%1."/>
      <w:numFmt w:val="decimal"/>
      <w:start w:val="2"/>
    </w:lvl>
  </w:abstractNum>
  <w:abstractNum w:abstractNumId="274">
    <w:nsid w:val="3D1A2DD9"/>
    <w:multiLevelType w:val="hybridMultilevel"/>
    <w:lvl w:ilvl="0">
      <w:lvlJc w:val="left"/>
      <w:lvlText w:val="%1."/>
      <w:numFmt w:val="decimal"/>
      <w:start w:val="3"/>
    </w:lvl>
  </w:abstractNum>
  <w:abstractNum w:abstractNumId="275">
    <w:nsid w:val="7F618FCD"/>
    <w:multiLevelType w:val="hybridMultilevel"/>
    <w:lvl w:ilvl="0">
      <w:lvlJc w:val="left"/>
      <w:lvlText w:val="%1."/>
      <w:numFmt w:val="lowerLetter"/>
      <w:start w:val="1"/>
    </w:lvl>
  </w:abstractNum>
  <w:abstractNum w:abstractNumId="276">
    <w:nsid w:val="7843E45"/>
    <w:multiLevelType w:val="hybridMultilevel"/>
    <w:lvl w:ilvl="0">
      <w:lvlJc w:val="left"/>
      <w:lvlText w:val="%1."/>
      <w:numFmt w:val="lowerLetter"/>
      <w:start w:val="1"/>
    </w:lvl>
  </w:abstractNum>
  <w:abstractNum w:abstractNumId="277">
    <w:nsid w:val="9815DA3"/>
    <w:multiLevelType w:val="hybridMultilevel"/>
    <w:lvl w:ilvl="0">
      <w:lvlJc w:val="left"/>
      <w:lvlText w:val="%1."/>
      <w:numFmt w:val="decimal"/>
      <w:start w:val="4"/>
    </w:lvl>
  </w:abstractNum>
  <w:abstractNum w:abstractNumId="278">
    <w:nsid w:val="5204A191"/>
    <w:multiLevelType w:val="hybridMultilevel"/>
    <w:lvl w:ilvl="0">
      <w:lvlJc w:val="left"/>
      <w:lvlText w:val="%1."/>
      <w:numFmt w:val="lowerLetter"/>
      <w:start w:val="1"/>
    </w:lvl>
    <w:lvl w:ilvl="1">
      <w:lvlJc w:val="left"/>
      <w:lvlText w:val="%2)"/>
      <w:numFmt w:val="decimal"/>
      <w:start w:val="1"/>
    </w:lvl>
  </w:abstractNum>
  <w:abstractNum w:abstractNumId="279">
    <w:nsid w:val="4C73A9C6"/>
    <w:multiLevelType w:val="hybridMultilevel"/>
    <w:lvl w:ilvl="0">
      <w:lvlJc w:val="left"/>
      <w:lvlText w:val="%1)"/>
      <w:numFmt w:val="decimal"/>
      <w:start w:val="2"/>
    </w:lvl>
  </w:abstractNum>
  <w:abstractNum w:abstractNumId="280">
    <w:nsid w:val="1C7E3C01"/>
    <w:multiLevelType w:val="hybridMultilevel"/>
    <w:lvl w:ilvl="0">
      <w:lvlJc w:val="left"/>
      <w:lvlText w:val="%1."/>
      <w:numFmt w:val="lowerLetter"/>
      <w:start w:val="1"/>
    </w:lvl>
  </w:abstractNum>
  <w:abstractNum w:abstractNumId="281">
    <w:nsid w:val="1C2201FF"/>
    <w:multiLevelType w:val="hybridMultilevel"/>
    <w:lvl w:ilvl="0">
      <w:lvlJc w:val="left"/>
      <w:lvlText w:val="%1."/>
      <w:numFmt w:val="lowerLetter"/>
      <w:start w:val="1"/>
    </w:lvl>
  </w:abstractNum>
  <w:abstractNum w:abstractNumId="282">
    <w:nsid w:val="50ABCEC9"/>
    <w:multiLevelType w:val="hybridMultilevel"/>
    <w:lvl w:ilvl="0">
      <w:lvlJc w:val="left"/>
      <w:lvlText w:val="%1."/>
      <w:numFmt w:val="decimal"/>
      <w:start w:val="5"/>
    </w:lvl>
  </w:abstractNum>
  <w:abstractNum w:abstractNumId="283">
    <w:nsid w:val="7635AA2A"/>
    <w:multiLevelType w:val="hybridMultilevel"/>
    <w:lvl w:ilvl="0">
      <w:lvlJc w:val="left"/>
      <w:lvlText w:val="%1."/>
      <w:numFmt w:val="decimal"/>
      <w:start w:val="6"/>
    </w:lvl>
  </w:abstractNum>
  <w:abstractNum w:abstractNumId="284">
    <w:nsid w:val="5E74C4D9"/>
    <w:multiLevelType w:val="hybridMultilevel"/>
    <w:lvl w:ilvl="0">
      <w:lvlJc w:val="left"/>
      <w:lvlText w:val="%1."/>
      <w:numFmt w:val="decimal"/>
      <w:start w:val="7"/>
    </w:lvl>
  </w:abstractNum>
  <w:abstractNum w:abstractNumId="285">
    <w:nsid w:val="3B3EBE15"/>
    <w:multiLevelType w:val="hybridMultilevel"/>
    <w:lvl w:ilvl="0">
      <w:lvlJc w:val="left"/>
      <w:lvlText w:val="%1."/>
      <w:numFmt w:val="decimal"/>
      <w:start w:val="8"/>
    </w:lvl>
  </w:abstractNum>
  <w:abstractNum w:abstractNumId="286">
    <w:nsid w:val="3822CB01"/>
    <w:multiLevelType w:val="hybridMultilevel"/>
    <w:lvl w:ilvl="0">
      <w:lvlJc w:val="left"/>
      <w:lvlText w:val="%1."/>
      <w:numFmt w:val="lowerLetter"/>
      <w:start w:val="1"/>
    </w:lvl>
  </w:abstractNum>
  <w:abstractNum w:abstractNumId="287">
    <w:nsid w:val="6CE00443"/>
    <w:multiLevelType w:val="hybridMultilevel"/>
    <w:lvl w:ilvl="0">
      <w:lvlJc w:val="left"/>
      <w:lvlText w:val="%1."/>
      <w:numFmt w:val="lowerLetter"/>
      <w:start w:val="3"/>
    </w:lvl>
  </w:abstractNum>
  <w:abstractNum w:abstractNumId="288">
    <w:nsid w:val="79F0D62F"/>
    <w:multiLevelType w:val="hybridMultilevel"/>
    <w:lvl w:ilvl="0">
      <w:lvlJc w:val="left"/>
      <w:lvlText w:val="%1."/>
      <w:numFmt w:val="decimal"/>
      <w:start w:val="9"/>
    </w:lvl>
  </w:abstractNum>
  <w:abstractNum w:abstractNumId="289">
    <w:nsid w:val="7975E8EE"/>
    <w:multiLevelType w:val="hybridMultilevel"/>
    <w:lvl w:ilvl="0">
      <w:lvlJc w:val="left"/>
      <w:lvlText w:val="%1."/>
      <w:numFmt w:val="decimal"/>
      <w:start w:val="1"/>
    </w:lvl>
    <w:lvl w:ilvl="1">
      <w:lvlJc w:val="left"/>
      <w:lvlText w:val="(%2)"/>
      <w:numFmt w:val="lowerLetter"/>
      <w:start w:val="1"/>
    </w:lvl>
  </w:abstractNum>
  <w:abstractNum w:abstractNumId="290">
    <w:nsid w:val="73154115"/>
    <w:multiLevelType w:val="hybridMultilevel"/>
    <w:lvl w:ilvl="0">
      <w:lvlJc w:val="left"/>
      <w:lvlText w:val="%1."/>
      <w:numFmt w:val="decimal"/>
      <w:start w:val="1"/>
    </w:lvl>
    <w:lvl w:ilvl="1">
      <w:lvlJc w:val="left"/>
      <w:lvlText w:val="(%2)"/>
      <w:numFmt w:val="lowerLetter"/>
      <w:start w:val="1"/>
    </w:lvl>
  </w:abstractNum>
  <w:abstractNum w:abstractNumId="291">
    <w:nsid w:val="622D8102"/>
    <w:multiLevelType w:val="hybridMultilevel"/>
    <w:lvl w:ilvl="0">
      <w:lvlJc w:val="left"/>
      <w:lvlText w:val="(%1)"/>
      <w:numFmt w:val="decimal"/>
      <w:start w:val="1"/>
    </w:lvl>
  </w:abstractNum>
  <w:abstractNum w:abstractNumId="292">
    <w:nsid w:val="2AB26587"/>
    <w:multiLevelType w:val="hybridMultilevel"/>
    <w:lvl w:ilvl="0">
      <w:lvlJc w:val="left"/>
      <w:lvlText w:val="(%1)"/>
      <w:numFmt w:val="decimal"/>
      <w:start w:val="1"/>
    </w:lvl>
  </w:abstractNum>
  <w:abstractNum w:abstractNumId="293">
    <w:nsid w:val="44B3FA6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09" Type="http://schemas.openxmlformats.org/officeDocument/2006/relationships/image" Target="media/image288.png"/><Relationship Id="rId310" Type="http://schemas.openxmlformats.org/officeDocument/2006/relationships/image" Target="media/image289.png"/><Relationship Id="rId311" Type="http://schemas.openxmlformats.org/officeDocument/2006/relationships/image" Target="media/image290.png"/><Relationship Id="rId312" Type="http://schemas.openxmlformats.org/officeDocument/2006/relationships/image" Target="media/image291.png"/><Relationship Id="rId313" Type="http://schemas.openxmlformats.org/officeDocument/2006/relationships/image" Target="media/image292.png"/><Relationship Id="rId314" Type="http://schemas.openxmlformats.org/officeDocument/2006/relationships/image" Target="media/image293.png"/><Relationship Id="rId315" Type="http://schemas.openxmlformats.org/officeDocument/2006/relationships/image" Target="media/image294.png"/><Relationship Id="rId316" Type="http://schemas.openxmlformats.org/officeDocument/2006/relationships/image" Target="media/image295.png"/><Relationship Id="rId317" Type="http://schemas.openxmlformats.org/officeDocument/2006/relationships/image" Target="media/image296.png"/><Relationship Id="rId318" Type="http://schemas.openxmlformats.org/officeDocument/2006/relationships/image" Target="media/image297.png"/><Relationship Id="rId319" Type="http://schemas.openxmlformats.org/officeDocument/2006/relationships/image" Target="media/image298.png"/><Relationship Id="rId320" Type="http://schemas.openxmlformats.org/officeDocument/2006/relationships/image" Target="media/image299.png"/><Relationship Id="rId321" Type="http://schemas.openxmlformats.org/officeDocument/2006/relationships/image" Target="media/image300.png"/><Relationship Id="rId322" Type="http://schemas.openxmlformats.org/officeDocument/2006/relationships/image" Target="media/image301.png"/><Relationship Id="rId323" Type="http://schemas.openxmlformats.org/officeDocument/2006/relationships/image" Target="media/image302.png"/><Relationship Id="rId324" Type="http://schemas.openxmlformats.org/officeDocument/2006/relationships/image" Target="media/image303.png"/><Relationship Id="rId325" Type="http://schemas.openxmlformats.org/officeDocument/2006/relationships/image" Target="media/image304.png"/><Relationship Id="rId326" Type="http://schemas.openxmlformats.org/officeDocument/2006/relationships/image" Target="media/image305.png"/><Relationship Id="rId327" Type="http://schemas.openxmlformats.org/officeDocument/2006/relationships/image" Target="media/image306.png"/><Relationship Id="rId328" Type="http://schemas.openxmlformats.org/officeDocument/2006/relationships/image" Target="media/image307.png"/><Relationship Id="rId329" Type="http://schemas.openxmlformats.org/officeDocument/2006/relationships/image" Target="media/image308.png"/><Relationship Id="rId330" Type="http://schemas.openxmlformats.org/officeDocument/2006/relationships/image" Target="media/image309.png"/><Relationship Id="rId331" Type="http://schemas.openxmlformats.org/officeDocument/2006/relationships/image" Target="media/image310.png"/><Relationship Id="rId332" Type="http://schemas.openxmlformats.org/officeDocument/2006/relationships/image" Target="media/image311.png"/><Relationship Id="rId333" Type="http://schemas.openxmlformats.org/officeDocument/2006/relationships/image" Target="media/image312.jpeg"/><Relationship Id="rId334" Type="http://schemas.openxmlformats.org/officeDocument/2006/relationships/image" Target="media/image313.png"/><Relationship Id="rId335" Type="http://schemas.openxmlformats.org/officeDocument/2006/relationships/image" Target="media/image314.jpeg"/><Relationship Id="rId336" Type="http://schemas.openxmlformats.org/officeDocument/2006/relationships/image" Target="media/image315.jpeg"/><Relationship Id="rId337" Type="http://schemas.openxmlformats.org/officeDocument/2006/relationships/image" Target="media/image316.png"/><Relationship Id="rId152" Type="http://schemas.openxmlformats.org/officeDocument/2006/relationships/hyperlink" Target="http://www.sec.gov/Archives/edgar/data/1697818/000110465919023699/a19-3271_1ex1d1.htm" TargetMode="External"/><Relationship Id="rId153" Type="http://schemas.openxmlformats.org/officeDocument/2006/relationships/hyperlink" Target="http://www.sec.gov/Archives/edgar/data/1697818/000119312517358756/d347875dex43.htm" TargetMode="External"/><Relationship Id="rId154" Type="http://schemas.openxmlformats.org/officeDocument/2006/relationships/hyperlink" Target="http://www.sec.gov/Archives/edgar/data/1697818/000119312517315220/d347875dex42.htm" TargetMode="External"/><Relationship Id="rId155" Type="http://schemas.openxmlformats.org/officeDocument/2006/relationships/hyperlink" Target="http://www.sec.gov/Archives/edgar/data/1697818/000119312517315220/d347875dex102.htm" TargetMode="External"/><Relationship Id="rId156" Type="http://schemas.openxmlformats.org/officeDocument/2006/relationships/hyperlink" Target="http://www.sec.gov/Archives/edgar/data/1697818/000119312517315220/d347875dex103.htm" TargetMode="External"/><Relationship Id="rId157" Type="http://schemas.openxmlformats.org/officeDocument/2006/relationships/hyperlink" Target="http://www.sec.gov/Archives/edgar/data/1697818/000119312517315220/d347875dex104.htm" TargetMode="External"/><Relationship Id="rId158" Type="http://schemas.openxmlformats.org/officeDocument/2006/relationships/hyperlink" Target="http://www.sec.gov/Archives/edgar/data/1697818/000119312517315220/d347875dex105.htm" TargetMode="External"/><Relationship Id="rId159" Type="http://schemas.openxmlformats.org/officeDocument/2006/relationships/hyperlink" Target="http://www.sec.gov/Archives/edgar/data/1697818/000119312517315220/d347875dex106.htm" TargetMode="External"/><Relationship Id="rId160" Type="http://schemas.openxmlformats.org/officeDocument/2006/relationships/hyperlink" Target="http://www.sec.gov/Archives/edgar/data/1697818/000119312517315220/d347875dex107.htm" TargetMode="External"/><Relationship Id="rId161" Type="http://schemas.openxmlformats.org/officeDocument/2006/relationships/hyperlink" Target="http://www.sec.gov/Archives/edgar/data/1697818/000119312518190073/d600917dex102.htm" TargetMode="External"/><Relationship Id="rId162" Type="http://schemas.openxmlformats.org/officeDocument/2006/relationships/hyperlink" Target="http://www.sec.gov/Archives/edgar/data/1697818/000119312517315220/d347875dex109.htm" TargetMode="External"/><Relationship Id="rId165" Type="http://schemas.openxmlformats.org/officeDocument/2006/relationships/hyperlink" Target="http://www.sec.gov/Archives/edgar/data/1697818/000119312517315220/d347875dex1010.htm" TargetMode="External"/><Relationship Id="rId166" Type="http://schemas.openxmlformats.org/officeDocument/2006/relationships/hyperlink" Target="http://www.sec.gov/Archives/edgar/data/1697818/000110465918061085/a18-36354_1ex10d1.htm" TargetMode="External"/><Relationship Id="rId167" Type="http://schemas.openxmlformats.org/officeDocument/2006/relationships/hyperlink" Target="http://www.sec.gov/Archives/edgar/data/1697818/000119312517315220/d347875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2021-04-21T16:38:57Z</dcterms:created>
  <dcterms:modified xsi:type="dcterms:W3CDTF">2021-04-21T16:38:57Z</dcterms:modified>
</cp:coreProperties>
</file>