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624497dsc13d.htm"/>
      <w:bookmarkStart w:id="1" w:name="ksd624497dsc13d"/>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SCHEDULE 13D </w:t>
      </w:r>
    </w:p>
    <w:p>
      <w:pPr>
        <w:pStyle w:val="TextBody"/>
        <w:bidi w:val="0"/>
        <w:spacing w:before="24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bidi w:val="0"/>
        <w:spacing w:before="0" w:after="0"/>
        <w:jc w:val="center"/>
        <w:rPr>
          <w:rFonts w:ascii="Times New Roman" w:hAnsi="Times New Roman"/>
          <w:b/>
          <w:sz w:val="24"/>
        </w:rPr>
      </w:pPr>
      <w:r>
        <w:rPr>
          <w:rFonts w:ascii="Times New Roman" w:hAnsi="Times New Roman"/>
          <w:b/>
          <w:sz w:val="24"/>
        </w:rPr>
        <w:t xml:space="preserve">(Amendment No. )*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44"/>
        </w:rPr>
      </w:pPr>
      <w:r>
        <w:rPr>
          <w:rFonts w:ascii="Times New Roman" w:hAnsi="Times New Roman"/>
          <w:b/>
          <w:sz w:val="44"/>
        </w:rPr>
        <w:t xml:space="preserve">iClick Interactive Asia Group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(Name of Issuer) </w:t>
      </w:r>
    </w:p>
    <w:p>
      <w:pPr>
        <w:pStyle w:val="TextBody"/>
        <w:bidi w:val="0"/>
        <w:spacing w:before="240" w:after="0"/>
        <w:jc w:val="center"/>
        <w:rPr>
          <w:rFonts w:ascii="Times New Roman" w:hAnsi="Times New Roman"/>
          <w:b/>
          <w:sz w:val="20"/>
        </w:rPr>
      </w:pPr>
      <w:r>
        <w:rPr>
          <w:rFonts w:ascii="Times New Roman" w:hAnsi="Times New Roman"/>
          <w:b/>
          <w:sz w:val="20"/>
        </w:rPr>
        <w:t xml:space="preserve">Class A Ordinary Shares, par value of $0.001 per share </w:t>
      </w:r>
    </w:p>
    <w:p>
      <w:pPr>
        <w:pStyle w:val="TextBody"/>
        <w:bidi w:val="0"/>
        <w:spacing w:before="0" w:after="0"/>
        <w:jc w:val="center"/>
        <w:rPr>
          <w:rFonts w:ascii="Times New Roman" w:hAnsi="Times New Roman"/>
          <w:b/>
          <w:sz w:val="16"/>
        </w:rPr>
      </w:pPr>
      <w:r>
        <w:rPr>
          <w:rFonts w:ascii="Times New Roman" w:hAnsi="Times New Roman"/>
          <w:b/>
          <w:sz w:val="16"/>
        </w:rPr>
        <w:t xml:space="preserve">(Title of Class of Securities) </w:t>
      </w:r>
    </w:p>
    <w:p>
      <w:pPr>
        <w:pStyle w:val="TextBody"/>
        <w:bidi w:val="0"/>
        <w:spacing w:before="240" w:after="0"/>
        <w:jc w:val="center"/>
        <w:rPr>
          <w:rFonts w:ascii="Times New Roman" w:hAnsi="Times New Roman"/>
          <w:b/>
          <w:sz w:val="20"/>
        </w:rPr>
      </w:pPr>
      <w:r>
        <w:rPr>
          <w:rFonts w:ascii="Times New Roman" w:hAnsi="Times New Roman"/>
          <w:b/>
          <w:sz w:val="20"/>
        </w:rPr>
        <w:t xml:space="preserve">G47048 106 </w:t>
      </w:r>
    </w:p>
    <w:p>
      <w:pPr>
        <w:pStyle w:val="TextBody"/>
        <w:bidi w:val="0"/>
        <w:spacing w:before="0" w:after="0"/>
        <w:jc w:val="center"/>
        <w:rPr>
          <w:rFonts w:ascii="Times New Roman" w:hAnsi="Times New Roman"/>
          <w:b/>
          <w:sz w:val="16"/>
        </w:rPr>
      </w:pPr>
      <w:r>
        <w:rPr>
          <w:rFonts w:ascii="Times New Roman" w:hAnsi="Times New Roman"/>
          <w:b/>
          <w:sz w:val="16"/>
        </w:rPr>
        <w:t xml:space="preserve">(CUSIP Number) </w:t>
      </w:r>
    </w:p>
    <w:p>
      <w:pPr>
        <w:pStyle w:val="TextBody"/>
        <w:bidi w:val="0"/>
        <w:spacing w:before="240" w:after="0"/>
        <w:jc w:val="center"/>
        <w:rPr>
          <w:rFonts w:ascii="Times New Roman" w:hAnsi="Times New Roman"/>
          <w:b/>
          <w:sz w:val="20"/>
        </w:rPr>
      </w:pPr>
      <w:r>
        <w:rPr>
          <w:rFonts w:ascii="Times New Roman" w:hAnsi="Times New Roman"/>
          <w:b/>
          <w:sz w:val="20"/>
        </w:rPr>
        <w:t xml:space="preserve">Yang Xin </w:t>
      </w:r>
    </w:p>
    <w:p>
      <w:pPr>
        <w:pStyle w:val="TextBody"/>
        <w:bidi w:val="0"/>
        <w:spacing w:before="0" w:after="0"/>
        <w:jc w:val="center"/>
        <w:rPr>
          <w:rFonts w:ascii="Times New Roman" w:hAnsi="Times New Roman"/>
          <w:b/>
          <w:sz w:val="20"/>
        </w:rPr>
      </w:pPr>
      <w:r>
        <w:rPr>
          <w:rFonts w:ascii="Times New Roman" w:hAnsi="Times New Roman"/>
          <w:b/>
          <w:sz w:val="20"/>
        </w:rPr>
        <w:t xml:space="preserve">7/F, Building 19, Phoenix Park, 1515 Gumei Road, </w:t>
      </w:r>
    </w:p>
    <w:p>
      <w:pPr>
        <w:pStyle w:val="TextBody"/>
        <w:bidi w:val="0"/>
        <w:spacing w:before="0" w:after="0"/>
        <w:jc w:val="center"/>
        <w:rPr>
          <w:rFonts w:ascii="Times New Roman" w:hAnsi="Times New Roman"/>
          <w:b/>
          <w:sz w:val="20"/>
        </w:rPr>
      </w:pPr>
      <w:r>
        <w:rPr>
          <w:rFonts w:ascii="Times New Roman" w:hAnsi="Times New Roman"/>
          <w:b/>
          <w:sz w:val="20"/>
        </w:rPr>
        <w:t xml:space="preserve">Xuhui District, Shanghai, Peoples Republic of China </w:t>
      </w:r>
    </w:p>
    <w:p>
      <w:pPr>
        <w:pStyle w:val="TextBody"/>
        <w:bidi w:val="0"/>
        <w:spacing w:before="0" w:after="0"/>
        <w:jc w:val="center"/>
        <w:rPr>
          <w:rFonts w:ascii="Times New Roman" w:hAnsi="Times New Roman"/>
          <w:b/>
          <w:sz w:val="20"/>
        </w:rPr>
      </w:pPr>
      <w:r>
        <w:rPr>
          <w:rFonts w:ascii="Times New Roman" w:hAnsi="Times New Roman"/>
          <w:b/>
          <w:sz w:val="20"/>
        </w:rPr>
        <w:t xml:space="preserve">1811621902 </w:t>
      </w:r>
    </w:p>
    <w:p>
      <w:pPr>
        <w:pStyle w:val="TextBody"/>
        <w:bidi w:val="0"/>
        <w:spacing w:before="0" w:after="0"/>
        <w:jc w:val="center"/>
        <w:rPr>
          <w:rFonts w:ascii="Times New Roman" w:hAnsi="Times New Roman"/>
          <w:b/>
          <w:sz w:val="16"/>
        </w:rPr>
      </w:pPr>
      <w:r>
        <w:rPr>
          <w:rFonts w:ascii="Times New Roman" w:hAnsi="Times New Roman"/>
          <w:b/>
          <w:sz w:val="16"/>
        </w:rPr>
        <w:t xml:space="preserve">(Name, Address and Telephone Number of Person Authorized to Receive Notices and Communications) </w:t>
      </w:r>
    </w:p>
    <w:p>
      <w:pPr>
        <w:pStyle w:val="TextBody"/>
        <w:bidi w:val="0"/>
        <w:spacing w:before="240" w:after="0"/>
        <w:jc w:val="center"/>
        <w:rPr>
          <w:rFonts w:ascii="Times New Roman" w:hAnsi="Times New Roman"/>
          <w:b/>
          <w:sz w:val="20"/>
        </w:rPr>
      </w:pPr>
      <w:r>
        <w:rPr>
          <w:rFonts w:ascii="Times New Roman" w:hAnsi="Times New Roman"/>
          <w:b/>
          <w:sz w:val="20"/>
        </w:rPr>
        <w:t xml:space="preserve">November 24, 2023 </w:t>
      </w:r>
    </w:p>
    <w:p>
      <w:pPr>
        <w:pStyle w:val="TextBody"/>
        <w:bidi w:val="0"/>
        <w:spacing w:before="0" w:after="0"/>
        <w:jc w:val="center"/>
        <w:rPr>
          <w:rFonts w:ascii="Times New Roman" w:hAnsi="Times New Roman"/>
          <w:b/>
          <w:sz w:val="16"/>
        </w:rPr>
      </w:pPr>
      <w:r>
        <w:rPr>
          <w:rFonts w:ascii="Times New Roman" w:hAnsi="Times New Roman"/>
          <w:b/>
          <w:sz w:val="16"/>
        </w:rPr>
        <w:t xml:space="preserve">(Date of Event which Requires Filing of this Statement)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Times New Roman" w:hAnsi="Times New Roman"/>
          <w:sz w:val="20"/>
        </w:rPr>
      </w:pPr>
      <w:r>
        <w:rPr>
          <w:rFonts w:ascii="Times New Roman" w:hAnsi="Times New Roman"/>
          <w:sz w:val="20"/>
        </w:rPr>
        <w:t xml:space="preserve">If the filing person has previously filed a statement on Schedule 13G to report the acquisition that is the subject of this Schedule 13D, and is filing this schedule because of §§240.13d-1(e), 240.13d-1(f) or 240.13d-1(g), check the following box.  ☐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rFonts w:ascii="Times New Roman" w:hAnsi="Times New Roman"/>
          <w:sz w:val="20"/>
        </w:rPr>
      </w:pPr>
      <w:r>
        <w:rPr>
          <w:rFonts w:ascii="Times New Roman" w:hAnsi="Times New Roman"/>
          <w:b/>
          <w:sz w:val="20"/>
        </w:rPr>
        <w:t>Note</w:t>
      </w:r>
      <w:r>
        <w:rPr>
          <w:rFonts w:ascii="Times New Roman" w:hAnsi="Times New Roman"/>
          <w:sz w:val="20"/>
        </w:rPr>
        <w:t xml:space="preserve">: Schedules filed in paper format shall include a signed original and five copies of the schedule, including all exhibits. See Rule 13d-7 for other parties to whom copies are to be sent. </w:t>
      </w:r>
    </w:p>
    <w:p>
      <w:pPr>
        <w:pStyle w:val="TextBody"/>
        <w:pBdr>
          <w:bottom w:val="single" w:sz="2" w:space="1" w:color="000000"/>
        </w:pBdr>
        <w:bidi w:val="0"/>
        <w:spacing w:lineRule="atLeast" w:line="142" w:before="0" w:after="40"/>
        <w:jc w:val="left"/>
        <w:rPr/>
      </w:pPr>
      <w:r>
        <w:rPr/>
        <w:t> </w:t>
      </w:r>
    </w:p>
    <w:p>
      <w:pPr>
        <w:pStyle w:val="TextBody"/>
        <w:bidi w:val="0"/>
        <w:spacing w:before="240" w:after="0"/>
        <w:jc w:val="left"/>
        <w:rPr>
          <w:rFonts w:ascii="Times New Roman" w:hAnsi="Times New Roman"/>
          <w:sz w:val="20"/>
        </w:rPr>
      </w:pPr>
      <w:r>
        <w:rPr>
          <w:rFonts w:ascii="Times New Roman" w:hAnsi="Times New Roman"/>
          <w:sz w:val="20"/>
        </w:rPr>
        <w:t xml:space="preserve">The remainder of this cover page shall be filled out for a reporting persons initial filing on this form with respect to the subject class of securities, and for any subsequent amendment containing information which would alter disclosures provided in a prior cover page. </w:t>
      </w:r>
    </w:p>
    <w:p>
      <w:pPr>
        <w:pStyle w:val="TextBody"/>
        <w:bidi w:val="0"/>
        <w:spacing w:before="240" w:after="0"/>
        <w:jc w:val="left"/>
        <w:rPr>
          <w:rFonts w:ascii="Times New Roman" w:hAnsi="Times New Roman"/>
          <w:sz w:val="20"/>
        </w:rPr>
      </w:pPr>
      <w:r>
        <w:rPr>
          <w:rFonts w:ascii="Times New Roman" w:hAnsi="Times New Roman"/>
          <w:sz w:val="20"/>
        </w:rPr>
        <w:t>The information required on the remainder of this cover page shall not be deemed to be filed for the purpose of Section 18 of the Securities Exchange Act of 1934 (</w:t>
      </w:r>
      <w:r>
        <w:rPr>
          <w:rFonts w:ascii="Times New Roman" w:hAnsi="Times New Roman"/>
          <w:sz w:val="20"/>
          <w:u w:val="single"/>
        </w:rPr>
        <w:t>Act</w:t>
      </w:r>
      <w:r>
        <w:rPr>
          <w:rFonts w:ascii="Times New Roman" w:hAnsi="Times New Roman"/>
          <w:sz w:val="20"/>
        </w:rPr>
        <w:t xml:space="preserve">) or otherwise subject to the liabilities of that section of the Act but shall be subject to all other provisions of the Act (however, see the Notes).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CUSIP No. G47048 106 </w:t>
      </w:r>
    </w:p>
    <w:p>
      <w:pPr>
        <w:pStyle w:val="TextBody"/>
        <w:bidi w:val="0"/>
        <w:spacing w:before="0" w:after="0"/>
        <w:jc w:val="left"/>
        <w:rPr/>
      </w:pPr>
      <w:r>
        <w:rPr/>
        <w:t> </w:t>
      </w:r>
    </w:p>
    <w:tbl>
      <w:tblPr>
        <w:tblW w:w="4950" w:type="pct"/>
        <w:jc w:val="left"/>
        <w:tblInd w:w="0" w:type="dxa"/>
        <w:tblLayout w:type="fixed"/>
        <w:tblCellMar>
          <w:top w:w="0" w:type="dxa"/>
          <w:left w:w="0" w:type="dxa"/>
          <w:bottom w:w="0" w:type="dxa"/>
          <w:right w:w="0" w:type="dxa"/>
        </w:tblCellMar>
      </w:tblPr>
      <w:tblGrid>
        <w:gridCol w:w="533"/>
        <w:gridCol w:w="129"/>
        <w:gridCol w:w="741"/>
        <w:gridCol w:w="307"/>
        <w:gridCol w:w="307"/>
        <w:gridCol w:w="307"/>
        <w:gridCol w:w="7778"/>
      </w:tblGrid>
      <w:tr>
        <w:trPr/>
        <w:tc>
          <w:tcPr>
            <w:tcW w:w="533"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sz w:val="4"/>
                <w:szCs w:val="4"/>
              </w:rPr>
            </w:pPr>
            <w:r>
              <w:rPr>
                <w:sz w:val="4"/>
                <w:szCs w:val="4"/>
              </w:rPr>
            </w:r>
          </w:p>
        </w:tc>
        <w:tc>
          <w:tcPr>
            <w:tcW w:w="7778" w:type="dxa"/>
            <w:tcBorders/>
            <w:vAlign w:val="center"/>
          </w:tcPr>
          <w:p>
            <w:pPr>
              <w:pStyle w:val="TableContents"/>
              <w:bidi w:val="0"/>
              <w:spacing w:before="0" w:after="283"/>
              <w:jc w:val="left"/>
              <w:rPr>
                <w:sz w:val="4"/>
                <w:szCs w:val="4"/>
              </w:rPr>
            </w:pPr>
            <w:r>
              <w:rPr>
                <w:sz w:val="4"/>
                <w:szCs w:val="4"/>
              </w:rPr>
            </w:r>
          </w:p>
        </w:tc>
      </w:tr>
      <w:tr>
        <w:trPr/>
        <w:tc>
          <w:tcPr>
            <w:tcW w:w="533"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1.  </w:t>
            </w:r>
          </w:p>
        </w:tc>
        <w:tc>
          <w:tcPr>
            <w:tcW w:w="12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440"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NAMES OF REPORTING PERSONS</w:t>
            </w:r>
          </w:p>
          <w:p>
            <w:pPr>
              <w:pStyle w:val="TableContents"/>
              <w:bidi w:val="0"/>
              <w:spacing w:before="0" w:after="0"/>
              <w:jc w:val="left"/>
              <w:rPr/>
            </w:pPr>
            <w:r>
              <w:rPr/>
              <w:t>  </w:t>
            </w:r>
            <w:r>
              <w:rPr>
                <w:rFonts w:ascii="Times New Roman" w:hAnsi="Times New Roman"/>
                <w:sz w:val="20"/>
              </w:rPr>
              <w:t>I.R.S. IDENTIFICATION NOS. OF ABOVE PERSONS (ENTITIES ONLY)</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Yang Xin</w:t>
            </w:r>
          </w:p>
        </w:tc>
      </w:tr>
      <w:tr>
        <w:trPr/>
        <w:tc>
          <w:tcPr>
            <w:tcW w:w="533"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2.</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40"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THE APPROPRIATE BOX IF A MEMBER OF A GROUP (see instructions)</w:t>
            </w:r>
          </w:p>
          <w:p>
            <w:pPr>
              <w:pStyle w:val="TableContents"/>
              <w:bidi w:val="0"/>
              <w:spacing w:before="0" w:after="0"/>
              <w:jc w:val="left"/>
              <w:rPr/>
            </w:pPr>
            <w:r>
              <w:rPr/>
              <w:t>  </w:t>
            </w:r>
            <w:r>
              <w:rPr>
                <w:rFonts w:ascii="Times New Roman" w:hAnsi="Times New Roman"/>
                <w:sz w:val="20"/>
              </w:rPr>
              <w:t>(a)  ☐        (b)  ☐</w:t>
            </w:r>
          </w:p>
          <w:p>
            <w:pPr>
              <w:pStyle w:val="TableContents"/>
              <w:bidi w:val="0"/>
              <w:spacing w:before="0" w:after="20"/>
              <w:jc w:val="left"/>
              <w:rPr/>
            </w:pPr>
            <w:r>
              <w:rPr/>
              <w:t> </w:t>
            </w:r>
          </w:p>
        </w:tc>
      </w:tr>
      <w:tr>
        <w:trPr/>
        <w:tc>
          <w:tcPr>
            <w:tcW w:w="533"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3.</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40"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SEC USE ONLY</w:t>
            </w:r>
          </w:p>
          <w:p>
            <w:pPr>
              <w:pStyle w:val="TableContents"/>
              <w:bidi w:val="0"/>
              <w:spacing w:before="0" w:after="20"/>
              <w:jc w:val="left"/>
              <w:rPr/>
            </w:pPr>
            <w:r>
              <w:rPr/>
              <w:t> </w:t>
            </w:r>
          </w:p>
        </w:tc>
      </w:tr>
      <w:tr>
        <w:trPr/>
        <w:tc>
          <w:tcPr>
            <w:tcW w:w="533"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4.</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40"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SOURCE OF FUNDS (see instructions)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OO</w:t>
            </w:r>
          </w:p>
        </w:tc>
      </w:tr>
      <w:tr>
        <w:trPr/>
        <w:tc>
          <w:tcPr>
            <w:tcW w:w="533"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5.</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40"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BOX IF DISCLOSURE OF LEGAL PROCEEDINGS IS REQUIRED PURSUANT TO ITEMS 2(d) or 2(e)</w:t>
            </w:r>
          </w:p>
          <w:p>
            <w:pPr>
              <w:pStyle w:val="TableContents"/>
              <w:bidi w:val="0"/>
              <w:spacing w:before="0" w:after="0"/>
              <w:jc w:val="left"/>
              <w:rPr/>
            </w:pPr>
            <w:r>
              <w:rPr/>
              <w:t> </w:t>
            </w:r>
          </w:p>
          <w:p>
            <w:pPr>
              <w:pStyle w:val="TableContents"/>
              <w:bidi w:val="0"/>
              <w:spacing w:before="0" w:after="20"/>
              <w:jc w:val="left"/>
              <w:rPr/>
            </w:pPr>
            <w:r>
              <w:rPr/>
              <w:t>  ☐</w:t>
            </w:r>
          </w:p>
        </w:tc>
      </w:tr>
      <w:tr>
        <w:trPr/>
        <w:tc>
          <w:tcPr>
            <w:tcW w:w="533"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6.</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40"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CITIZENSHIP OR PLACE OF ORGANIZATION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Peoples Republic of China</w:t>
            </w:r>
          </w:p>
        </w:tc>
      </w:tr>
    </w:tbl>
    <w:tbl>
      <w:tblPr>
        <w:tblW w:w="4950" w:type="pct"/>
        <w:jc w:val="left"/>
        <w:tblInd w:w="0" w:type="dxa"/>
        <w:tblLayout w:type="fixed"/>
        <w:tblCellMar>
          <w:top w:w="0" w:type="dxa"/>
          <w:left w:w="0" w:type="dxa"/>
          <w:bottom w:w="0" w:type="dxa"/>
          <w:right w:w="0" w:type="dxa"/>
        </w:tblCellMar>
      </w:tblPr>
      <w:tblGrid>
        <w:gridCol w:w="709"/>
        <w:gridCol w:w="484"/>
        <w:gridCol w:w="862"/>
        <w:gridCol w:w="177"/>
        <w:gridCol w:w="446"/>
        <w:gridCol w:w="126"/>
        <w:gridCol w:w="7298"/>
      </w:tblGrid>
      <w:tr>
        <w:trPr/>
        <w:tc>
          <w:tcPr>
            <w:tcW w:w="709" w:type="dxa"/>
            <w:tcBorders/>
            <w:vAlign w:val="center"/>
          </w:tcPr>
          <w:p>
            <w:pPr>
              <w:pStyle w:val="TableContents"/>
              <w:bidi w:val="0"/>
              <w:spacing w:before="0" w:after="283"/>
              <w:jc w:val="left"/>
              <w:rPr>
                <w:sz w:val="4"/>
                <w:szCs w:val="4"/>
              </w:rPr>
            </w:pPr>
            <w:r>
              <w:rPr>
                <w:sz w:val="4"/>
                <w:szCs w:val="4"/>
              </w:rPr>
            </w:r>
          </w:p>
        </w:tc>
        <w:tc>
          <w:tcPr>
            <w:tcW w:w="484" w:type="dxa"/>
            <w:tcBorders/>
            <w:vAlign w:val="bottom"/>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7298" w:type="dxa"/>
            <w:tcBorders/>
            <w:vAlign w:val="center"/>
          </w:tcPr>
          <w:p>
            <w:pPr>
              <w:pStyle w:val="TableContents"/>
              <w:bidi w:val="0"/>
              <w:spacing w:before="0" w:after="283"/>
              <w:jc w:val="left"/>
              <w:rPr>
                <w:sz w:val="4"/>
                <w:szCs w:val="4"/>
              </w:rPr>
            </w:pPr>
            <w:r>
              <w:rPr>
                <w:sz w:val="4"/>
                <w:szCs w:val="4"/>
              </w:rPr>
            </w:r>
          </w:p>
        </w:tc>
      </w:tr>
      <w:tr>
        <w:trPr/>
        <w:tc>
          <w:tcPr>
            <w:tcW w:w="2055" w:type="dxa"/>
            <w:gridSpan w:val="3"/>
            <w:vMerge w:val="restart"/>
            <w:tcBorders>
              <w:left w:val="single" w:sz="2" w:space="0" w:color="000000"/>
            </w:tcBorders>
            <w:tcMar>
              <w:left w:w="16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NUMBER OF</w:t>
            </w:r>
          </w:p>
          <w:p>
            <w:pPr>
              <w:pStyle w:val="TableContents"/>
              <w:bidi w:val="0"/>
              <w:spacing w:before="0" w:after="0"/>
              <w:jc w:val="center"/>
              <w:rPr>
                <w:rFonts w:ascii="Times New Roman" w:hAnsi="Times New Roman"/>
                <w:sz w:val="20"/>
              </w:rPr>
            </w:pPr>
            <w:r>
              <w:rPr>
                <w:rFonts w:ascii="Times New Roman" w:hAnsi="Times New Roman"/>
                <w:sz w:val="20"/>
              </w:rPr>
              <w:t>SHARES</w:t>
            </w:r>
          </w:p>
          <w:p>
            <w:pPr>
              <w:pStyle w:val="TableContents"/>
              <w:bidi w:val="0"/>
              <w:spacing w:before="0" w:after="0"/>
              <w:jc w:val="center"/>
              <w:rPr>
                <w:rFonts w:ascii="Times New Roman" w:hAnsi="Times New Roman"/>
                <w:sz w:val="20"/>
              </w:rPr>
            </w:pPr>
            <w:r>
              <w:rPr>
                <w:rFonts w:ascii="Times New Roman" w:hAnsi="Times New Roman"/>
                <w:sz w:val="20"/>
              </w:rPr>
              <w:t>BENEFICIALLY </w:t>
            </w:r>
          </w:p>
          <w:p>
            <w:pPr>
              <w:pStyle w:val="TableContents"/>
              <w:bidi w:val="0"/>
              <w:spacing w:before="0" w:after="0"/>
              <w:jc w:val="center"/>
              <w:rPr>
                <w:rFonts w:ascii="Times New Roman" w:hAnsi="Times New Roman"/>
                <w:sz w:val="20"/>
              </w:rPr>
            </w:pPr>
            <w:r>
              <w:rPr>
                <w:rFonts w:ascii="Times New Roman" w:hAnsi="Times New Roman"/>
                <w:sz w:val="20"/>
              </w:rPr>
              <w:t>OWNED BY</w:t>
            </w:r>
          </w:p>
          <w:p>
            <w:pPr>
              <w:pStyle w:val="TableContents"/>
              <w:bidi w:val="0"/>
              <w:spacing w:before="0" w:after="0"/>
              <w:jc w:val="center"/>
              <w:rPr>
                <w:rFonts w:ascii="Times New Roman" w:hAnsi="Times New Roman"/>
                <w:sz w:val="20"/>
              </w:rPr>
            </w:pPr>
            <w:r>
              <w:rPr>
                <w:rFonts w:ascii="Times New Roman" w:hAnsi="Times New Roman"/>
                <w:sz w:val="20"/>
              </w:rPr>
              <w:t>EACH</w:t>
            </w:r>
          </w:p>
          <w:p>
            <w:pPr>
              <w:pStyle w:val="TableContents"/>
              <w:bidi w:val="0"/>
              <w:spacing w:before="0" w:after="0"/>
              <w:jc w:val="center"/>
              <w:rPr>
                <w:rFonts w:ascii="Times New Roman" w:hAnsi="Times New Roman"/>
                <w:sz w:val="20"/>
              </w:rPr>
            </w:pPr>
            <w:r>
              <w:rPr>
                <w:rFonts w:ascii="Times New Roman" w:hAnsi="Times New Roman"/>
                <w:sz w:val="20"/>
              </w:rPr>
              <w:t>REPORTING</w:t>
            </w:r>
          </w:p>
          <w:p>
            <w:pPr>
              <w:pStyle w:val="TableContents"/>
              <w:bidi w:val="0"/>
              <w:spacing w:before="0" w:after="0"/>
              <w:jc w:val="center"/>
              <w:rPr>
                <w:rFonts w:ascii="Times New Roman" w:hAnsi="Times New Roman"/>
                <w:sz w:val="20"/>
              </w:rPr>
            </w:pPr>
            <w:r>
              <w:rPr>
                <w:rFonts w:ascii="Times New Roman" w:hAnsi="Times New Roman"/>
                <w:sz w:val="20"/>
              </w:rPr>
              <w:t>PERSON</w:t>
            </w:r>
          </w:p>
          <w:p>
            <w:pPr>
              <w:pStyle w:val="TableContents"/>
              <w:bidi w:val="0"/>
              <w:spacing w:before="0" w:after="0"/>
              <w:jc w:val="center"/>
              <w:rPr>
                <w:rFonts w:ascii="Times New Roman" w:hAnsi="Times New Roman"/>
                <w:sz w:val="20"/>
              </w:rPr>
            </w:pPr>
            <w:r>
              <w:rPr>
                <w:rFonts w:ascii="Times New Roman" w:hAnsi="Times New Roman"/>
                <w:sz w:val="20"/>
              </w:rPr>
              <w:t>WITH</w:t>
            </w:r>
          </w:p>
          <w:p>
            <w:pPr>
              <w:pStyle w:val="TableContents"/>
              <w:bidi w:val="0"/>
              <w:spacing w:before="0" w:after="20"/>
              <w:jc w:val="left"/>
              <w:rPr/>
            </w:pPr>
            <w:r>
              <w:rPr/>
              <w:t> </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46" w:type="dxa"/>
            <w:tcBorders>
              <w:bottom w:val="single" w:sz="2" w:space="0" w:color="000000"/>
            </w:tcBorders>
            <w:tcMar>
              <w:bottom w:w="28" w:type="dxa"/>
            </w:tcMar>
          </w:tcPr>
          <w:p>
            <w:pPr>
              <w:pStyle w:val="TableContents"/>
              <w:bidi w:val="0"/>
              <w:spacing w:before="0" w:after="283"/>
              <w:jc w:val="left"/>
              <w:rPr/>
            </w:pPr>
            <w:r>
              <w:rPr/>
              <w:t>  </w:t>
            </w:r>
            <w:r>
              <w:rPr/>
              <w:t>7.  </w:t>
            </w:r>
          </w:p>
        </w:tc>
        <w:tc>
          <w:tcPr>
            <w:tcW w:w="12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298"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206,680 (1)</w:t>
            </w:r>
          </w:p>
        </w:tc>
      </w:tr>
      <w:tr>
        <w:trPr/>
        <w:tc>
          <w:tcPr>
            <w:tcW w:w="2055"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46" w:type="dxa"/>
            <w:tcBorders>
              <w:bottom w:val="single" w:sz="2" w:space="0" w:color="000000"/>
            </w:tcBorders>
            <w:tcMar>
              <w:bottom w:w="28" w:type="dxa"/>
            </w:tcMar>
          </w:tcPr>
          <w:p>
            <w:pPr>
              <w:pStyle w:val="TableContents"/>
              <w:bidi w:val="0"/>
              <w:spacing w:before="0" w:after="283"/>
              <w:jc w:val="left"/>
              <w:rPr/>
            </w:pPr>
            <w:r>
              <w:rPr/>
              <w:t>  </w:t>
            </w:r>
            <w:r>
              <w:rPr/>
              <w:t>8.</w:t>
            </w:r>
          </w:p>
        </w:tc>
        <w:tc>
          <w:tcPr>
            <w:tcW w:w="12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298"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SHARED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2055"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46" w:type="dxa"/>
            <w:tcBorders>
              <w:bottom w:val="single" w:sz="2" w:space="0" w:color="000000"/>
            </w:tcBorders>
            <w:tcMar>
              <w:bottom w:w="28" w:type="dxa"/>
            </w:tcMar>
          </w:tcPr>
          <w:p>
            <w:pPr>
              <w:pStyle w:val="TableContents"/>
              <w:bidi w:val="0"/>
              <w:spacing w:before="0" w:after="283"/>
              <w:jc w:val="left"/>
              <w:rPr/>
            </w:pPr>
            <w:r>
              <w:rPr/>
              <w:t>  </w:t>
            </w:r>
            <w:r>
              <w:rPr/>
              <w:t>9.</w:t>
            </w:r>
          </w:p>
        </w:tc>
        <w:tc>
          <w:tcPr>
            <w:tcW w:w="12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298"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206,680 (1)</w:t>
            </w:r>
          </w:p>
        </w:tc>
      </w:tr>
      <w:tr>
        <w:trPr/>
        <w:tc>
          <w:tcPr>
            <w:tcW w:w="2055"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tcBorders>
            <w:tcMar>
              <w:left w:w="28" w:type="dxa"/>
            </w:tcMar>
            <w:vAlign w:val="bottom"/>
          </w:tcPr>
          <w:p>
            <w:pPr>
              <w:pStyle w:val="TableContents"/>
              <w:bidi w:val="0"/>
              <w:spacing w:before="0" w:after="283"/>
              <w:jc w:val="left"/>
              <w:rPr/>
            </w:pPr>
            <w:r>
              <w:rPr/>
              <w:t>  </w:t>
            </w:r>
          </w:p>
        </w:tc>
        <w:tc>
          <w:tcPr>
            <w:tcW w:w="446" w:type="dxa"/>
            <w:tcBorders/>
          </w:tcPr>
          <w:p>
            <w:pPr>
              <w:pStyle w:val="TableContents"/>
              <w:bidi w:val="0"/>
              <w:spacing w:before="0" w:after="283"/>
              <w:jc w:val="left"/>
              <w:rPr/>
            </w:pPr>
            <w:r>
              <w:rPr/>
              <w:t>10.</w:t>
            </w:r>
          </w:p>
        </w:tc>
        <w:tc>
          <w:tcPr>
            <w:tcW w:w="126" w:type="dxa"/>
            <w:tcBorders>
              <w:left w:val="single" w:sz="2" w:space="0" w:color="000000"/>
            </w:tcBorders>
            <w:tcMar>
              <w:left w:w="28" w:type="dxa"/>
            </w:tcMar>
            <w:vAlign w:val="bottom"/>
          </w:tcPr>
          <w:p>
            <w:pPr>
              <w:pStyle w:val="TableContents"/>
              <w:bidi w:val="0"/>
              <w:spacing w:before="0" w:after="283"/>
              <w:jc w:val="left"/>
              <w:rPr/>
            </w:pPr>
            <w:r>
              <w:rPr/>
              <w:t> </w:t>
            </w:r>
          </w:p>
        </w:tc>
        <w:tc>
          <w:tcPr>
            <w:tcW w:w="7298" w:type="dxa"/>
            <w:tcBorders>
              <w:right w:val="single" w:sz="2" w:space="0" w:color="000000"/>
            </w:tcBorders>
            <w:tcMar>
              <w:right w:w="40" w:type="dxa"/>
            </w:tcMar>
          </w:tcPr>
          <w:p>
            <w:pPr>
              <w:pStyle w:val="TableContents"/>
              <w:bidi w:val="0"/>
              <w:spacing w:before="0" w:after="0"/>
              <w:jc w:val="left"/>
              <w:rPr/>
            </w:pPr>
            <w:r>
              <w:rPr/>
              <w:t>  </w:t>
            </w:r>
            <w:r>
              <w:rPr>
                <w:rFonts w:ascii="Times New Roman" w:hAnsi="Times New Roman"/>
                <w:sz w:val="20"/>
              </w:rPr>
              <w:t>SHARED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bl>
    <w:tbl>
      <w:tblPr>
        <w:tblW w:w="4950" w:type="pct"/>
        <w:jc w:val="left"/>
        <w:tblInd w:w="0" w:type="dxa"/>
        <w:tblLayout w:type="fixed"/>
        <w:tblCellMar>
          <w:top w:w="0" w:type="dxa"/>
          <w:left w:w="0" w:type="dxa"/>
          <w:bottom w:w="0" w:type="dxa"/>
          <w:right w:w="0" w:type="dxa"/>
        </w:tblCellMar>
      </w:tblPr>
      <w:tblGrid>
        <w:gridCol w:w="531"/>
        <w:gridCol w:w="129"/>
        <w:gridCol w:w="723"/>
        <w:gridCol w:w="281"/>
        <w:gridCol w:w="280"/>
        <w:gridCol w:w="281"/>
        <w:gridCol w:w="7877"/>
      </w:tblGrid>
      <w:tr>
        <w:trPr/>
        <w:tc>
          <w:tcPr>
            <w:tcW w:w="531"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c>
          <w:tcPr>
            <w:tcW w:w="7877" w:type="dxa"/>
            <w:tcBorders/>
            <w:vAlign w:val="center"/>
          </w:tcPr>
          <w:p>
            <w:pPr>
              <w:pStyle w:val="TableContents"/>
              <w:bidi w:val="0"/>
              <w:spacing w:before="0" w:after="283"/>
              <w:jc w:val="left"/>
              <w:rPr>
                <w:sz w:val="4"/>
                <w:szCs w:val="4"/>
              </w:rPr>
            </w:pPr>
            <w:r>
              <w:rPr>
                <w:sz w:val="4"/>
                <w:szCs w:val="4"/>
              </w:rPr>
            </w:r>
          </w:p>
        </w:tc>
      </w:tr>
      <w:tr>
        <w:trPr/>
        <w:tc>
          <w:tcPr>
            <w:tcW w:w="531"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11.  </w:t>
            </w:r>
          </w:p>
        </w:tc>
        <w:tc>
          <w:tcPr>
            <w:tcW w:w="12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442"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AGGREGATE AMOUNT BENEFICIALLY OWNED BY EACH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206,680</w:t>
            </w:r>
          </w:p>
        </w:tc>
      </w:tr>
      <w:tr>
        <w:trPr/>
        <w:tc>
          <w:tcPr>
            <w:tcW w:w="531"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12.</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4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BOX IF THE AGGREGATE AMOUNT IN ROW (11) EXCLUDES CERTAIN SHARES (see instructions)</w:t>
            </w:r>
          </w:p>
          <w:p>
            <w:pPr>
              <w:pStyle w:val="TableContents"/>
              <w:bidi w:val="0"/>
              <w:spacing w:before="0" w:after="0"/>
              <w:jc w:val="left"/>
              <w:rPr/>
            </w:pPr>
            <w:r>
              <w:rPr/>
              <w:t> </w:t>
            </w:r>
          </w:p>
          <w:p>
            <w:pPr>
              <w:pStyle w:val="TableContents"/>
              <w:bidi w:val="0"/>
              <w:spacing w:before="0" w:after="20"/>
              <w:jc w:val="left"/>
              <w:rPr/>
            </w:pPr>
            <w:r>
              <w:rPr/>
              <w:t>  ☐</w:t>
            </w:r>
          </w:p>
        </w:tc>
      </w:tr>
      <w:tr>
        <w:trPr/>
        <w:tc>
          <w:tcPr>
            <w:tcW w:w="531"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13.</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4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PERCENT OF CLASS REPRESENTED BY AMOUNT IN ROW (11)</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0.46%(2)</w:t>
            </w:r>
          </w:p>
        </w:tc>
      </w:tr>
      <w:tr>
        <w:trPr/>
        <w:tc>
          <w:tcPr>
            <w:tcW w:w="531"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14.</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4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TYPE OF REPORTING PERSON (see instructions)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IN</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Comprises (i) 110,195 Class A Ordinary Shares; and (ii) 96,485 Class A Ordinary Shares that are issuable upon exercise of options, held by the Reporting Person. Does not include 100,000 Class A Ordinary Shares that are issuable upon vesting of restricted stock units held by the Reporting Person that cannot vest within 60 days.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The percent ownership calculation assumes that there is a total of 44,573,841 Class A Ordinary Shares outstanding, which includes: (i) the 44,477,356 Class A Ordinary Shares outstanding as of November 24, 2023 as specified in the Merger Agreement (as defined herein) filed by the Issuer with the U.S. Securities and Exchange Commission (the </w:t>
            </w:r>
            <w:r>
              <w:rPr>
                <w:rFonts w:ascii="Times New Roman" w:hAnsi="Times New Roman"/>
                <w:sz w:val="20"/>
                <w:u w:val="single"/>
              </w:rPr>
              <w:t>SEC</w:t>
            </w:r>
            <w:r>
              <w:rPr>
                <w:rFonts w:ascii="Times New Roman" w:hAnsi="Times New Roman"/>
                <w:sz w:val="20"/>
              </w:rPr>
              <w:t xml:space="preserve">) on November 24, 2023; and (ii) 96,485 Class A Ordinary Shares that are issuable upon exercise of options held by the Reporting Person.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1. Security and Issuer. </w:t>
      </w:r>
    </w:p>
    <w:p>
      <w:pPr>
        <w:pStyle w:val="TextBody"/>
        <w:bidi w:val="0"/>
        <w:spacing w:before="120" w:after="0"/>
        <w:jc w:val="left"/>
        <w:rPr>
          <w:rFonts w:ascii="Times New Roman" w:hAnsi="Times New Roman"/>
          <w:sz w:val="20"/>
        </w:rPr>
      </w:pPr>
      <w:r>
        <w:rPr>
          <w:rFonts w:ascii="Times New Roman" w:hAnsi="Times New Roman"/>
          <w:sz w:val="20"/>
        </w:rPr>
        <w:t>This Schedule 13D (this </w:t>
      </w:r>
      <w:r>
        <w:rPr>
          <w:rFonts w:ascii="Times New Roman" w:hAnsi="Times New Roman"/>
          <w:sz w:val="20"/>
          <w:u w:val="single"/>
        </w:rPr>
        <w:t>Schedule 13D</w:t>
      </w:r>
      <w:r>
        <w:rPr>
          <w:rFonts w:ascii="Times New Roman" w:hAnsi="Times New Roman"/>
          <w:sz w:val="20"/>
        </w:rPr>
        <w:t>) relates to Class A Ordinary Shares, par value of $0.001 per share (the </w:t>
      </w:r>
      <w:r>
        <w:rPr>
          <w:rFonts w:ascii="Times New Roman" w:hAnsi="Times New Roman"/>
          <w:sz w:val="20"/>
          <w:u w:val="single"/>
        </w:rPr>
        <w:t>Class A Ordinary Shares</w:t>
      </w:r>
      <w:r>
        <w:rPr>
          <w:rFonts w:ascii="Times New Roman" w:hAnsi="Times New Roman"/>
          <w:sz w:val="20"/>
        </w:rPr>
        <w:t>) of iClick Interactive Asia Group Limited, a company incorporated in the Cayman Islands (the </w:t>
      </w:r>
      <w:r>
        <w:rPr>
          <w:rFonts w:ascii="Times New Roman" w:hAnsi="Times New Roman"/>
          <w:sz w:val="20"/>
          <w:u w:val="single"/>
        </w:rPr>
        <w:t>Issuer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Issuers ordinary shares consist of Class A Ordinary Shares and Class B ordinary shares, par value of $0.001 per share (the </w:t>
      </w:r>
      <w:r>
        <w:rPr>
          <w:rFonts w:ascii="Times New Roman" w:hAnsi="Times New Roman"/>
          <w:sz w:val="20"/>
          <w:u w:val="single"/>
        </w:rPr>
        <w:t>Class B Ordinary Shares</w:t>
      </w:r>
      <w:r>
        <w:rPr>
          <w:rFonts w:ascii="Times New Roman" w:hAnsi="Times New Roman"/>
          <w:sz w:val="20"/>
        </w:rPr>
        <w:t>, together with the Class A Ordinary Shares, the </w:t>
      </w:r>
      <w:r>
        <w:rPr>
          <w:rFonts w:ascii="Times New Roman" w:hAnsi="Times New Roman"/>
          <w:sz w:val="20"/>
          <w:u w:val="single"/>
        </w:rPr>
        <w:t>Ordinary Shares</w:t>
      </w:r>
      <w:r>
        <w:rPr>
          <w:rFonts w:ascii="Times New Roman" w:hAnsi="Times New Roman"/>
          <w:sz w:val="20"/>
        </w:rPr>
        <w:t xml:space="preserve">). The rights of the holders of Class A Ordinary Shares and Class B Ordinary Shares are identical, except with respect to conversion rights and voting rights. Each Class B Ordinary Share is convertible at the option of the holder at any time into one Class A Ordinary Share. Each Class B Ordinary Share is entitled to twenty (20) votes per share, whereas each Class A Ordinary Share is entitled to one (1) vote per share. </w:t>
      </w:r>
    </w:p>
    <w:p>
      <w:pPr>
        <w:pStyle w:val="TextBody"/>
        <w:bidi w:val="0"/>
        <w:spacing w:before="240" w:after="0"/>
        <w:jc w:val="left"/>
        <w:rPr>
          <w:rFonts w:ascii="Times New Roman" w:hAnsi="Times New Roman"/>
          <w:sz w:val="20"/>
        </w:rPr>
      </w:pPr>
      <w:r>
        <w:rPr>
          <w:rFonts w:ascii="Times New Roman" w:hAnsi="Times New Roman"/>
          <w:sz w:val="20"/>
        </w:rPr>
        <w:t>The Issuers American Depositary Shares (the </w:t>
      </w:r>
      <w:r>
        <w:rPr>
          <w:rFonts w:ascii="Times New Roman" w:hAnsi="Times New Roman"/>
          <w:sz w:val="20"/>
          <w:u w:val="single"/>
        </w:rPr>
        <w:t>ADSs</w:t>
      </w:r>
      <w:r>
        <w:rPr>
          <w:rFonts w:ascii="Times New Roman" w:hAnsi="Times New Roman"/>
          <w:sz w:val="20"/>
        </w:rPr>
        <w:t xml:space="preserve">) (one representing five Class A Ordinary Shares) are listed on the NASDAQ Global Market under the symbol ICLK. </w:t>
      </w:r>
    </w:p>
    <w:p>
      <w:pPr>
        <w:pStyle w:val="TextBody"/>
        <w:bidi w:val="0"/>
        <w:spacing w:before="240" w:after="0"/>
        <w:jc w:val="left"/>
        <w:rPr>
          <w:rFonts w:ascii="Times New Roman" w:hAnsi="Times New Roman"/>
          <w:sz w:val="20"/>
        </w:rPr>
      </w:pPr>
      <w:r>
        <w:rPr>
          <w:rFonts w:ascii="Times New Roman" w:hAnsi="Times New Roman"/>
          <w:sz w:val="20"/>
        </w:rPr>
        <w:t xml:space="preserve">The Issuers principal executive office is located at 15/F, Prosperity Millennia Plaza, 663 Kings Road, Quarry Bay, Hong Kong S.A.R. </w:t>
      </w:r>
    </w:p>
    <w:p>
      <w:pPr>
        <w:pStyle w:val="TextBody"/>
        <w:bidi w:val="0"/>
        <w:spacing w:before="360" w:after="0"/>
        <w:jc w:val="left"/>
        <w:rPr>
          <w:rFonts w:ascii="Times New Roman" w:hAnsi="Times New Roman"/>
          <w:b/>
          <w:sz w:val="20"/>
        </w:rPr>
      </w:pPr>
      <w:r>
        <w:rPr>
          <w:rFonts w:ascii="Times New Roman" w:hAnsi="Times New Roman"/>
          <w:b/>
          <w:sz w:val="20"/>
        </w:rPr>
        <w:t xml:space="preserve">Item 2. Identity and Background. </w:t>
      </w:r>
    </w:p>
    <w:p>
      <w:pPr>
        <w:pStyle w:val="TextBody"/>
        <w:bidi w:val="0"/>
        <w:spacing w:before="120" w:after="0"/>
        <w:jc w:val="left"/>
        <w:rPr>
          <w:rFonts w:ascii="Times New Roman" w:hAnsi="Times New Roman"/>
          <w:b/>
          <w:sz w:val="20"/>
        </w:rPr>
      </w:pPr>
      <w:r>
        <w:rPr>
          <w:rFonts w:ascii="Times New Roman" w:hAnsi="Times New Roman"/>
          <w:b/>
          <w:sz w:val="20"/>
        </w:rPr>
        <w:t xml:space="preserve">(a)  (c), (f) </w:t>
      </w:r>
    </w:p>
    <w:p>
      <w:pPr>
        <w:pStyle w:val="TextBody"/>
        <w:bidi w:val="0"/>
        <w:spacing w:before="120" w:after="0"/>
        <w:jc w:val="left"/>
        <w:rPr>
          <w:rFonts w:ascii="Times New Roman" w:hAnsi="Times New Roman"/>
          <w:sz w:val="20"/>
        </w:rPr>
      </w:pPr>
      <w:r>
        <w:rPr>
          <w:rFonts w:ascii="Times New Roman" w:hAnsi="Times New Roman"/>
          <w:sz w:val="20"/>
        </w:rPr>
        <w:t>This Schedule 13D is being filed by Yang Xin (the </w:t>
      </w:r>
      <w:r>
        <w:rPr>
          <w:rFonts w:ascii="Times New Roman" w:hAnsi="Times New Roman"/>
          <w:sz w:val="20"/>
          <w:u w:val="single"/>
        </w:rPr>
        <w:t>Reporting Person</w:t>
      </w:r>
      <w:r>
        <w:rPr>
          <w:rFonts w:ascii="Times New Roman" w:hAnsi="Times New Roman"/>
          <w:sz w:val="20"/>
        </w:rPr>
        <w:t xml:space="preserve">) and is being filed because the Reporting Person may be deemed to have a formed a group with certain other persons, as described in Item 4 herein. </w:t>
      </w:r>
    </w:p>
    <w:p>
      <w:pPr>
        <w:pStyle w:val="TextBody"/>
        <w:bidi w:val="0"/>
        <w:spacing w:before="240" w:after="0"/>
        <w:jc w:val="left"/>
        <w:rPr>
          <w:rFonts w:ascii="Times New Roman" w:hAnsi="Times New Roman"/>
          <w:sz w:val="20"/>
        </w:rPr>
      </w:pPr>
      <w:r>
        <w:rPr>
          <w:rFonts w:ascii="Times New Roman" w:hAnsi="Times New Roman"/>
          <w:sz w:val="20"/>
        </w:rPr>
        <w:t xml:space="preserve">The Reporting Person is the Senior Vice President of Operations for the Issuer. The Reporting Person is a citizen of the Peoples Republic of China and has a business address of 7/F, Building 19, Phoenix Park, 1515 Gumei Road, Xuhui District, Shanghai, Peoples Republic of China. </w:t>
      </w:r>
    </w:p>
    <w:p>
      <w:pPr>
        <w:pStyle w:val="TextBody"/>
        <w:bidi w:val="0"/>
        <w:spacing w:before="240" w:after="0"/>
        <w:jc w:val="left"/>
        <w:rPr>
          <w:rFonts w:ascii="Times New Roman" w:hAnsi="Times New Roman"/>
          <w:sz w:val="20"/>
        </w:rPr>
      </w:pPr>
      <w:r>
        <w:rPr>
          <w:rFonts w:ascii="Times New Roman" w:hAnsi="Times New Roman"/>
          <w:sz w:val="20"/>
        </w:rPr>
        <w:t xml:space="preserve">Except as expressly otherwise stated herein, the Reporting Person expressly disclaims beneficial ownership for all purposes of the Ordinary Shares (including Ordinary Shares represented by ADSs) beneficially owned by any other person (including any other Rollover Shareholder, as defined in Item 4). Information with respect to the Reporting Person is given solely by such Reporting Person, and the Reporting Person does not assume responsibility for the accuracy or completeness of the information concerning any other person. </w:t>
      </w:r>
    </w:p>
    <w:p>
      <w:pPr>
        <w:pStyle w:val="TextBody"/>
        <w:bidi w:val="0"/>
        <w:spacing w:before="360" w:after="0"/>
        <w:jc w:val="left"/>
        <w:rPr>
          <w:rFonts w:ascii="Times New Roman" w:hAnsi="Times New Roman"/>
          <w:b/>
          <w:sz w:val="20"/>
        </w:rPr>
      </w:pPr>
      <w:r>
        <w:rPr>
          <w:rFonts w:ascii="Times New Roman" w:hAnsi="Times New Roman"/>
          <w:b/>
          <w:sz w:val="20"/>
        </w:rPr>
        <w:t xml:space="preserve">(d)  (e) </w:t>
      </w:r>
    </w:p>
    <w:p>
      <w:pPr>
        <w:pStyle w:val="TextBody"/>
        <w:bidi w:val="0"/>
        <w:spacing w:before="120" w:after="0"/>
        <w:jc w:val="left"/>
        <w:rPr>
          <w:rFonts w:ascii="Times New Roman" w:hAnsi="Times New Roman"/>
          <w:sz w:val="20"/>
        </w:rPr>
      </w:pPr>
      <w:r>
        <w:rPr>
          <w:rFonts w:ascii="Times New Roman" w:hAnsi="Times New Roman"/>
          <w:sz w:val="20"/>
        </w:rPr>
        <w:t>During the last five years the Reporting Person has not: (i) been convicted in a criminal proceeding (excluding traffic violations or similar misdemeanors), or (ii)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pStyle w:val="TextBody"/>
        <w:bidi w:val="0"/>
        <w:spacing w:before="360" w:after="0"/>
        <w:jc w:val="left"/>
        <w:rPr>
          <w:rFonts w:ascii="Times New Roman" w:hAnsi="Times New Roman"/>
          <w:b/>
          <w:sz w:val="20"/>
        </w:rPr>
      </w:pPr>
      <w:r>
        <w:rPr>
          <w:rFonts w:ascii="Times New Roman" w:hAnsi="Times New Roman"/>
          <w:b/>
          <w:sz w:val="20"/>
        </w:rPr>
        <w:t>Item 3. Source and Amount of Funds or Other Consideration.</w:t>
      </w:r>
    </w:p>
    <w:p>
      <w:pPr>
        <w:pStyle w:val="TextBody"/>
        <w:bidi w:val="0"/>
        <w:spacing w:before="120" w:after="0"/>
        <w:jc w:val="left"/>
        <w:rPr>
          <w:rFonts w:ascii="Times New Roman" w:hAnsi="Times New Roman"/>
          <w:sz w:val="20"/>
        </w:rPr>
      </w:pPr>
      <w:r>
        <w:rPr>
          <w:rFonts w:ascii="Times New Roman" w:hAnsi="Times New Roman"/>
          <w:sz w:val="20"/>
        </w:rPr>
        <w:t xml:space="preserve">The information set forth in Item 4 of this Schedule 13D is incorporated herein by reference in its entirety.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4. Purpose of Transaction. </w:t>
      </w:r>
    </w:p>
    <w:p>
      <w:pPr>
        <w:pStyle w:val="TextBody"/>
        <w:bidi w:val="0"/>
        <w:spacing w:before="120" w:after="0"/>
        <w:jc w:val="left"/>
        <w:rPr>
          <w:rFonts w:ascii="Times New Roman" w:hAnsi="Times New Roman"/>
          <w:sz w:val="20"/>
        </w:rPr>
      </w:pPr>
      <w:r>
        <w:rPr>
          <w:rFonts w:ascii="Times New Roman" w:hAnsi="Times New Roman"/>
          <w:sz w:val="20"/>
        </w:rPr>
        <w:t>On November 24, 2023, the Issuer announced in a press release that it had entered into an Agreement and Plan of Merger (the </w:t>
      </w:r>
      <w:r>
        <w:rPr>
          <w:rFonts w:ascii="Times New Roman" w:hAnsi="Times New Roman"/>
          <w:sz w:val="20"/>
          <w:u w:val="single"/>
        </w:rPr>
        <w:t>Merger Agreement</w:t>
      </w:r>
      <w:r>
        <w:rPr>
          <w:rFonts w:ascii="Times New Roman" w:hAnsi="Times New Roman"/>
          <w:sz w:val="20"/>
        </w:rPr>
        <w:t>) with TSH Investment Holding Limited, an exempted company with limited liability incorporated under the laws of the Cayman Islands (</w:t>
      </w:r>
      <w:r>
        <w:rPr>
          <w:rFonts w:ascii="Times New Roman" w:hAnsi="Times New Roman"/>
          <w:sz w:val="20"/>
          <w:u w:val="single"/>
        </w:rPr>
        <w:t>Parent</w:t>
      </w:r>
      <w:r>
        <w:rPr>
          <w:rFonts w:ascii="Times New Roman" w:hAnsi="Times New Roman"/>
          <w:sz w:val="20"/>
        </w:rPr>
        <w:t>) and TSH Merger Sub Limited, an exempted company with limited liability incorporated under the laws of the Cayman Islands and a wholly-owned subsidiary of Parent (</w:t>
      </w:r>
      <w:r>
        <w:rPr>
          <w:rFonts w:ascii="Times New Roman" w:hAnsi="Times New Roman"/>
          <w:sz w:val="20"/>
          <w:u w:val="single"/>
        </w:rPr>
        <w:t>Merger Sub</w:t>
      </w:r>
      <w:r>
        <w:rPr>
          <w:rFonts w:ascii="Times New Roman" w:hAnsi="Times New Roman"/>
          <w:sz w:val="20"/>
        </w:rPr>
        <w:t>), pursuant to which, and subject to the terms and conditions thereof, Merger Sub will merge with and into the Issuer, with the Issuer continuing as the surviving company and becoming a wholly-owned subsidiary of Parent (the </w:t>
      </w:r>
      <w:r>
        <w:rPr>
          <w:rFonts w:ascii="Times New Roman" w:hAnsi="Times New Roman"/>
          <w:sz w:val="20"/>
          <w:u w:val="single"/>
        </w:rPr>
        <w:t>Merger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Concurrently with the execution of the Merger Agreement, Parent, the Reporting Person and the other shareholders party thereto (collectively with the Reporting Person, the </w:t>
      </w:r>
      <w:r>
        <w:rPr>
          <w:rFonts w:ascii="Times New Roman" w:hAnsi="Times New Roman"/>
          <w:sz w:val="20"/>
          <w:u w:val="single"/>
        </w:rPr>
        <w:t>Rollover Shareholders</w:t>
      </w:r>
      <w:r>
        <w:rPr>
          <w:rFonts w:ascii="Times New Roman" w:hAnsi="Times New Roman"/>
          <w:sz w:val="20"/>
        </w:rPr>
        <w:t>) executed a support agreement (the </w:t>
      </w:r>
      <w:r>
        <w:rPr>
          <w:rFonts w:ascii="Times New Roman" w:hAnsi="Times New Roman"/>
          <w:sz w:val="20"/>
          <w:u w:val="single"/>
        </w:rPr>
        <w:t>Support Agreement</w:t>
      </w:r>
      <w:r>
        <w:rPr>
          <w:rFonts w:ascii="Times New Roman" w:hAnsi="Times New Roman"/>
          <w:sz w:val="20"/>
        </w:rPr>
        <w:t>), pursuant to which, each of the Rollover Shareholders has agreed to, subject to the terms and conditions set forth therein and among other obligations, (i) the cancellation of the shares held by such Rollover Shareholders for no cash consideration, (ii) subscribe for newly issued ordinary shares of Parent immediately prior to the closing of the Merger, (iii) vote in favor of authorization and approval of the Merger Agreement and the transactions contemplated by the Merger Agreement (the </w:t>
      </w:r>
      <w:r>
        <w:rPr>
          <w:rFonts w:ascii="Times New Roman" w:hAnsi="Times New Roman"/>
          <w:sz w:val="20"/>
          <w:u w:val="single"/>
        </w:rPr>
        <w:t>Transactions</w:t>
      </w:r>
      <w:r>
        <w:rPr>
          <w:rFonts w:ascii="Times New Roman" w:hAnsi="Times New Roman"/>
          <w:sz w:val="20"/>
        </w:rPr>
        <w:t xml:space="preserve">), including the Merger; and (iv) against any proposals or actions inconsistent or interfering with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The purpose of the Transactions, including the Merger, is to acquire all of the shares of the Ordinary Shares held by shareholders of the Issuer other than the Rollover Shares. Following consummation of the Merger, the Issuer will become a wholly-owned subsidiary of the Parent. In addition, if the Merger is consummated, the Issuer will be privately-held by the other Rollover Shareholders and its ADSs will no longer be listed on the Nasdaq Global Market.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disclosed in this Item 4 does not purport to be complete and is qualified in its entirety by references to the Merger Agreement and the Support Agreement, a copy of each which is filed as Exhibits 99.1 and 99.2, respectively, and incorporated herein by reference in its entirety.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set forth in paragraph (a)  (c), (f) of Item 2 of this Schedule 13D is incorporated herein by reference in its entirety. </w:t>
      </w:r>
    </w:p>
    <w:p>
      <w:pPr>
        <w:pStyle w:val="TextBody"/>
        <w:bidi w:val="0"/>
        <w:spacing w:before="240" w:after="0"/>
        <w:jc w:val="left"/>
        <w:rPr>
          <w:rFonts w:ascii="Times New Roman" w:hAnsi="Times New Roman"/>
          <w:sz w:val="20"/>
        </w:rPr>
      </w:pPr>
      <w:r>
        <w:rPr>
          <w:rFonts w:ascii="Times New Roman" w:hAnsi="Times New Roman"/>
          <w:sz w:val="20"/>
        </w:rPr>
        <w:t xml:space="preserve">Except as described above, the Reporting Person has no plans or proposals which relate to or would result in any of the actions specified in paragraphs (a) through (j) of Item 4 of Schedule 13D. The Reporting Person may, at any time and from time to time, formulate other purposes, plans or proposals regarding the Issuer, or any other actions that could involve one or more of the types of transactions or have one or more of the results described in paragraphs (a) through (j) of Item 4 of Schedule 13D. </w:t>
      </w:r>
    </w:p>
    <w:p>
      <w:pPr>
        <w:pStyle w:val="TextBody"/>
        <w:bidi w:val="0"/>
        <w:spacing w:before="360" w:after="0"/>
        <w:jc w:val="left"/>
        <w:rPr>
          <w:rFonts w:ascii="Times New Roman" w:hAnsi="Times New Roman"/>
          <w:b/>
          <w:sz w:val="20"/>
        </w:rPr>
      </w:pPr>
      <w:r>
        <w:rPr>
          <w:rFonts w:ascii="Times New Roman" w:hAnsi="Times New Roman"/>
          <w:b/>
          <w:sz w:val="20"/>
        </w:rPr>
        <w:t xml:space="preserve">Item 5. Interest in Securities of the Issuer. </w:t>
      </w:r>
    </w:p>
    <w:p>
      <w:pPr>
        <w:pStyle w:val="TextBody"/>
        <w:bidi w:val="0"/>
        <w:spacing w:before="120" w:after="0"/>
        <w:jc w:val="left"/>
        <w:rPr>
          <w:rFonts w:ascii="Times New Roman" w:hAnsi="Times New Roman"/>
          <w:sz w:val="20"/>
        </w:rPr>
      </w:pPr>
      <w:r>
        <w:rPr>
          <w:rFonts w:ascii="Times New Roman" w:hAnsi="Times New Roman"/>
          <w:b/>
          <w:sz w:val="20"/>
        </w:rPr>
        <w:t xml:space="preserve">(a)  (b) </w:t>
      </w:r>
      <w:r>
        <w:rPr>
          <w:rFonts w:ascii="Times New Roman" w:hAnsi="Times New Roman"/>
          <w:sz w:val="20"/>
        </w:rPr>
        <w:t xml:space="preserve">The response of the Reporting Person to Rows (7) through (13), including the footnotes thereto, of the cover pages of this Schedule 13D are hereby incorporated by reference in this Item 5. </w:t>
      </w:r>
    </w:p>
    <w:p>
      <w:pPr>
        <w:pStyle w:val="TextBody"/>
        <w:bidi w:val="0"/>
        <w:spacing w:before="240" w:after="0"/>
        <w:jc w:val="left"/>
        <w:rPr>
          <w:rFonts w:ascii="Times New Roman" w:hAnsi="Times New Roman"/>
          <w:sz w:val="20"/>
        </w:rPr>
      </w:pPr>
      <w:r>
        <w:rPr>
          <w:rFonts w:ascii="Times New Roman" w:hAnsi="Times New Roman"/>
          <w:sz w:val="20"/>
        </w:rPr>
        <w:t xml:space="preserve">As a result of entering into the Support Agreement, the Reporting Person may be deemed to be the member of a group with the other Rollover Shareholders pursuant to Section 13(d) of the Exchange Act. However, the Reporting Person expressly disclaims beneficial ownership of the Ordinary Shares (including Ordinary Shares represented by ADSs) beneficially owned (or deemed to be beneficially owned) by any of the other Rollover Shareholders. Neither the filing of this Schedule 13D nor any of its contents shall be deemed to constitute an admission that the Reporting Person beneficially owns any Ordinary Shares (including Ordinary Shares represented by ADSs) that are beneficially owned (or deemed to be beneficially owned) by any of the other Rollover Shareholders. </w:t>
      </w:r>
    </w:p>
    <w:p>
      <w:pPr>
        <w:pStyle w:val="TextBody"/>
        <w:bidi w:val="0"/>
        <w:spacing w:before="240" w:after="0"/>
        <w:jc w:val="left"/>
        <w:rPr>
          <w:rFonts w:ascii="Times New Roman" w:hAnsi="Times New Roman"/>
          <w:sz w:val="20"/>
        </w:rPr>
      </w:pPr>
      <w:r>
        <w:rPr>
          <w:rFonts w:ascii="Times New Roman" w:hAnsi="Times New Roman"/>
          <w:sz w:val="20"/>
        </w:rPr>
        <w:t xml:space="preserve">Collectively, the group may be deemed to beneficially own 17,589,131 Class A Ordinary Shares, comprised of an aggregate of (a) 13,107,568 Class A Ordinary Shares; (b) 4,385,078 Class A Ordinary Shares issuable upon the conversion of 4,385,078 Class B Ordinary Shares; and (c) 96,485 Class A Ordinary Shares issuable upon the exercise of options, held by the Rollover Shareholders. This total does not include 27,905 Class A Ordinary shares that are issuable upon the exercise of options and 164,990 Class A Ordinary Shares that are issuable upon vesting of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restricted stock units, held by the Rollover Shareholders, that cannot be exercised or vest, respectively, within 60 days. This represents approximately 36% of the total outstanding Class A Ordinary Shares, assuming that there is a total of 48,958,919 Class A Ordinary Shares outstanding, which includes: (i) the 44,477,356 Class A Ordinary Shares outstanding as of November 24, 2023, as specified in the Merger Agreement filed by the Issuer with the SEC on November 24, 2023; (ii) 4,385,078 Class A Ordinary Shares issuable upon the conversion of the Class B Ordinary Shares held by the Rollover Shareholders; and (iii) 96,485 Class A Ordinary Shares issuable upon the exercise of options held by the Rollover Shareholders. </w:t>
      </w:r>
    </w:p>
    <w:p>
      <w:pPr>
        <w:pStyle w:val="TextBody"/>
        <w:bidi w:val="0"/>
        <w:spacing w:before="240" w:after="0"/>
        <w:jc w:val="left"/>
        <w:rPr>
          <w:rFonts w:ascii="Times New Roman" w:hAnsi="Times New Roman"/>
          <w:b/>
          <w:sz w:val="20"/>
        </w:rPr>
      </w:pPr>
      <w:r>
        <w:rPr>
          <w:rFonts w:ascii="Times New Roman" w:hAnsi="Times New Roman"/>
          <w:b/>
          <w:sz w:val="20"/>
        </w:rPr>
        <w:t xml:space="preserve">(c) Except as disclosed in this Schedule 13D, the Reporting Person has not effected any transaction in the Class A Ordinary Shares during the 60 days preceding the date hereof. </w:t>
      </w:r>
    </w:p>
    <w:p>
      <w:pPr>
        <w:pStyle w:val="TextBody"/>
        <w:bidi w:val="0"/>
        <w:spacing w:before="240" w:after="0"/>
        <w:jc w:val="left"/>
        <w:rPr>
          <w:rFonts w:ascii="Times New Roman" w:hAnsi="Times New Roman"/>
          <w:sz w:val="20"/>
        </w:rPr>
      </w:pPr>
      <w:r>
        <w:rPr>
          <w:rFonts w:ascii="Times New Roman" w:hAnsi="Times New Roman"/>
          <w:b/>
          <w:sz w:val="20"/>
        </w:rPr>
        <w:t xml:space="preserve">(d) </w:t>
      </w:r>
      <w:r>
        <w:rPr>
          <w:rFonts w:ascii="Times New Roman" w:hAnsi="Times New Roman"/>
          <w:sz w:val="20"/>
        </w:rPr>
        <w:t xml:space="preserve">Except as disclosed in this Schedule 13D, to the best knowledge of the Reporting Person, no other person has the right to receive or the power to direct the receipt of dividends from, or the proceeds from the sale of, the Class A Ordinary Shares beneficially owned by the Reporting Person.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Not applicable. </w:t>
      </w:r>
    </w:p>
    <w:p>
      <w:pPr>
        <w:pStyle w:val="TextBody"/>
        <w:bidi w:val="0"/>
        <w:spacing w:before="360" w:after="0"/>
        <w:jc w:val="left"/>
        <w:rPr>
          <w:rFonts w:ascii="Times New Roman" w:hAnsi="Times New Roman"/>
          <w:b/>
          <w:sz w:val="20"/>
        </w:rPr>
      </w:pPr>
      <w:r>
        <w:rPr>
          <w:rFonts w:ascii="Times New Roman" w:hAnsi="Times New Roman"/>
          <w:b/>
          <w:sz w:val="20"/>
        </w:rPr>
        <w:t xml:space="preserve">Item 6. Contracts, Arrangements, Understandings or Relationships with Respect to Securities of the Issuer. </w:t>
      </w:r>
    </w:p>
    <w:p>
      <w:pPr>
        <w:pStyle w:val="TextBody"/>
        <w:bidi w:val="0"/>
        <w:spacing w:before="120" w:after="0"/>
        <w:jc w:val="left"/>
        <w:rPr>
          <w:rFonts w:ascii="Times New Roman" w:hAnsi="Times New Roman"/>
          <w:sz w:val="20"/>
        </w:rPr>
      </w:pPr>
      <w:r>
        <w:rPr>
          <w:rFonts w:ascii="Times New Roman" w:hAnsi="Times New Roman"/>
          <w:sz w:val="20"/>
        </w:rPr>
        <w:t xml:space="preserve">The disclosure under Item 4 is incorporated herein by reference in its entirety. </w:t>
      </w:r>
    </w:p>
    <w:p>
      <w:pPr>
        <w:pStyle w:val="TextBody"/>
        <w:bidi w:val="0"/>
        <w:spacing w:before="240" w:after="0"/>
        <w:jc w:val="left"/>
        <w:rPr>
          <w:rFonts w:ascii="Times New Roman" w:hAnsi="Times New Roman"/>
          <w:sz w:val="20"/>
        </w:rPr>
      </w:pPr>
      <w:r>
        <w:rPr>
          <w:rFonts w:ascii="Times New Roman" w:hAnsi="Times New Roman"/>
          <w:sz w:val="20"/>
        </w:rPr>
        <w:t>To the best knowledge of the Reporting Person, except as provided herein, there are no other contracts, arrangements, understandings or relationships (legal or otherwise) between the Reporting Person and any other person with respect to any securities of the Issuer, joint ventures, loan or option arrangements, puts or calls, guarantees of profits, divisions of profits or loss, or the giving or withholding of proxies, or a pledge or contingency, the occurrence of which would give another person voting power over the securities of the Issuer.</w:t>
      </w:r>
    </w:p>
    <w:p>
      <w:pPr>
        <w:pStyle w:val="TextBody"/>
        <w:bidi w:val="0"/>
        <w:spacing w:before="360" w:after="0"/>
        <w:jc w:val="left"/>
        <w:rPr>
          <w:rFonts w:ascii="Times New Roman" w:hAnsi="Times New Roman"/>
          <w:b/>
          <w:sz w:val="20"/>
        </w:rPr>
      </w:pPr>
      <w:r>
        <w:rPr>
          <w:rFonts w:ascii="Times New Roman" w:hAnsi="Times New Roman"/>
          <w:b/>
          <w:sz w:val="20"/>
        </w:rPr>
        <w:t xml:space="preserve">Item 7. Materials to Be Filed as Exhibits.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50"/>
        <w:gridCol w:w="427"/>
        <w:gridCol w:w="9228"/>
      </w:tblGrid>
      <w:tr>
        <w:trPr/>
        <w:tc>
          <w:tcPr>
            <w:tcW w:w="550" w:type="dxa"/>
            <w:tcBorders/>
            <w:vAlign w:val="center"/>
          </w:tcPr>
          <w:p>
            <w:pPr>
              <w:pStyle w:val="TableContents"/>
              <w:bidi w:val="0"/>
              <w:spacing w:before="0" w:after="283"/>
              <w:jc w:val="left"/>
              <w:rPr>
                <w:sz w:val="4"/>
                <w:szCs w:val="4"/>
              </w:rPr>
            </w:pPr>
            <w:r>
              <w:rPr>
                <w:sz w:val="4"/>
                <w:szCs w:val="4"/>
              </w:rPr>
            </w:r>
          </w:p>
        </w:tc>
        <w:tc>
          <w:tcPr>
            <w:tcW w:w="427" w:type="dxa"/>
            <w:tcBorders/>
            <w:vAlign w:val="bottom"/>
          </w:tcPr>
          <w:p>
            <w:pPr>
              <w:pStyle w:val="TableContents"/>
              <w:bidi w:val="0"/>
              <w:spacing w:before="0" w:after="283"/>
              <w:jc w:val="left"/>
              <w:rPr>
                <w:sz w:val="4"/>
                <w:szCs w:val="4"/>
              </w:rPr>
            </w:pPr>
            <w:r>
              <w:rPr>
                <w:sz w:val="4"/>
                <w:szCs w:val="4"/>
              </w:rPr>
            </w:r>
          </w:p>
        </w:tc>
        <w:tc>
          <w:tcPr>
            <w:tcW w:w="9228" w:type="dxa"/>
            <w:tcBorders/>
            <w:vAlign w:val="center"/>
          </w:tcPr>
          <w:p>
            <w:pPr>
              <w:pStyle w:val="TableContents"/>
              <w:bidi w:val="0"/>
              <w:spacing w:before="0" w:after="283"/>
              <w:jc w:val="left"/>
              <w:rPr>
                <w:sz w:val="4"/>
                <w:szCs w:val="4"/>
              </w:rPr>
            </w:pPr>
            <w:r>
              <w:rPr>
                <w:sz w:val="4"/>
                <w:szCs w:val="4"/>
              </w:rPr>
            </w:r>
          </w:p>
        </w:tc>
      </w:tr>
      <w:tr>
        <w:trPr/>
        <w:tc>
          <w:tcPr>
            <w:tcW w:w="550" w:type="dxa"/>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Exhibit</w:t>
            </w:r>
          </w:p>
          <w:p>
            <w:pPr>
              <w:pStyle w:val="TableContents"/>
              <w:bidi w:val="0"/>
              <w:spacing w:before="0" w:after="20"/>
              <w:jc w:val="left"/>
              <w:rPr>
                <w:rFonts w:ascii="Times New Roman" w:hAnsi="Times New Roman"/>
                <w:b/>
                <w:sz w:val="16"/>
              </w:rPr>
            </w:pPr>
            <w:r>
              <w:rPr>
                <w:rFonts w:ascii="Times New Roman" w:hAnsi="Times New Roman"/>
                <w:b/>
                <w:sz w:val="16"/>
              </w:rPr>
              <w:t>No.</w:t>
            </w:r>
          </w:p>
        </w:tc>
        <w:tc>
          <w:tcPr>
            <w:tcW w:w="427" w:type="dxa"/>
            <w:tcBorders/>
            <w:vAlign w:val="bottom"/>
          </w:tcPr>
          <w:p>
            <w:pPr>
              <w:pStyle w:val="TableContents"/>
              <w:bidi w:val="0"/>
              <w:spacing w:before="0" w:after="283"/>
              <w:jc w:val="left"/>
              <w:rPr/>
            </w:pPr>
            <w:r>
              <w:rPr/>
              <w:t>  </w:t>
            </w:r>
          </w:p>
        </w:tc>
        <w:tc>
          <w:tcPr>
            <w:tcW w:w="9228"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Description</w:t>
            </w:r>
          </w:p>
        </w:tc>
      </w:tr>
      <w:tr>
        <w:trPr>
          <w:trHeight w:val="120" w:hRule="atLeast"/>
        </w:trPr>
        <w:tc>
          <w:tcPr>
            <w:tcW w:w="550" w:type="dxa"/>
            <w:tcBorders/>
            <w:vAlign w:val="center"/>
          </w:tcPr>
          <w:p>
            <w:pPr>
              <w:pStyle w:val="TableContents"/>
              <w:bidi w:val="0"/>
              <w:spacing w:before="0" w:after="283"/>
              <w:jc w:val="left"/>
              <w:rPr>
                <w:sz w:val="4"/>
                <w:szCs w:val="4"/>
              </w:rPr>
            </w:pPr>
            <w:r>
              <w:rPr>
                <w:sz w:val="4"/>
                <w:szCs w:val="4"/>
              </w:rPr>
            </w:r>
          </w:p>
        </w:tc>
        <w:tc>
          <w:tcPr>
            <w:tcW w:w="9655" w:type="dxa"/>
            <w:gridSpan w:val="2"/>
            <w:tcBorders/>
            <w:vAlign w:val="center"/>
          </w:tcPr>
          <w:p>
            <w:pPr>
              <w:pStyle w:val="TableContents"/>
              <w:bidi w:val="0"/>
              <w:spacing w:before="0" w:after="283"/>
              <w:jc w:val="left"/>
              <w:rPr>
                <w:sz w:val="4"/>
                <w:szCs w:val="4"/>
              </w:rPr>
            </w:pPr>
            <w:r>
              <w:rPr>
                <w:sz w:val="4"/>
                <w:szCs w:val="4"/>
              </w:rPr>
            </w:r>
          </w:p>
        </w:tc>
      </w:tr>
      <w:tr>
        <w:trPr/>
        <w:tc>
          <w:tcPr>
            <w:tcW w:w="550" w:type="dxa"/>
            <w:tcBorders/>
          </w:tcPr>
          <w:p>
            <w:pPr>
              <w:pStyle w:val="TableContents"/>
              <w:bidi w:val="0"/>
              <w:spacing w:before="0" w:after="283"/>
              <w:jc w:val="left"/>
              <w:rPr/>
            </w:pPr>
            <w:r>
              <w:rPr/>
              <w:t>99.1</w:t>
            </w:r>
          </w:p>
        </w:tc>
        <w:tc>
          <w:tcPr>
            <w:tcW w:w="427" w:type="dxa"/>
            <w:tcBorders/>
            <w:vAlign w:val="bottom"/>
          </w:tcPr>
          <w:p>
            <w:pPr>
              <w:pStyle w:val="TableContents"/>
              <w:bidi w:val="0"/>
              <w:spacing w:before="0" w:after="283"/>
              <w:jc w:val="left"/>
              <w:rPr/>
            </w:pPr>
            <w:r>
              <w:rPr/>
              <w:t>  </w:t>
            </w:r>
          </w:p>
        </w:tc>
        <w:tc>
          <w:tcPr>
            <w:tcW w:w="9228" w:type="dxa"/>
            <w:tcBorders/>
          </w:tcPr>
          <w:p>
            <w:pPr>
              <w:pStyle w:val="TableContents"/>
              <w:bidi w:val="0"/>
              <w:spacing w:before="0" w:after="283"/>
              <w:jc w:val="left"/>
              <w:rPr/>
            </w:pPr>
            <w:hyperlink r:id="rId2">
              <w:r>
                <w:rPr>
                  <w:rStyle w:val="InternetLink"/>
                </w:rPr>
                <w:t xml:space="preserve">Agreement and Plan of Merger, dated as of November  24, 2023, by and between TSH Investment Holding Limited, TSH Merger Sub Limited and iClick Interactive Asia Group Limited, incorporated herein by reference to Exhibit 99.2 to the Report on Form 6-K furnished by the Issuer to the SEC on November 24, 2023. </w:t>
              </w:r>
            </w:hyperlink>
          </w:p>
        </w:tc>
      </w:tr>
      <w:tr>
        <w:trPr>
          <w:trHeight w:val="120" w:hRule="atLeast"/>
        </w:trPr>
        <w:tc>
          <w:tcPr>
            <w:tcW w:w="550" w:type="dxa"/>
            <w:tcBorders/>
            <w:vAlign w:val="center"/>
          </w:tcPr>
          <w:p>
            <w:pPr>
              <w:pStyle w:val="TableContents"/>
              <w:bidi w:val="0"/>
              <w:spacing w:before="0" w:after="283"/>
              <w:jc w:val="left"/>
              <w:rPr>
                <w:sz w:val="4"/>
                <w:szCs w:val="4"/>
              </w:rPr>
            </w:pPr>
            <w:r>
              <w:rPr>
                <w:sz w:val="4"/>
                <w:szCs w:val="4"/>
              </w:rPr>
            </w:r>
          </w:p>
        </w:tc>
        <w:tc>
          <w:tcPr>
            <w:tcW w:w="9655" w:type="dxa"/>
            <w:gridSpan w:val="2"/>
            <w:tcBorders/>
            <w:vAlign w:val="center"/>
          </w:tcPr>
          <w:p>
            <w:pPr>
              <w:pStyle w:val="TableContents"/>
              <w:bidi w:val="0"/>
              <w:spacing w:before="0" w:after="283"/>
              <w:jc w:val="left"/>
              <w:rPr>
                <w:sz w:val="4"/>
                <w:szCs w:val="4"/>
              </w:rPr>
            </w:pPr>
            <w:r>
              <w:rPr>
                <w:sz w:val="4"/>
                <w:szCs w:val="4"/>
              </w:rPr>
            </w:r>
          </w:p>
        </w:tc>
      </w:tr>
      <w:tr>
        <w:trPr/>
        <w:tc>
          <w:tcPr>
            <w:tcW w:w="550" w:type="dxa"/>
            <w:tcBorders/>
          </w:tcPr>
          <w:p>
            <w:pPr>
              <w:pStyle w:val="TableContents"/>
              <w:bidi w:val="0"/>
              <w:spacing w:before="0" w:after="283"/>
              <w:jc w:val="left"/>
              <w:rPr/>
            </w:pPr>
            <w:r>
              <w:rPr/>
              <w:t>99.2</w:t>
            </w:r>
          </w:p>
        </w:tc>
        <w:tc>
          <w:tcPr>
            <w:tcW w:w="427" w:type="dxa"/>
            <w:tcBorders/>
            <w:vAlign w:val="bottom"/>
          </w:tcPr>
          <w:p>
            <w:pPr>
              <w:pStyle w:val="TableContents"/>
              <w:bidi w:val="0"/>
              <w:spacing w:before="0" w:after="283"/>
              <w:jc w:val="left"/>
              <w:rPr/>
            </w:pPr>
            <w:r>
              <w:rPr/>
              <w:t>  </w:t>
            </w:r>
          </w:p>
        </w:tc>
        <w:tc>
          <w:tcPr>
            <w:tcW w:w="9228" w:type="dxa"/>
            <w:tcBorders/>
          </w:tcPr>
          <w:p>
            <w:pPr>
              <w:pStyle w:val="TableContents"/>
              <w:bidi w:val="0"/>
              <w:spacing w:before="0" w:after="283"/>
              <w:jc w:val="left"/>
              <w:rPr/>
            </w:pPr>
            <w:hyperlink r:id="rId3">
              <w:r>
                <w:rPr>
                  <w:rStyle w:val="InternetLink"/>
                </w:rPr>
                <w:t>Support Agreement, dated November  24, 2023, by and among TSH Investment Holding Limited, Igomax Inc., Jian Tang, Bubinga Holdings Limited, Wing Hong Sammy Hsieh, Marine Central Limited, Jianjun Huang, Creative Big Limited, Cheer Lead Global Limited, Huge Superpower Limited, Capable Excel Limited, Infinity Global Fund SPC, Integrated Asset Management (Asia) Limited, Chan Nai Hang, Likeable Limited, Tsang Hing Sze, Lau Ying Wai, Chik Yu Chung Roni, Tse Kok Yu Ryan, Imen Pang, Zhao Yong and Yang Xin, incorporated herein by reference to Exhibit 99.5 of the Schedule 13D/A furnished by the Sponsor to the SEC on November 27, 2023.</w:t>
              </w:r>
            </w:hyperlink>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After reasonable inquiry and to the best of my knowledge and belief, I certify that the information set forth in this statement is true, complete and correct. </w:t>
      </w:r>
    </w:p>
    <w:p>
      <w:pPr>
        <w:pStyle w:val="TextBody"/>
        <w:bidi w:val="0"/>
        <w:spacing w:before="240" w:after="0"/>
        <w:jc w:val="left"/>
        <w:rPr>
          <w:rFonts w:ascii="Times New Roman" w:hAnsi="Times New Roman"/>
          <w:sz w:val="20"/>
        </w:rPr>
      </w:pPr>
      <w:r>
        <w:rPr>
          <w:rFonts w:ascii="Times New Roman" w:hAnsi="Times New Roman"/>
          <w:sz w:val="20"/>
        </w:rPr>
        <w:t xml:space="preserve">Date: December 4, 2023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b/>
                <w:sz w:val="20"/>
              </w:rPr>
            </w:pPr>
            <w:r>
              <w:rPr>
                <w:rFonts w:ascii="Times New Roman" w:hAnsi="Times New Roman"/>
                <w:b/>
                <w:sz w:val="20"/>
              </w:rPr>
              <w:t>YANG XIN</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0"/>
              <w:jc w:val="left"/>
              <w:rPr>
                <w:rFonts w:ascii="Times New Roman" w:hAnsi="Times New Roman"/>
                <w:sz w:val="20"/>
              </w:rPr>
            </w:pPr>
            <w:r>
              <w:rPr>
                <w:rFonts w:ascii="Times New Roman" w:hAnsi="Times New Roman"/>
                <w:sz w:val="20"/>
              </w:rPr>
              <w:t>/s/ Yang Xin</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697818/000110465923120926/tm2331491d1_ex99-2.htm" TargetMode="External"/><Relationship Id="rId3" Type="http://schemas.openxmlformats.org/officeDocument/2006/relationships/hyperlink" Target="http://www.sec.gov/Archives/edgar/data/1697818/000121390023089945/ea189015ex99-5_iclick.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2358</Words>
  <Characters>11817</Characters>
  <CharactersWithSpaces>14188</CharactersWithSpaces>
  <Paragraphs>177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SC 13D</dc:title>
</cp:coreProperties>
</file>