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November 2022</w:t>
      </w:r>
    </w:p>
    <w:p>
      <w:pPr>
        <w:spacing w:after="0" w:line="21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001-38313</w:t>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iClick Interactive Asia Group Limited</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3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20" w:type="dxa"/>
            <w:vAlign w:val="bottom"/>
            <w:gridSpan w:val="2"/>
          </w:tcPr>
          <w:p>
            <w:pPr>
              <w:jc w:val="center"/>
              <w:ind w:right="4524"/>
              <w:spacing w:after="0"/>
              <w:rPr>
                <w:sz w:val="20"/>
                <w:szCs w:val="20"/>
                <w:color w:val="auto"/>
              </w:rPr>
            </w:pPr>
            <w:r>
              <w:rPr>
                <w:rFonts w:ascii="Times New Roman" w:cs="Times New Roman" w:eastAsia="Times New Roman" w:hAnsi="Times New Roman"/>
                <w:sz w:val="17"/>
                <w:szCs w:val="17"/>
                <w:b w:val="1"/>
                <w:bCs w:val="1"/>
                <w:color w:val="auto"/>
                <w:w w:val="98"/>
              </w:rPr>
              <w:t>EXHIBIT INDEX</w:t>
            </w:r>
          </w:p>
        </w:tc>
        <w:tc>
          <w:tcPr>
            <w:tcW w:w="40" w:type="dxa"/>
            <w:vAlign w:val="bottom"/>
          </w:tcPr>
          <w:p>
            <w:pPr>
              <w:spacing w:after="0"/>
              <w:rPr>
                <w:sz w:val="19"/>
                <w:szCs w:val="19"/>
                <w:color w:val="auto"/>
              </w:rPr>
            </w:pPr>
          </w:p>
        </w:tc>
      </w:tr>
      <w:tr>
        <w:trPr>
          <w:trHeight w:val="34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8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40" w:type="dxa"/>
            <w:vAlign w:val="bottom"/>
          </w:tcPr>
          <w:p>
            <w:pPr>
              <w:spacing w:after="0"/>
              <w:rPr>
                <w:sz w:val="24"/>
                <w:szCs w:val="24"/>
                <w:color w:val="auto"/>
              </w:rPr>
            </w:pPr>
          </w:p>
        </w:tc>
      </w:tr>
      <w:tr>
        <w:trPr>
          <w:trHeight w:val="360"/>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8"/>
              </w:rPr>
              <w:t>Press release</w:t>
            </w:r>
          </w:p>
        </w:tc>
        <w:tc>
          <w:tcPr>
            <w:tcW w:w="8100" w:type="dxa"/>
            <w:vAlign w:val="bottom"/>
            <w:tcBorders>
              <w:top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99.2</w:t>
            </w:r>
          </w:p>
        </w:tc>
        <w:tc>
          <w:tcPr>
            <w:tcW w:w="220" w:type="dxa"/>
            <w:vAlign w:val="bottom"/>
          </w:tcPr>
          <w:p>
            <w:pPr>
              <w:spacing w:after="0"/>
              <w:rPr>
                <w:sz w:val="15"/>
                <w:szCs w:val="15"/>
                <w:color w:val="auto"/>
              </w:rPr>
            </w:pPr>
          </w:p>
        </w:tc>
        <w:tc>
          <w:tcPr>
            <w:tcW w:w="898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color w:val="0000EE"/>
              </w:rPr>
              <w:t>Notice of Annual General Meeting</w:t>
            </w:r>
          </w:p>
        </w:tc>
        <w:tc>
          <w:tcPr>
            <w:tcW w:w="40" w:type="dxa"/>
            <w:vAlign w:val="bottom"/>
          </w:tcPr>
          <w:p>
            <w:pPr>
              <w:spacing w:after="0"/>
              <w:rPr>
                <w:sz w:val="15"/>
                <w:szCs w:val="15"/>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99.3</w:t>
            </w:r>
          </w:p>
        </w:tc>
        <w:tc>
          <w:tcPr>
            <w:tcW w:w="220" w:type="dxa"/>
            <w:vAlign w:val="bottom"/>
          </w:tcPr>
          <w:p>
            <w:pPr>
              <w:spacing w:after="0"/>
              <w:rPr>
                <w:sz w:val="15"/>
                <w:szCs w:val="15"/>
                <w:color w:val="auto"/>
              </w:rPr>
            </w:pPr>
          </w:p>
        </w:tc>
        <w:tc>
          <w:tcPr>
            <w:tcW w:w="898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color w:val="0000EE"/>
              </w:rPr>
              <w:t>Form of Proxy for the Annual General Meeting</w:t>
            </w:r>
          </w:p>
        </w:tc>
        <w:tc>
          <w:tcPr>
            <w:tcW w:w="40" w:type="dxa"/>
            <w:vAlign w:val="bottom"/>
          </w:tcPr>
          <w:p>
            <w:pPr>
              <w:spacing w:after="0"/>
              <w:rPr>
                <w:sz w:val="15"/>
                <w:szCs w:val="15"/>
                <w:color w:val="auto"/>
              </w:rPr>
            </w:pPr>
          </w:p>
        </w:tc>
      </w:tr>
      <w:tr>
        <w:trPr>
          <w:trHeight w:val="423"/>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Borders>
              <w:top w:val="single" w:sz="8" w:color="0000EE"/>
            </w:tcBorders>
            <w:gridSpan w:val="3"/>
          </w:tcPr>
          <w:p>
            <w:pPr>
              <w:spacing w:after="0"/>
              <w:rPr>
                <w:sz w:val="24"/>
                <w:szCs w:val="24"/>
                <w:color w:val="auto"/>
              </w:rPr>
            </w:pPr>
          </w:p>
        </w:tc>
        <w:tc>
          <w:tcPr>
            <w:tcW w:w="5780" w:type="dxa"/>
            <w:vAlign w:val="bottom"/>
          </w:tcPr>
          <w:p>
            <w:pPr>
              <w:jc w:val="right"/>
              <w:ind w:right="5504"/>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4"/>
                <w:szCs w:val="24"/>
                <w:color w:val="auto"/>
              </w:rPr>
            </w:pPr>
          </w:p>
        </w:tc>
      </w:tr>
      <w:tr>
        <w:trPr>
          <w:trHeight w:val="715"/>
        </w:trPr>
        <w:tc>
          <w:tcPr>
            <w:tcW w:w="2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16"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Zhang</w:t>
            </w:r>
          </w:p>
        </w:tc>
      </w:tr>
      <w:tr>
        <w:trPr>
          <w:trHeight w:val="179"/>
        </w:trPr>
        <w:tc>
          <w:tcPr>
            <w:tcW w:w="7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David Zhang</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21, 2022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3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290830</wp:posOffset>
            </wp:positionV>
            <wp:extent cx="1125855" cy="450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 Schedules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Annual General Meeting for December 20, 2022</w:t>
      </w:r>
    </w:p>
    <w:p>
      <w:pPr>
        <w:spacing w:after="0" w:line="188" w:lineRule="exact"/>
        <w:rPr>
          <w:sz w:val="20"/>
          <w:szCs w:val="20"/>
          <w:color w:val="auto"/>
        </w:rPr>
      </w:pPr>
    </w:p>
    <w:p>
      <w:pPr>
        <w:jc w:val="both"/>
        <w:ind w:left="20" w:hanging="1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HONG KONG </w:t>
      </w:r>
      <w:r>
        <w:rPr>
          <w:rFonts w:ascii="Times New Roman" w:cs="Times New Roman" w:eastAsia="Times New Roman" w:hAnsi="Times New Roman"/>
          <w:sz w:val="19"/>
          <w:szCs w:val="19"/>
          <w:color w:val="auto"/>
        </w:rPr>
        <w:t>— Nov 21, 2022 — iClick Interactive Asia Group Limited (“iClick” or the “Company”) (NASDAQ: ICLK), a leading enterprise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cloud platform in China that empowers worldwide brands with full-stack consumer lifecycle solutions, today announced that it will hold its 2022 annual general meeting on December 20, 2022 at 9:00 a.m. (Hong Kong time) or on December 19, 2022 at 8:00 p.m. (New York time) in Hong Kong, China.</w:t>
      </w:r>
    </w:p>
    <w:p>
      <w:pPr>
        <w:sectPr>
          <w:pgSz w:w="11900" w:h="16838" w:orient="portrait"/>
          <w:cols w:equalWidth="0" w:num="1">
            <w:col w:w="11260"/>
          </w:cols>
          <w:pgMar w:left="300" w:top="119" w:right="339" w:bottom="1440" w:gutter="0" w:footer="0" w:header="0"/>
        </w:sectPr>
      </w:pP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2022 (Hong Kong Time) or December 19, 2022 (New York Time)</w:t>
      </w:r>
    </w:p>
    <w:p>
      <w:pPr>
        <w:spacing w:after="0" w:line="200" w:lineRule="exact"/>
        <w:rPr>
          <w:sz w:val="20"/>
          <w:szCs w:val="20"/>
          <w:color w:val="auto"/>
        </w:rPr>
      </w:pPr>
    </w:p>
    <w:p>
      <w:pPr>
        <w:sectPr>
          <w:pgSz w:w="11900" w:h="16838" w:orient="portrait"/>
          <w:cols w:equalWidth="0" w:num="2">
            <w:col w:w="760" w:space="720"/>
            <w:col w:w="9780"/>
          </w:cols>
          <w:pgMar w:left="300" w:top="119" w:right="339" w:bottom="1440" w:gutter="0" w:footer="0" w:header="0"/>
          <w:type w:val="continuous"/>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09:00 a.m. (Hong Kong time) or 08:00 p.m. (New York Time)</w:t>
      </w:r>
    </w:p>
    <w:p>
      <w:pPr>
        <w:spacing w:after="0" w:line="200" w:lineRule="exact"/>
        <w:rPr>
          <w:sz w:val="20"/>
          <w:szCs w:val="20"/>
          <w:color w:val="auto"/>
        </w:rPr>
      </w:pPr>
    </w:p>
    <w:p>
      <w:pPr>
        <w:sectPr>
          <w:pgSz w:w="11900" w:h="16838" w:orient="portrait"/>
          <w:cols w:equalWidth="0" w:num="2">
            <w:col w:w="800" w:space="720"/>
            <w:col w:w="9740"/>
          </w:cols>
          <w:pgMar w:left="300" w:top="119"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15/F Prosperity Millennia Plaza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663 King’s Road, Quarry Bay, Hong Kong, China</w:t>
      </w:r>
    </w:p>
    <w:p>
      <w:pPr>
        <w:spacing w:after="0" w:line="200" w:lineRule="exact"/>
        <w:rPr>
          <w:sz w:val="20"/>
          <w:szCs w:val="20"/>
          <w:color w:val="auto"/>
        </w:rPr>
      </w:pPr>
    </w:p>
    <w:p>
      <w:pPr>
        <w:sectPr>
          <w:pgSz w:w="11900" w:h="16838" w:orient="portrait"/>
          <w:cols w:equalWidth="0" w:num="2">
            <w:col w:w="720" w:space="380"/>
            <w:col w:w="10160"/>
          </w:cols>
          <w:pgMar w:left="300" w:top="119"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annual general meeting will be devoted to the following proposals:</w:t>
      </w:r>
    </w:p>
    <w:p>
      <w:pPr>
        <w:spacing w:after="0" w:line="212" w:lineRule="exact"/>
        <w:rPr>
          <w:sz w:val="20"/>
          <w:szCs w:val="20"/>
          <w:color w:val="auto"/>
        </w:rPr>
      </w:pPr>
    </w:p>
    <w:p>
      <w:pPr>
        <w:ind w:left="880" w:hanging="859"/>
        <w:spacing w:after="0"/>
        <w:tabs>
          <w:tab w:leader="none" w:pos="8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approve and ratify the appointment of Mr. Tiezhu (David) Zhang as a director of the Company; and</w:t>
      </w:r>
    </w:p>
    <w:p>
      <w:pPr>
        <w:spacing w:after="0" w:line="16" w:lineRule="exact"/>
        <w:rPr>
          <w:rFonts w:ascii="Times New Roman" w:cs="Times New Roman" w:eastAsia="Times New Roman" w:hAnsi="Times New Roman"/>
          <w:sz w:val="17"/>
          <w:szCs w:val="17"/>
          <w:color w:val="auto"/>
        </w:rPr>
      </w:pPr>
    </w:p>
    <w:p>
      <w:pPr>
        <w:ind w:left="880" w:hanging="859"/>
        <w:spacing w:after="0" w:line="239" w:lineRule="auto"/>
        <w:tabs>
          <w:tab w:leader="none" w:pos="8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act upon such other matters as may properly come before the Company’s annual general meeting or any adjournment or postponement thereof.</w:t>
      </w:r>
    </w:p>
    <w:p>
      <w:pPr>
        <w:spacing w:after="0" w:line="191"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9"/>
          <w:szCs w:val="19"/>
          <w:color w:val="auto"/>
        </w:rPr>
        <w:t>Only shareholders of record at the close of business on November 21, 2022 (New York Time) are entitled to receive notice of and to vote at the Company’s annual general meeting or any adjournment or postponement thereof.</w:t>
      </w:r>
    </w:p>
    <w:p>
      <w:pPr>
        <w:spacing w:after="0" w:line="171" w:lineRule="exact"/>
        <w:rPr>
          <w:sz w:val="20"/>
          <w:szCs w:val="20"/>
          <w:color w:val="auto"/>
        </w:rPr>
      </w:pPr>
    </w:p>
    <w:p>
      <w:pPr>
        <w:jc w:val="both"/>
        <w:ind w:left="20" w:hanging="11"/>
        <w:spacing w:after="0" w:line="249" w:lineRule="auto"/>
        <w:rPr>
          <w:sz w:val="20"/>
          <w:szCs w:val="20"/>
          <w:color w:val="auto"/>
        </w:rPr>
      </w:pPr>
      <w:r>
        <w:rPr>
          <w:rFonts w:ascii="Times New Roman" w:cs="Times New Roman" w:eastAsia="Times New Roman" w:hAnsi="Times New Roman"/>
          <w:sz w:val="19"/>
          <w:szCs w:val="19"/>
          <w:color w:val="auto"/>
        </w:rPr>
        <w:t>The notice of the Company’s annual general meeting and the Company’s 2021 Annual Report containing the complete audited financial statements and the report of auditors for the year ended December 31, 2021 are available on the Investor Relations Section of the Company’s website at http://ir.i-click.com.</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440055</wp:posOffset>
            </wp:positionV>
            <wp:extent cx="71824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8"/>
        </w:trPr>
        <w:tc>
          <w:tcPr>
            <w:tcW w:w="4960" w:type="dxa"/>
            <w:vAlign w:val="bottom"/>
          </w:tcPr>
          <w:p>
            <w:pPr>
              <w:spacing w:after="0"/>
              <w:rPr>
                <w:sz w:val="20"/>
                <w:szCs w:val="20"/>
                <w:color w:val="auto"/>
              </w:rPr>
            </w:pPr>
            <w:r>
              <w:rPr>
                <w:rFonts w:ascii="Calibri" w:cs="Calibri" w:eastAsia="Calibri" w:hAnsi="Calibri"/>
                <w:sz w:val="19"/>
                <w:szCs w:val="19"/>
                <w:b w:val="1"/>
                <w:bCs w:val="1"/>
                <w:color w:val="auto"/>
              </w:rPr>
              <w:t>In China:</w:t>
            </w:r>
          </w:p>
        </w:tc>
        <w:tc>
          <w:tcPr>
            <w:tcW w:w="3020" w:type="dxa"/>
            <w:vAlign w:val="bottom"/>
            <w:gridSpan w:val="2"/>
          </w:tcPr>
          <w:p>
            <w:pPr>
              <w:ind w:left="1080"/>
              <w:spacing w:after="0"/>
              <w:rPr>
                <w:sz w:val="20"/>
                <w:szCs w:val="20"/>
                <w:color w:val="auto"/>
              </w:rPr>
            </w:pPr>
            <w:r>
              <w:rPr>
                <w:rFonts w:ascii="Calibri" w:cs="Calibri" w:eastAsia="Calibri" w:hAnsi="Calibri"/>
                <w:sz w:val="19"/>
                <w:szCs w:val="19"/>
                <w:b w:val="1"/>
                <w:bCs w:val="1"/>
                <w:color w:val="auto"/>
              </w:rPr>
              <w:t>In the United States:</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b w:val="1"/>
                <w:bCs w:val="1"/>
                <w:color w:val="auto"/>
              </w:rPr>
              <w:t>iClick Interactve Asia Group Limited</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b w:val="1"/>
                <w:bCs w:val="1"/>
                <w:color w:val="auto"/>
              </w:rPr>
              <w:t>Core IR</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Lisa Li</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Tom Caden</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Phone: +86-21-3230-3931 #866</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Tel: +1-516-222-2560</w:t>
            </w:r>
          </w:p>
        </w:tc>
      </w:tr>
      <w:tr>
        <w:trPr>
          <w:trHeight w:val="195"/>
        </w:trPr>
        <w:tc>
          <w:tcPr>
            <w:tcW w:w="4960" w:type="dxa"/>
            <w:vAlign w:val="bottom"/>
          </w:tcPr>
          <w:p>
            <w:pPr>
              <w:spacing w:after="0" w:line="195" w:lineRule="exact"/>
              <w:rPr>
                <w:sz w:val="20"/>
                <w:szCs w:val="20"/>
                <w:color w:val="auto"/>
              </w:rPr>
            </w:pPr>
            <w:r>
              <w:rPr>
                <w:rFonts w:ascii="Calibri" w:cs="Calibri" w:eastAsia="Calibri" w:hAnsi="Calibri"/>
                <w:sz w:val="19"/>
                <w:szCs w:val="19"/>
                <w:color w:val="auto"/>
              </w:rPr>
              <w:t>E-mail: ir@i-click.com</w:t>
            </w:r>
          </w:p>
        </w:tc>
        <w:tc>
          <w:tcPr>
            <w:tcW w:w="3020" w:type="dxa"/>
            <w:vAlign w:val="bottom"/>
            <w:gridSpan w:val="2"/>
          </w:tcPr>
          <w:p>
            <w:pPr>
              <w:ind w:left="1080"/>
              <w:spacing w:after="0" w:line="195" w:lineRule="exact"/>
              <w:rPr>
                <w:sz w:val="20"/>
                <w:szCs w:val="20"/>
                <w:color w:val="auto"/>
              </w:rPr>
            </w:pPr>
            <w:r>
              <w:rPr>
                <w:rFonts w:ascii="Calibri" w:cs="Calibri" w:eastAsia="Calibri" w:hAnsi="Calibri"/>
                <w:sz w:val="19"/>
                <w:szCs w:val="19"/>
                <w:color w:val="auto"/>
                <w:w w:val="97"/>
              </w:rPr>
              <w:t>E-mail: tomc@coreir.com</w:t>
            </w:r>
          </w:p>
        </w:tc>
      </w:tr>
      <w:tr>
        <w:trPr>
          <w:trHeight w:val="20"/>
        </w:trPr>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1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411480</wp:posOffset>
            </wp:positionV>
            <wp:extent cx="1222375" cy="434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237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NOTICE OF ANNUAL GENERAL MEETING TO BE HELD ON DECEMBER 20, 2022</w:t>
      </w:r>
    </w:p>
    <w:p>
      <w:pPr>
        <w:spacing w:after="0" w:line="197"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the annual general meeting of iClick Interactive Asia Group Limited (“iClick” or the “Company”) (NASDAQ: ICLK)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held on December 20, 2022 at 9:00 a.m. (Hong Kong time), or December 19, 2022 at 8:00 p.m. (New York time) at 15/F Prosperity Millennia Plaza, 663 King’s Road, Quarry Bay, Hong Kong, for the following purposes:</w:t>
      </w:r>
    </w:p>
    <w:p>
      <w:pPr>
        <w:spacing w:after="0" w:line="154" w:lineRule="exact"/>
        <w:rPr>
          <w:sz w:val="20"/>
          <w:szCs w:val="20"/>
          <w:color w:val="auto"/>
        </w:rPr>
      </w:pPr>
    </w:p>
    <w:p>
      <w:pPr>
        <w:ind w:left="820" w:hanging="818"/>
        <w:spacing w:after="0"/>
        <w:tabs>
          <w:tab w:leader="none" w:pos="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and ratify the appointment of Mr. Tiezhu (David) Zhang as a director of the Company; and</w:t>
      </w:r>
    </w:p>
    <w:p>
      <w:pPr>
        <w:spacing w:after="0" w:line="222" w:lineRule="exact"/>
        <w:rPr>
          <w:rFonts w:ascii="Times New Roman" w:cs="Times New Roman" w:eastAsia="Times New Roman" w:hAnsi="Times New Roman"/>
          <w:sz w:val="17"/>
          <w:szCs w:val="17"/>
          <w:color w:val="auto"/>
        </w:rPr>
      </w:pPr>
    </w:p>
    <w:p>
      <w:pPr>
        <w:ind w:left="820" w:hanging="818"/>
        <w:spacing w:after="0"/>
        <w:tabs>
          <w:tab w:leader="none" w:pos="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upon such other matters as may properly come before the Company’s annual general meeting or any adjournment or postponement thereof.</w:t>
      </w:r>
    </w:p>
    <w:p>
      <w:pPr>
        <w:spacing w:after="0" w:line="222"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7"/>
          <w:szCs w:val="17"/>
          <w:color w:val="auto"/>
        </w:rPr>
        <w:t>The board of directors of the Company has fixed the close of business on November 21, 2022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spacing w:after="0" w:line="170"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7"/>
          <w:szCs w:val="17"/>
          <w:color w:val="auto"/>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Hong Kong office at 15/F Prosperity Millennia Plaza, 663 King’s Road, Quarry Bay, Hong Kong, by email to ir@i-click.com as soon as possible and in any event no later than 9:00 a.m. December 18, 2022 (Hong Kong time), or 8:00 p.m., December 17, 2022 (New York time).</w:t>
      </w:r>
    </w:p>
    <w:p>
      <w:pPr>
        <w:spacing w:after="0" w:line="261"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7"/>
          <w:szCs w:val="17"/>
          <w:color w:val="auto"/>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1158240</wp:posOffset>
            </wp:positionV>
            <wp:extent cx="71824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000"/>
          </w:cols>
          <w:pgMar w:left="560" w:top="32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/s/ Jian Tang</w:t>
      </w:r>
    </w:p>
    <w:p>
      <w:pPr>
        <w:spacing w:after="0" w:line="2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Jian Tang</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Chairman</w:t>
      </w:r>
    </w:p>
    <w:p>
      <w:pPr>
        <w:ind w:left="4580"/>
        <w:spacing w:after="0"/>
        <w:rPr>
          <w:sz w:val="20"/>
          <w:szCs w:val="20"/>
          <w:color w:val="auto"/>
        </w:rPr>
      </w:pPr>
      <w:r>
        <w:rPr>
          <w:rFonts w:ascii="Times New Roman" w:cs="Times New Roman" w:eastAsia="Times New Roman" w:hAnsi="Times New Roman"/>
          <w:sz w:val="17"/>
          <w:szCs w:val="17"/>
          <w:color w:val="auto"/>
        </w:rPr>
        <w:t>Date: 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714375</wp:posOffset>
            </wp:positionV>
            <wp:extent cx="71824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20"/>
          </w:cols>
          <w:pgMar w:left="1440" w:top="32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Exhibit A</w:t>
      </w: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Resume of Candidate for Director</w:t>
      </w:r>
    </w:p>
    <w:p>
      <w:pPr>
        <w:spacing w:after="0" w:line="193"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Mr. Tiezhu (David) Zhang </w:t>
      </w:r>
      <w:r>
        <w:rPr>
          <w:rFonts w:ascii="Times New Roman" w:cs="Times New Roman" w:eastAsia="Times New Roman" w:hAnsi="Times New Roman"/>
          <w:sz w:val="17"/>
          <w:szCs w:val="17"/>
          <w:color w:val="auto"/>
        </w:rPr>
        <w:t>has served as our director and Chief Financial Officer since January 31, 2022. Prior to joining iClick, Mr. Zhang served in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ectPr>
          <w:pgSz w:w="11900" w:h="16838" w:orient="portrait"/>
          <w:cols w:equalWidth="0" w:num="1">
            <w:col w:w="11000"/>
          </w:cols>
          <w:pgMar w:left="560" w:top="32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17780</wp:posOffset>
            </wp:positionV>
            <wp:extent cx="1037590" cy="53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ICLICK INTERACTIVE ASIA GROUP LIMITED</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Incorporated in the Cayman Islands with limited liability</w:t>
      </w:r>
      <w:r>
        <w:rPr>
          <w:rFonts w:ascii="Times New Roman" w:cs="Times New Roman" w:eastAsia="Times New Roman" w:hAnsi="Times New Roman"/>
          <w:sz w:val="15"/>
          <w:szCs w:val="15"/>
          <w:b w:val="1"/>
          <w:bCs w:val="1"/>
          <w:color w:val="auto"/>
        </w:rPr>
        <w:t>)</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OF PROXY</w:t>
      </w:r>
    </w:p>
    <w:p>
      <w:pPr>
        <w:spacing w:after="0" w:line="195" w:lineRule="exact"/>
        <w:rPr>
          <w:sz w:val="20"/>
          <w:szCs w:val="20"/>
          <w:color w:val="auto"/>
        </w:rPr>
      </w:pPr>
    </w:p>
    <w:p>
      <w:pPr>
        <w:jc w:val="both"/>
        <w:ind w:hanging="11"/>
        <w:spacing w:after="0" w:line="284" w:lineRule="auto"/>
        <w:rPr>
          <w:sz w:val="20"/>
          <w:szCs w:val="20"/>
          <w:color w:val="auto"/>
        </w:rPr>
      </w:pPr>
      <w:r>
        <w:rPr>
          <w:rFonts w:ascii="Times New Roman" w:cs="Times New Roman" w:eastAsia="Times New Roman" w:hAnsi="Times New Roman"/>
          <w:sz w:val="15"/>
          <w:szCs w:val="15"/>
          <w:b w:val="1"/>
          <w:bCs w:val="1"/>
          <w:color w:val="auto"/>
        </w:rPr>
        <w:t>FORM OF PROXY FOR USE BY SHAREHOLDERS OF ICLICK INTERACTIVE ASIA GROUP LIMITED (THE “COMPANY”) AT THE ANNUAL GENERAL MEETING OF THE COMPANY (THE “MEETING”) TO BE HELD AT 15/F PROSPERITY MILLENNIA PLAZA, 663 KING’S ROAD, QUARRY BAY, HONG KONG, ON DECEMBER 20, 2022 AT 9:00 A.M. (HONG KONG TIME), OR DECEMBER 19, 2022 AT 8:00 P.M. (NEW YORK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I/We (</w:t>
      </w:r>
      <w:r>
        <w:rPr>
          <w:rFonts w:ascii="Times New Roman" w:cs="Times New Roman" w:eastAsia="Times New Roman" w:hAnsi="Times New Roman"/>
          <w:sz w:val="15"/>
          <w:szCs w:val="15"/>
          <w:b w:val="1"/>
          <w:bCs w:val="1"/>
          <w:i w:val="1"/>
          <w:iCs w:val="1"/>
          <w:color w:val="auto"/>
        </w:rPr>
        <w:t>note (1)</w:t>
      </w:r>
      <w:r>
        <w:rPr>
          <w:rFonts w:ascii="Times New Roman" w:cs="Times New Roman" w:eastAsia="Times New Roman" w:hAnsi="Times New Roman"/>
          <w:sz w:val="15"/>
          <w:szCs w:val="15"/>
          <w:b w:val="1"/>
          <w:bCs w:val="1"/>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being the registered holder(s) of </w:t>
      </w:r>
      <w:r>
        <w:rPr>
          <w:rFonts w:ascii="Times New Roman" w:cs="Times New Roman" w:eastAsia="Times New Roman" w:hAnsi="Times New Roman"/>
          <w:sz w:val="15"/>
          <w:szCs w:val="15"/>
          <w:b w:val="1"/>
          <w:bCs w:val="1"/>
          <w:i w:val="1"/>
          <w:iCs w:val="1"/>
          <w:color w:val="auto"/>
        </w:rPr>
        <w:t>(note (2)</w:t>
      </w:r>
      <w:r>
        <w:rPr>
          <w:rFonts w:ascii="Times New Roman" w:cs="Times New Roman" w:eastAsia="Times New Roman" w:hAnsi="Times New Roman"/>
          <w:sz w:val="15"/>
          <w:szCs w:val="15"/>
          <w:b w:val="1"/>
          <w:bCs w:val="1"/>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shares of US$0.001 each in the capital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 the Company (“Share(s)”), hereby appoint (</w:t>
      </w:r>
      <w:r>
        <w:rPr>
          <w:rFonts w:ascii="Times New Roman" w:cs="Times New Roman" w:eastAsia="Times New Roman" w:hAnsi="Times New Roman"/>
          <w:sz w:val="15"/>
          <w:szCs w:val="15"/>
          <w:b w:val="1"/>
          <w:bCs w:val="1"/>
          <w:i w:val="1"/>
          <w:iCs w:val="1"/>
          <w:color w:val="auto"/>
        </w:rPr>
        <w:t>note (3)</w:t>
      </w:r>
      <w:r>
        <w:rPr>
          <w:rFonts w:ascii="Times New Roman" w:cs="Times New Roman" w:eastAsia="Times New Roman" w:hAnsi="Times New Roman"/>
          <w:sz w:val="15"/>
          <w:szCs w:val="15"/>
          <w:b w:val="1"/>
          <w:bCs w:val="1"/>
          <w:color w:val="auto"/>
        </w:rPr>
        <w:t>) the chairman of the Meeting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44" w:lineRule="exact"/>
        <w:rPr>
          <w:sz w:val="20"/>
          <w:szCs w:val="20"/>
          <w:color w:val="auto"/>
        </w:rPr>
      </w:pPr>
    </w:p>
    <w:p>
      <w:pPr>
        <w:ind w:hanging="11"/>
        <w:spacing w:after="0" w:line="304" w:lineRule="auto"/>
        <w:rPr>
          <w:sz w:val="20"/>
          <w:szCs w:val="20"/>
          <w:color w:val="auto"/>
        </w:rPr>
      </w:pPr>
      <w:r>
        <w:rPr>
          <w:rFonts w:ascii="Times New Roman" w:cs="Times New Roman" w:eastAsia="Times New Roman" w:hAnsi="Times New Roman"/>
          <w:sz w:val="15"/>
          <w:szCs w:val="15"/>
          <w:b w:val="1"/>
          <w:bCs w:val="1"/>
          <w:color w:val="auto"/>
        </w:rPr>
        <w:t>to act as my/our proxy for the Meeting to be held at 15/F Prosperity Millennia Plaza, 663 King’s Road, Quarry Bay, Hong Kong, on December 20, 2022 at 9:00 a.m. (Hong Kong time), or on December 19, 2022 at 8:00 p.m. (New York time) and at any adjournment thereof and to vote on my/our behalf as directed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Please indicate with a “X” in the spaces provided how you wish the proxy to vote on your behalf.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Resolutions:</w:t>
      </w:r>
    </w:p>
    <w:p>
      <w:pPr>
        <w:spacing w:after="0" w:line="16" w:lineRule="exact"/>
        <w:rPr>
          <w:sz w:val="20"/>
          <w:szCs w:val="20"/>
          <w:color w:val="auto"/>
        </w:rPr>
      </w:pPr>
    </w:p>
    <w:p>
      <w:pPr>
        <w:ind w:left="8300"/>
        <w:spacing w:after="0"/>
        <w:tabs>
          <w:tab w:leader="none" w:pos="8700" w:val="left"/>
        </w:tabs>
        <w:rPr>
          <w:sz w:val="20"/>
          <w:szCs w:val="20"/>
          <w:color w:val="auto"/>
        </w:rPr>
      </w:pPr>
      <w:r>
        <w:rPr>
          <w:rFonts w:ascii="Times New Roman" w:cs="Times New Roman" w:eastAsia="Times New Roman" w:hAnsi="Times New Roman"/>
          <w:sz w:val="13"/>
          <w:szCs w:val="13"/>
          <w:b w:val="1"/>
          <w:bCs w:val="1"/>
          <w:color w:val="auto"/>
        </w:rPr>
        <w:t>FOR</w:t>
        <w:tab/>
        <w:t>AGAINST ABSTAIN</w:t>
      </w:r>
    </w:p>
    <w:p>
      <w:pPr>
        <w:spacing w:after="0" w:line="211" w:lineRule="exact"/>
        <w:rPr>
          <w:sz w:val="20"/>
          <w:szCs w:val="20"/>
          <w:color w:val="auto"/>
        </w:rPr>
      </w:pPr>
    </w:p>
    <w:p>
      <w:pPr>
        <w:ind w:left="440" w:right="4760" w:hanging="401"/>
        <w:spacing w:after="0" w:line="197" w:lineRule="auto"/>
        <w:tabs>
          <w:tab w:leader="none" w:pos="468" w:val="left"/>
        </w:tabs>
        <w:numPr>
          <w:ilvl w:val="0"/>
          <w:numId w:val="3"/>
        </w:numPr>
        <w:rPr>
          <w:rFonts w:ascii="Times New Roman" w:cs="Times New Roman" w:eastAsia="Times New Roman" w:hAnsi="Times New Roman"/>
          <w:sz w:val="30"/>
          <w:szCs w:val="30"/>
          <w:b w:val="1"/>
          <w:bCs w:val="1"/>
          <w:color w:val="auto"/>
          <w:vertAlign w:val="superscript"/>
        </w:rPr>
      </w:pPr>
      <w:r>
        <w:rPr>
          <w:sz w:val="1"/>
          <w:szCs w:val="1"/>
          <w:color w:val="auto"/>
        </w:rPr>
        <w:drawing>
          <wp:inline distT="0" distB="0" distL="0" distR="0">
            <wp:extent cx="257175" cy="120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120650"/>
                    </a:xfrm>
                    <a:prstGeom prst="rect">
                      <a:avLst/>
                    </a:prstGeom>
                    <a:noFill/>
                    <a:ln>
                      <a:noFill/>
                    </a:ln>
                  </pic:spPr>
                </pic:pic>
              </a:graphicData>
            </a:graphic>
          </wp:inline>
        </w:drawing>
        <w:drawing>
          <wp:inline distT="0" distB="0" distL="0" distR="0">
            <wp:extent cx="128905" cy="120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0650"/>
                    </a:xfrm>
                    <a:prstGeom prst="rect">
                      <a:avLst/>
                    </a:prstGeom>
                    <a:noFill/>
                    <a:ln>
                      <a:noFill/>
                    </a:ln>
                  </pic:spPr>
                </pic:pic>
              </a:graphicData>
            </a:graphic>
          </wp:inline>
        </w:drawing>
      </w:r>
      <w:r>
        <w:rPr>
          <w:rFonts w:ascii="Times New Roman" w:cs="Times New Roman" w:eastAsia="Times New Roman" w:hAnsi="Times New Roman"/>
          <w:sz w:val="15"/>
          <w:szCs w:val="15"/>
          <w:b w:val="1"/>
          <w:bCs w:val="1"/>
          <w:color w:val="auto"/>
        </w:rPr>
        <w:t>AS AN ORDINARY RESOLUTION THAT, the appointment of Mr. Tiezhu (David) Zhang as a director of the Company be and is hereby approved and ratified; and</w:t>
      </w:r>
    </w:p>
    <w:p>
      <w:pPr>
        <w:spacing w:after="0" w:line="195" w:lineRule="exact"/>
        <w:rPr>
          <w:rFonts w:ascii="Times New Roman" w:cs="Times New Roman" w:eastAsia="Times New Roman" w:hAnsi="Times New Roman"/>
          <w:sz w:val="30"/>
          <w:szCs w:val="30"/>
          <w:b w:val="1"/>
          <w:bCs w:val="1"/>
          <w:color w:val="auto"/>
          <w:vertAlign w:val="superscript"/>
        </w:rPr>
      </w:pPr>
    </w:p>
    <w:p>
      <w:pPr>
        <w:ind w:left="440" w:right="4580" w:hanging="401"/>
        <w:spacing w:after="0" w:line="214" w:lineRule="auto"/>
        <w:tabs>
          <w:tab w:leader="none" w:pos="468" w:val="left"/>
        </w:tabs>
        <w:numPr>
          <w:ilvl w:val="0"/>
          <w:numId w:val="3"/>
        </w:numPr>
        <w:rPr>
          <w:rFonts w:ascii="Times New Roman" w:cs="Times New Roman" w:eastAsia="Times New Roman" w:hAnsi="Times New Roman"/>
          <w:sz w:val="30"/>
          <w:szCs w:val="30"/>
          <w:b w:val="1"/>
          <w:bCs w:val="1"/>
          <w:color w:val="auto"/>
          <w:vertAlign w:val="superscript"/>
        </w:rPr>
      </w:pPr>
      <w:r>
        <w:rPr>
          <w:sz w:val="1"/>
          <w:szCs w:val="1"/>
          <w:color w:val="auto"/>
        </w:rPr>
        <w:drawing>
          <wp:inline distT="0" distB="0" distL="0" distR="0">
            <wp:extent cx="257175" cy="120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 cy="120650"/>
                    </a:xfrm>
                    <a:prstGeom prst="rect">
                      <a:avLst/>
                    </a:prstGeom>
                    <a:noFill/>
                    <a:ln>
                      <a:noFill/>
                    </a:ln>
                  </pic:spPr>
                </pic:pic>
              </a:graphicData>
            </a:graphic>
          </wp:inline>
        </w:drawing>
        <w:drawing>
          <wp:inline distT="0" distB="0" distL="0" distR="0">
            <wp:extent cx="128905" cy="120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0650"/>
                    </a:xfrm>
                    <a:prstGeom prst="rect">
                      <a:avLst/>
                    </a:prstGeom>
                    <a:noFill/>
                    <a:ln>
                      <a:noFill/>
                    </a:ln>
                  </pic:spPr>
                </pic:pic>
              </a:graphicData>
            </a:graphic>
          </wp:inline>
        </w:drawing>
      </w:r>
      <w:r>
        <w:rPr>
          <w:rFonts w:ascii="Times New Roman" w:cs="Times New Roman" w:eastAsia="Times New Roman" w:hAnsi="Times New Roman"/>
          <w:sz w:val="15"/>
          <w:szCs w:val="15"/>
          <w:b w:val="1"/>
          <w:bCs w:val="1"/>
          <w:color w:val="auto"/>
        </w:rPr>
        <w:t>AS AN ORDINARY RESOLUTION THAT, such other matters as may properly come before the Meeting or any adjournment or postponement thereof, be and are hereby approved.</w:t>
      </w:r>
    </w:p>
    <w:p>
      <w:pPr>
        <w:spacing w:after="0" w:line="200" w:lineRule="exact"/>
        <w:rPr>
          <w:sz w:val="20"/>
          <w:szCs w:val="20"/>
          <w:color w:val="auto"/>
        </w:rPr>
      </w:pPr>
    </w:p>
    <w:p>
      <w:pPr>
        <w:spacing w:after="0" w:line="397" w:lineRule="exact"/>
        <w:rPr>
          <w:sz w:val="20"/>
          <w:szCs w:val="20"/>
          <w:color w:val="auto"/>
        </w:rPr>
      </w:pPr>
    </w:p>
    <w:p>
      <w:pPr>
        <w:ind w:hanging="11"/>
        <w:spacing w:after="0" w:line="304" w:lineRule="auto"/>
        <w:rPr>
          <w:sz w:val="20"/>
          <w:szCs w:val="20"/>
          <w:color w:val="auto"/>
        </w:rPr>
      </w:pPr>
      <w:r>
        <w:rPr>
          <w:rFonts w:ascii="Times New Roman" w:cs="Times New Roman" w:eastAsia="Times New Roman" w:hAnsi="Times New Roman"/>
          <w:sz w:val="15"/>
          <w:szCs w:val="15"/>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Dated this __________ day of __________________2022.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Shareholder’s Signature: ____________________________ (</w:t>
      </w:r>
      <w:r>
        <w:rPr>
          <w:rFonts w:ascii="Times New Roman" w:cs="Times New Roman" w:eastAsia="Times New Roman" w:hAnsi="Times New Roman"/>
          <w:sz w:val="13"/>
          <w:szCs w:val="13"/>
          <w:b w:val="1"/>
          <w:bCs w:val="1"/>
          <w:i w:val="1"/>
          <w:iCs w:val="1"/>
          <w:color w:val="auto"/>
        </w:rPr>
        <w:t>notes (4) and (5)</w:t>
      </w:r>
      <w:r>
        <w:rPr>
          <w:rFonts w:ascii="Times New Roman" w:cs="Times New Roman" w:eastAsia="Times New Roman" w:hAnsi="Times New Roman"/>
          <w:sz w:val="13"/>
          <w:szCs w:val="13"/>
          <w:b w:val="1"/>
          <w:bCs w:val="1"/>
          <w:color w:val="auto"/>
        </w:rPr>
        <w: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320" w:hanging="319"/>
        <w:spacing w:after="0"/>
        <w:tabs>
          <w:tab w:leader="none" w:pos="320" w:val="left"/>
        </w:tabs>
        <w:numPr>
          <w:ilvl w:val="0"/>
          <w:numId w:val="4"/>
        </w:numPr>
        <w:rPr>
          <w:rFonts w:ascii="MS PGothic" w:cs="MS PGothic" w:eastAsia="MS PGothic" w:hAnsi="MS PGothic"/>
          <w:sz w:val="30"/>
          <w:szCs w:val="30"/>
          <w:color w:val="auto"/>
        </w:rPr>
      </w:pPr>
      <w:r>
        <w:rPr>
          <w:rFonts w:ascii="Times New Roman" w:cs="Times New Roman" w:eastAsia="Times New Roman" w:hAnsi="Times New Roman"/>
          <w:sz w:val="15"/>
          <w:szCs w:val="15"/>
          <w:b w:val="1"/>
          <w:bCs w:val="1"/>
          <w:color w:val="auto"/>
        </w:rPr>
        <w:t>Please tick here if you are appointing more than 1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 shares proxy appointed over.</w:t>
      </w:r>
    </w:p>
    <w:p>
      <w:pPr>
        <w:spacing w:after="0" w:line="228" w:lineRule="exact"/>
        <w:rPr>
          <w:sz w:val="20"/>
          <w:szCs w:val="20"/>
          <w:color w:val="auto"/>
        </w:rPr>
      </w:pPr>
    </w:p>
    <w:p>
      <w:pPr>
        <w:sectPr>
          <w:pgSz w:w="11900" w:h="16838" w:orient="portrait"/>
          <w:cols w:equalWidth="0" w:num="2">
            <w:col w:w="4360" w:space="720"/>
            <w:col w:w="6160"/>
          </w:cols>
          <w:pgMar w:left="320" w:top="119"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w:t>
      </w:r>
    </w:p>
    <w:p>
      <w:pPr>
        <w:spacing w:after="0" w:line="128" w:lineRule="exact"/>
        <w:rPr>
          <w:sz w:val="20"/>
          <w:szCs w:val="20"/>
          <w:color w:val="auto"/>
        </w:rPr>
      </w:pPr>
    </w:p>
    <w:p>
      <w:pPr>
        <w:ind w:left="660" w:hanging="659"/>
        <w:spacing w:after="0"/>
        <w:tabs>
          <w:tab w:leader="none" w:pos="66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Full name(s) and address(es) to be inserted in BLOCK CAPITAL LETTERS.</w:t>
      </w:r>
    </w:p>
    <w:p>
      <w:pPr>
        <w:spacing w:after="0" w:line="2" w:lineRule="exact"/>
        <w:rPr>
          <w:rFonts w:ascii="Times New Roman" w:cs="Times New Roman" w:eastAsia="Times New Roman" w:hAnsi="Times New Roman"/>
          <w:sz w:val="12"/>
          <w:szCs w:val="12"/>
          <w:i w:val="1"/>
          <w:iCs w:val="1"/>
          <w:color w:val="auto"/>
        </w:rPr>
      </w:pPr>
    </w:p>
    <w:p>
      <w:pPr>
        <w:ind w:left="660" w:hanging="659"/>
        <w:spacing w:after="0" w:line="220" w:lineRule="auto"/>
        <w:tabs>
          <w:tab w:leader="none" w:pos="66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Please insert the number of shares registered in your name(s) in each class; if no number is inserted, this form of proxy will be deemed to relate to all the Shares registered in your name(s).</w:t>
      </w:r>
    </w:p>
    <w:p>
      <w:pPr>
        <w:ind w:left="660" w:right="240" w:hanging="659"/>
        <w:spacing w:after="0" w:line="232" w:lineRule="auto"/>
        <w:tabs>
          <w:tab w:leader="none" w:pos="66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311150</wp:posOffset>
            </wp:positionV>
            <wp:extent cx="71824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136" w:lineRule="exact"/>
        <w:rPr>
          <w:sz w:val="20"/>
          <w:szCs w:val="20"/>
          <w:color w:val="auto"/>
        </w:rPr>
      </w:pPr>
    </w:p>
    <w:p>
      <w:pPr>
        <w:ind w:left="660" w:right="240" w:hanging="659"/>
        <w:spacing w:after="0" w:line="232"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ind w:left="660" w:right="240" w:hanging="659"/>
        <w:spacing w:after="0" w:line="220"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660" w:right="240" w:hanging="659"/>
        <w:spacing w:after="0" w:line="220"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ind w:left="660" w:right="240" w:hanging="659"/>
        <w:spacing w:after="0" w:line="220"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jc w:val="both"/>
        <w:ind w:left="660" w:right="240" w:hanging="659"/>
        <w:spacing w:after="0" w:line="220"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by email to ir@i-click.com as soon as possible and in any event no later than 9:00 a.m. December 18, 2022 (Hong Kong time), or 8:00 p.m. December 17, 2022 (New York time).</w:t>
      </w:r>
    </w:p>
    <w:p>
      <w:pPr>
        <w:ind w:left="660" w:hanging="659"/>
        <w:spacing w:after="0" w:line="220" w:lineRule="auto"/>
        <w:tabs>
          <w:tab w:leader="none" w:pos="660"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Any alterations made to this form should be initialled by the person who signs it.</w:t>
      </w:r>
    </w:p>
    <w:p>
      <w:pPr>
        <w:ind w:left="660" w:right="240" w:hanging="659"/>
        <w:spacing w:after="0" w:line="268" w:lineRule="auto"/>
        <w:tabs>
          <w:tab w:leader="none" w:pos="660" w:val="left"/>
        </w:tabs>
        <w:numPr>
          <w:ilvl w:val="0"/>
          <w:numId w:val="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2022-11-21T08:11:12Z</dcterms:created>
  <dcterms:modified xsi:type="dcterms:W3CDTF">2022-11-21T08:11:12Z</dcterms:modified>
</cp:coreProperties>
</file>