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Courier New" w:cs="Courier New" w:eastAsia="Courier New" w:hAnsi="Courier New"/>
          <w:sz w:val="12"/>
          <w:szCs w:val="12"/>
          <w:color w:val="auto"/>
        </w:rPr>
        <w:t>UNITED STATES</w:t>
      </w: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line="237" w:lineRule="auto"/>
        <w:rPr>
          <w:sz w:val="20"/>
          <w:szCs w:val="20"/>
          <w:color w:val="auto"/>
        </w:rPr>
      </w:pPr>
      <w:r>
        <w:rPr>
          <w:rFonts w:ascii="Courier New" w:cs="Courier New" w:eastAsia="Courier New" w:hAnsi="Courier New"/>
          <w:sz w:val="12"/>
          <w:szCs w:val="12"/>
          <w:color w:val="auto"/>
        </w:rPr>
        <w:t>Washington, D.C. 20549</w:t>
      </w: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___)*</w:t>
      </w:r>
    </w:p>
    <w:p>
      <w:pPr>
        <w:ind w:left="8"/>
        <w:spacing w:after="0"/>
        <w:rPr>
          <w:sz w:val="20"/>
          <w:szCs w:val="20"/>
          <w:color w:val="auto"/>
        </w:rPr>
      </w:pPr>
      <w:r>
        <w:rPr>
          <w:rFonts w:ascii="Courier New" w:cs="Courier New" w:eastAsia="Courier New" w:hAnsi="Courier New"/>
          <w:sz w:val="12"/>
          <w:szCs w:val="12"/>
          <w:color w:val="auto"/>
        </w:rPr>
        <w:t>iClick Interactive Asia Group Limited</w:t>
      </w:r>
    </w:p>
    <w:p>
      <w:pPr>
        <w:ind w:left="8"/>
        <w:spacing w:after="0" w:line="237" w:lineRule="auto"/>
        <w:rPr>
          <w:sz w:val="20"/>
          <w:szCs w:val="20"/>
          <w:color w:val="auto"/>
        </w:rPr>
      </w:pPr>
      <w:r>
        <w:rPr>
          <w:rFonts w:ascii="Courier New" w:cs="Courier New" w:eastAsia="Courier New" w:hAnsi="Courier New"/>
          <w:sz w:val="12"/>
          <w:szCs w:val="12"/>
          <w:color w:val="auto"/>
        </w:rPr>
        <w:t>(Name of Issuer)</w:t>
      </w:r>
    </w:p>
    <w:p>
      <w:pPr>
        <w:ind w:left="8"/>
        <w:spacing w:after="0"/>
        <w:rPr>
          <w:sz w:val="20"/>
          <w:szCs w:val="20"/>
          <w:color w:val="auto"/>
        </w:rPr>
      </w:pPr>
      <w:r>
        <w:rPr>
          <w:rFonts w:ascii="Courier New" w:cs="Courier New" w:eastAsia="Courier New" w:hAnsi="Courier New"/>
          <w:sz w:val="12"/>
          <w:szCs w:val="12"/>
          <w:color w:val="auto"/>
        </w:rPr>
        <w:t>Class A Ordinary Shares, Par Value of $0.001 per share</w:t>
      </w:r>
    </w:p>
    <w:p>
      <w:pPr>
        <w:ind w:left="8"/>
        <w:spacing w:after="0" w:line="237" w:lineRule="auto"/>
        <w:rPr>
          <w:sz w:val="20"/>
          <w:szCs w:val="20"/>
          <w:color w:val="auto"/>
        </w:rPr>
      </w:pPr>
      <w:r>
        <w:rPr>
          <w:rFonts w:ascii="Courier New" w:cs="Courier New" w:eastAsia="Courier New" w:hAnsi="Courier New"/>
          <w:sz w:val="12"/>
          <w:szCs w:val="12"/>
          <w:color w:val="auto"/>
        </w:rPr>
        <w:t>(Title of Class of Securities)</w:t>
      </w:r>
    </w:p>
    <w:p>
      <w:pPr>
        <w:ind w:left="8"/>
        <w:spacing w:after="0"/>
        <w:rPr>
          <w:sz w:val="20"/>
          <w:szCs w:val="20"/>
          <w:color w:val="auto"/>
        </w:rPr>
      </w:pPr>
      <w:r>
        <w:rPr>
          <w:rFonts w:ascii="Courier New" w:cs="Courier New" w:eastAsia="Courier New" w:hAnsi="Courier New"/>
          <w:sz w:val="12"/>
          <w:szCs w:val="12"/>
          <w:color w:val="auto"/>
        </w:rPr>
        <w:t>G47048 106</w:t>
      </w:r>
    </w:p>
    <w:p>
      <w:pPr>
        <w:ind w:left="8"/>
        <w:spacing w:after="0" w:line="237" w:lineRule="auto"/>
        <w:rPr>
          <w:sz w:val="20"/>
          <w:szCs w:val="20"/>
          <w:color w:val="auto"/>
        </w:rPr>
      </w:pPr>
      <w:r>
        <w:rPr>
          <w:rFonts w:ascii="Courier New" w:cs="Courier New" w:eastAsia="Courier New" w:hAnsi="Courier New"/>
          <w:sz w:val="12"/>
          <w:szCs w:val="12"/>
          <w:color w:val="auto"/>
        </w:rPr>
        <w:t>(CUSIP Number)</w:t>
      </w:r>
    </w:p>
    <w:p>
      <w:pPr>
        <w:ind w:left="8"/>
        <w:spacing w:after="0"/>
        <w:rPr>
          <w:sz w:val="20"/>
          <w:szCs w:val="20"/>
          <w:color w:val="auto"/>
        </w:rPr>
      </w:pPr>
      <w:r>
        <w:rPr>
          <w:rFonts w:ascii="Courier New" w:cs="Courier New" w:eastAsia="Courier New" w:hAnsi="Courier New"/>
          <w:sz w:val="12"/>
          <w:szCs w:val="12"/>
          <w:color w:val="auto"/>
        </w:rPr>
        <w:t>December 6, 2018</w:t>
      </w:r>
    </w:p>
    <w:p>
      <w:pPr>
        <w:ind w:left="8"/>
        <w:spacing w:after="0" w:line="237" w:lineRule="auto"/>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w:t>
      </w:r>
    </w:p>
    <w:p>
      <w:pPr>
        <w:ind w:left="8"/>
        <w:spacing w:after="0"/>
        <w:rPr>
          <w:sz w:val="20"/>
          <w:szCs w:val="20"/>
          <w:color w:val="auto"/>
        </w:rPr>
      </w:pPr>
      <w:r>
        <w:rPr>
          <w:rFonts w:ascii="Courier New" w:cs="Courier New" w:eastAsia="Courier New" w:hAnsi="Courier New"/>
          <w:sz w:val="12"/>
          <w:szCs w:val="12"/>
          <w:color w:val="auto"/>
        </w:rPr>
        <w:t>to which this Schedule is filed:</w:t>
      </w:r>
    </w:p>
    <w:p>
      <w:pPr>
        <w:spacing w:after="0" w:line="133"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Rule 13d-1(b)</w:t>
      </w:r>
    </w:p>
    <w:p>
      <w:pPr>
        <w:spacing w:after="0" w:line="139" w:lineRule="exact"/>
        <w:rPr>
          <w:sz w:val="24"/>
          <w:szCs w:val="24"/>
          <w:color w:val="auto"/>
        </w:rPr>
      </w:pPr>
    </w:p>
    <w:p>
      <w:pPr>
        <w:jc w:val="both"/>
        <w:ind w:left="568" w:right="9700" w:hanging="6"/>
        <w:spacing w:after="0" w:line="520" w:lineRule="auto"/>
        <w:tabs>
          <w:tab w:leader="none" w:pos="919"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Rule 13d-1(c) [ ] Rule 13d-1(d)</w:t>
      </w:r>
    </w:p>
    <w:p>
      <w:pPr>
        <w:ind w:left="8" w:right="700"/>
        <w:spacing w:after="0" w:line="235" w:lineRule="auto"/>
        <w:rPr>
          <w:sz w:val="20"/>
          <w:szCs w:val="20"/>
          <w:color w:val="auto"/>
        </w:rPr>
      </w:pPr>
      <w:r>
        <w:rPr>
          <w:rFonts w:ascii="Courier New" w:cs="Courier New" w:eastAsia="Courier New" w:hAnsi="Courier New"/>
          <w:sz w:val="12"/>
          <w:szCs w:val="1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ind w:left="8"/>
        <w:spacing w:after="0" w:line="235"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 otherwise subject to the liabilities of that section of the Act but shall be subject to all other provisions of the Act however, see the Notes.</w:t>
      </w:r>
    </w:p>
    <w:p>
      <w:pPr>
        <w:spacing w:after="0" w:line="270"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20"/>
                <w:szCs w:val="20"/>
                <w:color w:val="auto"/>
              </w:rPr>
            </w:pPr>
            <w:r>
              <w:rPr>
                <w:rFonts w:ascii="Courier New" w:cs="Courier New" w:eastAsia="Courier New" w:hAnsi="Courier New"/>
                <w:sz w:val="12"/>
                <w:szCs w:val="12"/>
                <w:color w:val="auto"/>
              </w:rPr>
              <w:t>SCHEDULE 13G</w:t>
            </w:r>
          </w:p>
        </w:tc>
        <w:tc>
          <w:tcPr>
            <w:tcW w:w="84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CUSIP No.</w:t>
            </w: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w w:val="94"/>
              </w:rPr>
              <w:t>G47048 106</w:t>
            </w:r>
          </w:p>
        </w:tc>
      </w:tr>
    </w:tbl>
    <w:p>
      <w:pPr>
        <w:spacing w:after="0" w:line="139" w:lineRule="exact"/>
        <w:rPr>
          <w:sz w:val="24"/>
          <w:szCs w:val="24"/>
          <w:color w:val="auto"/>
        </w:rPr>
      </w:pPr>
    </w:p>
    <w:p>
      <w:pPr>
        <w:ind w:left="1128" w:right="8580" w:hanging="566"/>
        <w:spacing w:after="0" w:line="235" w:lineRule="auto"/>
        <w:tabs>
          <w:tab w:leader="none" w:pos="112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 Jiping Liu</w:t>
      </w:r>
    </w:p>
    <w:p>
      <w:pPr>
        <w:ind w:left="1128" w:hanging="566"/>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128" w:hanging="566"/>
        <w:spacing w:after="0" w:line="237" w:lineRule="auto"/>
        <w:tabs>
          <w:tab w:leader="none" w:pos="112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Peoples Republic of China</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4" w:lineRule="exact"/>
        <w:rPr>
          <w:sz w:val="24"/>
          <w:szCs w:val="24"/>
          <w:color w:val="auto"/>
        </w:rPr>
      </w:pPr>
    </w:p>
    <w:p>
      <w:pPr>
        <w:ind w:left="1128" w:hanging="566"/>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w:t>
      </w:r>
    </w:p>
    <w:p>
      <w:pPr>
        <w:ind w:left="1128"/>
        <w:spacing w:after="0"/>
        <w:rPr>
          <w:sz w:val="20"/>
          <w:szCs w:val="20"/>
          <w:color w:val="auto"/>
        </w:rPr>
      </w:pPr>
      <w:r>
        <w:rPr>
          <w:rFonts w:ascii="Courier New" w:cs="Courier New" w:eastAsia="Courier New" w:hAnsi="Courier New"/>
          <w:sz w:val="12"/>
          <w:szCs w:val="12"/>
          <w:color w:val="auto"/>
        </w:rPr>
        <w:t>541,750</w:t>
      </w:r>
    </w:p>
    <w:p>
      <w:pPr>
        <w:spacing w:after="0" w:line="3" w:lineRule="exact"/>
        <w:rPr>
          <w:sz w:val="24"/>
          <w:szCs w:val="24"/>
          <w:color w:val="auto"/>
        </w:rPr>
      </w:pPr>
    </w:p>
    <w:p>
      <w:pPr>
        <w:ind w:left="1128" w:right="9060" w:hanging="566"/>
        <w:spacing w:after="0" w:line="235" w:lineRule="auto"/>
        <w:tabs>
          <w:tab w:leader="none" w:pos="1128"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 2,011,997</w:t>
      </w:r>
    </w:p>
    <w:p>
      <w:pPr>
        <w:spacing w:after="0" w:line="4" w:lineRule="exact"/>
        <w:rPr>
          <w:sz w:val="24"/>
          <w:szCs w:val="24"/>
          <w:color w:val="auto"/>
        </w:rPr>
      </w:pPr>
    </w:p>
    <w:p>
      <w:pPr>
        <w:ind w:left="1128" w:right="8860" w:hanging="566"/>
        <w:spacing w:after="0" w:line="235" w:lineRule="auto"/>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541,750</w:t>
      </w:r>
    </w:p>
    <w:p>
      <w:pPr>
        <w:ind w:left="1128" w:hanging="566"/>
        <w:spacing w:after="0"/>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line="237" w:lineRule="auto"/>
        <w:rPr>
          <w:sz w:val="20"/>
          <w:szCs w:val="20"/>
          <w:color w:val="auto"/>
        </w:rPr>
      </w:pPr>
      <w:r>
        <w:rPr>
          <w:rFonts w:ascii="Courier New" w:cs="Courier New" w:eastAsia="Courier New" w:hAnsi="Courier New"/>
          <w:sz w:val="12"/>
          <w:szCs w:val="12"/>
          <w:color w:val="auto"/>
        </w:rPr>
        <w:t>2,011,997</w:t>
      </w:r>
    </w:p>
    <w:p>
      <w:pPr>
        <w:spacing w:after="0" w:line="4" w:lineRule="exact"/>
        <w:rPr>
          <w:sz w:val="24"/>
          <w:szCs w:val="24"/>
          <w:color w:val="auto"/>
        </w:rPr>
      </w:pPr>
    </w:p>
    <w:p>
      <w:pPr>
        <w:ind w:left="1128" w:right="6180" w:hanging="566"/>
        <w:spacing w:after="0" w:line="235" w:lineRule="auto"/>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2,553,747</w:t>
      </w:r>
    </w:p>
    <w:p>
      <w:pPr>
        <w:spacing w:after="0" w:line="4" w:lineRule="exact"/>
        <w:rPr>
          <w:sz w:val="24"/>
          <w:szCs w:val="24"/>
          <w:color w:val="auto"/>
        </w:rPr>
      </w:pPr>
    </w:p>
    <w:p>
      <w:pPr>
        <w:ind w:left="1128" w:right="7320" w:hanging="566"/>
        <w:spacing w:after="0" w:line="260" w:lineRule="auto"/>
        <w:tabs>
          <w:tab w:leader="none" w:pos="112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8.31%</w:t>
      </w: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w:t>
      </w:r>
    </w:p>
    <w:p>
      <w:pPr>
        <w:ind w:left="8"/>
        <w:spacing w:after="0" w:line="237" w:lineRule="auto"/>
        <w:rPr>
          <w:sz w:val="20"/>
          <w:szCs w:val="20"/>
          <w:color w:val="auto"/>
        </w:rPr>
      </w:pPr>
      <w:r>
        <w:rPr>
          <w:rFonts w:ascii="Courier New" w:cs="Courier New" w:eastAsia="Courier New" w:hAnsi="Courier New"/>
          <w:sz w:val="12"/>
          <w:szCs w:val="12"/>
          <w:color w:val="auto"/>
        </w:rPr>
        <w:t>?</w:t>
      </w:r>
    </w:p>
    <w:p>
      <w:pPr>
        <w:ind w:left="8"/>
        <w:spacing w:after="0"/>
        <w:rPr>
          <w:sz w:val="20"/>
          <w:szCs w:val="20"/>
          <w:color w:val="auto"/>
        </w:rPr>
      </w:pPr>
      <w:r>
        <w:rPr>
          <w:rFonts w:ascii="Courier New" w:cs="Courier New" w:eastAsia="Courier New" w:hAnsi="Courier New"/>
          <w:sz w:val="12"/>
          <w:szCs w:val="12"/>
          <w:color w:val="auto"/>
        </w:rPr>
        <w:t>Item 1.</w:t>
      </w:r>
    </w:p>
    <w:p>
      <w:pPr>
        <w:ind w:left="568" w:hanging="568"/>
        <w:spacing w:after="0" w:line="237" w:lineRule="auto"/>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iClick Interactive Asia Group Limited</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Issuers Principal Executive Offices:</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15/F, Prosperity Millennia Plaza, 663 Kings Road, Quarry Bay, Hong Kong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2.</w:t>
      </w:r>
    </w:p>
    <w:p>
      <w:pPr>
        <w:spacing w:after="0" w:line="4" w:lineRule="exact"/>
        <w:rPr>
          <w:sz w:val="24"/>
          <w:szCs w:val="24"/>
          <w:color w:val="auto"/>
        </w:rPr>
      </w:pPr>
    </w:p>
    <w:p>
      <w:pPr>
        <w:ind w:left="568" w:right="9280" w:hanging="568"/>
        <w:spacing w:after="0" w:line="273" w:lineRule="auto"/>
        <w:tabs>
          <w:tab w:leader="none" w:pos="56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Valuable Capital Limited</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Principal Business Office or, if None, Residence:</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Room 2807-2809, 28/F, China Merchants Tower, Shun Tak Centre, 168-200 Connaught Road Central, Hong Kong</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w:t>
      </w:r>
      <w:r>
        <w:rPr>
          <w:rFonts w:ascii="Courier New" w:cs="Courier New" w:eastAsia="Courier New" w:hAnsi="Courier New"/>
          <w:sz w:val="11"/>
          <w:szCs w:val="11"/>
          <w:color w:val="auto"/>
        </w:rPr>
        <w:t>Hong Kong</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and Class of Securities: Class A ordinary shares, par value of US$0.001 per share</w:t>
      </w:r>
    </w:p>
    <w:p>
      <w:pPr>
        <w:spacing w:after="0" w:line="134" w:lineRule="exact"/>
        <w:rPr>
          <w:sz w:val="24"/>
          <w:szCs w:val="24"/>
          <w:color w:val="auto"/>
        </w:rPr>
      </w:pPr>
    </w:p>
    <w:p>
      <w:pPr>
        <w:ind w:left="8"/>
        <w:spacing w:after="0"/>
        <w:tabs>
          <w:tab w:leader="none" w:pos="548" w:val="left"/>
          <w:tab w:leader="none" w:pos="1668" w:val="left"/>
        </w:tabs>
        <w:rPr>
          <w:sz w:val="20"/>
          <w:szCs w:val="20"/>
          <w:color w:val="auto"/>
        </w:rPr>
      </w:pPr>
      <w:r>
        <w:rPr>
          <w:rFonts w:ascii="Courier New" w:cs="Courier New" w:eastAsia="Courier New" w:hAnsi="Courier New"/>
          <w:sz w:val="12"/>
          <w:szCs w:val="12"/>
          <w:color w:val="auto"/>
        </w:rPr>
        <w:t>(e)</w:t>
      </w:r>
      <w:r>
        <w:rPr>
          <w:sz w:val="20"/>
          <w:szCs w:val="20"/>
          <w:color w:val="auto"/>
        </w:rPr>
        <w:tab/>
      </w: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G47048 106</w:t>
      </w:r>
    </w:p>
    <w:p>
      <w:pPr>
        <w:spacing w:after="0" w:line="139" w:lineRule="exact"/>
        <w:rPr>
          <w:sz w:val="24"/>
          <w:szCs w:val="24"/>
          <w:color w:val="auto"/>
        </w:rPr>
      </w:pPr>
    </w:p>
    <w:p>
      <w:pPr>
        <w:ind w:left="1128" w:right="5140" w:hanging="1123"/>
        <w:spacing w:after="0" w:line="235" w:lineRule="auto"/>
        <w:tabs>
          <w:tab w:leader="none" w:pos="11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2"/>
          <w:szCs w:val="12"/>
          <w:color w:val="auto"/>
        </w:rPr>
        <w:t>If this statement is filed pursuant to 240.13d-1(b) or 240.13d-2(b) or (c), check whether the person filing is a:</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Broker or dealer registered under Section 15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Bank as defined in Section 3(a)(6)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Insurance company as defined in Section 3(a)(19) of the Act;</w:t>
      </w:r>
    </w:p>
    <w:p>
      <w:pPr>
        <w:spacing w:after="0" w:line="2" w:lineRule="exact"/>
        <w:rPr>
          <w:rFonts w:ascii="Courier New" w:cs="Courier New" w:eastAsia="Courier New" w:hAnsi="Courier New"/>
          <w:sz w:val="12"/>
          <w:szCs w:val="12"/>
          <w:color w:val="auto"/>
        </w:rPr>
      </w:pPr>
    </w:p>
    <w:p>
      <w:pPr>
        <w:ind w:left="1128" w:right="6760" w:hanging="1128"/>
        <w:spacing w:after="0" w:line="235" w:lineRule="auto"/>
        <w:tabs>
          <w:tab w:leader="none" w:pos="566"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[_]Investment company registered under Section 8 of the Investment Company Act of 1940;</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r>
        <w:rPr>
          <w:rFonts w:ascii="Courier New" w:cs="Courier New" w:eastAsia="Courier New" w:hAnsi="Courier New"/>
          <w:sz w:val="11"/>
          <w:szCs w:val="11"/>
          <w:color w:val="auto"/>
        </w:rPr>
        <w:t>An investment adviser in accordance with Rule 13d-1(b)(1)(ii)(E);</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An employee benefit plan or endowment fund</w:t>
      </w:r>
    </w:p>
    <w:p>
      <w:pPr>
        <w:ind w:left="1128"/>
        <w:spacing w:after="0" w:line="237" w:lineRule="auto"/>
        <w:rPr>
          <w:sz w:val="20"/>
          <w:szCs w:val="20"/>
          <w:color w:val="auto"/>
        </w:rPr>
      </w:pPr>
      <w:r>
        <w:rPr>
          <w:rFonts w:ascii="Courier New" w:cs="Courier New" w:eastAsia="Courier New" w:hAnsi="Courier New"/>
          <w:sz w:val="12"/>
          <w:szCs w:val="12"/>
          <w:color w:val="auto"/>
        </w:rPr>
        <w:t>in accordance with Rule 13d-1(b)(1)(ii)(F);</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parent holding company or control person in accordance with Rule 13d-1(b)(1)(ii)(G);</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savings associations as defined in Section 3(b) of the</w:t>
      </w:r>
    </w:p>
    <w:p>
      <w:pPr>
        <w:spacing w:after="0" w:line="133" w:lineRule="exact"/>
        <w:rPr>
          <w:sz w:val="24"/>
          <w:szCs w:val="24"/>
          <w:color w:val="auto"/>
        </w:rPr>
      </w:pPr>
    </w:p>
    <w:p>
      <w:pPr>
        <w:ind w:left="568" w:hanging="568"/>
        <w:spacing w:after="0"/>
        <w:tabs>
          <w:tab w:leader="none" w:pos="56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church plan that is excluded from the definition of</w:t>
      </w:r>
    </w:p>
    <w:p>
      <w:pPr>
        <w:ind w:left="1128"/>
        <w:spacing w:after="0"/>
        <w:rPr>
          <w:sz w:val="20"/>
          <w:szCs w:val="20"/>
          <w:color w:val="auto"/>
        </w:rPr>
      </w:pPr>
      <w:r>
        <w:rPr>
          <w:rFonts w:ascii="Courier New" w:cs="Courier New" w:eastAsia="Courier New" w:hAnsi="Courier New"/>
          <w:sz w:val="12"/>
          <w:szCs w:val="12"/>
          <w:color w:val="auto"/>
        </w:rPr>
        <w:t>an investment company under section 3(c)(14) of the Investment Company Act of 1940;</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non-U.S. institution in accordance with Rule 240.13d-1(b)(1)(ii)(J);</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Group, in accordance with Rule 240.13d-1(b)(1)(ii)(K). If filing as a non-U.S. institution in accordance with Rule 240.13d-1(b)(1)(ii)(J), please sp</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4" w:lineRule="exact"/>
        <w:rPr>
          <w:sz w:val="24"/>
          <w:szCs w:val="24"/>
          <w:color w:val="auto"/>
        </w:rPr>
      </w:pP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568" w:hanging="568"/>
        <w:spacing w:after="0" w:line="237" w:lineRule="auto"/>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w:t>
      </w:r>
    </w:p>
    <w:p>
      <w:pPr>
        <w:ind w:left="568" w:hanging="568"/>
        <w:spacing w:after="0"/>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sectPr>
          <w:pgSz w:w="11900" w:h="16838" w:orient="portrait"/>
          <w:cols w:equalWidth="0" w:num="1">
            <w:col w:w="11528"/>
          </w:cols>
          <w:pgMar w:left="212" w:top="614" w:right="159" w:bottom="0" w:gutter="0" w:footer="0" w:header="0"/>
        </w:sectPr>
      </w:pPr>
    </w:p>
    <w:p>
      <w:pPr>
        <w:spacing w:after="0" w:line="273"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Reporting Person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Amount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Beneficially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Percent of Class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Sole Power to Vote or Direct to Vote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Shared Power to Vote or to Direct the Vote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Sole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Shared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11" w:lineRule="exact"/>
        <w:rPr>
          <w:sz w:val="24"/>
          <w:szCs w:val="24"/>
          <w:color w:val="auto"/>
        </w:rPr>
      </w:pPr>
    </w:p>
    <w:p>
      <w:pPr>
        <w:sectPr>
          <w:pgSz w:w="11900" w:h="16838" w:orient="portrait"/>
          <w:cols w:equalWidth="0" w:num="7">
            <w:col w:w="1128" w:space="560"/>
            <w:col w:w="840" w:space="280"/>
            <w:col w:w="560" w:space="220"/>
            <w:col w:w="1260" w:space="220"/>
            <w:col w:w="1460" w:space="220"/>
            <w:col w:w="2240" w:space="220"/>
            <w:col w:w="2320"/>
          </w:cols>
          <w:pgMar w:left="212" w:top="614" w:right="159" w:bottom="0" w:gutter="0" w:footer="0" w:header="0"/>
          <w:type w:val="continuous"/>
        </w:sectPr>
      </w:pPr>
    </w:p>
    <w:p>
      <w:pPr>
        <w:ind w:left="1688"/>
        <w:spacing w:after="0"/>
        <w:rPr>
          <w:sz w:val="20"/>
          <w:szCs w:val="20"/>
          <w:color w:val="auto"/>
        </w:rPr>
      </w:pPr>
      <w:r>
        <w:rPr>
          <w:rFonts w:ascii="Courier New" w:cs="Courier New" w:eastAsia="Courier New" w:hAnsi="Courier New"/>
          <w:sz w:val="11"/>
          <w:szCs w:val="11"/>
          <w:color w:val="auto"/>
        </w:rPr>
        <w:t>Owned</w:t>
      </w:r>
    </w:p>
    <w:p>
      <w:pPr>
        <w:sectPr>
          <w:pgSz w:w="11900" w:h="16838" w:orient="portrait"/>
          <w:cols w:equalWidth="0" w:num="1">
            <w:col w:w="11528"/>
          </w:cols>
          <w:pgMar w:left="212" w:top="614" w:right="1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1460" w:type="dxa"/>
            <w:vAlign w:val="bottom"/>
          </w:tcPr>
          <w:p>
            <w:pPr>
              <w:spacing w:after="0"/>
              <w:rPr>
                <w:sz w:val="20"/>
                <w:szCs w:val="20"/>
                <w:color w:val="auto"/>
              </w:rPr>
            </w:pPr>
            <w:r>
              <w:rPr>
                <w:rFonts w:ascii="Courier New" w:cs="Courier New" w:eastAsia="Courier New" w:hAnsi="Courier New"/>
                <w:sz w:val="12"/>
                <w:szCs w:val="12"/>
                <w:color w:val="auto"/>
              </w:rPr>
              <w:t>Jiping Liu</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2,553,747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8.31%</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541,750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541,750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Maestro Investment</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2,011,997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6.55%</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Holdings Limited</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If this statement is being filed to report the fact that as of the date hereof the reporting person has ceased to be the beneficial owner of more than five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8" w:lineRule="exact"/>
        <w:rPr>
          <w:sz w:val="20"/>
          <w:szCs w:val="20"/>
          <w:color w:val="auto"/>
        </w:rPr>
      </w:pPr>
    </w:p>
    <w:p>
      <w:pPr>
        <w:ind w:left="560" w:right="620" w:hanging="561"/>
        <w:spacing w:after="0" w:line="235"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 or control person. Not applicable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Notice of Dissolution of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10.Certifications.</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After reasonable inquiry and to the best of my knowledge and belief, I certify that the information set forth in this statement is true, complete and correct.</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1"/>
          <w:szCs w:val="11"/>
          <w:color w:val="auto"/>
        </w:rPr>
        <w:t>Dec 4, 2018</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/s/Anthony Chan</w:t>
      </w:r>
    </w:p>
    <w:p>
      <w:pPr>
        <w:spacing w:after="0"/>
        <w:tabs>
          <w:tab w:leader="none" w:pos="54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Anthony Chan</w:t>
      </w:r>
    </w:p>
    <w:p>
      <w:pPr>
        <w:spacing w:after="0" w:line="237" w:lineRule="auto"/>
        <w:tabs>
          <w:tab w:leader="none" w:pos="540" w:val="left"/>
        </w:tabs>
        <w:rPr>
          <w:sz w:val="20"/>
          <w:szCs w:val="20"/>
          <w:color w:val="auto"/>
        </w:rPr>
      </w:pPr>
      <w:r>
        <w:rPr>
          <w:rFonts w:ascii="Courier New" w:cs="Courier New" w:eastAsia="Courier New" w:hAnsi="Courier New"/>
          <w:sz w:val="12"/>
          <w:szCs w:val="12"/>
          <w:color w:val="auto"/>
        </w:rPr>
        <w:t>Title:</w:t>
        <w:tab/>
        <w:t>Director</w:t>
      </w:r>
    </w:p>
    <w:sectPr>
      <w:pgSz w:w="11900" w:h="16838" w:orient="portrait"/>
      <w:cols w:equalWidth="0" w:num="1">
        <w:col w:w="11440"/>
      </w:cols>
      <w:pgMar w:left="220" w:top="1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7"/>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2019-12-08T16:37:07Z</dcterms:created>
  <dcterms:modified xsi:type="dcterms:W3CDTF">2019-12-08T16:37:07Z</dcterms:modified>
</cp:coreProperties>
</file>