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0"/>
          <w:szCs w:val="20"/>
          <w:b w:val="1"/>
          <w:bCs w:val="1"/>
          <w:color w:val="auto"/>
        </w:rPr>
        <w:t>UNITED STATES</w:t>
      </w:r>
    </w:p>
    <w:p>
      <w:pPr>
        <w:jc w:val="center"/>
        <w:ind w:right="-339"/>
        <w:spacing w:after="0" w:line="238" w:lineRule="auto"/>
        <w:rPr>
          <w:sz w:val="20"/>
          <w:szCs w:val="20"/>
          <w:color w:val="auto"/>
        </w:rPr>
      </w:pPr>
      <w:r>
        <w:rPr>
          <w:rFonts w:ascii="Arial" w:cs="Arial" w:eastAsia="Arial" w:hAnsi="Arial"/>
          <w:sz w:val="20"/>
          <w:szCs w:val="20"/>
          <w:b w:val="1"/>
          <w:bCs w:val="1"/>
          <w:color w:val="auto"/>
        </w:rPr>
        <w:t>SECURITIES AND EXCHANGE COMMISSION</w:t>
      </w:r>
    </w:p>
    <w:p>
      <w:pPr>
        <w:ind w:left="4700"/>
        <w:spacing w:after="0"/>
        <w:rPr>
          <w:sz w:val="20"/>
          <w:szCs w:val="20"/>
          <w:color w:val="auto"/>
        </w:rPr>
      </w:pPr>
      <w:r>
        <w:rPr>
          <w:rFonts w:ascii="Arial" w:cs="Arial" w:eastAsia="Arial" w:hAnsi="Arial"/>
          <w:sz w:val="16"/>
          <w:szCs w:val="16"/>
          <w:b w:val="1"/>
          <w:bCs w:val="1"/>
          <w:color w:val="auto"/>
        </w:rPr>
        <w:t>Washington, D.C. 20549</w:t>
      </w:r>
    </w:p>
    <w:p>
      <w:pPr>
        <w:spacing w:after="0" w:line="135" w:lineRule="exact"/>
        <w:rPr>
          <w:sz w:val="24"/>
          <w:szCs w:val="24"/>
          <w:color w:val="auto"/>
        </w:rPr>
      </w:pPr>
    </w:p>
    <w:p>
      <w:pPr>
        <w:jc w:val="center"/>
        <w:ind w:right="-379"/>
        <w:spacing w:after="0"/>
        <w:rPr>
          <w:sz w:val="20"/>
          <w:szCs w:val="20"/>
          <w:color w:val="auto"/>
        </w:rPr>
      </w:pPr>
      <w:r>
        <w:rPr>
          <w:rFonts w:ascii="Arial" w:cs="Arial" w:eastAsia="Arial" w:hAnsi="Arial"/>
          <w:sz w:val="20"/>
          <w:szCs w:val="20"/>
          <w:b w:val="1"/>
          <w:bCs w:val="1"/>
          <w:color w:val="auto"/>
        </w:rPr>
        <w:t>SCHEDULE 13G/A</w:t>
      </w:r>
    </w:p>
    <w:p>
      <w:pPr>
        <w:spacing w:after="0" w:line="168"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0"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(Amendment No.3)*</w:t>
      </w:r>
    </w:p>
    <w:p>
      <w:pPr>
        <w:spacing w:after="0" w:line="130" w:lineRule="exact"/>
        <w:rPr>
          <w:sz w:val="24"/>
          <w:szCs w:val="24"/>
          <w:color w:val="auto"/>
        </w:rPr>
      </w:pPr>
    </w:p>
    <w:p>
      <w:pPr>
        <w:jc w:val="center"/>
        <w:ind w:right="-37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57"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(Name of Issuer)</w:t>
      </w:r>
    </w:p>
    <w:p>
      <w:pPr>
        <w:spacing w:after="0" w:line="158" w:lineRule="exact"/>
        <w:rPr>
          <w:sz w:val="24"/>
          <w:szCs w:val="24"/>
          <w:color w:val="auto"/>
        </w:rPr>
      </w:pPr>
    </w:p>
    <w:p>
      <w:pPr>
        <w:ind w:left="3560"/>
        <w:spacing w:after="0"/>
        <w:rPr>
          <w:sz w:val="20"/>
          <w:szCs w:val="20"/>
          <w:color w:val="auto"/>
        </w:rPr>
      </w:pPr>
      <w:r>
        <w:rPr>
          <w:rFonts w:ascii="Arial" w:cs="Arial" w:eastAsia="Arial" w:hAnsi="Arial"/>
          <w:sz w:val="16"/>
          <w:szCs w:val="16"/>
          <w:b w:val="1"/>
          <w:bCs w:val="1"/>
          <w:color w:val="auto"/>
        </w:rPr>
        <w:t>Class A ordinary shares, par value of $0.001 per share</w:t>
      </w:r>
    </w:p>
    <w:p>
      <w:pPr>
        <w:spacing w:after="0" w:line="50" w:lineRule="exact"/>
        <w:rPr>
          <w:sz w:val="24"/>
          <w:szCs w:val="24"/>
          <w:color w:val="auto"/>
        </w:rPr>
      </w:pPr>
    </w:p>
    <w:p>
      <w:pPr>
        <w:ind w:left="4640"/>
        <w:spacing w:after="0"/>
        <w:rPr>
          <w:sz w:val="20"/>
          <w:szCs w:val="20"/>
          <w:color w:val="auto"/>
        </w:rPr>
      </w:pPr>
      <w:r>
        <w:rPr>
          <w:rFonts w:ascii="Arial" w:cs="Arial" w:eastAsia="Arial" w:hAnsi="Arial"/>
          <w:sz w:val="16"/>
          <w:szCs w:val="16"/>
          <w:color w:val="auto"/>
        </w:rPr>
        <w:t>(Title of Class of Securities)</w:t>
      </w:r>
    </w:p>
    <w:p>
      <w:pPr>
        <w:spacing w:after="0" w:line="158" w:lineRule="exact"/>
        <w:rPr>
          <w:sz w:val="24"/>
          <w:szCs w:val="24"/>
          <w:color w:val="auto"/>
        </w:rPr>
      </w:pPr>
    </w:p>
    <w:p>
      <w:pPr>
        <w:ind w:left="5180"/>
        <w:spacing w:after="0"/>
        <w:rPr>
          <w:sz w:val="20"/>
          <w:szCs w:val="20"/>
          <w:color w:val="auto"/>
        </w:rPr>
      </w:pPr>
      <w:r>
        <w:rPr>
          <w:rFonts w:ascii="Arial" w:cs="Arial" w:eastAsia="Arial" w:hAnsi="Arial"/>
          <w:sz w:val="16"/>
          <w:szCs w:val="16"/>
          <w:b w:val="1"/>
          <w:bCs w:val="1"/>
          <w:color w:val="auto"/>
        </w:rPr>
        <w:t>G47048 106</w:t>
      </w:r>
    </w:p>
    <w:p>
      <w:pPr>
        <w:spacing w:after="0" w:line="50" w:lineRule="exact"/>
        <w:rPr>
          <w:sz w:val="24"/>
          <w:szCs w:val="24"/>
          <w:color w:val="auto"/>
        </w:rPr>
      </w:pPr>
    </w:p>
    <w:p>
      <w:pPr>
        <w:ind w:left="5020"/>
        <w:spacing w:after="0"/>
        <w:rPr>
          <w:sz w:val="20"/>
          <w:szCs w:val="20"/>
          <w:color w:val="auto"/>
        </w:rPr>
      </w:pPr>
      <w:r>
        <w:rPr>
          <w:rFonts w:ascii="Arial" w:cs="Arial" w:eastAsia="Arial" w:hAnsi="Arial"/>
          <w:sz w:val="16"/>
          <w:szCs w:val="16"/>
          <w:color w:val="auto"/>
        </w:rPr>
        <w:t>(CUSIP Number)</w:t>
      </w:r>
    </w:p>
    <w:p>
      <w:pPr>
        <w:spacing w:after="0" w:line="158" w:lineRule="exact"/>
        <w:rPr>
          <w:sz w:val="24"/>
          <w:szCs w:val="24"/>
          <w:color w:val="auto"/>
        </w:rPr>
      </w:pPr>
    </w:p>
    <w:p>
      <w:pPr>
        <w:ind w:left="4900"/>
        <w:spacing w:after="0"/>
        <w:rPr>
          <w:sz w:val="20"/>
          <w:szCs w:val="20"/>
          <w:color w:val="auto"/>
        </w:rPr>
      </w:pPr>
      <w:r>
        <w:rPr>
          <w:rFonts w:ascii="Arial" w:cs="Arial" w:eastAsia="Arial" w:hAnsi="Arial"/>
          <w:sz w:val="16"/>
          <w:szCs w:val="16"/>
          <w:b w:val="1"/>
          <w:bCs w:val="1"/>
          <w:color w:val="auto"/>
        </w:rPr>
        <w:t>December 31, 2021</w:t>
      </w:r>
    </w:p>
    <w:p>
      <w:pPr>
        <w:spacing w:after="0" w:line="50"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(Date of Event Which Requires Filing of this Statement)</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57" w:lineRule="exact"/>
        <w:rPr>
          <w:sz w:val="24"/>
          <w:szCs w:val="24"/>
          <w:color w:val="auto"/>
        </w:rPr>
      </w:pPr>
    </w:p>
    <w:p>
      <w:pPr>
        <w:ind w:left="1100" w:hanging="610"/>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w:t>
      </w:r>
    </w:p>
    <w:p>
      <w:pPr>
        <w:spacing w:after="0" w:line="124" w:lineRule="exact"/>
        <w:rPr>
          <w:rFonts w:ascii="Arial" w:cs="Arial" w:eastAsia="Arial" w:hAnsi="Arial"/>
          <w:sz w:val="16"/>
          <w:szCs w:val="16"/>
          <w:color w:val="auto"/>
        </w:rPr>
      </w:pPr>
    </w:p>
    <w:p>
      <w:pPr>
        <w:ind w:left="1100" w:hanging="610"/>
        <w:spacing w:after="0"/>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w:t>
      </w:r>
    </w:p>
    <w:p>
      <w:pPr>
        <w:spacing w:after="0" w:line="124" w:lineRule="exact"/>
        <w:rPr>
          <w:sz w:val="24"/>
          <w:szCs w:val="24"/>
          <w:color w:val="auto"/>
        </w:rPr>
      </w:pPr>
    </w:p>
    <w:p>
      <w:pPr>
        <w:ind w:left="1620" w:hanging="1116"/>
        <w:spacing w:after="0"/>
        <w:tabs>
          <w:tab w:leader="none" w:pos="16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Rule 13d-1(d)</w:t>
      </w:r>
    </w:p>
    <w:p>
      <w:pPr>
        <w:spacing w:after="0" w:line="232" w:lineRule="exact"/>
        <w:rPr>
          <w:sz w:val="24"/>
          <w:szCs w:val="24"/>
          <w:color w:val="auto"/>
        </w:rPr>
      </w:pPr>
    </w:p>
    <w:p>
      <w:pPr>
        <w:ind w:right="40"/>
        <w:spacing w:after="0" w:line="257"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spacing w:after="0" w:line="255" w:lineRule="auto"/>
        <w:rPr>
          <w:sz w:val="20"/>
          <w:szCs w:val="20"/>
          <w:color w:val="auto"/>
        </w:rPr>
      </w:pPr>
      <w:r>
        <w:rPr>
          <w:rFonts w:ascii="Arial" w:cs="Arial" w:eastAsia="Arial" w:hAnsi="Arial"/>
          <w:sz w:val="14"/>
          <w:szCs w:val="14"/>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209550</wp:posOffset>
            </wp:positionV>
            <wp:extent cx="717550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550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-15240</wp:posOffset>
            </wp:positionV>
            <wp:extent cx="649478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4780" cy="25400"/>
                    </a:xfrm>
                    <a:prstGeom prst="rect">
                      <a:avLst/>
                    </a:prstGeom>
                    <a:noFill/>
                  </pic:spPr>
                </pic:pic>
              </a:graphicData>
            </a:graphic>
          </wp:anchor>
        </w:drawing>
      </w:r>
    </w:p>
    <w:p>
      <w:pPr>
        <w:sectPr>
          <w:pgSz w:w="11900" w:h="16838" w:orient="portrait"/>
          <w:cols w:equalWidth="0" w:num="1">
            <w:col w:w="10880"/>
          </w:cols>
          <w:pgMar w:left="320" w:top="219" w:right="699" w:bottom="1440" w:gutter="0" w:footer="0" w:header="0"/>
        </w:sectPr>
      </w:pPr>
    </w:p>
    <w:bookmarkStart w:id="1" w:name="page2"/>
    <w:bookmarkEnd w:id="1"/>
    <w:p>
      <w:pPr>
        <w:ind w:left="980" w:right="6819" w:hanging="611"/>
        <w:spacing w:after="0" w:line="238" w:lineRule="auto"/>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Names of Reporting Persons Wing Hong Sammy Hsieh</w:t>
      </w:r>
    </w:p>
    <w:p>
      <w:pPr>
        <w:spacing w:after="0" w:line="301" w:lineRule="exact"/>
        <w:rPr>
          <w:sz w:val="20"/>
          <w:szCs w:val="20"/>
          <w:color w:val="auto"/>
        </w:rPr>
      </w:pPr>
    </w:p>
    <w:p>
      <w:pPr>
        <w:ind w:left="980" w:hanging="611"/>
        <w:spacing w:after="0"/>
        <w:tabs>
          <w:tab w:leader="none" w:pos="9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35" w:lineRule="exact"/>
        <w:rPr>
          <w:rFonts w:ascii="Arial" w:cs="Arial" w:eastAsia="Arial" w:hAnsi="Arial"/>
          <w:sz w:val="15"/>
          <w:szCs w:val="15"/>
          <w:color w:val="auto"/>
        </w:rPr>
      </w:pPr>
    </w:p>
    <w:p>
      <w:pPr>
        <w:ind w:left="2120" w:hanging="1134"/>
        <w:spacing w:after="0"/>
        <w:tabs>
          <w:tab w:leader="none" w:pos="2120" w:val="left"/>
        </w:tabs>
        <w:numPr>
          <w:ilvl w:val="1"/>
          <w:numId w:val="4"/>
        </w:numPr>
        <w:rPr>
          <w:rFonts w:ascii="Arial" w:cs="Arial" w:eastAsia="Arial" w:hAnsi="Arial"/>
          <w:sz w:val="15"/>
          <w:szCs w:val="15"/>
          <w:color w:val="auto"/>
        </w:rPr>
      </w:pPr>
      <w:r>
        <w:rPr>
          <w:rFonts w:ascii="Arial" w:cs="Arial" w:eastAsia="Arial" w:hAnsi="Arial"/>
          <w:sz w:val="15"/>
          <w:szCs w:val="15"/>
          <w:color w:val="auto"/>
        </w:rPr>
        <w:t>o</w:t>
      </w:r>
    </w:p>
    <w:p>
      <w:pPr>
        <w:spacing w:after="0" w:line="162" w:lineRule="exact"/>
        <w:rPr>
          <w:rFonts w:ascii="Arial" w:cs="Arial" w:eastAsia="Arial" w:hAnsi="Arial"/>
          <w:sz w:val="15"/>
          <w:szCs w:val="15"/>
          <w:color w:val="auto"/>
        </w:rPr>
      </w:pPr>
    </w:p>
    <w:p>
      <w:pPr>
        <w:ind w:left="2120" w:hanging="1134"/>
        <w:spacing w:after="0"/>
        <w:tabs>
          <w:tab w:leader="none" w:pos="2120" w:val="left"/>
        </w:tabs>
        <w:numPr>
          <w:ilvl w:val="1"/>
          <w:numId w:val="4"/>
        </w:numPr>
        <w:rPr>
          <w:rFonts w:ascii="Arial" w:cs="Arial" w:eastAsia="Arial" w:hAnsi="Arial"/>
          <w:sz w:val="15"/>
          <w:szCs w:val="15"/>
          <w:color w:val="auto"/>
        </w:rPr>
      </w:pPr>
      <w:r>
        <w:rPr>
          <w:rFonts w:ascii="Arial" w:cs="Arial" w:eastAsia="Arial" w:hAnsi="Arial"/>
          <w:sz w:val="15"/>
          <w:szCs w:val="15"/>
          <w:color w:val="auto"/>
        </w:rPr>
        <w:t>o</w:t>
      </w:r>
    </w:p>
    <w:p>
      <w:pPr>
        <w:spacing w:after="0" w:line="200" w:lineRule="exact"/>
        <w:rPr>
          <w:sz w:val="20"/>
          <w:szCs w:val="20"/>
          <w:color w:val="auto"/>
        </w:rPr>
      </w:pPr>
    </w:p>
    <w:p>
      <w:pPr>
        <w:spacing w:after="0" w:line="217" w:lineRule="exact"/>
        <w:rPr>
          <w:sz w:val="20"/>
          <w:szCs w:val="20"/>
          <w:color w:val="auto"/>
        </w:rPr>
      </w:pPr>
    </w:p>
    <w:p>
      <w:pPr>
        <w:ind w:left="980" w:hanging="611"/>
        <w:spacing w:after="0"/>
        <w:tabs>
          <w:tab w:leader="none" w:pos="980" w:val="left"/>
        </w:tabs>
        <w:numPr>
          <w:ilvl w:val="0"/>
          <w:numId w:val="5"/>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217" w:lineRule="exact"/>
        <w:rPr>
          <w:sz w:val="20"/>
          <w:szCs w:val="20"/>
          <w:color w:val="auto"/>
        </w:rPr>
      </w:pPr>
    </w:p>
    <w:p>
      <w:pPr>
        <w:ind w:left="980" w:right="6339" w:hanging="611"/>
        <w:spacing w:after="0" w:line="238" w:lineRule="auto"/>
        <w:tabs>
          <w:tab w:leader="none" w:pos="9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Citizenship or Place of Organization Hong Kong S.A.R.</w:t>
      </w:r>
    </w:p>
    <w:p>
      <w:pPr>
        <w:spacing w:after="0" w:line="288" w:lineRule="exact"/>
        <w:rPr>
          <w:sz w:val="20"/>
          <w:szCs w:val="20"/>
          <w:color w:val="auto"/>
        </w:rPr>
      </w:pPr>
    </w:p>
    <w:p>
      <w:pPr>
        <w:ind w:left="2400" w:right="6499" w:hanging="233"/>
        <w:spacing w:after="0" w:line="292" w:lineRule="auto"/>
        <w:tabs>
          <w:tab w:leader="none" w:pos="2400" w:val="left"/>
        </w:tabs>
        <w:numPr>
          <w:ilvl w:val="0"/>
          <w:numId w:val="7"/>
        </w:numPr>
        <w:rPr>
          <w:rFonts w:ascii="Arial" w:cs="Arial" w:eastAsia="Arial" w:hAnsi="Arial"/>
          <w:sz w:val="15"/>
          <w:szCs w:val="15"/>
          <w:color w:val="auto"/>
        </w:rPr>
      </w:pPr>
      <w:r>
        <w:rPr>
          <w:rFonts w:ascii="Arial" w:cs="Arial" w:eastAsia="Arial" w:hAnsi="Arial"/>
          <w:sz w:val="15"/>
          <w:szCs w:val="15"/>
          <w:color w:val="auto"/>
        </w:rPr>
        <w:t>Sole Voting Power 241,294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67310</wp:posOffset>
            </wp:positionV>
            <wp:extent cx="4945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Number of</w:t>
      </w:r>
    </w:p>
    <w:p>
      <w:pPr>
        <w:ind w:left="2160"/>
        <w:spacing w:after="0" w:line="223" w:lineRule="auto"/>
        <w:tabs>
          <w:tab w:leader="none" w:pos="2380" w:val="left"/>
        </w:tabs>
        <w:rPr>
          <w:sz w:val="20"/>
          <w:szCs w:val="20"/>
          <w:color w:val="auto"/>
        </w:rPr>
      </w:pPr>
      <w:r>
        <w:rPr>
          <w:rFonts w:ascii="Arial" w:cs="Arial" w:eastAsia="Arial" w:hAnsi="Arial"/>
          <w:sz w:val="15"/>
          <w:szCs w:val="15"/>
          <w:color w:val="auto"/>
        </w:rPr>
        <w:t>6</w:t>
        <w:tab/>
        <w:t>Shared Voting Power</w:t>
      </w:r>
    </w:p>
    <w:p>
      <w:pPr>
        <w:spacing w:after="0" w:line="224" w:lineRule="auto"/>
        <w:rPr>
          <w:sz w:val="20"/>
          <w:szCs w:val="20"/>
          <w:color w:val="auto"/>
        </w:rPr>
      </w:pPr>
      <w:r>
        <w:rPr>
          <w:rFonts w:ascii="Arial" w:cs="Arial" w:eastAsia="Arial" w:hAnsi="Arial"/>
          <w:sz w:val="15"/>
          <w:szCs w:val="15"/>
          <w:color w:val="auto"/>
        </w:rPr>
        <w:t>Shares</w:t>
      </w:r>
    </w:p>
    <w:p>
      <w:pPr>
        <w:ind w:left="2400"/>
        <w:spacing w:after="0"/>
        <w:rPr>
          <w:sz w:val="20"/>
          <w:szCs w:val="20"/>
          <w:color w:val="auto"/>
        </w:rPr>
      </w:pPr>
      <w:r>
        <w:rPr>
          <w:rFonts w:ascii="Arial" w:cs="Arial" w:eastAsia="Arial" w:hAnsi="Arial"/>
          <w:sz w:val="15"/>
          <w:szCs w:val="15"/>
          <w:color w:val="auto"/>
        </w:rPr>
        <w:t>2,282,815 ordinary shares. See Item 4.</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-13335</wp:posOffset>
            </wp:positionV>
            <wp:extent cx="4945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Owned by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Each</w:t>
      </w:r>
    </w:p>
    <w:p>
      <w:pPr>
        <w:ind w:left="2160"/>
        <w:spacing w:after="0" w:line="223" w:lineRule="auto"/>
        <w:tabs>
          <w:tab w:leader="none" w:pos="2380" w:val="left"/>
        </w:tabs>
        <w:rPr>
          <w:sz w:val="20"/>
          <w:szCs w:val="20"/>
          <w:color w:val="auto"/>
        </w:rPr>
      </w:pPr>
      <w:r>
        <w:rPr>
          <w:rFonts w:ascii="Arial" w:cs="Arial" w:eastAsia="Arial" w:hAnsi="Arial"/>
          <w:sz w:val="15"/>
          <w:szCs w:val="15"/>
          <w:color w:val="auto"/>
        </w:rPr>
        <w:t>7</w:t>
        <w:tab/>
        <w:t>Sole Dispositive Power</w:t>
      </w:r>
    </w:p>
    <w:p>
      <w:pPr>
        <w:spacing w:after="0" w:line="224" w:lineRule="auto"/>
        <w:rPr>
          <w:sz w:val="20"/>
          <w:szCs w:val="20"/>
          <w:color w:val="auto"/>
        </w:rPr>
      </w:pPr>
      <w:r>
        <w:rPr>
          <w:rFonts w:ascii="Arial" w:cs="Arial" w:eastAsia="Arial" w:hAnsi="Arial"/>
          <w:sz w:val="15"/>
          <w:szCs w:val="15"/>
          <w:color w:val="auto"/>
        </w:rPr>
        <w:t>Reporting</w:t>
      </w:r>
    </w:p>
    <w:p>
      <w:pPr>
        <w:ind w:left="2400"/>
        <w:spacing w:after="0"/>
        <w:rPr>
          <w:sz w:val="20"/>
          <w:szCs w:val="20"/>
          <w:color w:val="auto"/>
        </w:rPr>
      </w:pPr>
      <w:r>
        <w:rPr>
          <w:rFonts w:ascii="Arial" w:cs="Arial" w:eastAsia="Arial" w:hAnsi="Arial"/>
          <w:sz w:val="15"/>
          <w:szCs w:val="15"/>
          <w:color w:val="auto"/>
        </w:rPr>
        <w:t>241,294</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-13335</wp:posOffset>
            </wp:positionV>
            <wp:extent cx="4945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90" w:lineRule="exact"/>
        <w:rPr>
          <w:sz w:val="20"/>
          <w:szCs w:val="20"/>
          <w:color w:val="auto"/>
        </w:rPr>
      </w:pPr>
    </w:p>
    <w:p>
      <w:pPr>
        <w:ind w:left="2400" w:hanging="233"/>
        <w:spacing w:after="0"/>
        <w:tabs>
          <w:tab w:leader="none" w:pos="2400" w:val="left"/>
        </w:tabs>
        <w:numPr>
          <w:ilvl w:val="0"/>
          <w:numId w:val="8"/>
        </w:numPr>
        <w:rPr>
          <w:rFonts w:ascii="Arial" w:cs="Arial" w:eastAsia="Arial" w:hAnsi="Arial"/>
          <w:sz w:val="15"/>
          <w:szCs w:val="15"/>
          <w:color w:val="auto"/>
        </w:rPr>
      </w:pPr>
      <w:r>
        <w:rPr>
          <w:rFonts w:ascii="Arial" w:cs="Arial" w:eastAsia="Arial" w:hAnsi="Arial"/>
          <w:sz w:val="15"/>
          <w:szCs w:val="15"/>
          <w:color w:val="auto"/>
        </w:rPr>
        <w:t>Shared Dispositive Power</w:t>
      </w:r>
    </w:p>
    <w:p>
      <w:pPr>
        <w:spacing w:after="0" w:line="28" w:lineRule="exact"/>
        <w:rPr>
          <w:rFonts w:ascii="Arial" w:cs="Arial" w:eastAsia="Arial" w:hAnsi="Arial"/>
          <w:sz w:val="15"/>
          <w:szCs w:val="15"/>
          <w:color w:val="auto"/>
        </w:rPr>
      </w:pPr>
    </w:p>
    <w:p>
      <w:pPr>
        <w:ind w:left="2400"/>
        <w:spacing w:after="0"/>
        <w:rPr>
          <w:rFonts w:ascii="Arial" w:cs="Arial" w:eastAsia="Arial" w:hAnsi="Arial"/>
          <w:sz w:val="15"/>
          <w:szCs w:val="15"/>
          <w:color w:val="auto"/>
        </w:rPr>
      </w:pPr>
      <w:r>
        <w:rPr>
          <w:rFonts w:ascii="Arial" w:cs="Arial" w:eastAsia="Arial" w:hAnsi="Arial"/>
          <w:sz w:val="15"/>
          <w:szCs w:val="15"/>
          <w:color w:val="auto"/>
        </w:rPr>
        <w:t>2,282,815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97155</wp:posOffset>
            </wp:positionV>
            <wp:extent cx="4945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000" w:right="4759" w:hanging="631"/>
        <w:spacing w:after="0" w:line="329" w:lineRule="auto"/>
        <w:tabs>
          <w:tab w:leader="none" w:pos="980" w:val="left"/>
        </w:tabs>
        <w:numPr>
          <w:ilvl w:val="0"/>
          <w:numId w:val="9"/>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2,524,109 ordinary shares. See Item 4.</w:t>
      </w:r>
    </w:p>
    <w:p>
      <w:pPr>
        <w:spacing w:after="0" w:line="238" w:lineRule="exact"/>
        <w:rPr>
          <w:sz w:val="20"/>
          <w:szCs w:val="20"/>
          <w:color w:val="auto"/>
        </w:rPr>
      </w:pPr>
    </w:p>
    <w:p>
      <w:pPr>
        <w:ind w:left="1000" w:right="6319" w:hanging="631"/>
        <w:spacing w:after="0" w:line="329"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304" w:lineRule="exact"/>
        <w:rPr>
          <w:rFonts w:ascii="Arial" w:cs="Arial" w:eastAsia="Arial" w:hAnsi="Arial"/>
          <w:sz w:val="15"/>
          <w:szCs w:val="15"/>
          <w:color w:val="auto"/>
        </w:rPr>
      </w:pPr>
    </w:p>
    <w:p>
      <w:pPr>
        <w:ind w:left="980" w:right="5639" w:hanging="611"/>
        <w:spacing w:after="0" w:line="238" w:lineRule="auto"/>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Percent of Class Represented by Amount in Row (9) 5.3%See Item 4.</w:t>
      </w:r>
    </w:p>
    <w:p>
      <w:pPr>
        <w:spacing w:after="0" w:line="314" w:lineRule="exact"/>
        <w:rPr>
          <w:rFonts w:ascii="Arial" w:cs="Arial" w:eastAsia="Arial" w:hAnsi="Arial"/>
          <w:sz w:val="15"/>
          <w:szCs w:val="15"/>
          <w:color w:val="auto"/>
        </w:rPr>
      </w:pPr>
    </w:p>
    <w:p>
      <w:pPr>
        <w:ind w:left="980" w:hanging="611"/>
        <w:spacing w:after="0"/>
        <w:tabs>
          <w:tab w:leader="none" w:pos="9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Type of Reporting Person</w:t>
      </w:r>
    </w:p>
    <w:p>
      <w:pPr>
        <w:spacing w:after="0" w:line="68"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IN</w:t>
      </w:r>
    </w:p>
    <w:p>
      <w:pPr>
        <w:spacing w:after="0" w:line="203" w:lineRule="exact"/>
        <w:rPr>
          <w:sz w:val="20"/>
          <w:szCs w:val="20"/>
          <w:color w:val="auto"/>
        </w:rPr>
      </w:pPr>
    </w:p>
    <w:p>
      <w:pPr>
        <w:jc w:val="right"/>
        <w:ind w:right="449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17550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550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-4445</wp:posOffset>
            </wp:positionV>
            <wp:extent cx="649478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4780" cy="25400"/>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2" w:name="page3"/>
    <w:bookmarkEnd w:id="2"/>
    <w:p>
      <w:pPr>
        <w:ind w:left="980" w:right="6619" w:hanging="611"/>
        <w:spacing w:after="0" w:line="238" w:lineRule="auto"/>
        <w:tabs>
          <w:tab w:leader="none" w:pos="9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Names of Reporting Persons Bubinga Holdings Limited</w:t>
      </w:r>
    </w:p>
    <w:p>
      <w:pPr>
        <w:spacing w:after="0" w:line="301" w:lineRule="exact"/>
        <w:rPr>
          <w:sz w:val="20"/>
          <w:szCs w:val="20"/>
          <w:color w:val="auto"/>
        </w:rPr>
      </w:pPr>
    </w:p>
    <w:p>
      <w:pPr>
        <w:ind w:left="980" w:hanging="611"/>
        <w:spacing w:after="0"/>
        <w:tabs>
          <w:tab w:leader="none" w:pos="9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Check the Appropriate Box if a Member of a Group</w:t>
      </w:r>
    </w:p>
    <w:p>
      <w:pPr>
        <w:spacing w:after="0" w:line="135" w:lineRule="exact"/>
        <w:rPr>
          <w:rFonts w:ascii="Arial" w:cs="Arial" w:eastAsia="Arial" w:hAnsi="Arial"/>
          <w:sz w:val="15"/>
          <w:szCs w:val="15"/>
          <w:color w:val="auto"/>
        </w:rPr>
      </w:pPr>
    </w:p>
    <w:p>
      <w:pPr>
        <w:ind w:left="2120" w:hanging="1134"/>
        <w:spacing w:after="0"/>
        <w:tabs>
          <w:tab w:leader="none" w:pos="2120" w:val="left"/>
        </w:tabs>
        <w:numPr>
          <w:ilvl w:val="1"/>
          <w:numId w:val="12"/>
        </w:numPr>
        <w:rPr>
          <w:rFonts w:ascii="Arial" w:cs="Arial" w:eastAsia="Arial" w:hAnsi="Arial"/>
          <w:sz w:val="15"/>
          <w:szCs w:val="15"/>
          <w:color w:val="auto"/>
        </w:rPr>
      </w:pPr>
      <w:r>
        <w:rPr>
          <w:rFonts w:ascii="Arial" w:cs="Arial" w:eastAsia="Arial" w:hAnsi="Arial"/>
          <w:sz w:val="15"/>
          <w:szCs w:val="15"/>
          <w:color w:val="auto"/>
        </w:rPr>
        <w:t>o</w:t>
      </w:r>
    </w:p>
    <w:p>
      <w:pPr>
        <w:spacing w:after="0" w:line="162" w:lineRule="exact"/>
        <w:rPr>
          <w:rFonts w:ascii="Arial" w:cs="Arial" w:eastAsia="Arial" w:hAnsi="Arial"/>
          <w:sz w:val="15"/>
          <w:szCs w:val="15"/>
          <w:color w:val="auto"/>
        </w:rPr>
      </w:pPr>
    </w:p>
    <w:p>
      <w:pPr>
        <w:ind w:left="2120" w:hanging="1134"/>
        <w:spacing w:after="0"/>
        <w:tabs>
          <w:tab w:leader="none" w:pos="2120" w:val="left"/>
        </w:tabs>
        <w:numPr>
          <w:ilvl w:val="1"/>
          <w:numId w:val="12"/>
        </w:numPr>
        <w:rPr>
          <w:rFonts w:ascii="Arial" w:cs="Arial" w:eastAsia="Arial" w:hAnsi="Arial"/>
          <w:sz w:val="15"/>
          <w:szCs w:val="15"/>
          <w:color w:val="auto"/>
        </w:rPr>
      </w:pPr>
      <w:r>
        <w:rPr>
          <w:rFonts w:ascii="Arial" w:cs="Arial" w:eastAsia="Arial" w:hAnsi="Arial"/>
          <w:sz w:val="15"/>
          <w:szCs w:val="15"/>
          <w:color w:val="auto"/>
        </w:rPr>
        <w:t>o</w:t>
      </w:r>
    </w:p>
    <w:p>
      <w:pPr>
        <w:spacing w:after="0" w:line="200" w:lineRule="exact"/>
        <w:rPr>
          <w:sz w:val="20"/>
          <w:szCs w:val="20"/>
          <w:color w:val="auto"/>
        </w:rPr>
      </w:pPr>
    </w:p>
    <w:p>
      <w:pPr>
        <w:spacing w:after="0" w:line="217" w:lineRule="exact"/>
        <w:rPr>
          <w:sz w:val="20"/>
          <w:szCs w:val="20"/>
          <w:color w:val="auto"/>
        </w:rPr>
      </w:pPr>
    </w:p>
    <w:p>
      <w:pPr>
        <w:ind w:left="980" w:hanging="611"/>
        <w:spacing w:after="0"/>
        <w:tabs>
          <w:tab w:leader="none" w:pos="9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SEC Use Only</w:t>
      </w:r>
    </w:p>
    <w:p>
      <w:pPr>
        <w:spacing w:after="0" w:line="200" w:lineRule="exact"/>
        <w:rPr>
          <w:sz w:val="20"/>
          <w:szCs w:val="20"/>
          <w:color w:val="auto"/>
        </w:rPr>
      </w:pPr>
    </w:p>
    <w:p>
      <w:pPr>
        <w:spacing w:after="0" w:line="217" w:lineRule="exact"/>
        <w:rPr>
          <w:sz w:val="20"/>
          <w:szCs w:val="20"/>
          <w:color w:val="auto"/>
        </w:rPr>
      </w:pPr>
    </w:p>
    <w:p>
      <w:pPr>
        <w:ind w:left="980" w:right="6279" w:hanging="611"/>
        <w:spacing w:after="0" w:line="238" w:lineRule="auto"/>
        <w:tabs>
          <w:tab w:leader="none" w:pos="9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Citizenship or Place of Organization British Virgin Islands</w:t>
      </w:r>
    </w:p>
    <w:p>
      <w:pPr>
        <w:spacing w:after="0" w:line="301" w:lineRule="exact"/>
        <w:rPr>
          <w:sz w:val="20"/>
          <w:szCs w:val="20"/>
          <w:color w:val="auto"/>
        </w:rPr>
      </w:pPr>
    </w:p>
    <w:p>
      <w:pPr>
        <w:ind w:left="2400" w:right="6499" w:hanging="234"/>
        <w:spacing w:after="0" w:line="292" w:lineRule="auto"/>
        <w:tabs>
          <w:tab w:leader="none" w:pos="24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67310</wp:posOffset>
            </wp:positionV>
            <wp:extent cx="4945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5"/>
          <w:szCs w:val="15"/>
          <w:color w:val="auto"/>
        </w:rPr>
        <w:t>Number of</w:t>
      </w:r>
    </w:p>
    <w:p>
      <w:pPr>
        <w:ind w:left="2160"/>
        <w:spacing w:after="0" w:line="223" w:lineRule="auto"/>
        <w:tabs>
          <w:tab w:leader="none" w:pos="2380" w:val="left"/>
        </w:tabs>
        <w:rPr>
          <w:sz w:val="20"/>
          <w:szCs w:val="20"/>
          <w:color w:val="auto"/>
        </w:rPr>
      </w:pPr>
      <w:r>
        <w:rPr>
          <w:rFonts w:ascii="Arial" w:cs="Arial" w:eastAsia="Arial" w:hAnsi="Arial"/>
          <w:sz w:val="15"/>
          <w:szCs w:val="15"/>
          <w:color w:val="auto"/>
        </w:rPr>
        <w:t>6</w:t>
        <w:tab/>
        <w:t>Shared Voting Power</w:t>
      </w:r>
    </w:p>
    <w:p>
      <w:pPr>
        <w:spacing w:after="0" w:line="224" w:lineRule="auto"/>
        <w:rPr>
          <w:sz w:val="20"/>
          <w:szCs w:val="20"/>
          <w:color w:val="auto"/>
        </w:rPr>
      </w:pPr>
      <w:r>
        <w:rPr>
          <w:rFonts w:ascii="Arial" w:cs="Arial" w:eastAsia="Arial" w:hAnsi="Arial"/>
          <w:sz w:val="15"/>
          <w:szCs w:val="15"/>
          <w:color w:val="auto"/>
        </w:rPr>
        <w:t>Shares</w:t>
      </w:r>
    </w:p>
    <w:p>
      <w:pPr>
        <w:ind w:left="2400"/>
        <w:spacing w:after="0"/>
        <w:rPr>
          <w:sz w:val="20"/>
          <w:szCs w:val="20"/>
          <w:color w:val="auto"/>
        </w:rPr>
      </w:pPr>
      <w:r>
        <w:rPr>
          <w:rFonts w:ascii="Arial" w:cs="Arial" w:eastAsia="Arial" w:hAnsi="Arial"/>
          <w:sz w:val="15"/>
          <w:szCs w:val="15"/>
          <w:color w:val="auto"/>
        </w:rPr>
        <w:t>2,282,815 ordinary shares. See Item 4.</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Beneficially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-13335</wp:posOffset>
            </wp:positionV>
            <wp:extent cx="4945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Owned by</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Each</w:t>
      </w:r>
    </w:p>
    <w:p>
      <w:pPr>
        <w:ind w:left="2160"/>
        <w:spacing w:after="0" w:line="223" w:lineRule="auto"/>
        <w:tabs>
          <w:tab w:leader="none" w:pos="2380" w:val="left"/>
        </w:tabs>
        <w:rPr>
          <w:sz w:val="20"/>
          <w:szCs w:val="20"/>
          <w:color w:val="auto"/>
        </w:rPr>
      </w:pPr>
      <w:r>
        <w:rPr>
          <w:rFonts w:ascii="Arial" w:cs="Arial" w:eastAsia="Arial" w:hAnsi="Arial"/>
          <w:sz w:val="15"/>
          <w:szCs w:val="15"/>
          <w:color w:val="auto"/>
        </w:rPr>
        <w:t>7</w:t>
        <w:tab/>
        <w:t>Sole Dispositive Power</w:t>
      </w:r>
    </w:p>
    <w:p>
      <w:pPr>
        <w:spacing w:after="0" w:line="224" w:lineRule="auto"/>
        <w:rPr>
          <w:sz w:val="20"/>
          <w:szCs w:val="20"/>
          <w:color w:val="auto"/>
        </w:rPr>
      </w:pPr>
      <w:r>
        <w:rPr>
          <w:rFonts w:ascii="Arial" w:cs="Arial" w:eastAsia="Arial" w:hAnsi="Arial"/>
          <w:sz w:val="15"/>
          <w:szCs w:val="15"/>
          <w:color w:val="auto"/>
        </w:rPr>
        <w:t>Reporting</w:t>
      </w:r>
    </w:p>
    <w:p>
      <w:pPr>
        <w:ind w:left="2400"/>
        <w:spacing w:after="0"/>
        <w:rPr>
          <w:sz w:val="20"/>
          <w:szCs w:val="20"/>
          <w:color w:val="auto"/>
        </w:rPr>
      </w:pPr>
      <w:r>
        <w:rPr>
          <w:rFonts w:ascii="Arial" w:cs="Arial" w:eastAsia="Arial" w:hAnsi="Arial"/>
          <w:sz w:val="15"/>
          <w:szCs w:val="15"/>
          <w:color w:val="auto"/>
        </w:rPr>
        <w:t>0</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Person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-13335</wp:posOffset>
            </wp:positionV>
            <wp:extent cx="4945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90" w:lineRule="exact"/>
        <w:rPr>
          <w:sz w:val="20"/>
          <w:szCs w:val="20"/>
          <w:color w:val="auto"/>
        </w:rPr>
      </w:pPr>
    </w:p>
    <w:p>
      <w:pPr>
        <w:ind w:left="2400" w:hanging="234"/>
        <w:spacing w:after="0"/>
        <w:tabs>
          <w:tab w:leader="none" w:pos="24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Shared Dispositive Power</w:t>
      </w:r>
    </w:p>
    <w:p>
      <w:pPr>
        <w:spacing w:after="0" w:line="28" w:lineRule="exact"/>
        <w:rPr>
          <w:rFonts w:ascii="Arial" w:cs="Arial" w:eastAsia="Arial" w:hAnsi="Arial"/>
          <w:sz w:val="15"/>
          <w:szCs w:val="15"/>
          <w:color w:val="auto"/>
        </w:rPr>
      </w:pPr>
    </w:p>
    <w:p>
      <w:pPr>
        <w:ind w:left="2400"/>
        <w:spacing w:after="0"/>
        <w:rPr>
          <w:rFonts w:ascii="Arial" w:cs="Arial" w:eastAsia="Arial" w:hAnsi="Arial"/>
          <w:sz w:val="15"/>
          <w:szCs w:val="15"/>
          <w:color w:val="auto"/>
        </w:rPr>
      </w:pPr>
      <w:r>
        <w:rPr>
          <w:rFonts w:ascii="Arial" w:cs="Arial" w:eastAsia="Arial" w:hAnsi="Arial"/>
          <w:sz w:val="15"/>
          <w:szCs w:val="15"/>
          <w:color w:val="auto"/>
        </w:rPr>
        <w:t>2,282,815 ordinary shares.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1485900</wp:posOffset>
            </wp:positionH>
            <wp:positionV relativeFrom="paragraph">
              <wp:posOffset>97155</wp:posOffset>
            </wp:positionV>
            <wp:extent cx="4945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53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980" w:right="4759" w:hanging="611"/>
        <w:spacing w:after="0" w:line="238" w:lineRule="auto"/>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Aggregate Amount Beneficially Owned by Each Reporting Person 2,282,815 ordinary shares. See Item 4</w:t>
      </w:r>
    </w:p>
    <w:p>
      <w:pPr>
        <w:spacing w:after="0" w:line="301" w:lineRule="exact"/>
        <w:rPr>
          <w:sz w:val="20"/>
          <w:szCs w:val="20"/>
          <w:color w:val="auto"/>
        </w:rPr>
      </w:pPr>
    </w:p>
    <w:p>
      <w:pPr>
        <w:ind w:left="980" w:hanging="611"/>
        <w:spacing w:after="0"/>
        <w:tabs>
          <w:tab w:leader="none" w:pos="9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Check if the Aggregate Amount in Row (9) Excludes Certain Shares o</w:t>
      </w:r>
    </w:p>
    <w:p>
      <w:pPr>
        <w:spacing w:after="0" w:line="200" w:lineRule="exact"/>
        <w:rPr>
          <w:rFonts w:ascii="Arial" w:cs="Arial" w:eastAsia="Arial" w:hAnsi="Arial"/>
          <w:sz w:val="15"/>
          <w:szCs w:val="15"/>
          <w:color w:val="auto"/>
        </w:rPr>
      </w:pPr>
    </w:p>
    <w:p>
      <w:pPr>
        <w:spacing w:after="0" w:line="244" w:lineRule="exact"/>
        <w:rPr>
          <w:rFonts w:ascii="Arial" w:cs="Arial" w:eastAsia="Arial" w:hAnsi="Arial"/>
          <w:sz w:val="15"/>
          <w:szCs w:val="15"/>
          <w:color w:val="auto"/>
        </w:rPr>
      </w:pPr>
    </w:p>
    <w:p>
      <w:pPr>
        <w:ind w:left="980" w:right="5199" w:hanging="611"/>
        <w:spacing w:after="0" w:line="238" w:lineRule="auto"/>
        <w:tabs>
          <w:tab w:leader="none" w:pos="9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Percent of Class Represented by Amount in Row (9) 4.8%. See Item 4.</w:t>
      </w:r>
    </w:p>
    <w:p>
      <w:pPr>
        <w:spacing w:after="0" w:line="314" w:lineRule="exact"/>
        <w:rPr>
          <w:rFonts w:ascii="Arial" w:cs="Arial" w:eastAsia="Arial" w:hAnsi="Arial"/>
          <w:sz w:val="15"/>
          <w:szCs w:val="15"/>
          <w:color w:val="auto"/>
        </w:rPr>
      </w:pPr>
    </w:p>
    <w:p>
      <w:pPr>
        <w:ind w:left="980" w:hanging="611"/>
        <w:spacing w:after="0"/>
        <w:tabs>
          <w:tab w:leader="none" w:pos="9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Type of Reporting Person</w:t>
      </w:r>
    </w:p>
    <w:p>
      <w:pPr>
        <w:spacing w:after="0" w:line="69" w:lineRule="exact"/>
        <w:rPr>
          <w:sz w:val="20"/>
          <w:szCs w:val="20"/>
          <w:color w:val="auto"/>
        </w:rPr>
      </w:pPr>
    </w:p>
    <w:p>
      <w:pPr>
        <w:ind w:left="1000"/>
        <w:spacing w:after="0"/>
        <w:rPr>
          <w:sz w:val="20"/>
          <w:szCs w:val="20"/>
          <w:color w:val="auto"/>
        </w:rPr>
      </w:pPr>
      <w:r>
        <w:rPr>
          <w:rFonts w:ascii="Arial" w:cs="Arial" w:eastAsia="Arial" w:hAnsi="Arial"/>
          <w:sz w:val="15"/>
          <w:szCs w:val="15"/>
          <w:color w:val="auto"/>
        </w:rPr>
        <w:t>CO</w:t>
      </w:r>
    </w:p>
    <w:p>
      <w:pPr>
        <w:spacing w:after="0" w:line="203"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177800</wp:posOffset>
            </wp:positionV>
            <wp:extent cx="717550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-4445</wp:posOffset>
            </wp:positionV>
            <wp:extent cx="649478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4780" cy="25400"/>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20"/>
                <w:szCs w:val="20"/>
                <w:color w:val="auto"/>
              </w:rPr>
            </w:pPr>
            <w:r>
              <w:rPr>
                <w:rFonts w:ascii="Arial" w:cs="Arial" w:eastAsia="Arial" w:hAnsi="Arial"/>
                <w:sz w:val="15"/>
                <w:szCs w:val="15"/>
                <w:b w:val="1"/>
                <w:bCs w:val="1"/>
                <w:color w:val="auto"/>
              </w:rPr>
              <w:t>Item 1(a).</w:t>
            </w:r>
          </w:p>
        </w:tc>
        <w:tc>
          <w:tcPr>
            <w:tcW w:w="3440" w:type="dxa"/>
            <w:vAlign w:val="bottom"/>
            <w:gridSpan w:val="3"/>
          </w:tcPr>
          <w:p>
            <w:pPr>
              <w:spacing w:after="0"/>
              <w:rPr>
                <w:sz w:val="20"/>
                <w:szCs w:val="20"/>
                <w:color w:val="auto"/>
              </w:rPr>
            </w:pPr>
            <w:r>
              <w:rPr>
                <w:rFonts w:ascii="Arial" w:cs="Arial" w:eastAsia="Arial" w:hAnsi="Arial"/>
                <w:sz w:val="15"/>
                <w:szCs w:val="15"/>
                <w:b w:val="1"/>
                <w:bCs w:val="1"/>
                <w:color w:val="auto"/>
              </w:rPr>
              <w:t>Name of Issuer:</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1140" w:type="dxa"/>
            <w:vAlign w:val="bottom"/>
          </w:tcPr>
          <w:p>
            <w:pPr>
              <w:spacing w:after="0"/>
              <w:rPr>
                <w:sz w:val="16"/>
                <w:szCs w:val="16"/>
                <w:color w:val="auto"/>
              </w:rPr>
            </w:pPr>
          </w:p>
        </w:tc>
        <w:tc>
          <w:tcPr>
            <w:tcW w:w="3440" w:type="dxa"/>
            <w:vAlign w:val="bottom"/>
            <w:gridSpan w:val="3"/>
          </w:tcPr>
          <w:p>
            <w:pPr>
              <w:spacing w:after="0"/>
              <w:rPr>
                <w:sz w:val="20"/>
                <w:szCs w:val="20"/>
                <w:color w:val="auto"/>
              </w:rPr>
            </w:pPr>
            <w:r>
              <w:rPr>
                <w:rFonts w:ascii="Arial" w:cs="Arial" w:eastAsia="Arial" w:hAnsi="Arial"/>
                <w:sz w:val="15"/>
                <w:szCs w:val="15"/>
                <w:color w:val="auto"/>
              </w:rPr>
              <w:t>iClick Interactive Asia Group Limited (the “Issuer”)</w:t>
            </w: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20"/>
                <w:szCs w:val="20"/>
                <w:color w:val="auto"/>
              </w:rPr>
            </w:pPr>
            <w:r>
              <w:rPr>
                <w:rFonts w:ascii="Arial" w:cs="Arial" w:eastAsia="Arial" w:hAnsi="Arial"/>
                <w:sz w:val="15"/>
                <w:szCs w:val="15"/>
                <w:b w:val="1"/>
                <w:bCs w:val="1"/>
                <w:color w:val="auto"/>
              </w:rPr>
              <w:t>Item 1(b).</w:t>
            </w:r>
          </w:p>
        </w:tc>
        <w:tc>
          <w:tcPr>
            <w:tcW w:w="3440" w:type="dxa"/>
            <w:vAlign w:val="bottom"/>
            <w:gridSpan w:val="3"/>
          </w:tcPr>
          <w:p>
            <w:pPr>
              <w:spacing w:after="0"/>
              <w:rPr>
                <w:sz w:val="20"/>
                <w:szCs w:val="20"/>
                <w:color w:val="auto"/>
              </w:rPr>
            </w:pPr>
            <w:r>
              <w:rPr>
                <w:rFonts w:ascii="Arial" w:cs="Arial" w:eastAsia="Arial" w:hAnsi="Arial"/>
                <w:sz w:val="15"/>
                <w:szCs w:val="15"/>
                <w:b w:val="1"/>
                <w:bCs w:val="1"/>
                <w:color w:val="auto"/>
              </w:rPr>
              <w:t>Address of Issuer’s Principal Executive Offices:</w:t>
            </w:r>
          </w:p>
        </w:tc>
        <w:tc>
          <w:tcPr>
            <w:tcW w:w="0" w:type="dxa"/>
            <w:vAlign w:val="bottom"/>
          </w:tcPr>
          <w:p>
            <w:pPr>
              <w:spacing w:after="0"/>
              <w:rPr>
                <w:sz w:val="1"/>
                <w:szCs w:val="1"/>
                <w:color w:val="auto"/>
              </w:rPr>
            </w:pPr>
          </w:p>
        </w:tc>
      </w:tr>
      <w:tr>
        <w:trPr>
          <w:trHeight w:val="64"/>
        </w:trPr>
        <w:tc>
          <w:tcPr>
            <w:tcW w:w="1140" w:type="dxa"/>
            <w:vAlign w:val="bottom"/>
            <w:vMerge w:val="continue"/>
          </w:tcPr>
          <w:p>
            <w:pPr>
              <w:spacing w:after="0"/>
              <w:rPr>
                <w:sz w:val="5"/>
                <w:szCs w:val="5"/>
                <w:color w:val="auto"/>
              </w:rPr>
            </w:pPr>
          </w:p>
        </w:tc>
        <w:tc>
          <w:tcPr>
            <w:tcW w:w="3400" w:type="dxa"/>
            <w:vAlign w:val="bottom"/>
            <w:tcBorders>
              <w:top w:val="single" w:sz="8" w:color="auto"/>
            </w:tcBorders>
            <w:gridSpan w:val="2"/>
            <w:vMerge w:val="restart"/>
          </w:tcPr>
          <w:p>
            <w:pPr>
              <w:spacing w:after="0" w:line="164" w:lineRule="exact"/>
              <w:rPr>
                <w:sz w:val="20"/>
                <w:szCs w:val="20"/>
                <w:color w:val="auto"/>
              </w:rPr>
            </w:pPr>
            <w:r>
              <w:rPr>
                <w:rFonts w:ascii="Arial" w:cs="Arial" w:eastAsia="Arial" w:hAnsi="Arial"/>
                <w:sz w:val="15"/>
                <w:szCs w:val="15"/>
                <w:color w:val="auto"/>
              </w:rPr>
              <w:t>15/F, Prosperity Millennia Plaza</w:t>
            </w:r>
          </w:p>
        </w:tc>
        <w:tc>
          <w:tcPr>
            <w:tcW w:w="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1140" w:type="dxa"/>
            <w:vAlign w:val="bottom"/>
          </w:tcPr>
          <w:p>
            <w:pPr>
              <w:spacing w:after="0"/>
              <w:rPr>
                <w:sz w:val="8"/>
                <w:szCs w:val="8"/>
                <w:color w:val="auto"/>
              </w:rPr>
            </w:pPr>
          </w:p>
        </w:tc>
        <w:tc>
          <w:tcPr>
            <w:tcW w:w="3400" w:type="dxa"/>
            <w:vAlign w:val="bottom"/>
            <w:gridSpan w:val="2"/>
            <w:vMerge w:val="continue"/>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3440" w:type="dxa"/>
            <w:vAlign w:val="bottom"/>
            <w:gridSpan w:val="3"/>
          </w:tcPr>
          <w:p>
            <w:pPr>
              <w:spacing w:after="0" w:line="161" w:lineRule="exact"/>
              <w:rPr>
                <w:sz w:val="20"/>
                <w:szCs w:val="20"/>
                <w:color w:val="auto"/>
              </w:rPr>
            </w:pPr>
            <w:r>
              <w:rPr>
                <w:rFonts w:ascii="Arial" w:cs="Arial" w:eastAsia="Arial" w:hAnsi="Arial"/>
                <w:sz w:val="15"/>
                <w:szCs w:val="15"/>
                <w:color w:val="auto"/>
              </w:rPr>
              <w:t>663 King’s Road, Quarry Bay</w:t>
            </w: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3440" w:type="dxa"/>
            <w:vAlign w:val="bottom"/>
            <w:gridSpan w:val="3"/>
          </w:tcPr>
          <w:p>
            <w:pPr>
              <w:spacing w:after="0"/>
              <w:rPr>
                <w:sz w:val="20"/>
                <w:szCs w:val="20"/>
                <w:color w:val="auto"/>
              </w:rPr>
            </w:pPr>
            <w:r>
              <w:rPr>
                <w:rFonts w:ascii="Arial" w:cs="Arial" w:eastAsia="Arial" w:hAnsi="Arial"/>
                <w:sz w:val="15"/>
                <w:szCs w:val="15"/>
                <w:color w:val="auto"/>
              </w:rPr>
              <w:t>Hong Kong S.A.R.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40"/>
          </w:cols>
          <w:pgMar w:left="320" w:top="342" w:right="439" w:bottom="0" w:gutter="0" w:footer="0" w:header="0"/>
        </w:sect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017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17905"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Wing Hong Sammy Hsieh</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Bubinga Holdings Limited</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7432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Wing Hong Sammy Hsieh</w:t>
      </w:r>
    </w:p>
    <w:p>
      <w:pPr>
        <w:spacing w:after="0" w:line="223" w:lineRule="auto"/>
        <w:rPr>
          <w:sz w:val="20"/>
          <w:szCs w:val="20"/>
          <w:color w:val="auto"/>
        </w:rPr>
      </w:pPr>
      <w:r>
        <w:rPr>
          <w:rFonts w:ascii="Arial" w:cs="Arial" w:eastAsia="Arial" w:hAnsi="Arial"/>
          <w:sz w:val="15"/>
          <w:szCs w:val="15"/>
          <w:color w:val="auto"/>
        </w:rPr>
        <w:t>15/F, Prosperity Millennia Plaza</w:t>
      </w:r>
    </w:p>
    <w:p>
      <w:pPr>
        <w:spacing w:after="0" w:line="224" w:lineRule="auto"/>
        <w:rPr>
          <w:sz w:val="20"/>
          <w:szCs w:val="20"/>
          <w:color w:val="auto"/>
        </w:rPr>
      </w:pPr>
      <w:r>
        <w:rPr>
          <w:rFonts w:ascii="Arial" w:cs="Arial" w:eastAsia="Arial" w:hAnsi="Arial"/>
          <w:sz w:val="15"/>
          <w:szCs w:val="15"/>
          <w:color w:val="auto"/>
        </w:rPr>
        <w:t>663 King’s Road, Quarry Bay</w:t>
      </w:r>
    </w:p>
    <w:p>
      <w:pPr>
        <w:spacing w:after="0"/>
        <w:rPr>
          <w:sz w:val="20"/>
          <w:szCs w:val="20"/>
          <w:color w:val="auto"/>
        </w:rPr>
      </w:pPr>
      <w:r>
        <w:rPr>
          <w:rFonts w:ascii="Arial" w:cs="Arial" w:eastAsia="Arial" w:hAnsi="Arial"/>
          <w:sz w:val="15"/>
          <w:szCs w:val="15"/>
          <w:color w:val="auto"/>
        </w:rPr>
        <w:t>Hong Kong S.A.R.</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Bubinga Holdings Limited</w:t>
      </w:r>
    </w:p>
    <w:p>
      <w:pPr>
        <w:spacing w:after="0" w:line="226" w:lineRule="auto"/>
        <w:rPr>
          <w:sz w:val="20"/>
          <w:szCs w:val="20"/>
          <w:color w:val="auto"/>
        </w:rPr>
      </w:pPr>
      <w:r>
        <w:rPr>
          <w:rFonts w:ascii="Arial" w:cs="Arial" w:eastAsia="Arial" w:hAnsi="Arial"/>
          <w:sz w:val="15"/>
          <w:szCs w:val="15"/>
          <w:color w:val="auto"/>
        </w:rPr>
        <w:t>Vistra Corporate Services Centre</w:t>
      </w:r>
    </w:p>
    <w:p>
      <w:pPr>
        <w:spacing w:after="0" w:line="224" w:lineRule="auto"/>
        <w:rPr>
          <w:sz w:val="20"/>
          <w:szCs w:val="20"/>
          <w:color w:val="auto"/>
        </w:rPr>
      </w:pPr>
      <w:r>
        <w:rPr>
          <w:rFonts w:ascii="Arial" w:cs="Arial" w:eastAsia="Arial" w:hAnsi="Arial"/>
          <w:sz w:val="15"/>
          <w:szCs w:val="15"/>
          <w:color w:val="auto"/>
        </w:rPr>
        <w:t>Wickhams Cay II</w:t>
      </w:r>
    </w:p>
    <w:p>
      <w:pPr>
        <w:spacing w:after="0" w:line="223" w:lineRule="auto"/>
        <w:rPr>
          <w:sz w:val="20"/>
          <w:szCs w:val="20"/>
          <w:color w:val="auto"/>
        </w:rPr>
      </w:pPr>
      <w:r>
        <w:rPr>
          <w:rFonts w:ascii="Arial" w:cs="Arial" w:eastAsia="Arial" w:hAnsi="Arial"/>
          <w:sz w:val="15"/>
          <w:szCs w:val="15"/>
          <w:color w:val="auto"/>
        </w:rPr>
        <w:t>Road Town, Tortola, VG1110</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British Virgin Islands</w:t>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Citizenship</w:t>
      </w:r>
      <w:r>
        <w:rPr>
          <w:rFonts w:ascii="Arial" w:cs="Arial" w:eastAsia="Arial" w:hAnsi="Arial"/>
          <w:sz w:val="15"/>
          <w:szCs w:val="15"/>
          <w:b w:val="1"/>
          <w:bCs w:val="1"/>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Wing Hong Sammy Hsieh — Hong Kong S.A.R.</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color w:val="auto"/>
        </w:rPr>
        <w:t>Bubinga Holdings Limited — British Virgin Islands</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203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spacing w:after="0" w:line="229" w:lineRule="auto"/>
        <w:rPr>
          <w:sz w:val="20"/>
          <w:szCs w:val="20"/>
          <w:color w:val="auto"/>
        </w:rPr>
      </w:pPr>
      <w:r>
        <w:rPr>
          <w:rFonts w:ascii="Arial" w:cs="Arial" w:eastAsia="Arial" w:hAnsi="Arial"/>
          <w:sz w:val="15"/>
          <w:szCs w:val="15"/>
          <w:color w:val="auto"/>
        </w:rPr>
        <w:t>Class A ordinary shares, par value of $0.001 per share (the “Class A Ordinary Shares”). The Issuer’s ordinary shares consist of Class A Ordinary Shares and Class B ordinary shares, par value of $0.001 per share (“Class B Ordinary Shares”). The rights of the holders of Class A Ordinary Shares and Class B Ordinary Shares are identical, except with respect to conversion rights and voting rights. Each Class B Ordinary Share is convertible at the option of the holder at any time into one Class A Ordinary Share. Each Class B Ordinary Share is entitled to twenty (20) votes per share, whereas each Class A Ordinary Share is entitled to one vote per share.</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768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G47048 106</w:t>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If this statement is filed pursuant to §§ 240.13d-1(b), or 240.13d-2(b) or (c), check whether the persons filing is a</w:t>
      </w:r>
      <w:r>
        <w:rPr>
          <w:rFonts w:ascii="Arial" w:cs="Arial" w:eastAsia="Arial" w:hAnsi="Arial"/>
          <w:sz w:val="15"/>
          <w:szCs w:val="15"/>
          <w:b w:val="1"/>
          <w:bCs w:val="1"/>
          <w:color w:val="auto"/>
        </w:rPr>
        <w:t>:</w:t>
      </w:r>
    </w:p>
    <w:p>
      <w:pPr>
        <w:spacing w:after="0" w:line="167" w:lineRule="exact"/>
        <w:rPr>
          <w:sz w:val="20"/>
          <w:szCs w:val="20"/>
          <w:color w:val="auto"/>
        </w:rPr>
      </w:pPr>
    </w:p>
    <w:p>
      <w:pPr>
        <w:sectPr>
          <w:pgSz w:w="11900" w:h="16838" w:orient="portrait"/>
          <w:cols w:equalWidth="0" w:num="2">
            <w:col w:w="680" w:space="460"/>
            <w:col w:w="10000"/>
          </w:cols>
          <w:pgMar w:left="320" w:top="342" w:right="439" w:bottom="0" w:gutter="0" w:footer="0" w:header="0"/>
          <w:type w:val="continuous"/>
        </w:sectPr>
      </w:pP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Not applicable</w:t>
      </w:r>
    </w:p>
    <w:p>
      <w:pPr>
        <w:spacing w:after="0" w:line="270" w:lineRule="exact"/>
        <w:rPr>
          <w:sz w:val="20"/>
          <w:szCs w:val="20"/>
          <w:color w:val="auto"/>
        </w:rPr>
      </w:pPr>
    </w:p>
    <w:p>
      <w:pPr>
        <w:jc w:val="right"/>
        <w:ind w:right="590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wp:posOffset>
            </wp:positionV>
            <wp:extent cx="648144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144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 w:space="660"/>
            <w:col w:w="10000"/>
          </w:cols>
          <w:pgMar w:left="320" w:top="342" w:right="439" w:bottom="0" w:gutter="0" w:footer="0" w:header="0"/>
          <w:type w:val="continuous"/>
        </w:sectPr>
      </w:pPr>
    </w:p>
    <w:p>
      <w:pPr>
        <w:spacing w:after="0" w:line="199" w:lineRule="exact"/>
        <w:rPr>
          <w:sz w:val="20"/>
          <w:szCs w:val="20"/>
          <w:color w:val="auto"/>
        </w:rPr>
      </w:pPr>
    </w:p>
    <w:p>
      <w:pPr>
        <w:ind w:left="60"/>
        <w:spacing w:after="0"/>
        <w:tabs>
          <w:tab w:leader="none" w:pos="1520" w:val="left"/>
        </w:tabs>
        <w:rPr>
          <w:sz w:val="20"/>
          <w:szCs w:val="20"/>
          <w:color w:val="auto"/>
        </w:rPr>
      </w:pPr>
      <w:r>
        <w:rPr>
          <w:rFonts w:ascii="Arial" w:cs="Arial" w:eastAsia="Arial" w:hAnsi="Arial"/>
          <w:sz w:val="15"/>
          <w:szCs w:val="15"/>
          <w:b w:val="1"/>
          <w:bCs w:val="1"/>
          <w:color w:val="auto"/>
        </w:rPr>
        <w:t>Item 4</w:t>
      </w:r>
      <w:r>
        <w:rPr>
          <w:sz w:val="20"/>
          <w:szCs w:val="20"/>
          <w:color w:val="auto"/>
        </w:rPr>
        <w:tab/>
      </w:r>
      <w:r>
        <w:rPr>
          <w:rFonts w:ascii="Arial" w:cs="Arial" w:eastAsia="Arial" w:hAnsi="Arial"/>
          <w:sz w:val="15"/>
          <w:szCs w:val="15"/>
          <w:b w:val="1"/>
          <w:bCs w:val="1"/>
          <w:u w:val="single" w:color="auto"/>
          <w:color w:val="auto"/>
        </w:rPr>
        <w:t>Ownership</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5"/>
          <w:szCs w:val="15"/>
          <w:color w:val="auto"/>
        </w:rPr>
        <w:t>The following information with respect to the ownership of the Class A Ordinary Shares by each of the reporting persons is provided as of December 31, 2021: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Sole Power</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Sole Power</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w w:val="98"/>
              </w:rPr>
              <w:t>Shared</w:t>
            </w:r>
          </w:p>
        </w:tc>
      </w:tr>
      <w:tr>
        <w:trPr>
          <w:trHeight w:val="241"/>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8"/>
              </w:rPr>
              <w:t>to</w:t>
            </w: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Shared</w:t>
            </w: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to Dispose</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Power to</w:t>
            </w:r>
          </w:p>
        </w:tc>
      </w:tr>
      <w:tr>
        <w:trPr>
          <w:trHeight w:val="241"/>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Amount</w:t>
            </w:r>
          </w:p>
        </w:tc>
        <w:tc>
          <w:tcPr>
            <w:tcW w:w="14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Percent</w:t>
            </w: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6"/>
              </w:rPr>
              <w:t>Vote or</w:t>
            </w:r>
          </w:p>
        </w:tc>
        <w:tc>
          <w:tcPr>
            <w:tcW w:w="14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Power</w:t>
            </w: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or to</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Dispose or to</w:t>
            </w:r>
          </w:p>
        </w:tc>
      </w:tr>
      <w:tr>
        <w:trPr>
          <w:trHeight w:val="241"/>
        </w:trPr>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Beneficially</w:t>
            </w: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8"/>
              </w:rPr>
              <w:t>of</w:t>
            </w: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8"/>
              </w:rPr>
              <w:t>Direct</w:t>
            </w: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9"/>
              </w:rPr>
              <w:t>to Vote or to</w:t>
            </w: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Direct the</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Direct the</w:t>
            </w:r>
          </w:p>
        </w:tc>
      </w:tr>
      <w:tr>
        <w:trPr>
          <w:trHeight w:val="241"/>
        </w:trPr>
        <w:tc>
          <w:tcPr>
            <w:tcW w:w="1960" w:type="dxa"/>
            <w:vAlign w:val="bottom"/>
            <w:gridSpan w:val="2"/>
          </w:tcPr>
          <w:p>
            <w:pPr>
              <w:spacing w:after="0"/>
              <w:rPr>
                <w:sz w:val="20"/>
                <w:szCs w:val="20"/>
                <w:color w:val="auto"/>
              </w:rPr>
            </w:pPr>
            <w:r>
              <w:rPr>
                <w:rFonts w:ascii="Arial" w:cs="Arial" w:eastAsia="Arial" w:hAnsi="Arial"/>
                <w:sz w:val="15"/>
                <w:szCs w:val="15"/>
                <w:b w:val="1"/>
                <w:bCs w:val="1"/>
                <w:color w:val="auto"/>
              </w:rPr>
              <w:t>Reporting Person:</w:t>
            </w: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Owned:</w:t>
            </w:r>
          </w:p>
        </w:tc>
        <w:tc>
          <w:tcPr>
            <w:tcW w:w="14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rPr>
              <w:t>Class:(1)</w:t>
            </w: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6"/>
              </w:rPr>
              <w:t>the Vote:</w:t>
            </w:r>
          </w:p>
        </w:tc>
        <w:tc>
          <w:tcPr>
            <w:tcW w:w="142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Direct the Vote:</w:t>
            </w:r>
          </w:p>
        </w:tc>
        <w:tc>
          <w:tcPr>
            <w:tcW w:w="14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rPr>
              <w:t>Disposition of:</w:t>
            </w:r>
          </w:p>
        </w:tc>
        <w:tc>
          <w:tcPr>
            <w:tcW w:w="1180" w:type="dxa"/>
            <w:vAlign w:val="bottom"/>
          </w:tcPr>
          <w:p>
            <w:pPr>
              <w:jc w:val="center"/>
              <w:spacing w:after="0"/>
              <w:rPr>
                <w:sz w:val="20"/>
                <w:szCs w:val="20"/>
                <w:color w:val="auto"/>
              </w:rPr>
            </w:pPr>
            <w:r>
              <w:rPr>
                <w:rFonts w:ascii="Arial" w:cs="Arial" w:eastAsia="Arial" w:hAnsi="Arial"/>
                <w:sz w:val="15"/>
                <w:szCs w:val="15"/>
                <w:b w:val="1"/>
                <w:bCs w:val="1"/>
                <w:color w:val="auto"/>
              </w:rPr>
              <w:t>Disposition of:</w:t>
            </w:r>
          </w:p>
        </w:tc>
      </w:tr>
      <w:tr>
        <w:trPr>
          <w:trHeight w:val="36"/>
        </w:trPr>
        <w:tc>
          <w:tcPr>
            <w:tcW w:w="17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01"/>
        </w:trPr>
        <w:tc>
          <w:tcPr>
            <w:tcW w:w="1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Wing Hong Sammy Hsieh</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2,524,109(2)</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5.3%</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rPr>
              <w:t>241,294</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2,282,815(2)</w:t>
            </w:r>
          </w:p>
        </w:tc>
        <w:tc>
          <w:tcPr>
            <w:tcW w:w="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244"/>
              <w:spacing w:after="0"/>
              <w:rPr>
                <w:sz w:val="20"/>
                <w:szCs w:val="20"/>
                <w:color w:val="auto"/>
              </w:rPr>
            </w:pPr>
            <w:r>
              <w:rPr>
                <w:rFonts w:ascii="Arial" w:cs="Arial" w:eastAsia="Arial" w:hAnsi="Arial"/>
                <w:sz w:val="15"/>
                <w:szCs w:val="15"/>
                <w:color w:val="auto"/>
              </w:rPr>
              <w:t>241,294</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2,282,815(2)</w:t>
            </w:r>
          </w:p>
        </w:tc>
      </w:tr>
      <w:tr>
        <w:trPr>
          <w:trHeight w:val="218"/>
        </w:trPr>
        <w:tc>
          <w:tcPr>
            <w:tcW w:w="1960" w:type="dxa"/>
            <w:vAlign w:val="bottom"/>
            <w:gridSpan w:val="2"/>
          </w:tcPr>
          <w:p>
            <w:pPr>
              <w:spacing w:after="0"/>
              <w:rPr>
                <w:sz w:val="20"/>
                <w:szCs w:val="20"/>
                <w:color w:val="auto"/>
              </w:rPr>
            </w:pPr>
            <w:r>
              <w:rPr>
                <w:rFonts w:ascii="Arial" w:cs="Arial" w:eastAsia="Arial" w:hAnsi="Arial"/>
                <w:sz w:val="15"/>
                <w:szCs w:val="15"/>
                <w:color w:val="auto"/>
              </w:rPr>
              <w:t>Bubinga Holdings Limited</w:t>
            </w:r>
          </w:p>
        </w:tc>
        <w:tc>
          <w:tcPr>
            <w:tcW w:w="1180" w:type="dxa"/>
            <w:vAlign w:val="bottom"/>
          </w:tcPr>
          <w:p>
            <w:pPr>
              <w:jc w:val="center"/>
              <w:spacing w:after="0"/>
              <w:rPr>
                <w:sz w:val="20"/>
                <w:szCs w:val="20"/>
                <w:color w:val="auto"/>
              </w:rPr>
            </w:pPr>
            <w:r>
              <w:rPr>
                <w:rFonts w:ascii="Arial" w:cs="Arial" w:eastAsia="Arial" w:hAnsi="Arial"/>
                <w:sz w:val="15"/>
                <w:szCs w:val="15"/>
                <w:color w:val="auto"/>
              </w:rPr>
              <w:t>2,282,815(3)</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rPr>
              <w:t>4.8%</w:t>
            </w:r>
          </w:p>
        </w:tc>
        <w:tc>
          <w:tcPr>
            <w:tcW w:w="220" w:type="dxa"/>
            <w:vAlign w:val="bottom"/>
          </w:tcPr>
          <w:p>
            <w:pPr>
              <w:spacing w:after="0"/>
              <w:rPr>
                <w:sz w:val="18"/>
                <w:szCs w:val="18"/>
                <w:color w:val="auto"/>
              </w:rPr>
            </w:pPr>
          </w:p>
        </w:tc>
        <w:tc>
          <w:tcPr>
            <w:tcW w:w="1180" w:type="dxa"/>
            <w:vAlign w:val="bottom"/>
          </w:tcPr>
          <w:p>
            <w:pPr>
              <w:jc w:val="right"/>
              <w:ind w:right="464"/>
              <w:spacing w:after="0"/>
              <w:rPr>
                <w:sz w:val="20"/>
                <w:szCs w:val="20"/>
                <w:color w:val="auto"/>
              </w:rPr>
            </w:pPr>
            <w:r>
              <w:rPr>
                <w:rFonts w:ascii="Arial" w:cs="Arial" w:eastAsia="Arial" w:hAnsi="Arial"/>
                <w:sz w:val="15"/>
                <w:szCs w:val="15"/>
                <w:color w:val="auto"/>
              </w:rPr>
              <w:t>0</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rPr>
              <w:t>2,282,815(3)</w:t>
            </w:r>
          </w:p>
        </w:tc>
        <w:tc>
          <w:tcPr>
            <w:tcW w:w="240" w:type="dxa"/>
            <w:vAlign w:val="bottom"/>
          </w:tcPr>
          <w:p>
            <w:pPr>
              <w:spacing w:after="0"/>
              <w:rPr>
                <w:sz w:val="18"/>
                <w:szCs w:val="18"/>
                <w:color w:val="auto"/>
              </w:rPr>
            </w:pPr>
          </w:p>
        </w:tc>
        <w:tc>
          <w:tcPr>
            <w:tcW w:w="1180" w:type="dxa"/>
            <w:vAlign w:val="bottom"/>
          </w:tcPr>
          <w:p>
            <w:pPr>
              <w:jc w:val="right"/>
              <w:ind w:right="484"/>
              <w:spacing w:after="0"/>
              <w:rPr>
                <w:sz w:val="20"/>
                <w:szCs w:val="20"/>
                <w:color w:val="auto"/>
              </w:rPr>
            </w:pPr>
            <w:r>
              <w:rPr>
                <w:rFonts w:ascii="Arial" w:cs="Arial" w:eastAsia="Arial" w:hAnsi="Arial"/>
                <w:sz w:val="15"/>
                <w:szCs w:val="15"/>
                <w:color w:val="auto"/>
              </w:rPr>
              <w:t>0</w:t>
            </w: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5"/>
                <w:szCs w:val="15"/>
                <w:color w:val="auto"/>
              </w:rPr>
              <w:t>2,282,815(3)</w:t>
            </w:r>
          </w:p>
        </w:tc>
      </w:tr>
    </w:tbl>
    <w:p>
      <w:pPr>
        <w:spacing w:after="0" w:line="180" w:lineRule="exact"/>
        <w:rPr>
          <w:sz w:val="20"/>
          <w:szCs w:val="20"/>
          <w:color w:val="auto"/>
        </w:rPr>
      </w:pPr>
    </w:p>
    <w:p>
      <w:pPr>
        <w:ind w:right="60" w:firstLine="7"/>
        <w:spacing w:after="0" w:line="223" w:lineRule="auto"/>
        <w:tabs>
          <w:tab w:leader="none" w:pos="228"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percentages of the class of securities beneficially owned by each reporting person is based on 47,374,564 ordinary shares, comprised of 42,340,137 Class A Ordinary Shares and 5,034,427 Class B Ordinary Shares, outstanding as of September 30, 2021, as reported in the Issuer’s Form 6-K filed with the Securities and Exchange Commission (the “SEC”) on November 30, 2021, and the number of ordinary shares such person or group has the right to acquire upon the exercise of options, warrants or other rights within 60 days after December 31, 2021.</w:t>
      </w:r>
    </w:p>
    <w:p>
      <w:pPr>
        <w:spacing w:after="0" w:line="2" w:lineRule="exact"/>
        <w:rPr>
          <w:rFonts w:ascii="Arial" w:cs="Arial" w:eastAsia="Arial" w:hAnsi="Arial"/>
          <w:sz w:val="15"/>
          <w:szCs w:val="15"/>
          <w:color w:val="auto"/>
        </w:rPr>
      </w:pPr>
    </w:p>
    <w:p>
      <w:pPr>
        <w:ind w:firstLine="7"/>
        <w:spacing w:after="0" w:line="223" w:lineRule="auto"/>
        <w:tabs>
          <w:tab w:leader="none" w:pos="228"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(i) 2,282,815 Class B Ordinary Shares held by Bubinga Holdings Limited, which may be converted into 2,282,815 Class A Ordinary Shares at any time by the holder thereof; and (ii) 241,294 Class A Ordinary Shares held by Mr. Wing Hong Sammy Hsieh. Mr. Wing Hong Sammy Hsieh is the sole director of Bubinga Holdings Limited.</w:t>
      </w:r>
    </w:p>
    <w:p>
      <w:pPr>
        <w:spacing w:after="0" w:line="1" w:lineRule="exact"/>
        <w:rPr>
          <w:rFonts w:ascii="Arial" w:cs="Arial" w:eastAsia="Arial" w:hAnsi="Arial"/>
          <w:sz w:val="15"/>
          <w:szCs w:val="15"/>
          <w:color w:val="auto"/>
        </w:rPr>
      </w:pPr>
    </w:p>
    <w:p>
      <w:pPr>
        <w:ind w:right="180" w:firstLine="7"/>
        <w:spacing w:after="0" w:line="238" w:lineRule="auto"/>
        <w:tabs>
          <w:tab w:leader="none" w:pos="228"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Includes 2,282,815 Class B Ordinary Shares held by Bubinga Holdings Limited, which may be converted into 2,282,815 Class A Ordinary Shares at any time by the holder thereof.</w:t>
      </w:r>
    </w:p>
    <w:p>
      <w:pPr>
        <w:spacing w:after="0" w:line="140"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5"/>
          <w:szCs w:val="15"/>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-4445</wp:posOffset>
            </wp:positionV>
            <wp:extent cx="58394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39460" cy="8255"/>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5"/>
          <w:szCs w:val="15"/>
          <w:color w:val="auto"/>
        </w:rPr>
        <w:t>Not applicable</w:t>
      </w:r>
    </w:p>
    <w:p>
      <w:pPr>
        <w:spacing w:after="0" w:line="377"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5"/>
          <w:szCs w:val="15"/>
          <w:color w:val="auto"/>
        </w:rPr>
        <w:t>Item 6.</w:t>
      </w:r>
      <w:r>
        <w:rPr>
          <w:sz w:val="20"/>
          <w:szCs w:val="20"/>
          <w:color w:val="auto"/>
        </w:rPr>
        <w:tab/>
      </w:r>
      <w:r>
        <w:rPr>
          <w:rFonts w:ascii="Arial" w:cs="Arial" w:eastAsia="Arial" w:hAnsi="Arial"/>
          <w:sz w:val="15"/>
          <w:szCs w:val="15"/>
          <w:color w:val="auto"/>
        </w:rPr>
        <w:t>Ownership of More than Five Percent on Behalf of Another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-4445</wp:posOffset>
            </wp:positionV>
            <wp:extent cx="5839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39460" cy="8255"/>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5"/>
          <w:szCs w:val="15"/>
          <w:color w:val="auto"/>
        </w:rPr>
        <w:t>Not applicable</w:t>
      </w:r>
    </w:p>
    <w:p>
      <w:pPr>
        <w:spacing w:after="0" w:line="377"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5"/>
          <w:szCs w:val="15"/>
          <w:color w:val="auto"/>
        </w:rPr>
        <w:t>Item 7.</w:t>
      </w:r>
      <w:r>
        <w:rPr>
          <w:sz w:val="20"/>
          <w:szCs w:val="20"/>
          <w:color w:val="auto"/>
        </w:rPr>
        <w:tab/>
      </w:r>
      <w:r>
        <w:rPr>
          <w:rFonts w:ascii="Arial" w:cs="Arial" w:eastAsia="Arial" w:hAnsi="Arial"/>
          <w:sz w:val="15"/>
          <w:szCs w:val="15"/>
          <w:color w:val="auto"/>
        </w:rPr>
        <w:t>Identification and Classification of the Subsidiary Which Acquired the Security Being Reported on By the Parent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-4445</wp:posOffset>
            </wp:positionV>
            <wp:extent cx="58394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39460" cy="8255"/>
                    </a:xfrm>
                    <a:prstGeom prst="rect">
                      <a:avLst/>
                    </a:prstGeom>
                    <a:noFill/>
                  </pic:spPr>
                </pic:pic>
              </a:graphicData>
            </a:graphic>
          </wp:anchor>
        </w:drawing>
      </w:r>
    </w:p>
    <w:p>
      <w:pPr>
        <w:ind w:left="1060"/>
        <w:spacing w:after="0"/>
        <w:rPr>
          <w:sz w:val="20"/>
          <w:szCs w:val="20"/>
          <w:color w:val="auto"/>
        </w:rPr>
      </w:pPr>
      <w:r>
        <w:rPr>
          <w:rFonts w:ascii="Arial" w:cs="Arial" w:eastAsia="Arial" w:hAnsi="Arial"/>
          <w:sz w:val="15"/>
          <w:szCs w:val="15"/>
          <w:color w:val="auto"/>
        </w:rPr>
        <w:t>or 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-4445</wp:posOffset>
            </wp:positionV>
            <wp:extent cx="58394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39460" cy="8255"/>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5"/>
          <w:szCs w:val="15"/>
          <w:color w:val="auto"/>
        </w:rPr>
        <w:t>Not applicable</w:t>
      </w:r>
    </w:p>
    <w:p>
      <w:pPr>
        <w:spacing w:after="0" w:line="377"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5"/>
          <w:szCs w:val="15"/>
          <w:color w:val="auto"/>
        </w:rPr>
        <w:t>Item 8.</w:t>
      </w:r>
      <w:r>
        <w:rPr>
          <w:sz w:val="20"/>
          <w:szCs w:val="20"/>
          <w:color w:val="auto"/>
        </w:rPr>
        <w:tab/>
      </w:r>
      <w:r>
        <w:rPr>
          <w:rFonts w:ascii="Arial" w:cs="Arial" w:eastAsia="Arial" w:hAnsi="Arial"/>
          <w:sz w:val="15"/>
          <w:szCs w:val="15"/>
          <w:color w:val="auto"/>
        </w:rPr>
        <w:t>Identification and Classification of Members of the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-4445</wp:posOffset>
            </wp:positionV>
            <wp:extent cx="5839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39460" cy="8255"/>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5"/>
          <w:szCs w:val="15"/>
          <w:color w:val="auto"/>
        </w:rPr>
        <w:t>Not applicable</w:t>
      </w:r>
    </w:p>
    <w:p>
      <w:pPr>
        <w:spacing w:after="0" w:line="377" w:lineRule="exact"/>
        <w:rPr>
          <w:sz w:val="20"/>
          <w:szCs w:val="20"/>
          <w:color w:val="auto"/>
        </w:rPr>
      </w:pPr>
    </w:p>
    <w:p>
      <w:pPr>
        <w:ind w:left="60"/>
        <w:spacing w:after="0"/>
        <w:tabs>
          <w:tab w:leader="none" w:pos="1040" w:val="left"/>
        </w:tabs>
        <w:rPr>
          <w:sz w:val="20"/>
          <w:szCs w:val="20"/>
          <w:color w:val="auto"/>
        </w:rPr>
      </w:pPr>
      <w:r>
        <w:rPr>
          <w:rFonts w:ascii="Arial" w:cs="Arial" w:eastAsia="Arial" w:hAnsi="Arial"/>
          <w:sz w:val="15"/>
          <w:szCs w:val="15"/>
          <w:color w:val="auto"/>
        </w:rPr>
        <w:t>Item 9.</w:t>
      </w:r>
      <w:r>
        <w:rPr>
          <w:sz w:val="20"/>
          <w:szCs w:val="20"/>
          <w:color w:val="auto"/>
        </w:rPr>
        <w:tab/>
      </w:r>
      <w:r>
        <w:rPr>
          <w:rFonts w:ascii="Arial" w:cs="Arial" w:eastAsia="Arial" w:hAnsi="Arial"/>
          <w:sz w:val="15"/>
          <w:szCs w:val="15"/>
          <w:color w:val="auto"/>
        </w:rPr>
        <w:t>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-4445</wp:posOffset>
            </wp:positionV>
            <wp:extent cx="5839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39460" cy="8255"/>
                    </a:xfrm>
                    <a:prstGeom prst="rect">
                      <a:avLst/>
                    </a:prstGeom>
                    <a:noFill/>
                  </pic:spPr>
                </pic:pic>
              </a:graphicData>
            </a:graphic>
          </wp:anchor>
        </w:drawing>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Not applicable</w:t>
      </w:r>
    </w:p>
    <w:p>
      <w:pPr>
        <w:ind w:left="506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140"/>
          </w:cols>
          <w:pgMar w:left="320" w:top="342" w:right="439" w:bottom="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173990</wp:posOffset>
            </wp:positionV>
            <wp:extent cx="7175500" cy="276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276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172"/>
        </w:trPr>
        <w:tc>
          <w:tcPr>
            <w:tcW w:w="1280" w:type="dxa"/>
            <w:vAlign w:val="bottom"/>
          </w:tcPr>
          <w:p>
            <w:pPr>
              <w:spacing w:after="0"/>
              <w:rPr>
                <w:sz w:val="20"/>
                <w:szCs w:val="20"/>
                <w:color w:val="auto"/>
              </w:rPr>
            </w:pPr>
            <w:r>
              <w:rPr>
                <w:rFonts w:ascii="Arial" w:cs="Arial" w:eastAsia="Arial" w:hAnsi="Arial"/>
                <w:sz w:val="15"/>
                <w:szCs w:val="15"/>
                <w:color w:val="auto"/>
              </w:rPr>
              <w:t>Item 10.</w:t>
            </w:r>
          </w:p>
        </w:tc>
        <w:tc>
          <w:tcPr>
            <w:tcW w:w="1180" w:type="dxa"/>
            <w:vAlign w:val="bottom"/>
            <w:gridSpan w:val="2"/>
          </w:tcPr>
          <w:p>
            <w:pPr>
              <w:ind w:left="320"/>
              <w:spacing w:after="0"/>
              <w:rPr>
                <w:sz w:val="20"/>
                <w:szCs w:val="20"/>
                <w:color w:val="auto"/>
              </w:rPr>
            </w:pPr>
            <w:r>
              <w:rPr>
                <w:rFonts w:ascii="Arial" w:cs="Arial" w:eastAsia="Arial" w:hAnsi="Arial"/>
                <w:sz w:val="15"/>
                <w:szCs w:val="15"/>
                <w:color w:val="auto"/>
                <w:w w:val="96"/>
              </w:rPr>
              <w:t>Certifications</w:t>
            </w:r>
          </w:p>
        </w:tc>
      </w:tr>
      <w:tr>
        <w:trPr>
          <w:trHeight w:val="279"/>
        </w:trPr>
        <w:tc>
          <w:tcPr>
            <w:tcW w:w="1280" w:type="dxa"/>
            <w:vAlign w:val="bottom"/>
          </w:tcPr>
          <w:p>
            <w:pPr>
              <w:spacing w:after="0"/>
              <w:rPr>
                <w:sz w:val="20"/>
                <w:szCs w:val="20"/>
                <w:color w:val="auto"/>
              </w:rPr>
            </w:pPr>
            <w:r>
              <w:rPr>
                <w:rFonts w:ascii="Arial" w:cs="Arial" w:eastAsia="Arial" w:hAnsi="Arial"/>
                <w:sz w:val="15"/>
                <w:szCs w:val="15"/>
                <w:color w:val="auto"/>
              </w:rPr>
              <w:t>Not applicable</w:t>
            </w:r>
          </w:p>
        </w:tc>
        <w:tc>
          <w:tcPr>
            <w:tcW w:w="3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bl>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u w:val="single" w:color="auto"/>
          <w:color w:val="auto"/>
        </w:rPr>
        <w:t>SIGNATURE</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14, 2022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20"/>
                <w:szCs w:val="20"/>
                <w:color w:val="auto"/>
              </w:rPr>
            </w:pPr>
            <w:r>
              <w:rPr>
                <w:rFonts w:ascii="Arial" w:cs="Arial" w:eastAsia="Arial" w:hAnsi="Arial"/>
                <w:sz w:val="16"/>
                <w:szCs w:val="16"/>
                <w:color w:val="auto"/>
              </w:rPr>
              <w:t>Wing Hong Sammy Hsieh</w:t>
            </w:r>
          </w:p>
        </w:tc>
        <w:tc>
          <w:tcPr>
            <w:tcW w:w="1720" w:type="dxa"/>
            <w:vAlign w:val="bottom"/>
          </w:tcPr>
          <w:p>
            <w:pPr>
              <w:spacing w:after="0"/>
              <w:rPr>
                <w:sz w:val="16"/>
                <w:szCs w:val="16"/>
                <w:color w:val="auto"/>
              </w:rPr>
            </w:pPr>
          </w:p>
        </w:tc>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 Wing Hong Sammy Hsieh</w:t>
            </w: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82"/>
        </w:trPr>
        <w:tc>
          <w:tcPr>
            <w:tcW w:w="3480" w:type="dxa"/>
            <w:vAlign w:val="bottom"/>
          </w:tcPr>
          <w:p>
            <w:pPr>
              <w:spacing w:after="0"/>
              <w:rPr>
                <w:sz w:val="20"/>
                <w:szCs w:val="20"/>
                <w:color w:val="auto"/>
              </w:rPr>
            </w:pPr>
            <w:r>
              <w:rPr>
                <w:rFonts w:ascii="Arial" w:cs="Arial" w:eastAsia="Arial" w:hAnsi="Arial"/>
                <w:sz w:val="16"/>
                <w:szCs w:val="16"/>
                <w:color w:val="auto"/>
              </w:rPr>
              <w:t>Bubinga Holdings Limited</w:t>
            </w:r>
          </w:p>
        </w:tc>
        <w:tc>
          <w:tcPr>
            <w:tcW w:w="17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By:</w:t>
            </w:r>
          </w:p>
        </w:tc>
        <w:tc>
          <w:tcPr>
            <w:tcW w:w="4380" w:type="dxa"/>
            <w:vAlign w:val="bottom"/>
            <w:gridSpan w:val="2"/>
          </w:tcPr>
          <w:p>
            <w:pPr>
              <w:spacing w:after="0"/>
              <w:rPr>
                <w:sz w:val="20"/>
                <w:szCs w:val="20"/>
                <w:color w:val="auto"/>
              </w:rPr>
            </w:pPr>
            <w:r>
              <w:rPr>
                <w:rFonts w:ascii="Arial" w:cs="Arial" w:eastAsia="Arial" w:hAnsi="Arial"/>
                <w:sz w:val="16"/>
                <w:szCs w:val="16"/>
                <w:color w:val="auto"/>
              </w:rPr>
              <w:t>/s/ Wing Hong Sammy Hsieh</w:t>
            </w:r>
          </w:p>
        </w:tc>
        <w:tc>
          <w:tcPr>
            <w:tcW w:w="1020" w:type="dxa"/>
            <w:vAlign w:val="bottom"/>
          </w:tcPr>
          <w:p>
            <w:pPr>
              <w:spacing w:after="0"/>
              <w:rPr>
                <w:sz w:val="24"/>
                <w:szCs w:val="24"/>
                <w:color w:val="auto"/>
              </w:rPr>
            </w:pPr>
          </w:p>
        </w:tc>
      </w:tr>
      <w:tr>
        <w:trPr>
          <w:trHeight w:val="183"/>
        </w:trPr>
        <w:tc>
          <w:tcPr>
            <w:tcW w:w="34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60" w:type="dxa"/>
            <w:vAlign w:val="bottom"/>
          </w:tcPr>
          <w:p>
            <w:pPr>
              <w:spacing w:after="0" w:line="175" w:lineRule="exact"/>
              <w:rPr>
                <w:sz w:val="20"/>
                <w:szCs w:val="20"/>
                <w:color w:val="auto"/>
              </w:rPr>
            </w:pPr>
            <w:r>
              <w:rPr>
                <w:rFonts w:ascii="Arial" w:cs="Arial" w:eastAsia="Arial" w:hAnsi="Arial"/>
                <w:sz w:val="16"/>
                <w:szCs w:val="16"/>
                <w:color w:val="auto"/>
              </w:rPr>
              <w:t>Name:</w:t>
            </w:r>
          </w:p>
        </w:tc>
        <w:tc>
          <w:tcPr>
            <w:tcW w:w="43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Wing Hong Sammy Hsieh</w:t>
            </w: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4"/>
        </w:trPr>
        <w:tc>
          <w:tcPr>
            <w:tcW w:w="3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Title:</w:t>
            </w:r>
          </w:p>
        </w:tc>
        <w:tc>
          <w:tcPr>
            <w:tcW w:w="438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020" w:type="dxa"/>
            <w:vAlign w:val="bottom"/>
          </w:tcPr>
          <w:p>
            <w:pPr>
              <w:spacing w:after="0"/>
              <w:rPr>
                <w:sz w:val="16"/>
                <w:szCs w:val="16"/>
                <w:color w:val="auto"/>
              </w:rPr>
            </w:pPr>
          </w:p>
        </w:tc>
      </w:tr>
      <w:tr>
        <w:trPr>
          <w:trHeight w:val="389"/>
        </w:trPr>
        <w:tc>
          <w:tcPr>
            <w:tcW w:w="34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w:t>
            </w:r>
          </w:p>
        </w:tc>
        <w:tc>
          <w:tcPr>
            <w:tcW w:w="6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13"/>
        </w:trPr>
        <w:tc>
          <w:tcPr>
            <w:tcW w:w="348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43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020" w:type="dxa"/>
            <w:vAlign w:val="bottom"/>
          </w:tcPr>
          <w:p>
            <w:pPr>
              <w:spacing w:after="0"/>
              <w:rPr>
                <w:sz w:val="9"/>
                <w:szCs w:val="9"/>
                <w:color w:val="auto"/>
              </w:rPr>
            </w:pPr>
          </w:p>
        </w:tc>
      </w:tr>
      <w:tr>
        <w:trPr>
          <w:trHeight w:val="376"/>
        </w:trPr>
        <w:tc>
          <w:tcPr>
            <w:tcW w:w="34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7133590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-254635</wp:posOffset>
            </wp:positionV>
            <wp:extent cx="1714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 cy="25400"/>
                    </a:xfrm>
                    <a:prstGeom prst="rect">
                      <a:avLst/>
                    </a:prstGeom>
                    <a:noFill/>
                  </pic:spPr>
                </pic:pic>
              </a:graphicData>
            </a:graphic>
          </wp:anchor>
        </w:drawing>
      </w:r>
    </w:p>
    <w:p>
      <w:pPr>
        <w:sectPr>
          <w:pgSz w:w="11900" w:h="16838" w:orient="portrait"/>
          <w:cols w:equalWidth="0" w:num="1">
            <w:col w:w="11260"/>
          </w:cols>
          <w:pgMar w:left="320" w:top="342" w:right="319" w:bottom="1440" w:gutter="0" w:footer="0" w:header="0"/>
        </w:sectPr>
      </w:pPr>
    </w:p>
    <w:bookmarkStart w:id="6" w:name="page7"/>
    <w:bookmarkEnd w:id="6"/>
    <w:p>
      <w:pPr>
        <w:jc w:val="center"/>
        <w:ind w:right="-220"/>
        <w:spacing w:after="0"/>
        <w:rPr>
          <w:sz w:val="20"/>
          <w:szCs w:val="20"/>
          <w:color w:val="auto"/>
        </w:rPr>
      </w:pPr>
      <w:r>
        <w:rPr>
          <w:rFonts w:ascii="Arial" w:cs="Arial" w:eastAsia="Arial" w:hAnsi="Arial"/>
          <w:sz w:val="16"/>
          <w:szCs w:val="16"/>
          <w:b w:val="1"/>
          <w:bCs w:val="1"/>
          <w:color w:val="auto"/>
        </w:rPr>
        <w:t>LIST OF EXHIBITS</w:t>
      </w:r>
    </w:p>
    <w:p>
      <w:pPr>
        <w:spacing w:after="0" w:line="211"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Exhibit 99.1 — </w:t>
      </w:r>
      <w:hyperlink w:anchor="page8">
        <w:r>
          <w:rPr>
            <w:rFonts w:ascii="Arial" w:cs="Arial" w:eastAsia="Arial" w:hAnsi="Arial"/>
            <w:sz w:val="16"/>
            <w:szCs w:val="16"/>
            <w:u w:val="single" w:color="auto"/>
            <w:color w:val="0000EE"/>
          </w:rPr>
          <w:t>Joint Filing Agreement</w:t>
        </w:r>
      </w:hyperlink>
    </w:p>
    <w:p>
      <w:pPr>
        <w:spacing w:after="0" w:line="19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649478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94780" cy="25400"/>
                    </a:xfrm>
                    <a:prstGeom prst="rect">
                      <a:avLst/>
                    </a:prstGeom>
                    <a:noFill/>
                  </pic:spPr>
                </pic:pic>
              </a:graphicData>
            </a:graphic>
          </wp:anchor>
        </w:drawing>
      </w:r>
    </w:p>
    <w:p>
      <w:pPr>
        <w:sectPr>
          <w:pgSz w:w="11900" w:h="16838" w:orient="portrait"/>
          <w:cols w:equalWidth="0" w:num="1">
            <w:col w:w="10139"/>
          </w:cols>
          <w:pgMar w:left="320" w:top="349"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color w:val="auto"/>
        </w:rPr>
        <w:t>Exhibit 99.1</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u w:val="single" w:color="auto"/>
          <w:color w:val="auto"/>
        </w:rPr>
        <w:t>JOINT FILING AGREEMENT</w:t>
      </w:r>
    </w:p>
    <w:p>
      <w:pPr>
        <w:spacing w:after="0" w:line="186" w:lineRule="exact"/>
        <w:rPr>
          <w:sz w:val="20"/>
          <w:szCs w:val="20"/>
          <w:color w:val="auto"/>
        </w:rPr>
      </w:pPr>
    </w:p>
    <w:p>
      <w:pPr>
        <w:ind w:right="200"/>
        <w:spacing w:after="0" w:line="229" w:lineRule="auto"/>
        <w:rPr>
          <w:sz w:val="20"/>
          <w:szCs w:val="20"/>
          <w:color w:val="auto"/>
        </w:rPr>
      </w:pPr>
      <w:r>
        <w:rPr>
          <w:rFonts w:ascii="Arial" w:cs="Arial" w:eastAsia="Arial" w:hAnsi="Arial"/>
          <w:sz w:val="15"/>
          <w:szCs w:val="15"/>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hereby execute this Agreement as of February 14, 2022.</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20"/>
                <w:szCs w:val="20"/>
                <w:color w:val="auto"/>
              </w:rPr>
            </w:pPr>
            <w:r>
              <w:rPr>
                <w:rFonts w:ascii="Arial" w:cs="Arial" w:eastAsia="Arial" w:hAnsi="Arial"/>
                <w:sz w:val="16"/>
                <w:szCs w:val="16"/>
                <w:color w:val="auto"/>
              </w:rPr>
              <w:t>Wing Hong Sammy Hsieh</w:t>
            </w:r>
          </w:p>
        </w:tc>
        <w:tc>
          <w:tcPr>
            <w:tcW w:w="1680" w:type="dxa"/>
            <w:vAlign w:val="bottom"/>
          </w:tcPr>
          <w:p>
            <w:pPr>
              <w:spacing w:after="0"/>
              <w:rPr>
                <w:sz w:val="16"/>
                <w:szCs w:val="16"/>
                <w:color w:val="auto"/>
              </w:rPr>
            </w:pPr>
          </w:p>
        </w:tc>
        <w:tc>
          <w:tcPr>
            <w:tcW w:w="500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color w:val="auto"/>
              </w:rPr>
              <w:t>/s/ Wing Hong Sammy Hsieh</w:t>
            </w:r>
          </w:p>
        </w:tc>
        <w:tc>
          <w:tcPr>
            <w:tcW w:w="40" w:type="dxa"/>
            <w:vAlign w:val="bottom"/>
          </w:tcPr>
          <w:p>
            <w:pPr>
              <w:spacing w:after="0"/>
              <w:rPr>
                <w:sz w:val="16"/>
                <w:szCs w:val="16"/>
                <w:color w:val="auto"/>
              </w:rPr>
            </w:pPr>
          </w:p>
        </w:tc>
      </w:tr>
      <w:tr>
        <w:trPr>
          <w:trHeight w:val="355"/>
        </w:trPr>
        <w:tc>
          <w:tcPr>
            <w:tcW w:w="3520" w:type="dxa"/>
            <w:vAlign w:val="bottom"/>
          </w:tcPr>
          <w:p>
            <w:pPr>
              <w:spacing w:after="0"/>
              <w:rPr>
                <w:sz w:val="20"/>
                <w:szCs w:val="20"/>
                <w:color w:val="auto"/>
              </w:rPr>
            </w:pPr>
            <w:r>
              <w:rPr>
                <w:rFonts w:ascii="Arial" w:cs="Arial" w:eastAsia="Arial" w:hAnsi="Arial"/>
                <w:sz w:val="16"/>
                <w:szCs w:val="16"/>
                <w:color w:val="auto"/>
              </w:rPr>
              <w:t>Bubinga Holdings Limited</w:t>
            </w:r>
          </w:p>
        </w:tc>
        <w:tc>
          <w:tcPr>
            <w:tcW w:w="2260" w:type="dxa"/>
            <w:vAlign w:val="bottom"/>
            <w:gridSpan w:val="2"/>
          </w:tcPr>
          <w:p>
            <w:pPr>
              <w:ind w:left="1680"/>
              <w:spacing w:after="0"/>
              <w:rPr>
                <w:sz w:val="20"/>
                <w:szCs w:val="20"/>
                <w:color w:val="auto"/>
              </w:rPr>
            </w:pPr>
            <w:r>
              <w:rPr>
                <w:rFonts w:ascii="Arial" w:cs="Arial" w:eastAsia="Arial" w:hAnsi="Arial"/>
                <w:sz w:val="16"/>
                <w:szCs w:val="16"/>
                <w:color w:val="auto"/>
              </w:rPr>
              <w:t>By:</w:t>
            </w:r>
          </w:p>
        </w:tc>
        <w:tc>
          <w:tcPr>
            <w:tcW w:w="100" w:type="dxa"/>
            <w:vAlign w:val="bottom"/>
          </w:tcPr>
          <w:p>
            <w:pPr>
              <w:spacing w:after="0"/>
              <w:rPr>
                <w:sz w:val="24"/>
                <w:szCs w:val="24"/>
                <w:color w:val="auto"/>
              </w:rPr>
            </w:pPr>
          </w:p>
        </w:tc>
        <w:tc>
          <w:tcPr>
            <w:tcW w:w="4360" w:type="dxa"/>
            <w:vAlign w:val="bottom"/>
            <w:gridSpan w:val="2"/>
          </w:tcPr>
          <w:p>
            <w:pPr>
              <w:ind w:left="80"/>
              <w:spacing w:after="0"/>
              <w:rPr>
                <w:sz w:val="20"/>
                <w:szCs w:val="20"/>
                <w:color w:val="auto"/>
              </w:rPr>
            </w:pPr>
            <w:r>
              <w:rPr>
                <w:rFonts w:ascii="Arial" w:cs="Arial" w:eastAsia="Arial" w:hAnsi="Arial"/>
                <w:sz w:val="16"/>
                <w:szCs w:val="16"/>
                <w:color w:val="auto"/>
              </w:rPr>
              <w:t>/s/ Wing Hong Sammy Hsieh</w:t>
            </w:r>
          </w:p>
        </w:tc>
      </w:tr>
      <w:tr>
        <w:trPr>
          <w:trHeight w:val="183"/>
        </w:trPr>
        <w:tc>
          <w:tcPr>
            <w:tcW w:w="3520" w:type="dxa"/>
            <w:vAlign w:val="bottom"/>
          </w:tcPr>
          <w:p>
            <w:pPr>
              <w:spacing w:after="0"/>
              <w:rPr>
                <w:sz w:val="15"/>
                <w:szCs w:val="15"/>
                <w:color w:val="auto"/>
              </w:rPr>
            </w:pPr>
          </w:p>
        </w:tc>
        <w:tc>
          <w:tcPr>
            <w:tcW w:w="2260" w:type="dxa"/>
            <w:vAlign w:val="bottom"/>
            <w:gridSpan w:val="2"/>
          </w:tcPr>
          <w:p>
            <w:pPr>
              <w:ind w:left="1680"/>
              <w:spacing w:after="0" w:line="175" w:lineRule="exact"/>
              <w:rPr>
                <w:sz w:val="20"/>
                <w:szCs w:val="20"/>
                <w:color w:val="auto"/>
              </w:rPr>
            </w:pPr>
            <w:r>
              <w:rPr>
                <w:rFonts w:ascii="Arial" w:cs="Arial" w:eastAsia="Arial" w:hAnsi="Arial"/>
                <w:sz w:val="16"/>
                <w:szCs w:val="16"/>
                <w:color w:val="auto"/>
              </w:rPr>
              <w:t>Name:</w:t>
            </w:r>
          </w:p>
        </w:tc>
        <w:tc>
          <w:tcPr>
            <w:tcW w:w="100" w:type="dxa"/>
            <w:vAlign w:val="bottom"/>
          </w:tcPr>
          <w:p>
            <w:pPr>
              <w:spacing w:after="0"/>
              <w:rPr>
                <w:sz w:val="15"/>
                <w:szCs w:val="15"/>
                <w:color w:val="auto"/>
              </w:rPr>
            </w:pPr>
          </w:p>
        </w:tc>
        <w:tc>
          <w:tcPr>
            <w:tcW w:w="432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color w:val="auto"/>
              </w:rPr>
              <w:t>Wing Hong Sammy Hsieh</w:t>
            </w:r>
          </w:p>
        </w:tc>
        <w:tc>
          <w:tcPr>
            <w:tcW w:w="40" w:type="dxa"/>
            <w:vAlign w:val="bottom"/>
          </w:tcPr>
          <w:p>
            <w:pPr>
              <w:spacing w:after="0"/>
              <w:rPr>
                <w:sz w:val="15"/>
                <w:szCs w:val="15"/>
                <w:color w:val="auto"/>
              </w:rPr>
            </w:pPr>
          </w:p>
        </w:tc>
      </w:tr>
      <w:tr>
        <w:trPr>
          <w:trHeight w:val="194"/>
        </w:trPr>
        <w:tc>
          <w:tcPr>
            <w:tcW w:w="3520" w:type="dxa"/>
            <w:vAlign w:val="bottom"/>
          </w:tcPr>
          <w:p>
            <w:pPr>
              <w:spacing w:after="0"/>
              <w:rPr>
                <w:sz w:val="16"/>
                <w:szCs w:val="16"/>
                <w:color w:val="auto"/>
              </w:rPr>
            </w:pPr>
          </w:p>
        </w:tc>
        <w:tc>
          <w:tcPr>
            <w:tcW w:w="2260" w:type="dxa"/>
            <w:vAlign w:val="bottom"/>
            <w:gridSpan w:val="2"/>
          </w:tcPr>
          <w:p>
            <w:pPr>
              <w:ind w:left="1680"/>
              <w:spacing w:after="0"/>
              <w:rPr>
                <w:sz w:val="20"/>
                <w:szCs w:val="20"/>
                <w:color w:val="auto"/>
              </w:rPr>
            </w:pPr>
            <w:r>
              <w:rPr>
                <w:rFonts w:ascii="Arial" w:cs="Arial" w:eastAsia="Arial" w:hAnsi="Arial"/>
                <w:sz w:val="16"/>
                <w:szCs w:val="16"/>
                <w:color w:val="auto"/>
              </w:rPr>
              <w:t>Title:</w:t>
            </w:r>
          </w:p>
        </w:tc>
        <w:tc>
          <w:tcPr>
            <w:tcW w:w="4460" w:type="dxa"/>
            <w:vAlign w:val="bottom"/>
            <w:gridSpan w:val="3"/>
          </w:tcPr>
          <w:p>
            <w:pPr>
              <w:ind w:left="100"/>
              <w:spacing w:after="0"/>
              <w:rPr>
                <w:sz w:val="20"/>
                <w:szCs w:val="20"/>
                <w:color w:val="auto"/>
              </w:rPr>
            </w:pPr>
            <w:r>
              <w:rPr>
                <w:rFonts w:ascii="Arial" w:cs="Arial" w:eastAsia="Arial" w:hAnsi="Arial"/>
                <w:sz w:val="16"/>
                <w:szCs w:val="16"/>
                <w:color w:val="auto"/>
              </w:rPr>
              <w:t>Director</w:t>
            </w:r>
          </w:p>
        </w:tc>
      </w:tr>
      <w:tr>
        <w:trPr>
          <w:trHeight w:val="301"/>
        </w:trPr>
        <w:tc>
          <w:tcPr>
            <w:tcW w:w="35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1714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4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170180</wp:posOffset>
            </wp:positionV>
            <wp:extent cx="1714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 cy="25400"/>
                    </a:xfrm>
                    <a:prstGeom prst="rect">
                      <a:avLst/>
                    </a:prstGeom>
                    <a:noFill/>
                  </pic:spPr>
                </pic:pic>
              </a:graphicData>
            </a:graphic>
          </wp:anchor>
        </w:drawing>
      </w:r>
    </w:p>
    <w:sectPr>
      <w:pgSz w:w="11900" w:h="16838" w:orient="portrait"/>
      <w:cols w:equalWidth="0" w:num="1">
        <w:col w:w="11120"/>
      </w:cols>
      <w:pgMar w:left="320" w:top="33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o"/>
      <w:numFmt w:val="bullet"/>
      <w:start w:val="1"/>
    </w:lvl>
  </w:abstractNum>
  <w:abstractNum w:abstractNumId="1">
    <w:nsid w:val="216231B"/>
    <w:multiLevelType w:val="hybridMultilevel"/>
    <w:lvl w:ilvl="0">
      <w:lvlJc w:val="left"/>
      <w:lvlText w:val="X"/>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2"/>
      <w:numFmt w:val="bullet"/>
      <w:start w:val="1"/>
    </w:lvl>
    <w:lvl w:ilvl="1">
      <w:lvlJc w:val="left"/>
      <w:lvlText w:val="(%2)"/>
      <w:numFmt w:val="lowerLetter"/>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4"/>
      <w:numFmt w:val="bullet"/>
      <w:start w:val="1"/>
    </w:lvl>
  </w:abstractNum>
  <w:abstractNum w:abstractNumId="6">
    <w:nsid w:val="3352255A"/>
    <w:multiLevelType w:val="hybridMultilevel"/>
    <w:lvl w:ilvl="0">
      <w:lvlJc w:val="left"/>
      <w:lvlText w:val="5"/>
      <w:numFmt w:val="bullet"/>
      <w:start w:val="1"/>
    </w:lvl>
  </w:abstractNum>
  <w:abstractNum w:abstractNumId="7">
    <w:nsid w:val="109CF92E"/>
    <w:multiLevelType w:val="hybridMultilevel"/>
    <w:lvl w:ilvl="0">
      <w:lvlJc w:val="left"/>
      <w:lvlText w:val="8"/>
      <w:numFmt w:val="bullet"/>
      <w:start w:val="1"/>
    </w:lvl>
  </w:abstractNum>
  <w:abstractNum w:abstractNumId="8">
    <w:nsid w:val="DED7263"/>
    <w:multiLevelType w:val="hybridMultilevel"/>
    <w:lvl w:ilvl="0">
      <w:lvlJc w:val="left"/>
      <w:lvlText w:val="9"/>
      <w:numFmt w:val="bullet"/>
      <w:start w:val="1"/>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2"/>
      <w:numFmt w:val="bullet"/>
      <w:start w:val="1"/>
    </w:lvl>
    <w:lvl w:ilvl="1">
      <w:lvlJc w:val="left"/>
      <w:lvlText w:val="(%2)"/>
      <w:numFmt w:val="lowerLetter"/>
      <w:start w:val="1"/>
    </w:lvl>
  </w:abstractNum>
  <w:abstractNum w:abstractNumId="12">
    <w:nsid w:val="6B68079A"/>
    <w:multiLevelType w:val="hybridMultilevel"/>
    <w:lvl w:ilvl="0">
      <w:lvlJc w:val="left"/>
      <w:lvlText w:val="3"/>
      <w:numFmt w:val="bullet"/>
      <w:start w:val="1"/>
    </w:lvl>
  </w:abstractNum>
  <w:abstractNum w:abstractNumId="13">
    <w:nsid w:val="4E6AFB66"/>
    <w:multiLevelType w:val="hybridMultilevel"/>
    <w:lvl w:ilvl="0">
      <w:lvlJc w:val="left"/>
      <w:lvlText w:val="4"/>
      <w:numFmt w:val="bullet"/>
      <w:start w:val="1"/>
    </w:lvl>
  </w:abstractNum>
  <w:abstractNum w:abstractNumId="14">
    <w:nsid w:val="25E45D32"/>
    <w:multiLevelType w:val="hybridMultilevel"/>
    <w:lvl w:ilvl="0">
      <w:lvlJc w:val="left"/>
      <w:lvlText w:val="5"/>
      <w:numFmt w:val="bullet"/>
      <w:start w:val="1"/>
    </w:lvl>
  </w:abstractNum>
  <w:abstractNum w:abstractNumId="15">
    <w:nsid w:val="519B500D"/>
    <w:multiLevelType w:val="hybridMultilevel"/>
    <w:lvl w:ilvl="0">
      <w:lvlJc w:val="left"/>
      <w:lvlText w:val="8"/>
      <w:numFmt w:val="bullet"/>
      <w:start w:val="1"/>
    </w:lvl>
  </w:abstractNum>
  <w:abstractNum w:abstractNumId="16">
    <w:nsid w:val="431BD7B7"/>
    <w:multiLevelType w:val="hybridMultilevel"/>
    <w:lvl w:ilvl="0">
      <w:lvlJc w:val="left"/>
      <w:lvlText w:val="9"/>
      <w:numFmt w:val="bullet"/>
      <w:start w:val="1"/>
    </w:lvl>
  </w:abstractNum>
  <w:abstractNum w:abstractNumId="17">
    <w:nsid w:val="3F2DBA31"/>
    <w:multiLevelType w:val="hybridMultilevel"/>
    <w:lvl w:ilvl="0">
      <w:lvlJc w:val="left"/>
      <w:lvlText w:val="%1"/>
      <w:numFmt w:val="decimal"/>
      <w:start w:val="10"/>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2022-02-14T08:16:29Z</dcterms:created>
  <dcterms:modified xsi:type="dcterms:W3CDTF">2022-02-14T08:16:29Z</dcterms:modified>
</cp:coreProperties>
</file>