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161290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001-38313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Amber International Holding Limited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Wallich Street, #30-02 Guoco Tower, Singapore 078881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Tel: +65 60220228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100" w:type="dxa"/>
            <w:vAlign w:val="bottom"/>
            <w:gridSpan w:val="2"/>
          </w:tcPr>
          <w:p>
            <w:pPr>
              <w:jc w:val="center"/>
              <w:ind w:righ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32"/>
        </w:trPr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 of Document</w:t>
            </w:r>
          </w:p>
        </w:tc>
      </w:tr>
      <w:tr>
        <w:trPr>
          <w:trHeight w:val="38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Amber Premium FZE Secures Virtual Asset Service Provider License from Dubai’s VARA</w:t>
            </w:r>
          </w:p>
        </w:tc>
      </w:tr>
      <w:tr>
        <w:trPr>
          <w:trHeight w:val="669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jc w:val="right"/>
              <w:ind w:right="1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Amber International Holding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Josephine Ngai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Josephine Ngai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28,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900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IMMEDIATE RELEASE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333333"/>
        </w:rPr>
        <w:t>Amber Premium FZE Secures Virtual Asset Service Provider License from Dubai’s VARA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Dubai, United Arab Emirates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April 28, 2026 – Amber International Holding Limited (Nasdaq: AMBR), operating under the brand name “Amber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Premium,” the private banking-grade digital wealth management platform of Amber Group serving high-net-worth individuals and leading institutions, today announced that its Dubai subsidiary, Amber Premium FZE, has received a Virtual Asset Service Provider (VASP) License from Dubai’s Virtual Assets Regulatory Authority (VARA).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VASP License grants Amber Premium the authority to commence operations and to offer three regulated activities in and from the Emirate of Dubai, including virtual asset (VA) Broker-Dealer Services, VA Management and Investment Services, and VA Lending and Borrowing Services for global institutional and qualified investors as defined under VARA’s rulebooks.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“Receiving the VASP License from VARA is a milestone in our long-term roadmap for the region. We are deliberate in pacing our expansion with the evolution of global governance,” said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Michael Wu, CEO and Chairman of the Board, Amber Premium.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“This authorization accelerates our mission to provide institutional-grade digital wealth infrastructure to our clients in the UAE. We remain committed to a compliance-first architecture, ensuring that our growth contributes directly to the integrity and safety of the local financial ecosystem.”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Established under Dubai Law No. 4 of 2022, VARA is the world’s first independent regulator for virtual assets, overseeing the development and supervision of virtual asset activities across the Emirate. The authority plays a pivotal role in shaping Dubai’s advanced regulatory environment—one that sets global benchmarks for market integrity, investor protection, industry governance, and innovation-driven growth.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###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33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Amber International Holding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Amber International Holding Limited (Nasdaq: AMBR), operating under the brand name “Amber Premium,” is a global leading digital wealth management platform. As a private banking grade expert in digital wealth management and a subsidiary of Amber Group, Amber Premium is a trusted partner to high-net-worth individuals and leading institutions, delivering institutional-grade market access, execution infrastructure, and investment solutions. The firm is set to redefine the digital wealth management landscape, serving as a proven Nasdaq-listed gateway to digital assets. Learn more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www.ambr.io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Media Contacts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Amber International Holding Limited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E-mail: pr@ambr.io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2026-04-28T05:39:56Z</dcterms:created>
  <dcterms:modified xsi:type="dcterms:W3CDTF">2026-04-28T05:39:56Z</dcterms:modified>
</cp:coreProperties>
</file>