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For the month of December 2022</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t>iClick Interactive Asia Group Limited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15/F</w:t>
      </w:r>
    </w:p>
    <w:p>
      <w:pPr>
        <w:spacing w:after="0" w:line="3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Prosperity Millennia Plaza</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663 King’s Road, Quarry Bay</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Hong Kong S.A.R., People’s Republic of China</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Tel: +852 3700 9000</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40"/>
          </w:cols>
          <w:pgMar w:left="320" w:top="727" w:right="9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960" w:type="dxa"/>
            <w:vAlign w:val="bottom"/>
          </w:tcPr>
          <w:p>
            <w:pPr>
              <w:jc w:val="center"/>
              <w:ind w:right="219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20" w:type="dxa"/>
            <w:vAlign w:val="bottom"/>
          </w:tcPr>
          <w:p>
            <w:pPr>
              <w:spacing w:after="0"/>
              <w:rPr>
                <w:sz w:val="24"/>
                <w:szCs w:val="24"/>
                <w:color w:val="auto"/>
              </w:rPr>
            </w:pPr>
          </w:p>
        </w:tc>
        <w:tc>
          <w:tcPr>
            <w:tcW w:w="896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385"/>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896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Zhang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20,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167640</wp:posOffset>
            </wp:positionV>
            <wp:extent cx="6858000" cy="2922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0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 Announces Annual General Meeting Results</w:t>
      </w:r>
    </w:p>
    <w:p>
      <w:pPr>
        <w:spacing w:after="0" w:line="225" w:lineRule="exact"/>
        <w:rPr>
          <w:sz w:val="20"/>
          <w:szCs w:val="20"/>
          <w:color w:val="auto"/>
        </w:rPr>
      </w:pPr>
    </w:p>
    <w:p>
      <w:pPr>
        <w:jc w:val="both"/>
        <w:ind w:hanging="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HONG KONG </w:t>
      </w:r>
      <w:r>
        <w:rPr>
          <w:rFonts w:ascii="Times New Roman" w:cs="Times New Roman" w:eastAsia="Times New Roman" w:hAnsi="Times New Roman"/>
          <w:sz w:val="18"/>
          <w:szCs w:val="18"/>
          <w:color w:val="auto"/>
        </w:rPr>
        <w:t>— Dec 20, 2022 — iClick Interactive Asia Group Limited (“iClick” or the “Company”) (NASDAQ: ICLK), a leading enterprise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cloud platform in China that empowers worldwide brands with full-stack consumer lifecycle solutions, today announced the results of its annual general meeting of shareholders held in Hong Kong on December 20, 2022.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meeting, the shareholders of the Company approved and ratified the following resolution: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approve and ratify the appointment of Mr. Tiezhu (David) Zhang as a director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iClick Interactive Asia Group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https://ir.i-click.com.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tc>
        <w:tc>
          <w:tcPr>
            <w:tcW w:w="1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410"/>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China:</w:t>
            </w:r>
          </w:p>
        </w:tc>
        <w:tc>
          <w:tcPr>
            <w:tcW w:w="656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In the United States:</w:t>
            </w:r>
          </w:p>
        </w:tc>
      </w:tr>
      <w:tr>
        <w:trPr>
          <w:trHeight w:val="220"/>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656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Core IR</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Lisa Li</w:t>
            </w:r>
          </w:p>
        </w:tc>
        <w:tc>
          <w:tcPr>
            <w:tcW w:w="656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Tom Caden</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Phone: +86-21-3230-3931 #866</w:t>
            </w:r>
          </w:p>
        </w:tc>
        <w:tc>
          <w:tcPr>
            <w:tcW w:w="656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Tel: +1-516-222-2560</w:t>
            </w:r>
          </w:p>
        </w:tc>
      </w:tr>
      <w:tr>
        <w:trPr>
          <w:trHeight w:val="194"/>
        </w:trPr>
        <w:tc>
          <w:tcPr>
            <w:tcW w:w="46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E-mail: ir@i-click.com</w:t>
            </w:r>
          </w:p>
        </w:tc>
        <w:tc>
          <w:tcPr>
            <w:tcW w:w="6560" w:type="dxa"/>
            <w:vAlign w:val="bottom"/>
            <w:gridSpan w:val="3"/>
          </w:tcPr>
          <w:p>
            <w:pPr>
              <w:ind w:left="940"/>
              <w:spacing w:after="0" w:line="194" w:lineRule="exact"/>
              <w:rPr>
                <w:sz w:val="20"/>
                <w:szCs w:val="20"/>
                <w:color w:val="auto"/>
              </w:rPr>
            </w:pPr>
            <w:r>
              <w:rPr>
                <w:rFonts w:ascii="Times New Roman" w:cs="Times New Roman" w:eastAsia="Times New Roman" w:hAnsi="Times New Roman"/>
                <w:sz w:val="18"/>
                <w:szCs w:val="18"/>
                <w:color w:val="auto"/>
              </w:rPr>
              <w:t>E-mail: tomc@coreir.com</w:t>
            </w:r>
          </w:p>
        </w:tc>
      </w:tr>
      <w:tr>
        <w:trPr>
          <w:trHeight w:val="695"/>
        </w:trPr>
        <w:tc>
          <w:tcPr>
            <w:tcW w:w="46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2022-12-20T16:12:14Z</dcterms:created>
  <dcterms:modified xsi:type="dcterms:W3CDTF">2022-12-20T16:12:14Z</dcterms:modified>
</cp:coreProperties>
</file>