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429705d2_6k.htm"/>
      <w:bookmarkStart w:id="1" w:name="kstm2429705d2_6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November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001-38313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iClick Interactive Asia Group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Prosperity Millennia Plaza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663 King’s Road, Quarry Bay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 S.A.R., 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+852 3700 9000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Number</w:t>
            </w:r>
          </w:p>
        </w:tc>
        <w:tc>
          <w:tcPr>
            <w:tcW w:w="60" w:type="dxa"/>
            <w:tcBorders/>
            <w:tcMar>
              <w:bottom w:w="0" w:type="dxa"/>
            </w:tcMar>
            <w:vAlign w:val="center"/>
          </w:tcPr>
          <w:p>
            <w:pPr>
              <w:pStyle w:val="TableContents"/>
              <w:bidi w:val="0"/>
              <w:spacing w:before="0" w:after="283"/>
              <w:jc w:val="center"/>
              <w:rPr/>
            </w:pPr>
            <w:r>
              <w:rPr/>
              <w:t> </w:t>
            </w:r>
          </w:p>
        </w:tc>
        <w:tc>
          <w:tcPr>
            <w:tcW w:w="94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 of Document</w:t>
            </w:r>
          </w:p>
        </w:tc>
      </w:tr>
      <w:tr>
        <w:trPr/>
        <w:tc>
          <w:tcPr>
            <w:tcW w:w="725" w:type="dxa"/>
            <w:tcBorders/>
            <w:tcMar>
              <w:bottom w:w="0" w:type="dxa"/>
            </w:tcMar>
            <w:vAlign w:val="center"/>
          </w:tcPr>
          <w:p>
            <w:pPr>
              <w:pStyle w:val="TableContents"/>
              <w:bidi w:val="0"/>
              <w:spacing w:before="0" w:after="283"/>
              <w:jc w:val="left"/>
              <w:rPr/>
            </w:pPr>
            <w:hyperlink w:anchor="tm2429705d2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429705d2_ex99-1.htm">
              <w:r>
                <w:rPr>
                  <w:rStyle w:val="InternetLink"/>
                  <w:rFonts w:ascii="Times New Roman;Times;Serif" w:hAnsi="Times New Roman;Times;Serif"/>
                  <w:sz w:val="20"/>
                </w:rPr>
                <w:t>Press release - iClick Interactive Asia Group Limited Announces Closing of Disposal of Its Mainland China Demand Side Marketing Solutions Business</w:t>
              </w:r>
            </w:hyperlink>
          </w:p>
        </w:tc>
      </w:tr>
      <w:tr>
        <w:trPr/>
        <w:tc>
          <w:tcPr>
            <w:tcW w:w="725" w:type="dxa"/>
            <w:tcBorders/>
            <w:tcMar>
              <w:bottom w:w="0" w:type="dxa"/>
            </w:tcMar>
            <w:vAlign w:val="center"/>
          </w:tcPr>
          <w:p>
            <w:pPr>
              <w:pStyle w:val="TableContents"/>
              <w:bidi w:val="0"/>
              <w:spacing w:before="0" w:after="283"/>
              <w:jc w:val="left"/>
              <w:rPr/>
            </w:pPr>
            <w:hyperlink w:anchor="tm2429705d2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429705d2_ex99-2.htm">
              <w:r>
                <w:rPr>
                  <w:rStyle w:val="InternetLink"/>
                  <w:rFonts w:ascii="Times New Roman;Times;Serif" w:hAnsi="Times New Roman;Times;Serif"/>
                  <w:sz w:val="20"/>
                </w:rPr>
                <w:t>Press release - iClick Interactive Asia Group Limited Reports 2024 Half-Year Unaudited Financial Results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75"/>
        <w:gridCol w:w="545"/>
        <w:gridCol w:w="3260"/>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iClick Interactive Asia Group Limited</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Josephine Ngai</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Josephine Ngai</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27,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429705d2_ex99-1.htm"/>
      <w:bookmarkStart w:id="3" w:name="kstm2429705d2_ex991"/>
      <w:bookmarkEnd w:id="2"/>
      <w:bookmarkEnd w:id="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466850"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66850" cy="5810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IMMEDIATE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iClick Interactive Asia Group Limited Announces Closing of Disposal of Its Mainland China Demand Side Marketing Solutions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HONG KONG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November 27, 2024 </w:t>
      </w:r>
      <w:r>
        <w:rPr>
          <w:rFonts w:ascii="Times New Roman;Times;Serif" w:hAnsi="Times New Roman;Times;Serif"/>
          <w:b w:val="false"/>
          <w:i w:val="false"/>
          <w:caps w:val="false"/>
          <w:smallCaps w:val="false"/>
          <w:sz w:val="20"/>
        </w:rPr>
        <w:t>— iClick Interactive Asia Group Limited (“iClick” or the “Company”) (NASDAQ: ICLK), a renowned online marketing and enterprise solutions provider in Asia that empowers worldwide brands with full-stack consumer lifecycle solutions, today announced that it has closed its previously announced disposal of its demand side marketing solutions business in mainland China in accordance with the terms and conditions of the share purchase agreement dated September 11,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continue to enhance operational efficiency and realign its business focus to adapt to market trends. These efforts aim to improve liquidity and profitability, which the Company believes could contribute to long-term shareholder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iClick Interactive Asia Group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Founded in 2009, iClick Interactive Asia Group Limited (NASDAQ: ICLK) is a renowned online marketing and enterprise solutions provider in Asia. With its leading proprietary technologies, iClick’s full suite of data-driven solutions helps brands drive significant business growth and profitability throughout the full consumer lifecycle. For more information, please visit </w:t>
      </w:r>
      <w:r>
        <w:rPr>
          <w:rFonts w:ascii="Times New Roman;Times;Serif" w:hAnsi="Times New Roman;Times;Serif"/>
          <w:b w:val="false"/>
          <w:i w:val="false"/>
          <w:caps w:val="false"/>
          <w:smallCaps w:val="false"/>
          <w:sz w:val="20"/>
          <w:u w:val="single"/>
        </w:rPr>
        <w:t>https://ir.i-click.com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including those related to the Company’s business strategies, operations and financial performance.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All information provided in this press release is current as of the date of this press release, and the Company undertakes no obligation to update any forward-looking statement, except as required under applicable law. Although the Company believes that the expectations expressed in these forward-looking statements are reasonable, it cannot assure you that its expectations will turn out to be correct, and investors are cautioned that actual results may differ materially from the anticipated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tbl>
      <w:tblPr>
        <w:tblW w:w="5380" w:type="dxa"/>
        <w:jc w:val="left"/>
        <w:tblInd w:w="0" w:type="dxa"/>
        <w:tblLayout w:type="fixed"/>
        <w:tblCellMar>
          <w:top w:w="0" w:type="dxa"/>
          <w:left w:w="0" w:type="dxa"/>
          <w:bottom w:w="0" w:type="dxa"/>
          <w:right w:w="0" w:type="dxa"/>
        </w:tblCellMar>
      </w:tblPr>
      <w:tblGrid>
        <w:gridCol w:w="3260"/>
        <w:gridCol w:w="2120"/>
      </w:tblGrid>
      <w:tr>
        <w:trPr/>
        <w:tc>
          <w:tcPr>
            <w:tcW w:w="3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China:</w:t>
            </w:r>
          </w:p>
        </w:tc>
        <w:tc>
          <w:tcPr>
            <w:tcW w:w="21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the United States:</w:t>
            </w:r>
          </w:p>
        </w:tc>
      </w:tr>
      <w:tr>
        <w:trPr/>
        <w:tc>
          <w:tcPr>
            <w:tcW w:w="3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iClick Interactive Asia Group Limited</w:t>
            </w:r>
          </w:p>
        </w:tc>
        <w:tc>
          <w:tcPr>
            <w:tcW w:w="21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 IR</w:t>
            </w:r>
          </w:p>
        </w:tc>
      </w:tr>
      <w:tr>
        <w:trPr/>
        <w:tc>
          <w:tcPr>
            <w:tcW w:w="3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Catherine Chau</w:t>
            </w:r>
          </w:p>
        </w:tc>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Tom Caden</w:t>
            </w:r>
          </w:p>
        </w:tc>
      </w:tr>
      <w:tr>
        <w:trPr/>
        <w:tc>
          <w:tcPr>
            <w:tcW w:w="3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+852 3700 9100</w:t>
            </w:r>
          </w:p>
        </w:tc>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+1-516-222-2560</w:t>
            </w:r>
          </w:p>
        </w:tc>
      </w:tr>
      <w:tr>
        <w:trPr/>
        <w:tc>
          <w:tcPr>
            <w:tcW w:w="3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ir@i-click.com</w:t>
            </w:r>
          </w:p>
        </w:tc>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tomc@coreir.com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4" w:name="tm2429705d2_ex99-2.htm"/>
      <w:bookmarkStart w:id="5" w:name="kstm2429705d2_ex992"/>
      <w:bookmarkEnd w:id="4"/>
      <w:bookmarkEnd w:id="5"/>
      <w:r>
        <w:rPr>
          <w:b/>
        </w:rPr>
        <w:t>Exhibit 99.2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838325" cy="895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38325" cy="8953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IMMEDIATE RELEASE</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iClick Interactive Asia Group Limited</w:t>
        <w:br/>
        <w:t>Reports 2024 Half-Year Unaudited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Hong Kong, November 27, 2024 </w:t>
      </w:r>
      <w:r>
        <w:rPr>
          <w:rFonts w:ascii="Times New Roman;Times;Serif" w:hAnsi="Times New Roman;Times;Serif"/>
          <w:b w:val="false"/>
          <w:i w:val="false"/>
          <w:caps w:val="false"/>
          <w:smallCaps w:val="false"/>
          <w:sz w:val="20"/>
        </w:rPr>
        <w:t>-- iClick Interactive Asia Group Limited (“iClick” or the “Company”) (Nasdaq: ICLK), a renowned online marketing and enterprise solutions provider in Asia that empowers worldwide brands with full-stack consumer lifecycle solutions, today announced unaudited financial results for the six months ended June 30, 2024.</w:t>
      </w:r>
    </w:p>
    <w:p>
      <w:pPr>
        <w:pStyle w:val="TextBody"/>
        <w:bidi w:val="0"/>
        <w:spacing w:before="0" w:after="0"/>
        <w:ind w:left="0" w:right="0" w:hanging="0"/>
        <w:jc w:val="left"/>
        <w:rPr>
          <w:caps w:val="false"/>
          <w:smallCaps w:val="false"/>
        </w:rPr>
      </w:pPr>
      <w:r>
        <w:rPr>
          <w:caps w:val="false"/>
          <w:smallCaps w:val="false"/>
        </w:rPr>
        <w:t> </w:t>
      </w:r>
    </w:p>
    <w:tbl>
      <w:tblPr>
        <w:tblW w:w="9999" w:type="dxa"/>
        <w:jc w:val="left"/>
        <w:tblInd w:w="0" w:type="dxa"/>
        <w:tblLayout w:type="fixed"/>
        <w:tblCellMar>
          <w:top w:w="0" w:type="dxa"/>
          <w:left w:w="0" w:type="dxa"/>
          <w:bottom w:w="0" w:type="dxa"/>
          <w:right w:w="0" w:type="dxa"/>
        </w:tblCellMar>
      </w:tblPr>
      <w:tblGrid>
        <w:gridCol w:w="6920"/>
        <w:gridCol w:w="60"/>
        <w:gridCol w:w="65"/>
        <w:gridCol w:w="647"/>
        <w:gridCol w:w="87"/>
        <w:gridCol w:w="65"/>
        <w:gridCol w:w="65"/>
        <w:gridCol w:w="713"/>
        <w:gridCol w:w="87"/>
        <w:gridCol w:w="65"/>
        <w:gridCol w:w="165"/>
        <w:gridCol w:w="800"/>
        <w:gridCol w:w="260"/>
      </w:tblGrid>
      <w:tr>
        <w:trPr/>
        <w:tc>
          <w:tcPr>
            <w:tcW w:w="6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9"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7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br/>
              <w:t>change</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2"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78"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2" w:type="dxa"/>
            <w:gridSpan w:val="6"/>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 in thousands)</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right"/>
              <w:rPr/>
            </w:pPr>
            <w:r>
              <w:rPr/>
              <w:t> </w:t>
            </w:r>
          </w:p>
        </w:tc>
        <w:tc>
          <w:tcPr>
            <w:tcW w:w="260" w:type="dxa"/>
            <w:tcBorders/>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2" w:type="dxa"/>
            <w:gridSpan w:val="6"/>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(Unaudited)</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right"/>
              <w:rPr/>
            </w:pPr>
            <w:r>
              <w:rPr/>
              <w:t> </w:t>
            </w:r>
          </w:p>
        </w:tc>
        <w:tc>
          <w:tcPr>
            <w:tcW w:w="260" w:type="dxa"/>
            <w:tcBorders/>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Metrics: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continuing operations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Solutions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9,324</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12,663</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Enterprise Solutions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4,896</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4,330</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from 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14,220</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16,993</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from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8,096</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9,276</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from 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(1,269</w:t>
            </w:r>
          </w:p>
        </w:tc>
        <w:tc>
          <w:tcPr>
            <w:tcW w:w="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(10,275</w:t>
            </w:r>
          </w:p>
        </w:tc>
        <w:tc>
          <w:tcPr>
            <w:tcW w:w="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from discontinued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(5,104</w:t>
            </w:r>
          </w:p>
        </w:tc>
        <w:tc>
          <w:tcPr>
            <w:tcW w:w="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(18,294</w:t>
            </w:r>
          </w:p>
        </w:tc>
        <w:tc>
          <w:tcPr>
            <w:tcW w:w="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net loss from continuing operations per American Depositary Shares (“ADS”)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w:t>
            </w:r>
          </w:p>
        </w:tc>
        <w:tc>
          <w:tcPr>
            <w:tcW w:w="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Metrics: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billing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23,060</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29,983</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 am pleased to report that our continuing operations recorded an improvement in gross margin to 56.9% in the first half of 2024 from 54.6% in the first half of 2023, and we saw the increase in enterprise solutions revenue by 13% year-over-year. The Company will continue to focus on improving the financial performance and cash flows, while exploring strategic opportunities for broader business growth.”, said Mr. Jian Tang, Chairman, Chief Executive Officer and Co-Founder of iClick.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continue monitoring and evaluating operations and market trends proactively in order to optimize our business and enhance profitability. We have recently completed the disposal of our mainland China Enterprise Solutions business and demand side Marketing Solutions business. The results of these businesses are presented under 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Half Year of 2024 Results on Continuing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Revenue</w:t>
      </w:r>
      <w:r>
        <w:rPr>
          <w:rFonts w:ascii="Times New Roman;Times;Serif" w:hAnsi="Times New Roman;Times;Serif"/>
          <w:b w:val="false"/>
          <w:i w:val="false"/>
          <w:caps w:val="false"/>
          <w:smallCaps w:val="false"/>
          <w:sz w:val="20"/>
        </w:rPr>
        <w:t xml:space="preserve"> for the first half of 2024 was US$14.2 million, compared with US$17.0 million for the first half of 2023. Revenue from Marketing Solutions declined to US$9.3 million for the first half of 2024, compared with US$12.7 million for the first half of 2023. It was resulted from our strategic contraction of lower margin and higher risk businesses, with weaker demand from clients on advertising spending due to uncertainty in the macro-economic environment. Revenue from Enterprise Solutions was US$4.9 million for the first half of 2024, improved from US$4.3 million in the first half of 2023 due to the increasing demand for digital transformation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Gross profit</w:t>
      </w:r>
      <w:r>
        <w:rPr>
          <w:rFonts w:ascii="Times New Roman;Times;Serif" w:hAnsi="Times New Roman;Times;Serif"/>
          <w:b w:val="false"/>
          <w:i w:val="false"/>
          <w:caps w:val="false"/>
          <w:smallCaps w:val="false"/>
          <w:sz w:val="20"/>
        </w:rPr>
        <w:t xml:space="preserve"> for the first half of 2024 was US$8.1 million, compared with US$9.3 million for the first half of 2023. With the effort of reducing lower margin and higher risk businesses, and a rising revenue contribution from the higher-margin Enterprise Solutions business, gross profit margin increased to 56.9% for the first half of 2024 from 54.6% for the first half of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 operating expenses</w:t>
      </w:r>
      <w:r>
        <w:rPr>
          <w:rFonts w:ascii="Times New Roman;Times;Serif" w:hAnsi="Times New Roman;Times;Serif"/>
          <w:b w:val="false"/>
          <w:i w:val="false"/>
          <w:caps w:val="false"/>
          <w:smallCaps w:val="false"/>
          <w:sz w:val="20"/>
        </w:rPr>
        <w:t xml:space="preserve"> were US$12.4 million for the first half of 2024, decreased from US$14.1 million for the first half of 2023. The change was primarily due to our cost optimization execution, which resulted in reduction of staff cost and savings on promotional expenses. The expected credit losses provision of trade receivables was also reduced because of our close monitoring of cash collection.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Net loss from continuing operations </w:t>
      </w:r>
      <w:r>
        <w:rPr>
          <w:rFonts w:ascii="Times New Roman;Times;Serif" w:hAnsi="Times New Roman;Times;Serif"/>
          <w:b w:val="false"/>
          <w:i w:val="false"/>
          <w:caps w:val="false"/>
          <w:smallCaps w:val="false"/>
          <w:sz w:val="20"/>
        </w:rPr>
        <w:t>was US$1.3 million for the first half of 2024, significantly improved from the net loss of US$10.3 million for the first half of 2023, mainly due to no impairment of equity investments in the first half of 2024, which we recorded US$5.6 million in the first half of 2023. Operating loss was reduced by US$0.6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from continuing operations attributable to the Company’s shareholders per basic and diluted ADS for the first half of 2024 was US$0.12, compared with a net loss attributable to the Company’s shareholders per basic and diluted ADS of US$1.01 for the first half of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Gross billing</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from continuing operations was US$23.1 million for the first half of 2024, compared with US$30.0 million for the first half of 2023, mainly as a result of our continued strategy of reducing lower margin and higher risk businesses, as well as clients’ reduced advertising spending.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Net loss from discontinued operations </w:t>
      </w:r>
      <w:r>
        <w:rPr>
          <w:rFonts w:ascii="Times New Roman;Times;Serif" w:hAnsi="Times New Roman;Times;Serif"/>
          <w:b w:val="false"/>
          <w:i w:val="false"/>
          <w:caps w:val="false"/>
          <w:smallCaps w:val="false"/>
          <w:sz w:val="20"/>
        </w:rPr>
        <w:t>was US$5.1 million for the first half of 2024, compared with the net loss of US$18.3 million for the first half of 2023, mainly due to cost optimization, and gain on disposal of discontinued operations amounting to US$2.6 million in the first half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the continuing operations of the Company had cash and cash equivalents, time deposits and restricted cash of US$70.2 million, compared with US$41.3 million as of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iClick Interactive Asia Group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Founded in 2009, iClick Interactive Asia Group Limited (NASDAQ: ICLK) is a renowned online marketing and enterprise solutions provider in Asia. With its leading proprietary technologies, iClick's full suite of data-driven solutions helps brands drive significant business growth and profitability throughout the full consumer lifecycle. For more information, please visit </w:t>
      </w:r>
      <w:r>
        <w:rPr>
          <w:rFonts w:ascii="Times New Roman;Times;Serif" w:hAnsi="Times New Roman;Times;Serif"/>
          <w:b w:val="false"/>
          <w:i w:val="false"/>
          <w:caps w:val="false"/>
          <w:smallCaps w:val="false"/>
          <w:sz w:val="20"/>
          <w:u w:val="single"/>
        </w:rPr>
        <w:t>https://ir.i-click.com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w:t>
            </w:r>
          </w:p>
        </w:tc>
        <w:tc>
          <w:tcPr>
            <w:tcW w:w="10065" w:type="dxa"/>
            <w:tcBorders/>
            <w:vAlign w:val="center"/>
          </w:tcPr>
          <w:p>
            <w:pPr>
              <w:pStyle w:val="TableContents"/>
              <w:bidi w:val="0"/>
              <w:spacing w:before="0" w:after="283"/>
              <w:jc w:val="both"/>
              <w:rPr/>
            </w:pPr>
            <w:r>
              <w:rPr/>
              <w:t>Gross billing is defined as the aggregate dollar amount that clients pay the Company after deducting rebates paid and discounts given 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forward-looking statements, including those related to the Company’s business strategies, operations and financial performance.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All information provided in this press release and in the attachments is as of the date of this press release, and the Company undertakes no obligation to update any forward-looking statement, except as required under applicable law. Although the Company believes that the expectations expressed in these forward-looking statements are reasonable, it cannot assure you that its expectations will turn out to be correct, and investors are cautioned that actual results may differ materially from the anticipated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left"/>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3260"/>
        <w:gridCol w:w="2120"/>
      </w:tblGrid>
      <w:tr>
        <w:trPr/>
        <w:tc>
          <w:tcPr>
            <w:tcW w:w="32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 China:</w:t>
            </w:r>
          </w:p>
        </w:tc>
        <w:tc>
          <w:tcPr>
            <w:tcW w:w="21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 the United States:</w:t>
            </w:r>
          </w:p>
        </w:tc>
      </w:tr>
      <w:tr>
        <w:trPr/>
        <w:tc>
          <w:tcPr>
            <w:tcW w:w="32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iClick Interactive Asia Group Limited</w:t>
            </w:r>
          </w:p>
        </w:tc>
        <w:tc>
          <w:tcPr>
            <w:tcW w:w="21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Core IR</w:t>
            </w:r>
          </w:p>
        </w:tc>
      </w:tr>
      <w:tr>
        <w:trPr/>
        <w:tc>
          <w:tcPr>
            <w:tcW w:w="3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Catherine Chau</w:t>
            </w:r>
          </w:p>
        </w:tc>
        <w:tc>
          <w:tcPr>
            <w:tcW w:w="2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Tom Caden</w:t>
            </w:r>
          </w:p>
        </w:tc>
      </w:tr>
      <w:tr>
        <w:trPr/>
        <w:tc>
          <w:tcPr>
            <w:tcW w:w="3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Phone: +852 3700 9100</w:t>
            </w:r>
          </w:p>
        </w:tc>
        <w:tc>
          <w:tcPr>
            <w:tcW w:w="2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Tel: +1-516-222-2560</w:t>
            </w:r>
          </w:p>
        </w:tc>
      </w:tr>
      <w:tr>
        <w:trPr/>
        <w:tc>
          <w:tcPr>
            <w:tcW w:w="3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E-mail: </w:t>
            </w:r>
            <w:r>
              <w:rPr>
                <w:rFonts w:ascii="Times New Roman;Times;Serif" w:hAnsi="Times New Roman;Times;Serif"/>
                <w:sz w:val="20"/>
                <w:u w:val="single"/>
              </w:rPr>
              <w:t>ir@i-click.com</w:t>
            </w:r>
          </w:p>
        </w:tc>
        <w:tc>
          <w:tcPr>
            <w:tcW w:w="2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E-mail: tomc@coreir.com</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tables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ICLICK INTERACTIVE ASIA GROUP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Comprehensive Loss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(US$’000, except share data and per share data, or otherwise noted,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90"/>
        <w:gridCol w:w="60"/>
        <w:gridCol w:w="60"/>
        <w:gridCol w:w="650"/>
        <w:gridCol w:w="80"/>
        <w:gridCol w:w="60"/>
        <w:gridCol w:w="60"/>
        <w:gridCol w:w="650"/>
        <w:gridCol w:w="95"/>
      </w:tblGrid>
      <w:tr>
        <w:trPr/>
        <w:tc>
          <w:tcPr>
            <w:tcW w:w="84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b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4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4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Continuing operations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84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14,220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16,993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(7,717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4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9,276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4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84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8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(8,826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4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(12,396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(14,143</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8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gains/(losses),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4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before income tax expense and share of losses from an equity investee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(10,149</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8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of losses from an equity investee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4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before 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(10,168</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8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4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from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(1,269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(10,275</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8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4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from continuing operations attributable to iClick Interactive Asia Group Limited’s ordinary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(1,158</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(10,266</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84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Discontinued operations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8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 of discontinued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(7,666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(18,305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(expense)/credit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disposal of discontinued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from discontinued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(18,294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from discontinued operations attributable to iClick Interactive Asia Group Limited’s ordinary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(18,245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84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(6,373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(28,569</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84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attributable to iClick Interactive Asia Group Limited’s ordinary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(6,230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(28,511</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84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8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from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8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 net of US$nil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4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84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loss from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(1,282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(10,406</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84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loss from continuing operations attributable to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4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loss from continuing operations attributable to iClick Interactive Asia Group Limited’s ordinary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(10,357</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95"/>
        <w:gridCol w:w="60"/>
        <w:gridCol w:w="60"/>
        <w:gridCol w:w="845"/>
        <w:gridCol w:w="80"/>
        <w:gridCol w:w="60"/>
        <w:gridCol w:w="60"/>
        <w:gridCol w:w="950"/>
        <w:gridCol w:w="95"/>
      </w:tblGrid>
      <w:tr>
        <w:trPr/>
        <w:tc>
          <w:tcPr>
            <w:tcW w:w="7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5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b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from discontinued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(18,294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 net of US$nil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9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loss from discontinued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(5,104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(17,993</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9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loss from discontinued operations attributable to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loss from discontinued operations attributable to iClick Interactive Asia Group Limited’s ordinary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(5,072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(17,973</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9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loss attributable to iClick Interactive Asia Group Limited’s ordinary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(6,243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(28,330</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9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9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from continuing operations per ADS attributable to iClick Interactive Asia Group Limited’s ordinary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99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9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9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from discontinued operations per ADS attributable to iClick Interactive Asia Group Limited’s ordinary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99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9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9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per ADS attributable to iClick Interactive Asia Group Limited’s ordinary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99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9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9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number of ADS used in per share calculation: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99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9,955,943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10,178,966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9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9,955,943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10,178,966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ICLICK INTERACTIVE ASIA GROUP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(US$’000, except share data and per share data, or otherwise noted,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50"/>
        <w:gridCol w:w="60"/>
        <w:gridCol w:w="71"/>
        <w:gridCol w:w="827"/>
        <w:gridCol w:w="80"/>
        <w:gridCol w:w="60"/>
        <w:gridCol w:w="93"/>
        <w:gridCol w:w="1082"/>
        <w:gridCol w:w="82"/>
      </w:tblGrid>
      <w:tr>
        <w:trPr/>
        <w:tc>
          <w:tcPr>
            <w:tcW w:w="785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June 30, 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December 31,</w:t>
              <w:br/>
              <w:t>2023</w:t>
            </w:r>
          </w:p>
        </w:tc>
        <w:tc>
          <w:tcPr>
            <w:tcW w:w="82"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time deposits and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41,264</w:t>
            </w:r>
          </w:p>
        </w:tc>
        <w:tc>
          <w:tcPr>
            <w:tcW w:w="8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of allowance for credit losses of US$1,558 and US$1,571 as of June 30, 2024 and December 31, 2023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13,535</w:t>
            </w:r>
          </w:p>
        </w:tc>
        <w:tc>
          <w:tcPr>
            <w:tcW w:w="8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11,516</w:t>
            </w:r>
          </w:p>
        </w:tc>
        <w:tc>
          <w:tcPr>
            <w:tcW w:w="8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Discontinued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93,488</w:t>
            </w:r>
          </w:p>
        </w:tc>
        <w:tc>
          <w:tcPr>
            <w:tcW w:w="8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151,716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159,803</w:t>
            </w:r>
          </w:p>
        </w:tc>
        <w:tc>
          <w:tcPr>
            <w:tcW w:w="8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3,596</w:t>
            </w:r>
          </w:p>
        </w:tc>
        <w:tc>
          <w:tcPr>
            <w:tcW w:w="8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Discontinued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w:t>
            </w:r>
          </w:p>
        </w:tc>
        <w:tc>
          <w:tcPr>
            <w:tcW w:w="8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3,901</w:t>
            </w:r>
          </w:p>
        </w:tc>
        <w:tc>
          <w:tcPr>
            <w:tcW w:w="8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155,555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163,704</w:t>
            </w:r>
          </w:p>
        </w:tc>
        <w:tc>
          <w:tcPr>
            <w:tcW w:w="8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equity</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4,462</w:t>
            </w:r>
          </w:p>
        </w:tc>
        <w:tc>
          <w:tcPr>
            <w:tcW w:w="8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borrowings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1,965</w:t>
            </w:r>
          </w:p>
        </w:tc>
        <w:tc>
          <w:tcPr>
            <w:tcW w:w="8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20,200</w:t>
            </w:r>
          </w:p>
        </w:tc>
        <w:tc>
          <w:tcPr>
            <w:tcW w:w="8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Discontinued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93,445</w:t>
            </w:r>
          </w:p>
        </w:tc>
        <w:tc>
          <w:tcPr>
            <w:tcW w:w="8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120,679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120,072</w:t>
            </w:r>
          </w:p>
        </w:tc>
        <w:tc>
          <w:tcPr>
            <w:tcW w:w="8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551</w:t>
            </w:r>
          </w:p>
        </w:tc>
        <w:tc>
          <w:tcPr>
            <w:tcW w:w="8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Discontinued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1,829</w:t>
            </w:r>
          </w:p>
        </w:tc>
        <w:tc>
          <w:tcPr>
            <w:tcW w:w="8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2,380</w:t>
            </w:r>
          </w:p>
        </w:tc>
        <w:tc>
          <w:tcPr>
            <w:tcW w:w="8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122,363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122,452</w:t>
            </w:r>
          </w:p>
        </w:tc>
        <w:tc>
          <w:tcPr>
            <w:tcW w:w="8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 Class A (US$0.001 par value; 80,000,000 shares authorized as of June 30, 2024 and December 31, 2023, respectively; 38,752,446 shares and 44,477,356 shares issued and outstanding as of June 30, 2024 and December 31, 2023,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8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 Class B (US$0.001 par value; 20,000,000 shares authorized as of June 30, 2024 and December 31, 2023, respectively; 5,034,427 shares issued and outstanding as of June 30, 2024 and December 31, 2023,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 (218,396 shares and 6,398,616 shares as of June 30, 2024 and December 31, 2023,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(28,656</w:t>
            </w:r>
          </w:p>
        </w:tc>
        <w:tc>
          <w:tcPr>
            <w:tcW w:w="82"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reserves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65,731</w:t>
            </w:r>
          </w:p>
        </w:tc>
        <w:tc>
          <w:tcPr>
            <w:tcW w:w="8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iClick Interactive Asia Group Limited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37,125</w:t>
            </w:r>
          </w:p>
        </w:tc>
        <w:tc>
          <w:tcPr>
            <w:tcW w:w="8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4,127</w:t>
            </w:r>
          </w:p>
        </w:tc>
        <w:tc>
          <w:tcPr>
            <w:tcW w:w="8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41,252</w:t>
            </w:r>
          </w:p>
        </w:tc>
        <w:tc>
          <w:tcPr>
            <w:tcW w:w="8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155,555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163,704</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2471</Words>
  <Characters>14339</Characters>
  <CharactersWithSpaces>17257</CharactersWithSpaces>
  <Paragraphs>1332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