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6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2"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Washington</w:t>
      </w:r>
      <w:r>
        <w:rPr>
          <w:rFonts w:ascii="Times New Roman" w:cs="Times New Roman" w:eastAsia="Times New Roman" w:hAnsi="Times New Roman"/>
          <w:sz w:val="16"/>
          <w:szCs w:val="16"/>
          <w:b w:val="1"/>
          <w:bCs w:val="1"/>
          <w:color w:val="auto"/>
        </w:rPr>
        <w:t>,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64770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38"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86995</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For the month of September 2025</w:t>
      </w:r>
    </w:p>
    <w:p>
      <w:pPr>
        <w:spacing w:after="0" w:line="225"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80010</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62"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29"/>
          <w:szCs w:val="29"/>
          <w:b w:val="1"/>
          <w:bCs w:val="1"/>
          <w:color w:val="auto"/>
        </w:rPr>
        <w:t>Amber International Holding Limited</w:t>
      </w:r>
    </w:p>
    <w:p>
      <w:pPr>
        <w:spacing w:after="0" w:line="44"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73025</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84"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1 Wallich Street, #30-02 Guoco Tower, Singapore 078881</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Tel: +65 60220228</w:t>
      </w:r>
    </w:p>
    <w:p>
      <w:pPr>
        <w:spacing w:after="0" w:line="9"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74295</wp:posOffset>
            </wp:positionV>
            <wp:extent cx="15773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spacing w:after="0" w:line="207" w:lineRule="exact"/>
        <w:tabs>
          <w:tab w:leader="none" w:pos="12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600710</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180340</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223520</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479"/>
          </w:cols>
          <w:pgMar w:left="980" w:top="790"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September 10, 2025, Amber International Holding Limited (the “Company”) announced its financial results for the second quarter ended June 30, 2025. The announcement of the Company’s financial results for the second quarter ended June 30, 2025 is furnished as Exhibit 99.3 to this Report on Form 6-K.</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Exhibit 99.1 and Exhibit 99.2 to this Report on Form 6-K are hereby incorporated by reference to the Company’s Registration Statements on Form F-3 (File No. 333-288535) (including any prospectuses forming a part of such Registration Statements) and Form S-8 (File No. 333-225568, 333-227747, 333-253596 and 333-288385), as amended or supplemented.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40" w:type="dxa"/>
            <w:vAlign w:val="bottom"/>
            <w:gridSpan w:val="4"/>
          </w:tcPr>
          <w:p>
            <w:pPr>
              <w:ind w:left="31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45"/>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40" w:type="dxa"/>
            <w:vAlign w:val="bottom"/>
          </w:tcPr>
          <w:p>
            <w:pPr>
              <w:spacing w:after="0"/>
              <w:rPr>
                <w:sz w:val="24"/>
                <w:szCs w:val="24"/>
                <w:color w:val="auto"/>
              </w:rPr>
            </w:pPr>
          </w:p>
        </w:tc>
        <w:tc>
          <w:tcPr>
            <w:tcW w:w="8840" w:type="dxa"/>
            <w:vAlign w:val="bottom"/>
            <w:tcBorders>
              <w:bottom w:val="single" w:sz="8" w:color="auto"/>
            </w:tcBorders>
            <w:gridSpan w:val="4"/>
          </w:tcPr>
          <w:p>
            <w:pPr>
              <w:ind w:left="346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385"/>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24"/>
                <w:szCs w:val="24"/>
                <w:color w:val="auto"/>
              </w:rPr>
            </w:pPr>
          </w:p>
        </w:tc>
        <w:tc>
          <w:tcPr>
            <w:tcW w:w="88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Unaudited Condensed Consolidated Financial Statements as of June 30, 2025</w:t>
            </w:r>
          </w:p>
        </w:tc>
      </w:tr>
      <w:tr>
        <w:trPr>
          <w:trHeight w:val="20"/>
        </w:trPr>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8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240" w:type="dxa"/>
            <w:vAlign w:val="bottom"/>
          </w:tcPr>
          <w:p>
            <w:pPr>
              <w:spacing w:after="0"/>
              <w:rPr>
                <w:sz w:val="24"/>
                <w:szCs w:val="24"/>
                <w:color w:val="auto"/>
              </w:rPr>
            </w:pPr>
          </w:p>
        </w:tc>
        <w:tc>
          <w:tcPr>
            <w:tcW w:w="88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r>
      <w:tr>
        <w:trPr>
          <w:trHeight w:val="20"/>
        </w:trPr>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60" w:type="dxa"/>
            <w:vAlign w:val="bottom"/>
            <w:gridSpan w:val="2"/>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240" w:type="dxa"/>
            <w:vAlign w:val="bottom"/>
          </w:tcPr>
          <w:p>
            <w:pPr>
              <w:spacing w:after="0"/>
              <w:rPr>
                <w:sz w:val="24"/>
                <w:szCs w:val="24"/>
                <w:color w:val="auto"/>
              </w:rPr>
            </w:pPr>
          </w:p>
        </w:tc>
        <w:tc>
          <w:tcPr>
            <w:tcW w:w="80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Press release - Amber International Holding Limited Reports Second Quarter 2025 Unaudited Financial Results</w:t>
            </w:r>
          </w:p>
        </w:tc>
        <w:tc>
          <w:tcPr>
            <w:tcW w:w="780" w:type="dxa"/>
            <w:vAlign w:val="bottom"/>
          </w:tcPr>
          <w:p>
            <w:pPr>
              <w:spacing w:after="0"/>
              <w:rPr>
                <w:sz w:val="24"/>
                <w:szCs w:val="24"/>
                <w:color w:val="auto"/>
              </w:rPr>
            </w:pPr>
          </w:p>
        </w:tc>
      </w:tr>
      <w:tr>
        <w:trPr>
          <w:trHeight w:val="4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40" w:type="dxa"/>
            <w:vAlign w:val="bottom"/>
          </w:tcPr>
          <w:p>
            <w:pPr>
              <w:spacing w:after="0"/>
              <w:rPr>
                <w:sz w:val="24"/>
                <w:szCs w:val="24"/>
                <w:color w:val="auto"/>
              </w:rPr>
            </w:pPr>
          </w:p>
        </w:tc>
        <w:tc>
          <w:tcPr>
            <w:tcW w:w="8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Document-this instance document does not appear in the Interactive Data File because its XBRL</w:t>
            </w:r>
          </w:p>
        </w:tc>
      </w:tr>
      <w:tr>
        <w:trPr>
          <w:trHeight w:val="234"/>
        </w:trPr>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40" w:type="dxa"/>
            <w:vAlign w:val="bottom"/>
          </w:tcPr>
          <w:p>
            <w:pPr>
              <w:spacing w:after="0"/>
              <w:rPr>
                <w:sz w:val="24"/>
                <w:szCs w:val="24"/>
                <w:color w:val="auto"/>
              </w:rPr>
            </w:pPr>
          </w:p>
        </w:tc>
        <w:tc>
          <w:tcPr>
            <w:tcW w:w="8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40" w:type="dxa"/>
            <w:vAlign w:val="bottom"/>
          </w:tcPr>
          <w:p>
            <w:pPr>
              <w:spacing w:after="0"/>
              <w:rPr>
                <w:sz w:val="24"/>
                <w:szCs w:val="24"/>
                <w:color w:val="auto"/>
              </w:rPr>
            </w:pPr>
          </w:p>
        </w:tc>
        <w:tc>
          <w:tcPr>
            <w:tcW w:w="8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40" w:type="dxa"/>
            <w:vAlign w:val="bottom"/>
          </w:tcPr>
          <w:p>
            <w:pPr>
              <w:spacing w:after="0"/>
              <w:rPr>
                <w:sz w:val="24"/>
                <w:szCs w:val="24"/>
                <w:color w:val="auto"/>
              </w:rPr>
            </w:pPr>
          </w:p>
        </w:tc>
        <w:tc>
          <w:tcPr>
            <w:tcW w:w="8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40" w:type="dxa"/>
            <w:vAlign w:val="bottom"/>
          </w:tcPr>
          <w:p>
            <w:pPr>
              <w:spacing w:after="0"/>
              <w:rPr>
                <w:sz w:val="24"/>
                <w:szCs w:val="24"/>
                <w:color w:val="auto"/>
              </w:rPr>
            </w:pPr>
          </w:p>
        </w:tc>
        <w:tc>
          <w:tcPr>
            <w:tcW w:w="8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40" w:type="dxa"/>
            <w:vAlign w:val="bottom"/>
          </w:tcPr>
          <w:p>
            <w:pPr>
              <w:spacing w:after="0"/>
              <w:rPr>
                <w:sz w:val="24"/>
                <w:szCs w:val="24"/>
                <w:color w:val="auto"/>
              </w:rPr>
            </w:pPr>
          </w:p>
        </w:tc>
        <w:tc>
          <w:tcPr>
            <w:tcW w:w="8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left="1080" w:hanging="1072"/>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4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490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Josephine Ngai</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Josephine Ngai</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5" w:lineRule="exact"/>
        <w:rPr>
          <w:sz w:val="20"/>
          <w:szCs w:val="20"/>
          <w:color w:val="auto"/>
        </w:rPr>
      </w:pPr>
    </w:p>
    <w:p>
      <w:pPr>
        <w:ind w:right="2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FINANCIAL POSITION </w:t>
      </w:r>
      <w:r>
        <w:rPr>
          <w:rFonts w:ascii="Times New Roman" w:cs="Times New Roman" w:eastAsia="Times New Roman" w:hAnsi="Times New Roman"/>
          <w:sz w:val="18"/>
          <w:szCs w:val="18"/>
          <w:color w:val="auto"/>
        </w:rPr>
        <w:t>(US$’000, except share data and per share data, or otherwise noted)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70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assets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USDC</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Collateral receivables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14,414</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from an equity investee</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11,533</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at fair value through profits or loss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contracts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69,934</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2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112,235</w:t>
            </w:r>
          </w:p>
        </w:tc>
        <w:tc>
          <w:tcPr>
            <w:tcW w:w="2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175,414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 and equipment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16,735</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accounted for using equity method</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assets at fair value through profits or loss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17,599</w:t>
            </w:r>
          </w:p>
        </w:tc>
        <w:tc>
          <w:tcPr>
            <w:tcW w:w="24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72,752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129,834</w:t>
            </w:r>
          </w:p>
        </w:tc>
        <w:tc>
          <w:tcPr>
            <w:tcW w:w="2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248,166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 payables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14,414</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due to customers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71,523</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9,980</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borrowings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99,564</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154,577</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FINANCIAL POSITION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70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485</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100,049</w:t>
            </w:r>
          </w:p>
        </w:tc>
        <w:tc>
          <w:tcPr>
            <w:tcW w:w="2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156,871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53,175</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(36,890)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Amber International Holding Limited shareholders’ equity</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29,785</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29,785</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91,295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3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129,834</w:t>
            </w: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5" w:lineRule="exact"/>
        <w:rPr>
          <w:sz w:val="20"/>
          <w:szCs w:val="20"/>
          <w:color w:val="auto"/>
        </w:rPr>
      </w:pPr>
    </w:p>
    <w:p>
      <w:pPr>
        <w:ind w:right="30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PROFIT OR LOSS </w:t>
      </w:r>
      <w:r>
        <w:rPr>
          <w:rFonts w:ascii="Times New Roman" w:cs="Times New Roman" w:eastAsia="Times New Roman" w:hAnsi="Times New Roman"/>
          <w:sz w:val="18"/>
          <w:szCs w:val="18"/>
          <w:color w:val="auto"/>
        </w:rPr>
        <w:t>(US$’000, except share data and per share data, or otherwise noted)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six-month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70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Borders>
              <w:bottom w:val="single" w:sz="8" w:color="auto"/>
            </w:tcBorders>
            <w:gridSpan w:val="3"/>
          </w:tcPr>
          <w:p>
            <w:pPr>
              <w:jc w:val="center"/>
              <w:ind w:left="6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(1,128)</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(158)</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(3,050)</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(3,213)</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(loss)/income</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(2,463)</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 net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gains, net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fair value changes of digital assets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(285)</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Realized fair value changes of digital assets on loan from related parties denominated</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digital assets</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on derivative contract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fair value changes of digital assets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(193)</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fair value changes of digital assets on loan from related parties</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denominated in digital assets</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(8,399)</w:t>
            </w: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(Loss)/profit before share of loss from an equity investee and income tax expense</w:t>
            </w:r>
          </w:p>
        </w:tc>
        <w:tc>
          <w:tcPr>
            <w:tcW w:w="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(10,341)</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of losses from an equity investee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(10,341)</w:t>
            </w: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0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(loss)/income attributable to Amber International Holding Limited’s</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(10,341)</w:t>
            </w:r>
          </w:p>
        </w:tc>
        <w:tc>
          <w:tcPr>
            <w:tcW w:w="2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ordinary shareholders</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LOSS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six-month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9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340" w:type="dxa"/>
            <w:vAlign w:val="bottom"/>
            <w:tcBorders>
              <w:bottom w:val="single" w:sz="8" w:color="auto"/>
            </w:tcBorders>
            <w:gridSpan w:val="3"/>
          </w:tcPr>
          <w:p>
            <w:pPr>
              <w:jc w:val="center"/>
              <w:ind w:left="61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2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(loss)/income</w:t>
            </w: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(10,341)</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comprehensive (loss)/income:</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3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 (loss)/income</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(10,341)</w:t>
            </w: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60" w:type="dxa"/>
            <w:vAlign w:val="bottom"/>
            <w:gridSpan w:val="3"/>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Comprehensive (loss)/income attributable to Amber International Holding Limited’s</w:t>
            </w: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(10,341)</w:t>
            </w:r>
          </w:p>
        </w:tc>
        <w:tc>
          <w:tcPr>
            <w:tcW w:w="2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1,505</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8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ordinary shareholders</w:t>
            </w:r>
          </w:p>
        </w:tc>
        <w:tc>
          <w:tcPr>
            <w:tcW w:w="1100" w:type="dxa"/>
            <w:vAlign w:val="bottom"/>
            <w:gridSpan w:val="2"/>
            <w:vMerge w:val="continue"/>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8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(loss)/profit per ADS attributable to Amber International Holding Limited</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Basic</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(0.17)</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Borders>
              <w:top w:val="single" w:sz="8" w:color="CCEEFF"/>
              <w:bottom w:val="single" w:sz="8" w:color="CCEEFF"/>
            </w:tcBorders>
            <w:gridSpan w:val="3"/>
            <w:vMerge w:val="restart"/>
          </w:tcPr>
          <w:p>
            <w:pPr>
              <w:ind w:left="200"/>
              <w:spacing w:after="0"/>
              <w:rPr>
                <w:sz w:val="20"/>
                <w:szCs w:val="20"/>
                <w:color w:val="auto"/>
              </w:rPr>
            </w:pPr>
            <w:r>
              <w:rPr>
                <w:rFonts w:ascii="Times New Roman" w:cs="Times New Roman" w:eastAsia="Times New Roman" w:hAnsi="Times New Roman"/>
                <w:sz w:val="18"/>
                <w:szCs w:val="18"/>
                <w:color w:val="auto"/>
              </w:rPr>
              <w:t>- Diluted</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860" w:type="dxa"/>
            <w:vAlign w:val="bottom"/>
            <w:tcBorders>
              <w:bottom w:val="single" w:sz="8" w:color="CCEEFF"/>
            </w:tcBorders>
            <w:gridSpan w:val="3"/>
            <w:vMerge w:val="continue"/>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18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920"/>
          </w:cols>
          <w:pgMar w:left="980" w:top="117" w:right="99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Weighted average number of ADS used in per ADS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ind w:left="340" w:hanging="115"/>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w:t>
      </w:r>
    </w:p>
    <w:p>
      <w:pPr>
        <w:spacing w:after="0" w:line="44" w:lineRule="exact"/>
        <w:rPr>
          <w:rFonts w:ascii="Times New Roman" w:cs="Times New Roman" w:eastAsia="Times New Roman" w:hAnsi="Times New Roman"/>
          <w:sz w:val="18"/>
          <w:szCs w:val="18"/>
          <w:color w:val="auto"/>
        </w:rPr>
      </w:pPr>
    </w:p>
    <w:p>
      <w:pPr>
        <w:ind w:left="340" w:hanging="115"/>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7"/>
          <w:szCs w:val="17"/>
          <w:u w:val="single" w:color="auto"/>
          <w:color w:val="auto"/>
        </w:rPr>
        <w:t>61,966,949</w:t>
      </w:r>
      <w:r>
        <w:rPr>
          <w:sz w:val="20"/>
          <w:szCs w:val="20"/>
          <w:color w:val="auto"/>
        </w:rPr>
        <w:tab/>
      </w:r>
      <w:r>
        <w:rPr>
          <w:rFonts w:ascii="Times New Roman" w:cs="Times New Roman" w:eastAsia="Times New Roman" w:hAnsi="Times New Roman"/>
          <w:sz w:val="17"/>
          <w:szCs w:val="17"/>
          <w:u w:val="single" w:color="auto"/>
          <w:color w:val="auto"/>
        </w:rPr>
        <w:t>79,493,454</w:t>
      </w:r>
    </w:p>
    <w:p>
      <w:pPr>
        <w:spacing w:after="0" w:line="6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7"/>
          <w:szCs w:val="17"/>
          <w:u w:val="single" w:color="auto"/>
          <w:color w:val="auto"/>
        </w:rPr>
        <w:t>61,966,949</w:t>
      </w:r>
      <w:r>
        <w:rPr>
          <w:sz w:val="20"/>
          <w:szCs w:val="20"/>
          <w:color w:val="auto"/>
        </w:rPr>
        <w:tab/>
      </w:r>
      <w:r>
        <w:rPr>
          <w:rFonts w:ascii="Times New Roman" w:cs="Times New Roman" w:eastAsia="Times New Roman" w:hAnsi="Times New Roman"/>
          <w:sz w:val="17"/>
          <w:szCs w:val="17"/>
          <w:u w:val="single" w:color="auto"/>
          <w:color w:val="auto"/>
        </w:rPr>
        <w:t>79,496,261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41910</wp:posOffset>
            </wp:positionV>
            <wp:extent cx="12941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94130" cy="8255"/>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-120650</wp:posOffset>
            </wp:positionV>
            <wp:extent cx="12941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672" w:lineRule="exact"/>
        <w:rPr>
          <w:sz w:val="20"/>
          <w:szCs w:val="20"/>
          <w:color w:val="auto"/>
        </w:rPr>
      </w:pPr>
    </w:p>
    <w:p>
      <w:pPr>
        <w:sectPr>
          <w:pgSz w:w="11900" w:h="16838" w:orient="portrait"/>
          <w:cols w:equalWidth="0" w:num="2">
            <w:col w:w="7800" w:space="140"/>
            <w:col w:w="1980"/>
          </w:cols>
          <w:pgMar w:left="980" w:top="117"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5" w:lineRule="exact"/>
        <w:rPr>
          <w:sz w:val="20"/>
          <w:szCs w:val="20"/>
          <w:color w:val="auto"/>
        </w:rPr>
      </w:pPr>
    </w:p>
    <w:p>
      <w:pPr>
        <w:ind w:right="10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CHANGES IN SHAREHOLDERS’ EQUITY </w:t>
      </w:r>
      <w:r>
        <w:rPr>
          <w:rFonts w:ascii="Times New Roman" w:cs="Times New Roman" w:eastAsia="Times New Roman" w:hAnsi="Times New Roman"/>
          <w:sz w:val="18"/>
          <w:szCs w:val="18"/>
          <w:color w:val="auto"/>
        </w:rPr>
        <w:t>(US$’000, except share data and per share data, or otherwise noted)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 Amber</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International</w:t>
            </w: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860" w:type="dxa"/>
            <w:vAlign w:val="bottom"/>
            <w:gridSpan w:val="2"/>
            <w:vMerge w:val="continue"/>
          </w:tcPr>
          <w:p>
            <w:pPr>
              <w:spacing w:after="0"/>
              <w:rPr>
                <w:sz w:val="12"/>
                <w:szCs w:val="12"/>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7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6,069</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(13,617)</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(4,548)</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Waiver of related parties balances</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preference shares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2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(10,341)</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(10,341)</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(23,958)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13,500</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53,175</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(36,890)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29,785</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Waiver of related party balances</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Recapitalization upon consummation of merger, net of</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cost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59,931</w:t>
            </w:r>
          </w:p>
        </w:tc>
        <w:tc>
          <w:tcPr>
            <w:tcW w:w="20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59,931</w:t>
            </w:r>
          </w:p>
        </w:tc>
        <w:tc>
          <w:tcPr>
            <w:tcW w:w="1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for the period</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73,431</w:t>
            </w:r>
          </w:p>
        </w:tc>
        <w:tc>
          <w:tcPr>
            <w:tcW w:w="20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53,086</w:t>
            </w:r>
          </w:p>
        </w:tc>
        <w:tc>
          <w:tcPr>
            <w:tcW w:w="2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(35,218)</w:t>
            </w:r>
          </w:p>
        </w:tc>
        <w:tc>
          <w:tcPr>
            <w:tcW w:w="1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91,299</w:t>
            </w:r>
          </w:p>
        </w:tc>
        <w:tc>
          <w:tcPr>
            <w:tcW w:w="18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5" w:lineRule="exact"/>
        <w:rPr>
          <w:sz w:val="20"/>
          <w:szCs w:val="20"/>
          <w:color w:val="auto"/>
        </w:rPr>
      </w:pPr>
    </w:p>
    <w:p>
      <w:pPr>
        <w:ind w:right="3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CASH FLOWS </w:t>
      </w:r>
      <w:r>
        <w:rPr>
          <w:rFonts w:ascii="Times New Roman" w:cs="Times New Roman" w:eastAsia="Times New Roman" w:hAnsi="Times New Roman"/>
          <w:sz w:val="18"/>
          <w:szCs w:val="18"/>
          <w:color w:val="auto"/>
        </w:rPr>
        <w:t>(US$’000, except share data and per share data, or otherwise noted)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six-month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Borders>
              <w:bottom w:val="single" w:sz="8" w:color="auto"/>
            </w:tcBorders>
            <w:gridSpan w:val="3"/>
          </w:tcPr>
          <w:p>
            <w:pPr>
              <w:jc w:val="center"/>
              <w:ind w:left="61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(Loss)/profit before tax</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(10,341)</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Allowance for credit losses on accounts receivable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Fair value changes on financial asset at fair value through profits or loss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 of losses from an equity investee</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Realized fair value changes on digital assets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(935)</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4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Realized fair value changes on amount due to related parties denominated in digital</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Fair value changes on derivative contract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Unrealized fair value changes on digital assets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4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Unrealized fair value changes on amount due to related parties denominated in digital</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received or settled in digital assets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cash flows before working capital changes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Trade and other payables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Contract liabilities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Balances with related parties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generated from operating activities</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Income tax refunded</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Advance to related parties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(4,054)</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Purchase of financial assets at fair value through profits or loss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Disposal of crypto assets held</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 received</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time deposits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00" w:lineRule="exact"/>
        <w:rPr>
          <w:sz w:val="20"/>
          <w:szCs w:val="20"/>
          <w:color w:val="auto"/>
        </w:rPr>
      </w:pPr>
    </w:p>
    <w:p>
      <w:pPr>
        <w:spacing w:after="0" w:line="324"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4"/>
          <w:szCs w:val="14"/>
          <w:b w:val="1"/>
          <w:bCs w:val="1"/>
          <w:color w:val="auto"/>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629221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Repayment of bank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Proceeds from bank borrowings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Repayment from related parties,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Payment for principal and interest of lease liabilities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Issuance of preference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Net cash generated from financing activities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increase/(decrease) in cash and bank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-116840</wp:posOffset>
            </wp:positionV>
            <wp:extent cx="629221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bank balances at the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and bank balances from the merged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on exchange rate changes on cash and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bank balances at the end of period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21" w:lineRule="exact"/>
        <w:rPr>
          <w:sz w:val="20"/>
          <w:szCs w:val="20"/>
          <w:color w:val="auto"/>
        </w:rPr>
      </w:pPr>
    </w:p>
    <w:p>
      <w:pPr>
        <w:jc w:val="both"/>
        <w:ind w:left="140" w:right="2140" w:hanging="129"/>
        <w:spacing w:after="0" w:line="259" w:lineRule="auto"/>
        <w:rPr>
          <w:sz w:val="20"/>
          <w:szCs w:val="20"/>
          <w:color w:val="auto"/>
        </w:rPr>
      </w:pPr>
      <w:r>
        <w:rPr>
          <w:rFonts w:ascii="Times New Roman" w:cs="Times New Roman" w:eastAsia="Times New Roman" w:hAnsi="Times New Roman"/>
          <w:sz w:val="18"/>
          <w:szCs w:val="18"/>
          <w:b w:val="1"/>
          <w:bCs w:val="1"/>
          <w:color w:val="auto"/>
        </w:rPr>
        <w:t>Reconciliation of cash and bank balances within the unaudited condensed consolidated statements of financial position to the amounts shown in the unaudited condensed consolidated statements of cash flows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-410845</wp:posOffset>
            </wp:positionV>
            <wp:extent cx="6292215" cy="411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4114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Restricted cash, current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 six-month ended</w:t>
      </w:r>
    </w:p>
    <w:p>
      <w:pPr>
        <w:spacing w:after="0" w:line="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-3175</wp:posOffset>
            </wp:positionV>
            <wp:extent cx="13627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tabs>
          <w:tab w:leader="none" w:pos="11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(1,969)</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2,672</w:t>
      </w:r>
    </w:p>
    <w:p>
      <w:pPr>
        <w:spacing w:after="0" w:line="9" w:lineRule="exact"/>
        <w:rPr>
          <w:sz w:val="20"/>
          <w:szCs w:val="20"/>
          <w:color w:val="auto"/>
        </w:rPr>
      </w:pPr>
    </w:p>
    <w:p>
      <w:pPr>
        <w:ind w:left="180"/>
        <w:spacing w:after="0"/>
        <w:tabs>
          <w:tab w:leader="none" w:pos="1340" w:val="left"/>
        </w:tabs>
        <w:rPr>
          <w:sz w:val="20"/>
          <w:szCs w:val="20"/>
          <w:color w:val="auto"/>
        </w:rPr>
      </w:pPr>
      <w:r>
        <w:rPr>
          <w:rFonts w:ascii="Times New Roman" w:cs="Times New Roman" w:eastAsia="Times New Roman" w:hAnsi="Times New Roman"/>
          <w:sz w:val="18"/>
          <w:szCs w:val="18"/>
          <w:color w:val="auto"/>
        </w:rPr>
        <w:t>7,379</w:t>
      </w:r>
      <w:r>
        <w:rPr>
          <w:sz w:val="20"/>
          <w:szCs w:val="20"/>
          <w:color w:val="auto"/>
        </w:rPr>
        <w:tab/>
      </w:r>
      <w:r>
        <w:rPr>
          <w:rFonts w:ascii="Times New Roman" w:cs="Times New Roman" w:eastAsia="Times New Roman" w:hAnsi="Times New Roman"/>
          <w:sz w:val="18"/>
          <w:szCs w:val="18"/>
          <w:color w:val="auto"/>
        </w:rPr>
        <w:t>2,471</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—(383)</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3,000—</w:t>
      </w:r>
    </w:p>
    <w:p>
      <w:pPr>
        <w:spacing w:after="0" w:line="9"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18"/>
          <w:szCs w:val="18"/>
          <w:color w:val="auto"/>
        </w:rPr>
        <w:t>10,379</w:t>
      </w:r>
      <w:r>
        <w:rPr>
          <w:sz w:val="20"/>
          <w:szCs w:val="20"/>
          <w:color w:val="auto"/>
        </w:rPr>
        <w:tab/>
      </w:r>
      <w:r>
        <w:rPr>
          <w:rFonts w:ascii="Times New Roman" w:cs="Times New Roman" w:eastAsia="Times New Roman" w:hAnsi="Times New Roman"/>
          <w:sz w:val="18"/>
          <w:szCs w:val="18"/>
          <w:color w:val="auto"/>
        </w:rPr>
        <w:t>2,791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14605</wp:posOffset>
            </wp:positionV>
            <wp:extent cx="13627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14" w:lineRule="exact"/>
        <w:rPr>
          <w:sz w:val="20"/>
          <w:szCs w:val="20"/>
          <w:color w:val="auto"/>
        </w:rPr>
      </w:pPr>
    </w:p>
    <w:p>
      <w:pPr>
        <w:ind w:left="180"/>
        <w:spacing w:after="0"/>
        <w:tabs>
          <w:tab w:leader="none" w:pos="1280" w:val="left"/>
        </w:tabs>
        <w:rPr>
          <w:sz w:val="20"/>
          <w:szCs w:val="20"/>
          <w:color w:val="auto"/>
        </w:rPr>
      </w:pPr>
      <w:r>
        <w:rPr>
          <w:rFonts w:ascii="Times New Roman" w:cs="Times New Roman" w:eastAsia="Times New Roman" w:hAnsi="Times New Roman"/>
          <w:sz w:val="17"/>
          <w:szCs w:val="17"/>
          <w:color w:val="auto"/>
        </w:rPr>
        <w:t>2,973</w:t>
      </w:r>
      <w:r>
        <w:rPr>
          <w:sz w:val="20"/>
          <w:szCs w:val="20"/>
          <w:color w:val="auto"/>
        </w:rPr>
        <w:tab/>
      </w:r>
      <w:r>
        <w:rPr>
          <w:rFonts w:ascii="Times New Roman" w:cs="Times New Roman" w:eastAsia="Times New Roman" w:hAnsi="Times New Roman"/>
          <w:sz w:val="17"/>
          <w:szCs w:val="17"/>
          <w:color w:val="auto"/>
        </w:rPr>
        <w:t>(1,636)</w:t>
      </w:r>
    </w:p>
    <w:p>
      <w:pPr>
        <w:spacing w:after="0" w:line="39" w:lineRule="exact"/>
        <w:rPr>
          <w:sz w:val="20"/>
          <w:szCs w:val="20"/>
          <w:color w:val="auto"/>
        </w:rPr>
      </w:pPr>
    </w:p>
    <w:p>
      <w:pPr>
        <w:ind w:left="1360" w:hanging="1053"/>
        <w:spacing w:after="0"/>
        <w:tabs>
          <w:tab w:leader="none" w:pos="1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9,326</w:t>
      </w:r>
    </w:p>
    <w:p>
      <w:pPr>
        <w:spacing w:after="0" w:line="9"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—18,249</w:t>
      </w:r>
    </w:p>
    <w:p>
      <w:pPr>
        <w:spacing w:after="0" w:line="9"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(112)</w:t>
      </w:r>
    </w:p>
    <w:p>
      <w:pPr>
        <w:spacing w:after="0" w:line="9" w:lineRule="exact"/>
        <w:rPr>
          <w:sz w:val="20"/>
          <w:szCs w:val="20"/>
          <w:color w:val="auto"/>
        </w:rPr>
      </w:pPr>
    </w:p>
    <w:p>
      <w:pPr>
        <w:ind w:left="180"/>
        <w:spacing w:after="0"/>
        <w:tabs>
          <w:tab w:leader="none" w:pos="1240" w:val="left"/>
        </w:tabs>
        <w:rPr>
          <w:sz w:val="20"/>
          <w:szCs w:val="20"/>
          <w:color w:val="auto"/>
        </w:rPr>
      </w:pPr>
      <w:r>
        <w:rPr>
          <w:rFonts w:ascii="Times New Roman" w:cs="Times New Roman" w:eastAsia="Times New Roman" w:hAnsi="Times New Roman"/>
          <w:sz w:val="18"/>
          <w:szCs w:val="18"/>
          <w:color w:val="auto"/>
        </w:rPr>
        <w:t>3,766</w:t>
      </w:r>
      <w:r>
        <w:rPr>
          <w:sz w:val="20"/>
          <w:szCs w:val="20"/>
          <w:color w:val="auto"/>
        </w:rPr>
        <w:tab/>
      </w:r>
      <w:r>
        <w:rPr>
          <w:rFonts w:ascii="Times New Roman" w:cs="Times New Roman" w:eastAsia="Times New Roman" w:hAnsi="Times New Roman"/>
          <w:sz w:val="18"/>
          <w:szCs w:val="18"/>
          <w:color w:val="auto"/>
        </w:rPr>
        <w:t>25,827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31750</wp:posOffset>
            </wp:positionV>
            <wp:extent cx="13627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0"/>
        <w:spacing w:after="0"/>
        <w:tabs>
          <w:tab w:leader="none" w:pos="1240" w:val="left"/>
        </w:tabs>
        <w:rPr>
          <w:sz w:val="20"/>
          <w:szCs w:val="20"/>
          <w:color w:val="auto"/>
        </w:rPr>
      </w:pPr>
      <w:r>
        <w:rPr>
          <w:rFonts w:ascii="Times New Roman" w:cs="Times New Roman" w:eastAsia="Times New Roman" w:hAnsi="Times New Roman"/>
          <w:sz w:val="18"/>
          <w:szCs w:val="18"/>
          <w:color w:val="auto"/>
        </w:rPr>
        <w:t>3,766</w:t>
      </w:r>
      <w:r>
        <w:rPr>
          <w:sz w:val="20"/>
          <w:szCs w:val="20"/>
          <w:color w:val="auto"/>
        </w:rPr>
        <w:tab/>
      </w:r>
      <w:r>
        <w:rPr>
          <w:rFonts w:ascii="Times New Roman" w:cs="Times New Roman" w:eastAsia="Times New Roman" w:hAnsi="Times New Roman"/>
          <w:sz w:val="18"/>
          <w:szCs w:val="18"/>
          <w:color w:val="auto"/>
        </w:rPr>
        <w:t>22,716</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3,111</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3,76625,827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14605</wp:posOffset>
            </wp:positionV>
            <wp:extent cx="136271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62710" cy="26035"/>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-130810</wp:posOffset>
            </wp:positionV>
            <wp:extent cx="13627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ectPr>
          <w:pgSz w:w="11900" w:h="16838" w:orient="portrait"/>
          <w:cols w:equalWidth="0" w:num="2">
            <w:col w:w="7860" w:space="240"/>
            <w:col w:w="1820"/>
          </w:cols>
          <w:pgMar w:left="980" w:top="117"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5" w:lineRule="exact"/>
        <w:rPr>
          <w:sz w:val="20"/>
          <w:szCs w:val="20"/>
          <w:color w:val="auto"/>
        </w:rPr>
      </w:pPr>
    </w:p>
    <w:p>
      <w:pPr>
        <w:ind w:right="2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155"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accounting policy information</w:t>
      </w:r>
    </w:p>
    <w:p>
      <w:pPr>
        <w:spacing w:after="0" w:line="184"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7"/>
          <w:szCs w:val="17"/>
          <w:b w:val="1"/>
          <w:bCs w:val="1"/>
          <w:color w:val="auto"/>
        </w:rPr>
        <w:t>Basis of preparation</w:t>
      </w:r>
    </w:p>
    <w:p>
      <w:pPr>
        <w:spacing w:after="0" w:line="20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the Group have been prepared in accordance with International Financial Reporting Standards (“IFRS”) as issued by the International Accounting Standards Board (“IASB”) under the historical cost convention.</w:t>
      </w:r>
    </w:p>
    <w:p>
      <w:pPr>
        <w:spacing w:after="0" w:line="13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the opinion of management, all adjustments (including normal recurring adjustments) necessary to present a fair statement of the Company’s unaudited condensed consolidated statements of financial position as of June 30, 2025, its unaudited condensed consolidated statement of profit or loss and comprehensive income, changes in shareholders’ equity and cash flows for the six months ended June 30, 2025 and 2024, as applicable, have been made. The unaudited results of operations are not necessarily indicative of the operating results for the full fiscal year or any future periods.</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Basis of consolidation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Consolidation</w:t>
      </w:r>
    </w:p>
    <w:p>
      <w:pPr>
        <w:spacing w:after="0" w:line="225"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financial statements of the Company, its subsidiaries, VIEs and VIE’s subsidiaries.</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Subsidiaries are all entities (including VIEs and VIE’s subsidiaries) over which the Group has control. The Group controls an entity when the Group is exposed to, or has rights to, variable returns from its involvement with the entity and has the ability to affect those returns through its power to direct the activities of the entity. Subsidiaries are fully consolidated from the date on which control is transferred to the Group. They are deconsolidated from the date that control ceases.</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Intercompany transactions, balances and unrealized gains on transactions between group companies are eliminated. Unrealized losses are also eliminated unless the transaction provides evidence of an impairment of the transferred asset. Accounting policies of subsidiaries have been changed where necessary to ensure consistency with the policies adopted by the Group.</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Non-controlling interests in the results and equity of subsidiaries are shown separately in the consolidated statement of financial position, statement of comprehensive income and statement of changes in shareholders’ equity,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Equity method</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Under the equity method of accounting, the investments are initially recognized at cost and adjusted thereafter to recognize the Group’s share of the post-acquisition profits or losses of the investee in profit or loss, and the Group’s share of movements in other comprehensive income of the investee in other comprehensive income. Dividends received or receivable from associates and joint ventures are recognized as a reduction in the carrying amount of the investment.</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When the Group’s share of losses in an equity-accounted investment equals or exceeds its interest in the entity, including any other unsecured long-term receivables, the Group does not recognize further losses, unless it has incurred obligations or made payments on behalf of the other entity.</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Unrealized gains on transactions between the Group and its associates and joint ventures are eliminated to the extent of the Group’s interest in these entities. Unrealized losses are also eliminated unless the transaction provides evidence of an impairment of the asset transferred. Accounting policies of equity accounted investees have been changed where necessary to ensure consistency with the policies adopted by the Group.</w:t>
      </w:r>
    </w:p>
    <w:p>
      <w:pPr>
        <w:spacing w:after="0" w:line="1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Group determines at each reporting date whether there is any objective evidence that investments accounted for using the equity method, including investments in associates and joint ventures, are impaired. If this is the case, the Group calculates the amount of impairment as the difference between the recoverable amount of the investment and its carrying amount and recognizes the amount in “other gains, net”.</w:t>
      </w:r>
    </w:p>
    <w:p>
      <w:pPr>
        <w:sectPr>
          <w:pgSz w:w="11900" w:h="16838" w:orient="portrait"/>
          <w:cols w:equalWidth="0" w:num="1">
            <w:col w:w="9920"/>
          </w:cols>
          <w:pgMar w:left="980" w:top="65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5" w:lineRule="exact"/>
        <w:rPr>
          <w:sz w:val="20"/>
          <w:szCs w:val="20"/>
          <w:color w:val="auto"/>
        </w:rPr>
      </w:pPr>
    </w:p>
    <w:p>
      <w:pPr>
        <w:ind w:right="2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155"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accounting policy information (Continued)</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7"/>
          <w:szCs w:val="17"/>
          <w:b w:val="1"/>
          <w:bCs w:val="1"/>
          <w:color w:val="auto"/>
        </w:rPr>
        <w:t>Foreign currency translation</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reporting currency of Amber International is the United States dollars (“US$”). Amber International is a holding company engaged in capital raising and financing activities denominated in US$. As such, Amber International’s functional currency has been determined to be the US$. The functional currency of Amber International’s subsidiaries is the local currency of the country in which they are domiciled.</w:t>
      </w:r>
    </w:p>
    <w:p>
      <w:pPr>
        <w:spacing w:after="0" w:line="18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Monetary assets and liabilities denominated in currencies other than the functional currency are translated into the functional currency at the rates of exchange existing at the balance sheet date. Transactions in currencies other than the functional currency during the year are converted into the functional currency at the applicable rates of exchange prevailing at the transaction date. Transaction gains and losses are recognized in “other gains, net”. Assets and liabilities denominated in foreign currencies are translated at the exchange rates at the balance sheet date. Equity accounts are translated at historical exchange rates and revenues, expenses, gains and losses are translated using the average rate for the year. Translation adjustments are reported as cumulative translation adjustments and are shown as a separate component of other comprehensive loss in the unaudited condensed consolidated statements of comprehensive loss.</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Operating segment is reported in a manner consistent with the internal reporting provided to the chief operating decision-maker (“CODM”), who is responsible for allocating resources and assessing performance of the operating segments. The CODM is comprised of certain members of Amber International’s management team, including the board of directors and chief executive officer.</w:t>
      </w:r>
    </w:p>
    <w:p>
      <w:pPr>
        <w:spacing w:after="0" w:line="18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Group’s organizational structure is based on a number of factors that the CODM uses to evaluate, view and run its business operations which include, but are not limited to, customer base, homogeneity of products and technology. The CODM who allocates resources to and assesses the performance of each operating segment using information about the operating segment’s revenue and income/(loss) from operations. The CODM does not evaluate operating segments using asset or liability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5" w:lineRule="exact"/>
        <w:rPr>
          <w:sz w:val="20"/>
          <w:szCs w:val="20"/>
          <w:color w:val="auto"/>
        </w:rPr>
      </w:pPr>
    </w:p>
    <w:p>
      <w:pPr>
        <w:ind w:right="2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155"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accounting policy information (Continued)</w:t>
      </w:r>
    </w:p>
    <w:p>
      <w:pPr>
        <w:spacing w:after="0" w:line="184"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17"/>
          <w:szCs w:val="17"/>
          <w:b w:val="1"/>
          <w:bCs w:val="1"/>
          <w:color w:val="auto"/>
        </w:rPr>
        <w:t>Plant and equipment</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All items of plant and equipment are initially recorded at cost. Subsequent to recognition, plant and equipment are measured at cost less accumulated depreciation and any accumulated impairment losses. The cost of plant and equipment includes its purchase price and any costs directly attributable to bringing the asset to the location and condition necessary for it to be capable of operating in the manner intended by management. Dismantlement, removal or restoration costs are included as part of the cost of plant and equipment if the obligation for dismantlement, removal or restoration is incurred as a consequence of acquiring or using the plant and equipment.</w:t>
      </w:r>
    </w:p>
    <w:p>
      <w:pPr>
        <w:spacing w:after="0" w:line="18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projected cost of dismantlement, removal or restoration is also recognized as part of the cost of plant and equipment if the obligation for the dismantlement, removal or restoration is incurred as a consequence of either acquiring the asset or using the asset for purpose other than to produce inventories.</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Depreciation is calculated using the straight-line method to allocate depreciable amounts over their estimated useful lives. The estimated useful lives are as follows:</w:t>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4620" w:type="dxa"/>
            <w:vAlign w:val="bottom"/>
            <w:shd w:val="clear" w:color="auto" w:fill="CCEEFF"/>
          </w:tcPr>
          <w:p>
            <w:pPr>
              <w:ind w:left="248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fittings</w:t>
            </w:r>
          </w:p>
        </w:tc>
        <w:tc>
          <w:tcPr>
            <w:tcW w:w="462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4620" w:type="dxa"/>
            <w:vAlign w:val="bottom"/>
            <w:shd w:val="clear" w:color="auto" w:fill="CCEEFF"/>
          </w:tcPr>
          <w:p>
            <w:pPr>
              <w:ind w:left="2480"/>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Fully depreciated plant and equipment are retained in the financial statements until they are no longer in use.</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residual values, useful lives and depreciation method are reviewed at the end of each reporting period, and adjusted prospectively, if appropriate.</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An item of plant and equipment is derecognized upon disposal or when no future economic benefits are expected from its use or disposal. Any gain or loss on derecognition of the asset is included in unaudited condensed consolidated statements of profit or loss.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Intangible assets mainly consist of computer software and systems, customer relationship, brand name, trademark acquired through the acquisitions of subsidiaries and contract backlog. Identifiable intangible assets are carried at acquisition cost less accumulated amortization and impairment loss, if any. Amortization of finite lived intangible assets is computed using the straight-line method over the following estimated useful lives, which are as follows:</w:t>
      </w: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 and systems</w:t>
            </w:r>
          </w:p>
        </w:tc>
        <w:tc>
          <w:tcPr>
            <w:tcW w:w="422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2 – 5 years</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w:t>
            </w:r>
          </w:p>
        </w:tc>
        <w:tc>
          <w:tcPr>
            <w:tcW w:w="42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4 – 5 years</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 name</w:t>
            </w:r>
          </w:p>
        </w:tc>
        <w:tc>
          <w:tcPr>
            <w:tcW w:w="4220" w:type="dxa"/>
            <w:vAlign w:val="bottom"/>
            <w:shd w:val="clear" w:color="auto" w:fill="CCEEFF"/>
          </w:tcPr>
          <w:p>
            <w:pPr>
              <w:ind w:left="2080"/>
              <w:spacing w:after="0"/>
              <w:rPr>
                <w:sz w:val="20"/>
                <w:szCs w:val="20"/>
                <w:color w:val="auto"/>
              </w:rPr>
            </w:pPr>
            <w:r>
              <w:rPr>
                <w:rFonts w:ascii="Times New Roman" w:cs="Times New Roman" w:eastAsia="Times New Roman" w:hAnsi="Times New Roman"/>
                <w:sz w:val="18"/>
                <w:szCs w:val="18"/>
                <w:color w:val="auto"/>
              </w:rPr>
              <w:t>4 years</w:t>
            </w:r>
          </w:p>
        </w:tc>
      </w:t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Trademark</w:t>
            </w:r>
          </w:p>
        </w:tc>
        <w:tc>
          <w:tcPr>
            <w:tcW w:w="42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10 years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5" w:lineRule="exact"/>
        <w:rPr>
          <w:sz w:val="20"/>
          <w:szCs w:val="20"/>
          <w:color w:val="auto"/>
        </w:rPr>
      </w:pPr>
    </w:p>
    <w:p>
      <w:pPr>
        <w:ind w:right="2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155"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accounting policy information (Continued)</w:t>
      </w:r>
    </w:p>
    <w:p>
      <w:pPr>
        <w:spacing w:after="0" w:line="184"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1.7</w:t>
      </w:r>
      <w:r>
        <w:rPr>
          <w:rFonts w:ascii="Times New Roman" w:cs="Times New Roman" w:eastAsia="Times New Roman" w:hAnsi="Times New Roman"/>
          <w:sz w:val="17"/>
          <w:szCs w:val="17"/>
          <w:b w:val="1"/>
          <w:bCs w:val="1"/>
          <w:color w:val="auto"/>
        </w:rPr>
        <w:t>Goodwill</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Goodwill is not amortized but it is tested for impairment annually, or more frequently if events or changes in circumstances indicate that it might be impaired, and is carried at cost less accumulated impairment losses. Gains and losses on the disposal of an entity include the carrying amount of goodwill relating to the entity sold.</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Goodwill is allocated to each of the cash-generating units (“CGU”s) for the purpose of impairment testing. The allocation is made to those CGUs or groups of CGUs that are expected to benefit from the business combination in which the goodwill arose. The units or groups of units are identified at the lowest level at which goodwill is monitored for internal management purposes, below the operating segment.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8"/>
          <w:szCs w:val="18"/>
          <w:b w:val="1"/>
          <w:bCs w:val="1"/>
          <w:color w:val="auto"/>
        </w:rPr>
        <w:t>Impairment of non-financial assets</w:t>
      </w:r>
    </w:p>
    <w:p>
      <w:pPr>
        <w:spacing w:after="0" w:line="22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Intangible assets and goodwill that have an indefinite useful life are not subject to amortization and are tested annually for impairment, or more frequently if events or changes in circumstances indicate that they might be impaired. Other assets are tested for impairment whenever events or changes in circumstances indicate that the carrying amount may not be recoverable. An impairment loss is recognized for the amount by which the asset’s carrying amount exceeds its recoverable amount. The recoverable amount is the higher of an asset’s fair value less costs of disposal and value in use. For the purpose of assessing impairment, assets are grouped at the lowest levels for which there are separately identifiable cash inflows which are largely independent of the cash inflows from other assets or groups of assets (CGUs). Non-financial assets other than goodwill that suffered an impairment are reviewed for possible reversal of the impairment at the end of each reporting period.</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Financial instruments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Financial assets</w:t>
      </w:r>
    </w:p>
    <w:p>
      <w:pPr>
        <w:spacing w:after="0" w:line="225"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recognition and measurement</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 are recognized when, and only when the entity becomes party to the contractual provisions of the instruments.</w:t>
      </w:r>
    </w:p>
    <w:p>
      <w:pPr>
        <w:spacing w:after="0" w:line="161"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initial recognition, the Group measures a financial asset at its fair value plus, in the case of a financial asset not at fair value through profit or loss (“FVPL”), transaction costs that are directly attributable to the acquisition of the financial asset. Transaction costs of financial assets carried at FVPL are expensed in profit or loss.</w:t>
      </w:r>
    </w:p>
    <w:p>
      <w:pPr>
        <w:spacing w:after="0" w:line="175" w:lineRule="exact"/>
        <w:rPr>
          <w:rFonts w:ascii="Times New Roman" w:cs="Times New Roman" w:eastAsia="Times New Roman" w:hAnsi="Times New Roman"/>
          <w:sz w:val="18"/>
          <w:szCs w:val="18"/>
          <w:color w:val="auto"/>
        </w:rPr>
      </w:pPr>
    </w:p>
    <w:p>
      <w:pPr>
        <w:ind w:left="1300" w:right="6780" w:hanging="644"/>
        <w:spacing w:after="0" w:line="500"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Subsequent measurement </w:t>
      </w:r>
      <w:r>
        <w:rPr>
          <w:rFonts w:ascii="Times New Roman" w:cs="Times New Roman" w:eastAsia="Times New Roman" w:hAnsi="Times New Roman"/>
          <w:sz w:val="18"/>
          <w:szCs w:val="18"/>
          <w:i w:val="1"/>
          <w:iCs w:val="1"/>
          <w:color w:val="auto"/>
        </w:rPr>
        <w:t>Debt instruments</w:t>
      </w:r>
    </w:p>
    <w:p>
      <w:pPr>
        <w:spacing w:after="0" w:line="1"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measurement of debt instruments depends on the Group’s business model for managing the asset and the contractual cash flow characteristics of the asset. The three measurement categories for classification of debt instruments are amortized cost, fair value through other comprehensive income (“FVOCI”) and FVPL.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5" w:lineRule="exact"/>
        <w:rPr>
          <w:sz w:val="20"/>
          <w:szCs w:val="20"/>
          <w:color w:val="auto"/>
        </w:rPr>
      </w:pPr>
    </w:p>
    <w:p>
      <w:pPr>
        <w:ind w:right="2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155"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accounting policy information (Continued)</w:t>
      </w:r>
    </w:p>
    <w:p>
      <w:pPr>
        <w:spacing w:after="0" w:line="225" w:lineRule="exact"/>
        <w:rPr>
          <w:rFonts w:ascii="Times New Roman" w:cs="Times New Roman" w:eastAsia="Times New Roman" w:hAnsi="Times New Roman"/>
          <w:sz w:val="18"/>
          <w:szCs w:val="18"/>
          <w:b w:val="1"/>
          <w:bCs w:val="1"/>
          <w:color w:val="auto"/>
        </w:rPr>
      </w:pPr>
    </w:p>
    <w:p>
      <w:pPr>
        <w:jc w:val="center"/>
        <w:ind w:left="660" w:right="6600" w:hanging="648"/>
        <w:spacing w:after="0" w:line="53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1.9</w:t>
      </w:r>
      <w:r>
        <w:rPr>
          <w:rFonts w:ascii="Times New Roman" w:cs="Times New Roman" w:eastAsia="Times New Roman" w:hAnsi="Times New Roman"/>
          <w:sz w:val="17"/>
          <w:szCs w:val="17"/>
          <w:b w:val="1"/>
          <w:bCs w:val="1"/>
          <w:color w:val="auto"/>
        </w:rPr>
        <w:t xml:space="preserve">Financial instruments (Continued) </w:t>
      </w:r>
      <w:r>
        <w:rPr>
          <w:rFonts w:ascii="Times New Roman" w:cs="Times New Roman" w:eastAsia="Times New Roman" w:hAnsi="Times New Roman"/>
          <w:sz w:val="17"/>
          <w:szCs w:val="17"/>
          <w:u w:val="single" w:color="auto"/>
          <w:color w:val="auto"/>
        </w:rPr>
        <w:t>Financial assets (Continued)</w:t>
      </w:r>
    </w:p>
    <w:p>
      <w:pPr>
        <w:spacing w:after="0" w:line="1" w:lineRule="exact"/>
        <w:rPr>
          <w:rFonts w:ascii="Times New Roman" w:cs="Times New Roman" w:eastAsia="Times New Roman" w:hAnsi="Times New Roman"/>
          <w:sz w:val="18"/>
          <w:szCs w:val="18"/>
          <w:b w:val="1"/>
          <w:bCs w:val="1"/>
          <w:color w:val="auto"/>
        </w:rPr>
      </w:pPr>
    </w:p>
    <w:p>
      <w:pPr>
        <w:ind w:left="1300" w:right="5860" w:hanging="644"/>
        <w:spacing w:after="0" w:line="500"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Subsequent measurement (Continued) </w:t>
      </w:r>
      <w:r>
        <w:rPr>
          <w:rFonts w:ascii="Times New Roman" w:cs="Times New Roman" w:eastAsia="Times New Roman" w:hAnsi="Times New Roman"/>
          <w:sz w:val="18"/>
          <w:szCs w:val="18"/>
          <w:i w:val="1"/>
          <w:iCs w:val="1"/>
          <w:color w:val="auto"/>
        </w:rPr>
        <w:t>At amortized cost</w:t>
      </w:r>
    </w:p>
    <w:p>
      <w:pPr>
        <w:spacing w:after="0" w:line="1"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 that are held for the collection of contractual cash flows where those cash flows represent solely payments of principal and interest are measured at amortized cost. Financial assets are measured at amortized cost using the effective interest method, less impairment. Gains and losses are recognized in profit or loss when the assets are derecognized or impaired, and through the amortization process.</w:t>
      </w:r>
    </w:p>
    <w:p>
      <w:pPr>
        <w:spacing w:after="0" w:line="17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 fair value through other comprehensive income</w:t>
      </w:r>
    </w:p>
    <w:p>
      <w:pPr>
        <w:spacing w:after="0" w:line="227" w:lineRule="exact"/>
        <w:rPr>
          <w:rFonts w:ascii="Times New Roman" w:cs="Times New Roman" w:eastAsia="Times New Roman" w:hAnsi="Times New Roman"/>
          <w:sz w:val="18"/>
          <w:szCs w:val="18"/>
          <w:color w:val="auto"/>
        </w:rPr>
      </w:pPr>
    </w:p>
    <w:p>
      <w:pPr>
        <w:jc w:val="both"/>
        <w:ind w:left="13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 that are held for collection of contractual cash flows and for selling the financial assets, where the assets’ cash flows represent solely payments of principal and interest, are measured at FVOCI. Financial assets measured at FVOCI are subsequently measured at fair value. Any gains or losses from changes in fair value of the financial assets are recognized in other comprehensive income, except for impairment losses, foreign exchange gains and losses and interest calculated using the effective interest method are recognized in profit or loss. The cumulative gain or loss previously recognized in other comprehensive income is reclassified from equity to profit or loss as a reclassification adjustment when the financial asset is derecognized.</w:t>
      </w:r>
    </w:p>
    <w:p>
      <w:pPr>
        <w:spacing w:after="0" w:line="186"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 fair value through profit or loss</w:t>
      </w:r>
    </w:p>
    <w:p>
      <w:pPr>
        <w:spacing w:after="0" w:line="227" w:lineRule="exact"/>
        <w:rPr>
          <w:rFonts w:ascii="Times New Roman" w:cs="Times New Roman" w:eastAsia="Times New Roman" w:hAnsi="Times New Roman"/>
          <w:sz w:val="18"/>
          <w:szCs w:val="18"/>
          <w:color w:val="auto"/>
        </w:rPr>
      </w:pPr>
    </w:p>
    <w:p>
      <w:pPr>
        <w:jc w:val="both"/>
        <w:ind w:left="130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that do not meet the criteria for amortized cost or FVOCI are measured at FVPL. A gain or loss on a debt instrument that is subsequently measured at FVPL and is not part of a hedging relationship is recognized in profit or loss in the period in which it arises.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w:t>
      </w:r>
    </w:p>
    <w:p>
      <w:pPr>
        <w:spacing w:after="0" w:line="225" w:lineRule="exact"/>
        <w:rPr>
          <w:rFonts w:ascii="Times New Roman" w:cs="Times New Roman" w:eastAsia="Times New Roman" w:hAnsi="Times New Roman"/>
          <w:sz w:val="18"/>
          <w:szCs w:val="18"/>
          <w:color w:val="auto"/>
        </w:rPr>
      </w:pPr>
    </w:p>
    <w:p>
      <w:pPr>
        <w:jc w:val="both"/>
        <w:ind w:left="13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recognizes an allowance for expected credit losses (“ECLs”) for all debt instruments not held at FVPL. ECLs are based on the difference between the contractual cash flows due in accordance with the contract and all the cash flows that the Group expects to receive, discounted at an approximation of the original effective interest rate. The expected cash flows will include cash flows from the sale of collateral held or other credit enhancements that are integral to the contractual terms.</w:t>
      </w:r>
    </w:p>
    <w:p>
      <w:pPr>
        <w:spacing w:after="0" w:line="183" w:lineRule="exact"/>
        <w:rPr>
          <w:rFonts w:ascii="Times New Roman" w:cs="Times New Roman" w:eastAsia="Times New Roman" w:hAnsi="Times New Roman"/>
          <w:sz w:val="18"/>
          <w:szCs w:val="18"/>
          <w:color w:val="auto"/>
        </w:rPr>
      </w:pPr>
    </w:p>
    <w:p>
      <w:pPr>
        <w:jc w:val="both"/>
        <w:ind w:left="13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ECLs are recognized in two stages. For credit exposures for which there has not been a significant increase in credit risk since initial recognition, ECLs are provided for credit losses that result from default events that are possible within the next 12-months (a 12-month ECL). For those credit exposures for which there has been a significant increase in credit risk since initial recognition, a loss allowance is recognized for credit losses expected over the remaining life of the exposure, irrespective of timing of the default (a lifetime ECL).</w:t>
      </w:r>
    </w:p>
    <w:p>
      <w:pPr>
        <w:spacing w:after="0" w:line="183"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trade receivables, the Group applies a simplified approach in calculating ECLs. Therefore, the Group does not track changes in credit risk, but instead recognizes a loss allowance based on lifetime ECLs at each reporting date. The Group has established a provision matrix that is based on its historical credit loss experience, adjusted for forward-looking factors specific to the debtors and the economic environment which could affect debtors’ ability to pay.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5" w:lineRule="exact"/>
        <w:rPr>
          <w:sz w:val="20"/>
          <w:szCs w:val="20"/>
          <w:color w:val="auto"/>
        </w:rPr>
      </w:pPr>
    </w:p>
    <w:p>
      <w:pPr>
        <w:ind w:right="2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155"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accounting policy information (Continued)</w:t>
      </w:r>
    </w:p>
    <w:p>
      <w:pPr>
        <w:spacing w:after="0" w:line="225" w:lineRule="exact"/>
        <w:rPr>
          <w:rFonts w:ascii="Times New Roman" w:cs="Times New Roman" w:eastAsia="Times New Roman" w:hAnsi="Times New Roman"/>
          <w:sz w:val="18"/>
          <w:szCs w:val="18"/>
          <w:b w:val="1"/>
          <w:bCs w:val="1"/>
          <w:color w:val="auto"/>
        </w:rPr>
      </w:pPr>
    </w:p>
    <w:p>
      <w:pPr>
        <w:jc w:val="center"/>
        <w:ind w:left="660" w:right="6600" w:hanging="648"/>
        <w:spacing w:after="0" w:line="53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1.9</w:t>
      </w:r>
      <w:r>
        <w:rPr>
          <w:rFonts w:ascii="Times New Roman" w:cs="Times New Roman" w:eastAsia="Times New Roman" w:hAnsi="Times New Roman"/>
          <w:sz w:val="17"/>
          <w:szCs w:val="17"/>
          <w:b w:val="1"/>
          <w:bCs w:val="1"/>
          <w:color w:val="auto"/>
        </w:rPr>
        <w:t xml:space="preserve">Financial instruments (Continued) </w:t>
      </w:r>
      <w:r>
        <w:rPr>
          <w:rFonts w:ascii="Times New Roman" w:cs="Times New Roman" w:eastAsia="Times New Roman" w:hAnsi="Times New Roman"/>
          <w:sz w:val="17"/>
          <w:szCs w:val="17"/>
          <w:u w:val="single" w:color="auto"/>
          <w:color w:val="auto"/>
        </w:rPr>
        <w:t>Financial assets (Continued)</w:t>
      </w:r>
    </w:p>
    <w:p>
      <w:pPr>
        <w:spacing w:after="0" w:line="1"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(Continued)</w:t>
      </w:r>
    </w:p>
    <w:p>
      <w:pPr>
        <w:spacing w:after="0" w:line="225" w:lineRule="exact"/>
        <w:rPr>
          <w:rFonts w:ascii="Times New Roman" w:cs="Times New Roman" w:eastAsia="Times New Roman" w:hAnsi="Times New Roman"/>
          <w:sz w:val="18"/>
          <w:szCs w:val="18"/>
          <w:color w:val="auto"/>
        </w:rPr>
      </w:pPr>
    </w:p>
    <w:p>
      <w:pPr>
        <w:jc w:val="both"/>
        <w:ind w:left="13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considers a financial asset in default when contractual payments are 60 days past due. However, in certain cases, the Group may also consider a financial asset to be in default when internal or external information indicates that the Group is unlikely to receive the outstanding contractual amounts in full before taking into account any credit enhancements held by the Group. A financial asset is written off when there is no reasonable expectation of recovering the contractual cash flows.</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Derecognition</w:t>
      </w:r>
    </w:p>
    <w:p>
      <w:pPr>
        <w:spacing w:after="0" w:line="225"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asset is derecognized where the contractual right to receive cash flows from the asset has expired. On derecognition of a financial asset in its entirety, the difference between the carrying amount and the sum of the consideration received and any cumulative gain or loss that had been recognized in other comprehensive income for debt instruments is recognized in profit or loss.</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A derivative financial instrument is initially recognized at its fair value on the date the contract is entered into and is subsequently carried at its fair value. Fair value changes on derivatives that are not designated or do not qualify for hedge accounting are recognized in profit or loss when the changes arise.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Financial liabilities</w:t>
      </w:r>
    </w:p>
    <w:p>
      <w:pPr>
        <w:spacing w:after="0" w:line="225"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recognition and measurement</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liabilities are recognized when, and only when, the Group becomes a party to the contractual provisions of the financial instrument. The Group determines the classification of its financial liabilities at initial recognition.</w:t>
      </w:r>
    </w:p>
    <w:p>
      <w:pPr>
        <w:spacing w:after="0" w:line="161" w:lineRule="exact"/>
        <w:rPr>
          <w:rFonts w:ascii="Times New Roman" w:cs="Times New Roman" w:eastAsia="Times New Roman" w:hAnsi="Times New Roman"/>
          <w:sz w:val="18"/>
          <w:szCs w:val="18"/>
          <w:color w:val="auto"/>
        </w:rPr>
      </w:pPr>
    </w:p>
    <w:p>
      <w:pPr>
        <w:ind w:left="130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liabilities are recognised initially at fair value plus in the case of financial liabilities not at FVPL, net of directly attributable transaction costs.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measurement</w:t>
      </w:r>
    </w:p>
    <w:p>
      <w:pPr>
        <w:spacing w:after="0" w:line="225"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initial recognition, financial liabilities that are not carried at FVPL are subsequently measured at amortised cost using the effective interest method. Gains and losses are recognised in profit or loss when the liabilities are derecognised, and through the amortisation process.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Derecognition</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liability is derecognised when the obligation under the liability is discharged or cancelled or expires. On derecognition, the difference between the carrying amounts and the consideration paid is recognised in profit or loss.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Offsetting of financial instruments</w:t>
      </w:r>
    </w:p>
    <w:p>
      <w:pPr>
        <w:spacing w:after="0" w:line="225" w:lineRule="exact"/>
        <w:rPr>
          <w:rFonts w:ascii="Times New Roman" w:cs="Times New Roman" w:eastAsia="Times New Roman" w:hAnsi="Times New Roman"/>
          <w:sz w:val="18"/>
          <w:szCs w:val="18"/>
          <w:color w:val="auto"/>
        </w:rPr>
      </w:pPr>
    </w:p>
    <w:p>
      <w:pPr>
        <w:jc w:val="both"/>
        <w:ind w:lef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 and liabilities are offset and the net amount reported in the statements of financial position when there is a legally enforceable right to offset and there is an intention to settle on a net basis or realise the asset and settle the liability simultaneously.</w:t>
      </w:r>
    </w:p>
    <w:p>
      <w:pPr>
        <w:sectPr>
          <w:pgSz w:w="11900" w:h="16838" w:orient="portrait"/>
          <w:cols w:equalWidth="0" w:num="1">
            <w:col w:w="9920"/>
          </w:cols>
          <w:pgMar w:left="980" w:top="657"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5" w:lineRule="exact"/>
        <w:rPr>
          <w:sz w:val="20"/>
          <w:szCs w:val="20"/>
          <w:color w:val="auto"/>
        </w:rPr>
      </w:pPr>
    </w:p>
    <w:p>
      <w:pPr>
        <w:ind w:right="2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155"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accounting policy information (Continued)</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1.10</w:t>
      </w:r>
      <w:r>
        <w:rPr>
          <w:sz w:val="20"/>
          <w:szCs w:val="20"/>
          <w:color w:val="auto"/>
        </w:rPr>
        <w:tab/>
      </w:r>
      <w:r>
        <w:rPr>
          <w:rFonts w:ascii="Times New Roman" w:cs="Times New Roman" w:eastAsia="Times New Roman" w:hAnsi="Times New Roman"/>
          <w:sz w:val="17"/>
          <w:szCs w:val="17"/>
          <w:b w:val="1"/>
          <w:bCs w:val="1"/>
          <w:color w:val="auto"/>
        </w:rPr>
        <w:t>Collateral receivables and collateral payables</w:t>
      </w:r>
    </w:p>
    <w:p>
      <w:pPr>
        <w:spacing w:after="0" w:line="162"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Group enters into structured product arrangements with customers that require the customers to pledge crypto assets as collateral. Collateral received from customers are held either in the third-party trust accounts or third-party custodian platforms, which are recorded under “collateral receivables” in the unaudited condensed consolidated statements of financial position. Crypto assets pledged as collateral are initially measured at fair value on the date of receipt and subsequently re-measured at each reporting date, with changes in fair value recognized in the financial statements. The Group maintains operational control over these assets, including private key access for third-party trust account collateral and monitoring rights for third-party custodian platforms collateral. Under the contract terms, customers retain legal ownership of the collateral, and the Group is obligated to return the same type and quantity of crypto assets upon contract settlement, assuming no default.</w:t>
      </w:r>
    </w:p>
    <w:p>
      <w:pPr>
        <w:spacing w:after="0" w:line="11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Crypto assets received from customers is the Group’s obligation to return, such obligations are recorded under “collateral payables” at fair value. Changes in the fair value of this liability are recognized in net income. The Group offsets these fair value adjustments against corresponding changes in “collateral receivables” where applicable, given the back-to-back nature of customer contracts and hedging arrangements.</w:t>
      </w:r>
    </w:p>
    <w:p>
      <w:pPr>
        <w:spacing w:after="0" w:line="10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1.11</w:t>
      </w:r>
      <w:r>
        <w:rPr>
          <w:sz w:val="20"/>
          <w:szCs w:val="20"/>
          <w:color w:val="auto"/>
        </w:rPr>
        <w:tab/>
      </w:r>
      <w:r>
        <w:rPr>
          <w:rFonts w:ascii="Times New Roman" w:cs="Times New Roman" w:eastAsia="Times New Roman" w:hAnsi="Times New Roman"/>
          <w:sz w:val="17"/>
          <w:szCs w:val="17"/>
          <w:b w:val="1"/>
          <w:bCs w:val="1"/>
          <w:color w:val="auto"/>
        </w:rPr>
        <w:t>Digital assets</w:t>
      </w:r>
    </w:p>
    <w:p>
      <w:pPr>
        <w:spacing w:after="0" w:line="16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Group’s digital asset portfolio mainly comprises cryptocurrencies and since the Group actively trades cryptocurrencies, acquiring them with a view to their resale in the near future for the ordinary course of business. The Group applies the guidance in IAS 2 Inventories for commodity broker-traders and measures the digital assets at fair value less costs to sell. The Group considers there are no significant “costs to sell” digital assets and hence measurement of digital assets is based on their fair values with changes in fair values recognized in profit or loss in the period of the changes.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Digital assets held for customers or placed with counterparties</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Digital assets are recognized as the Group’s assets when the Group has present rights to the digital assets and the right to an economic benefit and control others’ access to the benefit. If it is determined that the Group has the control over the digital asset, the Group recognizes digital assets held for customers as its asset and recognizes a corresponding liability due to its customer for the digital assets in its financial statements.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USD Coin (“USDC”)</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USDC is a type of cryptocurrency that is backed by reserve assets in the traditional financial system, such as cash and cash equivalents, or securities. USDC is a stable coin redeemable on a one-to-one basis for United States dollars. Thus, it is accounted as a financial instrument amortized at cost recorded in unaudited condensed consolidated statements of financial position of the Group.</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1.12</w:t>
      </w:r>
      <w:r>
        <w:rPr>
          <w:sz w:val="20"/>
          <w:szCs w:val="20"/>
          <w:color w:val="auto"/>
        </w:rPr>
        <w:tab/>
      </w:r>
      <w:r>
        <w:rPr>
          <w:rFonts w:ascii="Times New Roman" w:cs="Times New Roman" w:eastAsia="Times New Roman" w:hAnsi="Times New Roman"/>
          <w:sz w:val="18"/>
          <w:szCs w:val="18"/>
          <w:b w:val="1"/>
          <w:bCs w:val="1"/>
          <w:color w:val="auto"/>
        </w:rPr>
        <w:t>Derivative contracts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Group enters into arrangements that result in obtaining the right to receive or obligation to deliver a fixed amount of crypto assets in the future. These are hybrid instruments, consisting of a receivable or debt host contract that is initially measured at the fair value of the underlying crypto assets and is subsequently carried at amortized cost, and an embedded forward feature based on the changes in the fair value of the underlying crypto asset.</w:t>
      </w:r>
    </w:p>
    <w:p>
      <w:pPr>
        <w:spacing w:after="0" w:line="18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These derivative contracts mainly derive their value from underlying asset prices. Derivative contracts are recognized as assets in the unaudited condensed consolidated statements of financial position at fair value, with the corresponding liabilities recognized in “liabilities due to customers”. To manage the risk exposure from fluctuations arising from fair value of crypto assets, the Group enters into similar contracts with both customers and a related company, such that the exposure to volatility in crypto assets can be mitigated.</w:t>
      </w:r>
    </w:p>
    <w:p>
      <w:pPr>
        <w:sectPr>
          <w:pgSz w:w="11900" w:h="16838" w:orient="portrait"/>
          <w:cols w:equalWidth="0" w:num="1">
            <w:col w:w="9920"/>
          </w:cols>
          <w:pgMar w:left="980" w:top="65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5" w:lineRule="exact"/>
        <w:rPr>
          <w:sz w:val="20"/>
          <w:szCs w:val="20"/>
          <w:color w:val="auto"/>
        </w:rPr>
      </w:pPr>
    </w:p>
    <w:p>
      <w:pPr>
        <w:ind w:right="2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155" w:lineRule="exact"/>
        <w:rPr>
          <w:sz w:val="20"/>
          <w:szCs w:val="20"/>
          <w:color w:val="auto"/>
        </w:rPr>
      </w:pPr>
    </w:p>
    <w:p>
      <w:pPr>
        <w:ind w:right="5260" w:firstLine="8"/>
        <w:spacing w:after="0" w:line="503" w:lineRule="auto"/>
        <w:tabs>
          <w:tab w:leader="none" w:pos="648"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accounting policy information (Continued) 1.13 Leases</w:t>
      </w:r>
    </w:p>
    <w:p>
      <w:pPr>
        <w:ind w:left="660"/>
        <w:spacing w:after="0"/>
        <w:rPr>
          <w:sz w:val="20"/>
          <w:szCs w:val="20"/>
          <w:color w:val="auto"/>
        </w:rPr>
      </w:pPr>
      <w:r>
        <w:rPr>
          <w:rFonts w:ascii="Times New Roman" w:cs="Times New Roman" w:eastAsia="Times New Roman" w:hAnsi="Times New Roman"/>
          <w:sz w:val="18"/>
          <w:szCs w:val="18"/>
          <w:u w:val="single" w:color="auto"/>
          <w:color w:val="auto"/>
        </w:rPr>
        <w:t>When the Group is the lessee</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At the inception of the contract, the Group assesses if the contract contains a lease. A contract contains a lease if the contract conveys the right to control the use of an identified asset for a period of time in exchange for consideration. Reassessment is only required when the terms and conditions of the contract are changed.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Right-of-use assets</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Group recognizes a right-of-use asset and lease liability at the date which the underlying asset is available for use. Right-of-use assets are measured at cost which comprises the initial measurement of lease liabilities adjusted for any lease payments made at or before the commencement date and lease incentives received. Any initial direct costs that would not have been incurred if the lease had not been obtained are added to the carrying amount of the right-of-use assets.</w:t>
      </w:r>
    </w:p>
    <w:p>
      <w:pPr>
        <w:spacing w:after="0" w:line="180"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These right-of-use assets are subsequently depreciated using the straight-line method from the commencement date to the earlier of the end of the useful life of the right-of-use asset or the end of the lease term.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Lease liabilities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initial measurement of a lease liability is measured at the present value of the lease payments discounted using the interest rate implicit in the lease, if the rate can be readily determined. If that rate cannot be readily determined, the Group shall use its incremental borrowing rate.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Lease payments include the following:</w:t>
      </w:r>
    </w:p>
    <w:p>
      <w:pPr>
        <w:spacing w:after="0" w:line="225" w:lineRule="exact"/>
        <w:rPr>
          <w:sz w:val="20"/>
          <w:szCs w:val="20"/>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payments (including in-substance fixed payments), less any lease incentives receivable;</w:t>
      </w:r>
    </w:p>
    <w:p>
      <w:pPr>
        <w:spacing w:after="0" w:line="27" w:lineRule="exact"/>
        <w:rPr>
          <w:rFonts w:ascii="Times New Roman" w:cs="Times New Roman" w:eastAsia="Times New Roman" w:hAnsi="Times New Roman"/>
          <w:sz w:val="18"/>
          <w:szCs w:val="18"/>
          <w:color w:val="auto"/>
        </w:rPr>
      </w:pPr>
    </w:p>
    <w:p>
      <w:pPr>
        <w:ind w:left="1000" w:hanging="317"/>
        <w:spacing w:after="0" w:line="250"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lease payments that are based on an index or rate, initially measured using the index or rate as at the commencement date;</w:t>
      </w: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expected to be payable under residual value guarantees;</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a purchase option if the Group is reasonably certain to exercise the option; and</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penalties for terminating the lease, if the lease term reflects the Group exercising that option.</w:t>
      </w:r>
    </w:p>
    <w:p>
      <w:pPr>
        <w:spacing w:after="0" w:line="20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a contract that contains both lease and non-lease components, the Group allocates the consideration to each lease component on the basis of the relative stand-alone prices of the lease and non-lease components. The Group has elected to not separate lease and non-lease components for property leases and account these as one single lease component.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Lease liabilities are measured at amortized cost using the effective interest method. Lease liabilities shall be remeasured when:</w:t>
      </w:r>
    </w:p>
    <w:p>
      <w:pPr>
        <w:spacing w:after="0" w:line="225" w:lineRule="exact"/>
        <w:rPr>
          <w:sz w:val="20"/>
          <w:szCs w:val="20"/>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change in future lease payments arising from changes in an index or rate;</w:t>
      </w:r>
    </w:p>
    <w:p>
      <w:pPr>
        <w:spacing w:after="0" w:line="2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change in the Group’s assessment of whether it will exercise an extension option; or</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modification in the scope or the consideration of the lease that was not part of the original term.</w:t>
      </w:r>
    </w:p>
    <w:p>
      <w:pPr>
        <w:spacing w:after="0" w:line="20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Lease liabilities are remeasured with a corresponding adjustment to the right-of-use asset, or is recorded in profit or loss if the carrying amount of the right-of-use asset has been reduced to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5" w:lineRule="exact"/>
        <w:rPr>
          <w:sz w:val="20"/>
          <w:szCs w:val="20"/>
          <w:color w:val="auto"/>
        </w:rPr>
      </w:pPr>
    </w:p>
    <w:p>
      <w:pPr>
        <w:ind w:right="2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155" w:lineRule="exact"/>
        <w:rPr>
          <w:sz w:val="20"/>
          <w:szCs w:val="20"/>
          <w:color w:val="auto"/>
        </w:rPr>
      </w:pPr>
    </w:p>
    <w:p>
      <w:pPr>
        <w:ind w:right="5260" w:firstLine="8"/>
        <w:spacing w:after="0" w:line="503" w:lineRule="auto"/>
        <w:tabs>
          <w:tab w:leader="none" w:pos="648"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accounting policy information (Continued) 1.13 Leases (Continued)</w:t>
      </w:r>
    </w:p>
    <w:p>
      <w:pPr>
        <w:ind w:left="660"/>
        <w:spacing w:after="0"/>
        <w:rPr>
          <w:sz w:val="20"/>
          <w:szCs w:val="20"/>
          <w:color w:val="auto"/>
        </w:rPr>
      </w:pPr>
      <w:r>
        <w:rPr>
          <w:rFonts w:ascii="Times New Roman" w:cs="Times New Roman" w:eastAsia="Times New Roman" w:hAnsi="Times New Roman"/>
          <w:sz w:val="18"/>
          <w:szCs w:val="18"/>
          <w:u w:val="single" w:color="auto"/>
          <w:color w:val="auto"/>
        </w:rPr>
        <w:t>Short-term and low-value leases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Group has elected to not recognize right-of-use assets and lease liabilities for short-term leases that have lease terms of 12 months or less and leases of low-value leases, except for sublease arrangements. Lease payments relating to these leases are expensed to profit or loss on a straight-line basis over the lease term.</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1.14</w:t>
      </w:r>
      <w:r>
        <w:rPr>
          <w:sz w:val="20"/>
          <w:szCs w:val="20"/>
          <w:color w:val="auto"/>
        </w:rPr>
        <w:tab/>
      </w:r>
      <w:r>
        <w:rPr>
          <w:rFonts w:ascii="Times New Roman" w:cs="Times New Roman" w:eastAsia="Times New Roman" w:hAnsi="Times New Roman"/>
          <w:sz w:val="17"/>
          <w:szCs w:val="17"/>
          <w:b w:val="1"/>
          <w:bCs w:val="1"/>
          <w:color w:val="auto"/>
        </w:rPr>
        <w:t>Trade receivables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Trade receivables represent the amounts that the Group has an unconditional right to consideration from customers.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Trade receivables are recognized initially at the amount of consideration that is unconditional, unless they contain significant financing components when they are recognized at fair value, and subsequently measured at amortized cost using effective interest rate method, less allowance for impairment that is subject to expected credit losses (“ECL”) model.</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1.15</w:t>
      </w:r>
      <w:r>
        <w:rPr>
          <w:sz w:val="20"/>
          <w:szCs w:val="20"/>
          <w:color w:val="auto"/>
        </w:rPr>
        <w:tab/>
      </w:r>
      <w:r>
        <w:rPr>
          <w:rFonts w:ascii="Times New Roman" w:cs="Times New Roman" w:eastAsia="Times New Roman" w:hAnsi="Times New Roman"/>
          <w:sz w:val="17"/>
          <w:szCs w:val="17"/>
          <w:b w:val="1"/>
          <w:bCs w:val="1"/>
          <w:color w:val="auto"/>
        </w:rPr>
        <w:t>Cash and cash equivalents and restricted cash</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Cash and cash equivalents in the unaudited condensed consolidated statements of financial position comprise cash on hand and cash in bank, which have original maturities of three months or less and are readily convertible to known amounts of cash.</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Restricted cash represented bank deposits in accounts that are restricted as to withdrawal for use or pledged as. For restriction which is expected to be released within one year of the balance sheet date, the respective restricted cash balance is classified as current.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1.16</w:t>
      </w:r>
      <w:r>
        <w:rPr>
          <w:sz w:val="20"/>
          <w:szCs w:val="20"/>
          <w:color w:val="auto"/>
        </w:rPr>
        <w:tab/>
      </w:r>
      <w:r>
        <w:rPr>
          <w:rFonts w:ascii="Times New Roman" w:cs="Times New Roman" w:eastAsia="Times New Roman" w:hAnsi="Times New Roman"/>
          <w:sz w:val="17"/>
          <w:szCs w:val="17"/>
          <w:b w:val="1"/>
          <w:bCs w:val="1"/>
          <w:color w:val="auto"/>
        </w:rPr>
        <w:t>Share capital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Ordinary shares</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Ordinary shares are classified as equity. Incremental costs directly attributable to the issuance of new ordinary shares are deducted against the share capital account.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1.17</w:t>
      </w:r>
      <w:r>
        <w:rPr>
          <w:sz w:val="20"/>
          <w:szCs w:val="20"/>
          <w:color w:val="auto"/>
        </w:rPr>
        <w:tab/>
      </w:r>
      <w:r>
        <w:rPr>
          <w:rFonts w:ascii="Times New Roman" w:cs="Times New Roman" w:eastAsia="Times New Roman" w:hAnsi="Times New Roman"/>
          <w:sz w:val="17"/>
          <w:szCs w:val="17"/>
          <w:b w:val="1"/>
          <w:bCs w:val="1"/>
          <w:color w:val="auto"/>
        </w:rPr>
        <w:t>Trade payables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Trade payables are obligations to pay for services or goods that have been acquired in the ordinary course of business from suppliers. Trade payables are presented as current liabilities unless payment is not due within 12 months after the end of the reporting period.</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Trade payables are recognized initially at fair value and subsequently measured at amortized cost using the effective interest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5" w:lineRule="exact"/>
        <w:rPr>
          <w:sz w:val="20"/>
          <w:szCs w:val="20"/>
          <w:color w:val="auto"/>
        </w:rPr>
      </w:pPr>
    </w:p>
    <w:p>
      <w:pPr>
        <w:ind w:right="2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155" w:lineRule="exact"/>
        <w:rPr>
          <w:sz w:val="20"/>
          <w:szCs w:val="20"/>
          <w:color w:val="auto"/>
        </w:rPr>
      </w:pPr>
    </w:p>
    <w:p>
      <w:pPr>
        <w:ind w:right="5260" w:firstLine="8"/>
        <w:spacing w:after="0" w:line="503" w:lineRule="auto"/>
        <w:tabs>
          <w:tab w:leader="none" w:pos="648"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accounting policy information (Continued) 1.18 Current and deferred income tax</w:t>
      </w:r>
    </w:p>
    <w:p>
      <w:pPr>
        <w:ind w:left="660"/>
        <w:spacing w:after="0"/>
        <w:rPr>
          <w:sz w:val="20"/>
          <w:szCs w:val="20"/>
          <w:color w:val="auto"/>
        </w:rPr>
      </w:pPr>
      <w:r>
        <w:rPr>
          <w:rFonts w:ascii="Times New Roman" w:cs="Times New Roman" w:eastAsia="Times New Roman" w:hAnsi="Times New Roman"/>
          <w:sz w:val="18"/>
          <w:szCs w:val="18"/>
          <w:u w:val="single" w:color="auto"/>
          <w:color w:val="auto"/>
        </w:rPr>
        <w:t>Current income tax</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Current income tax for current and prior periods is recognised at the amount expected to be paid to or recovered from the tax authorities, using the tax rates and tax laws that have been enacted or substantively enacted by the end of the reporting period. Management periodically evaluates positions taken in tax returns with respect to situations in which applicable tax regulation is subject to interpretation and considers whether it is probable that a tax authority will accept an uncertain tax treatment. The Group measures its tax balances either based on the most likely amount or the expected value, depending on which method provides a better prediction of the resolution of the uncertainty.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Deferred income tax</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Deferred income tax is recognised for all temporary differences arising between the tax bases of assets and liabilities and their carrying amounts in the financial statements except when the deferred income tax arises from the initial recognition of goodwill or an asset or liability in a transaction that is not a business combination and affects neither accounting nor taxable profit or loss at the time of the transaction.</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 deferred income tax liability is recognised on temporary differences arising on investments in subsidiaries, except where the Group is able to control the timing of the reversal of the temporary difference and it is probable that the temporary difference will not reverse in the foreseeable future.</w:t>
      </w:r>
    </w:p>
    <w:p>
      <w:pPr>
        <w:spacing w:after="0" w:line="176"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A deferred income tax asset is recognised to the extent that it is probable that future taxable profit will be available against which the deductible temporary differences and tax losses can be utilised.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Deferred income tax is measured:</w:t>
      </w:r>
    </w:p>
    <w:p>
      <w:pPr>
        <w:spacing w:after="0" w:line="225" w:lineRule="exact"/>
        <w:rPr>
          <w:sz w:val="20"/>
          <w:szCs w:val="20"/>
          <w:color w:val="auto"/>
        </w:rPr>
      </w:pPr>
    </w:p>
    <w:p>
      <w:pPr>
        <w:jc w:val="both"/>
        <w:ind w:left="1000" w:hanging="317"/>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tax rates that are expected to apply when the related deferred income tax asset is realized or the deferred income tax liability is settled, based on tax rates and tax laws that have been enacted or substantively enacted by the balance sheet date; and</w:t>
      </w:r>
    </w:p>
    <w:p>
      <w:pPr>
        <w:spacing w:after="0" w:line="17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tax consequence that will follow from the manner in which the Group expects, at the end of the reporting period, to recover or settle the carrying amounts of its assets and liabilities.</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Current and deferred income taxes are recognised as income or expense in profit or loss, except to the extent that the tax arises from a business combination or a transaction which is recognised directly in equity. Deferred tax arising from a business combination is adjusted against goodwill on acquisition.</w:t>
      </w:r>
    </w:p>
    <w:p>
      <w:pPr>
        <w:spacing w:after="0" w:line="176"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The Group accounts for investment tax credits (for example, productivity and innovation credit) similar to accounting for other tax credits where a deferred tax asset is recognised for unused tax credits to the extent that it is probable that future taxable profit will be available against which the unused tax credits can be utilised.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Offsetting</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offset where there is a legally enforceable right to offset current income tax assets against current income tax liabilities and where the deferred tax assets and liabilities relate to income taxes levied by the same taxation authority on either the taxable entity or different taxable entities where there is an intention to settle the balances on a net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5" w:lineRule="exact"/>
        <w:rPr>
          <w:sz w:val="20"/>
          <w:szCs w:val="20"/>
          <w:color w:val="auto"/>
        </w:rPr>
      </w:pPr>
    </w:p>
    <w:p>
      <w:pPr>
        <w:ind w:right="2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155" w:lineRule="exact"/>
        <w:rPr>
          <w:sz w:val="20"/>
          <w:szCs w:val="20"/>
          <w:color w:val="auto"/>
        </w:rPr>
      </w:pPr>
    </w:p>
    <w:p>
      <w:pPr>
        <w:ind w:right="5260" w:firstLine="8"/>
        <w:spacing w:after="0" w:line="503" w:lineRule="auto"/>
        <w:tabs>
          <w:tab w:leader="none" w:pos="648"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accounting policy information (Continued) 1.19 Provisions</w:t>
      </w: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Provisions are recognized when the Group has a present obligation (legal or constructive) as a result of a past event, it is probable that an outflow of resources embodying economic benefits will be required to settle the obligation and the amount of the obligation can be estimated reliably.</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Group recognizes the estimated costs of dismantlement, removal or restoration of items of plant and equipment arising from the acquisition or use of assets. This provision is estimated based on the best estimate of the expenditure required to settle the obligation, taking into consideration time value of money.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1.20</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Group grants stock-based awards, including share options and restricted share units (“RSU”s) of Amber International, to eligible employees, officers, directors, and non-employee consultants. The fair value of the services received in exchange for the grant of the equity instruments is recognized as share-based compensation with a corresponding increase in equity.</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Under the fair value recognition provisions, share-based compensation costs are measured at the grant date. The share-based compensation expenses have been categorized as either general and administrative expenses, sales and marketing expenses or research and development expenses, depending on the job functions of the grantees. For the options and RSUs granted to employees, the compensation expense is recognized using the graded-vesting attribution approach over the requisite service period, which is generally the vesting period.</w:t>
      </w:r>
    </w:p>
    <w:p>
      <w:pPr>
        <w:spacing w:after="0" w:line="18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Forfeitures are estimated at the time of grant, with such estimate updated periodically and with actual forfeitures recognized currently to the extent they differ from the estimate. In determining the fair value of Amber International’s share options, the binomial option pricing model has been applied. The fair value of RSUs is determined with reference to the fair value of the underlying shares.</w:t>
      </w:r>
    </w:p>
    <w:p>
      <w:pPr>
        <w:spacing w:after="0" w:line="180"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 change in any of the terms or conditions of equity based awards shall be accounted for as a modification of the award. The effect of modification is recognized for any modification that increases the total fair value of the share-based payment arrangement, or is otherwise beneficial to the employees and non-employees, as measured at the date of modification. Modifications of an equity-settled share-based award in a manner that is not beneficial to employees or non-employees are not taken into account when determining the expenses to be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5" w:lineRule="exact"/>
        <w:rPr>
          <w:sz w:val="20"/>
          <w:szCs w:val="20"/>
          <w:color w:val="auto"/>
        </w:rPr>
      </w:pPr>
    </w:p>
    <w:p>
      <w:pPr>
        <w:ind w:right="2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155" w:lineRule="exact"/>
        <w:rPr>
          <w:sz w:val="20"/>
          <w:szCs w:val="20"/>
          <w:color w:val="auto"/>
        </w:rPr>
      </w:pPr>
    </w:p>
    <w:p>
      <w:pPr>
        <w:ind w:right="5260" w:firstLine="8"/>
        <w:spacing w:after="0" w:line="503" w:lineRule="auto"/>
        <w:tabs>
          <w:tab w:leader="none" w:pos="648"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accounting policy information (Continued) 1.21 Revenue</w:t>
      </w:r>
    </w:p>
    <w:p>
      <w:pPr>
        <w:ind w:left="660"/>
        <w:spacing w:after="0"/>
        <w:rPr>
          <w:sz w:val="20"/>
          <w:szCs w:val="20"/>
          <w:color w:val="auto"/>
        </w:rPr>
      </w:pPr>
      <w:r>
        <w:rPr>
          <w:rFonts w:ascii="Times New Roman" w:cs="Times New Roman" w:eastAsia="Times New Roman" w:hAnsi="Times New Roman"/>
          <w:sz w:val="18"/>
          <w:szCs w:val="18"/>
          <w:color w:val="auto"/>
        </w:rPr>
        <w:t>Revenue is recognized when performance obligation is satisfied by transferring a promised service to a customer.</w:t>
      </w:r>
    </w:p>
    <w:p>
      <w:pPr>
        <w:spacing w:after="0" w:line="225"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Group considers the following when determining if a contract exists under which the performance obligations have been satisfied: (i) contract approval by all parties, (ii) identification of each party’s rights regarding the goods or services to be transferred, (iii) specified payment terms, (iv) commercial substance of the contract, and (v) collectability of substantially all of the consideration is probable. Collectability is assessed based on a number of factors, including the creditworthiness of a customer, the size and nature of a customer’s business and transaction history. The Group recognizes revenue when a performance obligation is satisfied, i.e., when “control” of the goods underlying the particular performance obligations is transferred to customers.</w:t>
      </w:r>
    </w:p>
    <w:p>
      <w:pPr>
        <w:spacing w:after="0" w:line="18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Depending on the terms of the contract and the laws that are applied to the contract, control of the services and goods may be transferred over time or at a point in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Wealth management solutions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Finance income</w:t>
      </w:r>
    </w:p>
    <w:p>
      <w:pPr>
        <w:spacing w:after="0" w:line="227"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Group enters into arrangements with related parties to purchase cryptocurrency-denoted products which represent fixed interest cryptocurrency deposit at related parties. The deposit is not protected by any insurance and is non-secured, hence the Group may lose some or all of the amount deposited with related parties in extreme market conditions. Upon maturity, the Group receives the same type of cryptocurrency in the same quantity, in principal plus additional interest returns in cryptocurrency. The deposit can be withdrawn on demand and is generally delivered to the Group within 3 working days upon maturity. The nature of the product in essence, is a cryptocurrency lending arrangement. Financing income derived from cryptocurrency lending arrangement is denominated in units of the specific cryptocurrency to related parties and is recognized based on the gross carrying amount over the term of the cryptocurrency lending arrangement using effective interest rate. The term of the cryptocurrency lending arrangement varies from 30 days to 250 days.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Earn spread</w:t>
      </w:r>
    </w:p>
    <w:p>
      <w:pPr>
        <w:spacing w:after="0" w:line="227"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Group operates as a platform agent, facilitating partnerships with various product providers to offer customers the opportunity to participate in an “earn product”. Earn product providers include both related parties and external providers. The Group recognizes spread, generated from the “earn product” arrangement is denominated in units of the specific cryptocurrency, based on net basis by assessing the interest income earned throughout the product cycle. The duration of the product cycle typically ranges from 7 days to 365 days. Product providers have rights to use customers’ principal amounts to engage in certain transactions with the intention to generate yield, and it is agreed with the client to third party credit risks, market risks, legal and regulatory risks, the group does not undertake any compensatory risks in this arrangement.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Premium – structured cryptocurrency products</w:t>
      </w:r>
    </w:p>
    <w:p>
      <w:pPr>
        <w:spacing w:after="0" w:line="227"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Group generates premium through structured cryptocurrency products offered to clients, including options, dual currency and “accumulator” / “decumulator” contracts. Revenue arises from premiums received from counterparties and realized gains/losses upon contract exercise or settlement. Under IFRS 15, the Group recognizes premium income at the inception of the contract when the performance obligation is created, as the premiums represent consideration for making the derivative instruments available to clients. Gains or losses arising from contract exercise or settlement are recognized at the point of settlement, measured as the difference between the contractual strike price and the prevailing market price of the underlying cryptocurrency. Revenue is presented gross, reflecting the Group’s role as principal in these transactions.</w:t>
      </w:r>
    </w:p>
    <w:p>
      <w:pPr>
        <w:sectPr>
          <w:pgSz w:w="11900" w:h="16838" w:orient="portrait"/>
          <w:cols w:equalWidth="0" w:num="1">
            <w:col w:w="9920"/>
          </w:cols>
          <w:pgMar w:left="980" w:top="65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5" w:lineRule="exact"/>
        <w:rPr>
          <w:sz w:val="20"/>
          <w:szCs w:val="20"/>
          <w:color w:val="auto"/>
        </w:rPr>
      </w:pPr>
    </w:p>
    <w:p>
      <w:pPr>
        <w:ind w:right="2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155" w:lineRule="exact"/>
        <w:rPr>
          <w:sz w:val="20"/>
          <w:szCs w:val="20"/>
          <w:color w:val="auto"/>
        </w:rPr>
      </w:pPr>
    </w:p>
    <w:p>
      <w:pPr>
        <w:ind w:right="5260" w:firstLine="8"/>
        <w:spacing w:after="0" w:line="464" w:lineRule="auto"/>
        <w:tabs>
          <w:tab w:leader="none" w:pos="648"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accounting policy information (Continued) 1.21 Revenue (Continued)</w:t>
      </w:r>
    </w:p>
    <w:p>
      <w:pPr>
        <w:ind w:left="660" w:right="6180"/>
        <w:spacing w:after="0" w:line="4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 xml:space="preserve">Wealth management solutions (Continued) </w:t>
      </w:r>
      <w:r>
        <w:rPr>
          <w:rFonts w:ascii="Times New Roman" w:cs="Times New Roman" w:eastAsia="Times New Roman" w:hAnsi="Times New Roman"/>
          <w:sz w:val="18"/>
          <w:szCs w:val="18"/>
          <w:i w:val="1"/>
          <w:iCs w:val="1"/>
          <w:color w:val="auto"/>
        </w:rPr>
        <w:t>Agency fee</w:t>
      </w:r>
    </w:p>
    <w:p>
      <w:pPr>
        <w:spacing w:after="0" w:line="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Agency fee is recognized at a point in time for consultancy service rendered and accepted by customers.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Execution solutions</w:t>
      </w:r>
    </w:p>
    <w:p>
      <w:pPr>
        <w:spacing w:after="0" w:line="18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Group earns a transaction fee when customers convert between different class of digital assets, according to the customers’ requirements.</w:t>
      </w:r>
    </w:p>
    <w:p>
      <w:pPr>
        <w:spacing w:after="0" w:line="121"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Group will charge the customer a predetermined conversion fee, which is based on a fixed percentage of the contract price for each transaction. The conversion fee is a fixed price contract, and the conversion fee is indicated on the contract with customers. Management determined there is only one performance obligation related to conversion fee and revenue is recognized at a point in time upon conversion service is rendered and (1) accepted and acknowledgement by customers indicating acceptance of service or (2) objective evidence of transfer of cryptocurrency into designated wallet specified by the customer or counterparty. Customers typically make payments together with the transaction price i.e. conversion fee will be charged together or deducted from the transaction price. The Group is an agent as the Group provides facilitation services for the transaction entered by the customers.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Payment solutions</w:t>
      </w:r>
    </w:p>
    <w:p>
      <w:pPr>
        <w:spacing w:after="0" w:line="18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Group earns a fee when customers transfer or withdraw funds from its proprietary platform, and conversion between fiat currencies and digital assets, according to the customers’ requirements.</w:t>
      </w:r>
    </w:p>
    <w:p>
      <w:pPr>
        <w:spacing w:after="0" w:line="121"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Group will charge the customer a predetermined conversion fee, which is based on a fixed percentage of the contract price for each transaction. The conversion fee is a fixed price contract, and the conversion fee is indicated on the contract with customers. Management determined there is only one performance obligation related to conversion fee and revenue is recognized at a point in time upon conversion service is rendered and (1) accepted and acknowledgement by customers indicating acceptance of service or (2) objective evidence of transfer of cryptocurrency into designated wallet specified by the customer or counterparty. Customers typically make payments together with the transaction price i.e. conversion fee will be charged together or deducted from the transaction price. The Group is an agent to as the Group provides facilitation services for the transaction entered by the customers.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Sales agent</w:t>
      </w:r>
    </w:p>
    <w:p>
      <w:pPr>
        <w:spacing w:after="0" w:line="18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the arrangement with a particular publisher, the Group acts as a sales agent for this publisher in selling marketing spaces to marketing clients. In return, the Group earns incentives from this publisher based on contractually stipulated amounts when certain spending thresholds are achieved. The Group considers this particular publisher as a customer and record such incentives as net revenues. Incentives from this publisher are calculated on both a quarterly and an annual basis in accordance with the terms as set out in the arrangement.</w:t>
      </w:r>
    </w:p>
    <w:p>
      <w:pPr>
        <w:spacing w:after="0" w:line="14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Revenue under this arrangement is recognized over time given the Group considers this particular publisher simultaneously receives and consumes the benefits provided by the Group’s performance as the Group performs. In other words, when the Group purchases marketing spaces on behalf of the marketing clients throughout the marketing campaigns as requested by them, this particular publisher simultaneously receives and consumes the benefit of the marketing spaces being purchased and therefore the Group is entitled to incentive payment from this publisher.</w:t>
      </w:r>
    </w:p>
    <w:p>
      <w:pPr>
        <w:spacing w:after="0" w:line="15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Group grants rebates to marketing clients under the sales agent arrangement. The majority of marketing clients under this arrangement are not customers under either the cost-plus arrangement or specified actions arrangement. The Group records rebates granted to such marketing clients as reduction of revenue.</w:t>
      </w:r>
    </w:p>
    <w:p>
      <w:pPr>
        <w:sectPr>
          <w:pgSz w:w="11900" w:h="16838" w:orient="portrait"/>
          <w:cols w:equalWidth="0" w:num="1">
            <w:col w:w="9920"/>
          </w:cols>
          <w:pgMar w:left="980" w:top="65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5" w:lineRule="exact"/>
        <w:rPr>
          <w:sz w:val="20"/>
          <w:szCs w:val="20"/>
          <w:color w:val="auto"/>
        </w:rPr>
      </w:pPr>
    </w:p>
    <w:p>
      <w:pPr>
        <w:ind w:right="2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155" w:lineRule="exact"/>
        <w:rPr>
          <w:sz w:val="20"/>
          <w:szCs w:val="20"/>
          <w:color w:val="auto"/>
        </w:rPr>
      </w:pPr>
    </w:p>
    <w:p>
      <w:pPr>
        <w:ind w:right="5260" w:firstLine="8"/>
        <w:spacing w:after="0" w:line="503" w:lineRule="auto"/>
        <w:tabs>
          <w:tab w:leader="none" w:pos="648"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accounting policy information (Continued) 1.21 Revenue (Continued)</w:t>
      </w:r>
    </w:p>
    <w:p>
      <w:pPr>
        <w:ind w:left="660"/>
        <w:spacing w:after="0"/>
        <w:rPr>
          <w:sz w:val="20"/>
          <w:szCs w:val="20"/>
          <w:color w:val="auto"/>
        </w:rPr>
      </w:pPr>
      <w:r>
        <w:rPr>
          <w:rFonts w:ascii="Times New Roman" w:cs="Times New Roman" w:eastAsia="Times New Roman" w:hAnsi="Times New Roman"/>
          <w:sz w:val="18"/>
          <w:szCs w:val="18"/>
          <w:u w:val="single" w:color="auto"/>
          <w:color w:val="auto"/>
        </w:rPr>
        <w:t>Cost-plus</w:t>
      </w:r>
    </w:p>
    <w:p>
      <w:pPr>
        <w:spacing w:after="0" w:line="225"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For cost-plus advertisement campaigns, sales are recognized at the fair value of the amount received. Discounts granted to marketing clients under cost-plus marketing campaigns are recorded as a reduction of revenue. The determination of whether revenue should be reported on a gross or net basis is based on an assessment of whether the Group is acting as the principal or an agent in the transactions. In the normal course of business, the Group acts as an intermediary in executing transactions between website publishers and marketing clients. The specified service in the cost-plus arrangement is the provision of marketing space, which is controlled by the website publishers, rather than the Group. The Group assists the marketing clients to place orders with specific website publishers based on specification set out the marketing clients. The Group does not have the ability to direct the use of marketing space and does not have any inventory risk. Pricing is generally based on the actual advertising spending incurred by the marketing clients plus a margin. Accordingly, the Group concludes that it is not the principal in these arrangements and reports revenue earned and costs incurred related to these transactions on a net basis.</w:t>
      </w:r>
    </w:p>
    <w:p>
      <w:pPr>
        <w:spacing w:after="0" w:line="194"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Revenue under this arrangement is recognized over time as the Group considers its customers simultaneously receive and consume the benefits provided by the Group’s performance. At the time the Group purchases marketing spaces during the contract term for its customers, the customers’ advertisements could be placed throughout the marketing campaign. Revenue recognition under this arrangement is not based on an occurrence of significant act or milestone method.</w:t>
      </w:r>
    </w:p>
    <w:p>
      <w:pPr>
        <w:spacing w:after="0" w:line="180"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Throughout the various services delivered to clients under the cost-plus arrangements, the Group earns rebates from publishers and grant rebates to marketing clients. The rebates that the Group grants to marketing clients under cost-plus arrangement are recorded as reduction of revenue, based on the spending amount the marketing clients would actually incur to earn the corresponding level of rebates. The rebates that the Group receives from publishers under the cost-plus arrangements are recorded as revenue. These rebates are recognized when a particular milestone is achieved (i.e. applying the relevant rebates based on the level of spending threshold actually achieved) and spending has actually occurred.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Specified actions</w:t>
      </w:r>
    </w:p>
    <w:p>
      <w:pPr>
        <w:spacing w:after="0" w:line="225"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The Group also generates revenue from performing specified actions (e.g a CPM and CPC basis). Revenue is recognized on a CPM or CPC basis as impressions or clicks are delivered while revenue is recognized once agreed actions are performed. For the specified actions advertisement campaigns, the Group is the principal as it has the obligation to deliver successful actions requested by marketing clients. Also, the Group will only be paid if successful actions can be delivered and is exposed to risk of loss. In terms of pricing, the Group has complete latitude in establishing the selling prices of each of the CPM and CPC pricing model. The Group’s margin may vary as the costs incurred to deliver successful actions may vary and is therefore exposed to risk of loss whereby validating its degree of responsibility to its customers. Although the inventory risk under specified actions arrangement is considered to be low, the Group concludes that it is the principal in such arrangement as it is the principal ultimately responsible for delivering successful actions and in charge of establishing the price per action. Accordingly, the Group reports revenue earned and costs incurred related to these transactions on a gross basis.</w:t>
      </w:r>
    </w:p>
    <w:p>
      <w:pPr>
        <w:spacing w:after="0" w:line="194"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Revenues under this arrangement is recognized at point-in-time when the Group is able to deliver the specified actions as requested by the customers. Upon the occurrence of the specified actions, the customers take control of the specified actions and this is when the Group recognizes the corresponding revenue. Unlike the cost-plus arrangement, when the Group purchases marketing spaces in order to deliver the specified actions, the customers do not receive and consume the benefit as the benefit to be received by the customers is the occurrence of the specified actions. Also, the Group does not create or enhance an asset that the customers control as the marketing spaces ultimately belong to the publishers. The Group does not have any right to payment for simply purchasing the marketing spaces and would only be compensated upon delivery of the specified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5" w:lineRule="exact"/>
        <w:rPr>
          <w:sz w:val="20"/>
          <w:szCs w:val="20"/>
          <w:color w:val="auto"/>
        </w:rPr>
      </w:pPr>
    </w:p>
    <w:p>
      <w:pPr>
        <w:ind w:right="2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155" w:lineRule="exact"/>
        <w:rPr>
          <w:sz w:val="20"/>
          <w:szCs w:val="20"/>
          <w:color w:val="auto"/>
        </w:rPr>
      </w:pPr>
    </w:p>
    <w:p>
      <w:pPr>
        <w:ind w:right="5260" w:firstLine="8"/>
        <w:spacing w:after="0" w:line="503" w:lineRule="auto"/>
        <w:tabs>
          <w:tab w:leader="none" w:pos="648"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accounting policy information (Continued) 1.21 Revenue (Continued)</w:t>
      </w:r>
    </w:p>
    <w:p>
      <w:pPr>
        <w:ind w:left="660"/>
        <w:spacing w:after="0"/>
        <w:rPr>
          <w:sz w:val="20"/>
          <w:szCs w:val="20"/>
          <w:color w:val="auto"/>
        </w:rPr>
      </w:pPr>
      <w:r>
        <w:rPr>
          <w:rFonts w:ascii="Times New Roman" w:cs="Times New Roman" w:eastAsia="Times New Roman" w:hAnsi="Times New Roman"/>
          <w:sz w:val="18"/>
          <w:szCs w:val="18"/>
          <w:u w:val="single" w:color="auto"/>
          <w:color w:val="auto"/>
        </w:rPr>
        <w:t>Specified actions (Continued)</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Group also grants rebates to marketing clients under the specified actions arrangement. Same as the treatment under cost-plus arrangement, the rebates that the Group grants to marketing clients under cost-plus arrangement are recorded as reduction of revenue and are recorded based on the amount the marketing clients would actually incur to earn the corresponding level of rebates. The rebates that the Group receives from publishers under the specified actions arrangement are recorded as a reduction of cost of revenues. These rebates are recognized when a particular milestone is achieved (i.e. applying the relevant rebates based on the level of spending threshold actually achieved) and spending has actually occurred.</w:t>
      </w:r>
    </w:p>
    <w:p>
      <w:pPr>
        <w:spacing w:after="0" w:line="187"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Cost of revenues consists of the costs to purchase space for the online advertising operations, amortization expenses related to the Group’s computer software and systems, salaries and benefits of relevant operations and support personnel and depreciation of relevant property and equipment and impairment on relevant intangible assets. The Group becomes obligated to make payments related to website publishers in the period the marketing impressions and click-through occur. Such expenses are classified as cost of revenues in the unaudited condensed consolidated statements of comprehensive loss as incurred. Cost of revenues also includes rebates received from website publishers which are recorded as a reduction of cost of revenues when the Group is acting as a principal in a transaction.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SaaS products and services</w:t>
      </w:r>
    </w:p>
    <w:p>
      <w:pPr>
        <w:spacing w:after="0" w:line="22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Under this arrangement, the Group offers SaaS products and services through provision of software and data analytical tool licenses, customer relationship management (“CRM”) solutions and digitalized operational solutions services. Revenues under this arrangement primarily consist of fees for (i) promotion of products or services by key opinion leaders (“KOL”) on online media platform; (ii) provision of digital marketing, social media and smart content generation; (iii) licensing to provide customers with access to one or more of the existing cloud applications for e-commerce, marketing and customer management,</w:t>
      </w:r>
    </w:p>
    <w:p>
      <w:pPr>
        <w:spacing w:after="0" w:line="3" w:lineRule="exact"/>
        <w:rPr>
          <w:sz w:val="20"/>
          <w:szCs w:val="20"/>
          <w:color w:val="auto"/>
        </w:rPr>
      </w:pPr>
    </w:p>
    <w:p>
      <w:pPr>
        <w:jc w:val="both"/>
        <w:ind w:left="660" w:hanging="4"/>
        <w:spacing w:after="0" w:line="255" w:lineRule="auto"/>
        <w:tabs>
          <w:tab w:leader="none" w:pos="97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new cloud applications customized for individual customer. Each of these performance obligations are considered as distinct and are charged with standalone pricing. Contracts with customers under this arrangement are generally with a term of 1 to 24 months.</w:t>
      </w:r>
    </w:p>
    <w:p>
      <w:pPr>
        <w:spacing w:after="0" w:line="18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Revenue from promotion of products or services of marketing clients by KOL on online media platform is generally recognized over time over the service period beginning on the date that the promotion content is made available on the online media platform. The Group does not have other right to consideration in exchange for goods or service that the Group has transferred to a customer when that right is conditional on something other than the passage of time.</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Revenue from provision of digital marketing, social media and smart content generation are recognized over time over the contract period as the Group considers its customers simultaneously receive and consume the benefits provided by the Group’s performance.</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Revenues from licensing of existing cloud applications are generally recognized ratably over time over the contract term beginning on the date that the licensing service is made available to the customer, whereby the Group considers that its customers simultaneously receive and consume the benefits provided by the use of existing cloud applications. The Group does not have other right to consideration in exchange for goods or service that the Group has transferred to a customer when that right is conditional on something other than the passage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5" w:lineRule="exact"/>
        <w:rPr>
          <w:sz w:val="20"/>
          <w:szCs w:val="20"/>
          <w:color w:val="auto"/>
        </w:rPr>
      </w:pPr>
    </w:p>
    <w:p>
      <w:pPr>
        <w:ind w:right="2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155" w:lineRule="exact"/>
        <w:rPr>
          <w:sz w:val="20"/>
          <w:szCs w:val="20"/>
          <w:color w:val="auto"/>
        </w:rPr>
      </w:pPr>
    </w:p>
    <w:p>
      <w:pPr>
        <w:ind w:right="5260" w:firstLine="8"/>
        <w:spacing w:after="0" w:line="503" w:lineRule="auto"/>
        <w:tabs>
          <w:tab w:leader="none" w:pos="648"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accounting policy information (Continued) 1.21 Revenue (Continued)</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SaaS products and services (Continued)</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Revenues from developing new cloud applications exclusively customized for customers and licenses for on-premises software is recognized at point-in-time when the Group is able to deliver the cloud applications to customers or when the Group provides customers with right to use the on-premises software. The Group considers the transfer of control of new cloud applications/software to customer, which represents a distinct performance obligation, to be completed when such cloud applications/software are on-premise and fully functional such that the customer can use and benefit from the cloud applications/software on its own.</w:t>
      </w:r>
    </w:p>
    <w:p>
      <w:pPr>
        <w:spacing w:after="0" w:line="18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Besides, the Group also provides certain additional services along with the above arrangements of cloud application development and software licensing, such as technical support, bug fixes, CMR solutions and digitalized operational solutions. These additional services are considered to be a series of distinct services that are substantially the same and have the same duration and measure of progress; therefore, the Group concludes that they represent a separate combined performance obligation. Revenues from such additional services are recognized ratably over-time over the contract period.</w:t>
      </w:r>
    </w:p>
    <w:p>
      <w:pPr>
        <w:spacing w:after="0" w:line="1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respective stand-alone selling prices of each of these performance obligations are determined based upon observable prices in stand-alone transactions and contractually stated price whereby no allocation of selling prices among individual performance obligations are required.</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Cost of revenues for SaaS products and services primarily comprises amortization expenses related to the Group’s computer software and systems, salaries and benefits of relevant operations and support personnel, depreciation of relevant property and equipment and other direct service costs.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1.22</w:t>
      </w:r>
      <w:r>
        <w:rPr>
          <w:sz w:val="20"/>
          <w:szCs w:val="20"/>
          <w:color w:val="auto"/>
        </w:rPr>
        <w:tab/>
      </w:r>
      <w:r>
        <w:rPr>
          <w:rFonts w:ascii="Times New Roman" w:cs="Times New Roman" w:eastAsia="Times New Roman" w:hAnsi="Times New Roman"/>
          <w:sz w:val="17"/>
          <w:szCs w:val="17"/>
          <w:b w:val="1"/>
          <w:bCs w:val="1"/>
          <w:color w:val="auto"/>
        </w:rPr>
        <w:t>Government grants</w:t>
      </w:r>
    </w:p>
    <w:p>
      <w:pPr>
        <w:spacing w:after="0" w:line="18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Grants from the government are recognized as a receivable at their fair value when there is reasonable assurance that the grant will be received and the Group will comply with all the attached conditions.</w:t>
      </w:r>
    </w:p>
    <w:p>
      <w:pPr>
        <w:spacing w:after="0" w:line="13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Government grants receivable are recognized as income over the periods necessary to match them with the related costs which they are intended to compensate for, on a systematic basis. Government grants relating to expenses are shown separately as “other gains/(losses), net”.</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1.23</w:t>
      </w:r>
      <w:r>
        <w:rPr>
          <w:sz w:val="20"/>
          <w:szCs w:val="20"/>
          <w:color w:val="auto"/>
        </w:rPr>
        <w:tab/>
      </w:r>
      <w:r>
        <w:rPr>
          <w:rFonts w:ascii="Times New Roman" w:cs="Times New Roman" w:eastAsia="Times New Roman" w:hAnsi="Times New Roman"/>
          <w:sz w:val="17"/>
          <w:szCs w:val="17"/>
          <w:b w:val="1"/>
          <w:bCs w:val="1"/>
          <w:color w:val="auto"/>
        </w:rPr>
        <w:t>Research and development expenses</w:t>
      </w:r>
    </w:p>
    <w:p>
      <w:pPr>
        <w:spacing w:after="0" w:line="18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technology expenses. Costs incurred during the research stage are expensed as incurred.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1.24</w:t>
      </w:r>
      <w:r>
        <w:rPr>
          <w:sz w:val="20"/>
          <w:szCs w:val="20"/>
          <w:color w:val="auto"/>
        </w:rPr>
        <w:tab/>
      </w:r>
      <w:r>
        <w:rPr>
          <w:rFonts w:ascii="Times New Roman" w:cs="Times New Roman" w:eastAsia="Times New Roman" w:hAnsi="Times New Roman"/>
          <w:sz w:val="17"/>
          <w:szCs w:val="17"/>
          <w:b w:val="1"/>
          <w:bCs w:val="1"/>
          <w:color w:val="auto"/>
        </w:rPr>
        <w:t>Sales and marketing expenses</w:t>
      </w:r>
    </w:p>
    <w:p>
      <w:pPr>
        <w:spacing w:after="0" w:line="18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Sales and marketing expenses consist primarily of (i) advertising and marketing expenses, and (ii) salary and welfare for sales and marketing personnel.</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5" w:lineRule="exact"/>
        <w:rPr>
          <w:sz w:val="20"/>
          <w:szCs w:val="20"/>
          <w:color w:val="auto"/>
        </w:rPr>
      </w:pPr>
    </w:p>
    <w:p>
      <w:pPr>
        <w:ind w:right="2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155"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accounting policy information (Continued)</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1.25</w:t>
      </w:r>
      <w:r>
        <w:rPr>
          <w:sz w:val="20"/>
          <w:szCs w:val="20"/>
          <w:color w:val="auto"/>
        </w:rPr>
        <w:tab/>
      </w:r>
      <w:r>
        <w:rPr>
          <w:rFonts w:ascii="Times New Roman" w:cs="Times New Roman" w:eastAsia="Times New Roman" w:hAnsi="Times New Roman"/>
          <w:sz w:val="18"/>
          <w:szCs w:val="18"/>
          <w:b w:val="1"/>
          <w:bCs w:val="1"/>
          <w:color w:val="auto"/>
        </w:rPr>
        <w:t>General and administrative expenses</w:t>
      </w:r>
    </w:p>
    <w:p>
      <w:pPr>
        <w:spacing w:after="0" w:line="18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(i) salary and welfare for general and administrative personnel, and (ii) professional service fees.</w:t>
      </w:r>
    </w:p>
    <w:p>
      <w:pPr>
        <w:spacing w:after="0" w:line="13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1.26</w:t>
      </w:r>
      <w:r>
        <w:rPr>
          <w:sz w:val="20"/>
          <w:szCs w:val="20"/>
          <w:color w:val="auto"/>
        </w:rPr>
        <w:tab/>
      </w:r>
      <w:r>
        <w:rPr>
          <w:rFonts w:ascii="Times New Roman" w:cs="Times New Roman" w:eastAsia="Times New Roman" w:hAnsi="Times New Roman"/>
          <w:sz w:val="17"/>
          <w:szCs w:val="17"/>
          <w:b w:val="1"/>
          <w:bCs w:val="1"/>
          <w:color w:val="auto"/>
        </w:rPr>
        <w:t>Employee benefits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Defined contribution plans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Defined contribution plans are post-employment benefit plans under which the Group pays fixed contributions into separate entities such as the Central Provident Fund in Singapore on a mandatory, contractual or voluntary basis. The Group has no further payment obligations once the contributions have been paid.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Short-term employee benefits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Short-term employee benefit obligations are measured on an undiscounted basis and are expensed as the related service is provided. A liability is recognized for the amount expected to be paid if the Group has a present legal or constructive obligation to pay this amount as a result of past service provided by the employee, and the obligation can be estimated reliably.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1.24</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Group presents basic and diluted earnings per share data for its ordinary shares. Basic earnings per share is calculated by dividing the profit or loss attributable to owners of the Company by the weighted-average number of ordinary shares outstanding during the year, adjusted for own shares held, if any.</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Diluted earnings per share is determined by adjusting the profit or loss attributable to the owner of the Company and the weighted-average number of ordinary shares outstanding, adjusted for own shares held, if any, for the effects of all dilutive potential ordinary shares.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1.25</w:t>
      </w:r>
      <w:r>
        <w:rPr>
          <w:sz w:val="20"/>
          <w:szCs w:val="20"/>
          <w:color w:val="auto"/>
        </w:rPr>
        <w:tab/>
      </w:r>
      <w:r>
        <w:rPr>
          <w:rFonts w:ascii="Times New Roman" w:cs="Times New Roman" w:eastAsia="Times New Roman" w:hAnsi="Times New Roman"/>
          <w:sz w:val="18"/>
          <w:szCs w:val="18"/>
          <w:b w:val="1"/>
          <w:bCs w:val="1"/>
          <w:color w:val="auto"/>
        </w:rPr>
        <w:t>Related party</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5" w:lineRule="exact"/>
        <w:rPr>
          <w:sz w:val="20"/>
          <w:szCs w:val="20"/>
          <w:color w:val="auto"/>
        </w:rPr>
      </w:pPr>
    </w:p>
    <w:p>
      <w:pPr>
        <w:ind w:right="2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155"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8"/>
        </w:trPr>
        <w:tc>
          <w:tcPr>
            <w:tcW w:w="4200" w:type="dxa"/>
            <w:vAlign w:val="bottom"/>
          </w:tcPr>
          <w:p>
            <w:pPr>
              <w:spacing w:after="0"/>
              <w:rPr>
                <w:sz w:val="12"/>
                <w:szCs w:val="12"/>
                <w:color w:val="auto"/>
              </w:rPr>
            </w:pPr>
          </w:p>
        </w:tc>
        <w:tc>
          <w:tcPr>
            <w:tcW w:w="3340" w:type="dxa"/>
            <w:vAlign w:val="bottom"/>
            <w:gridSpan w:val="3"/>
          </w:tcPr>
          <w:p>
            <w:pPr>
              <w:jc w:val="center"/>
              <w:ind w:left="2062"/>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4200" w:type="dxa"/>
            <w:vAlign w:val="bottom"/>
          </w:tcPr>
          <w:p>
            <w:pPr>
              <w:spacing w:after="0"/>
              <w:rPr>
                <w:sz w:val="15"/>
                <w:szCs w:val="15"/>
                <w:color w:val="auto"/>
              </w:rPr>
            </w:pPr>
          </w:p>
        </w:tc>
        <w:tc>
          <w:tcPr>
            <w:tcW w:w="3160" w:type="dxa"/>
            <w:vAlign w:val="bottom"/>
            <w:gridSpan w:val="2"/>
          </w:tcPr>
          <w:p>
            <w:pPr>
              <w:jc w:val="center"/>
              <w:ind w:left="224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22,716</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w:t>
            </w:r>
          </w:p>
        </w:tc>
      </w:tr>
      <w:tr>
        <w:trPr>
          <w:trHeight w:val="209"/>
        </w:trPr>
        <w:tc>
          <w:tcPr>
            <w:tcW w:w="4200" w:type="dxa"/>
            <w:vAlign w:val="bottom"/>
            <w:tcBorders>
              <w:top w:val="single" w:sz="8" w:color="CCEEFF"/>
              <w:bottom w:val="single" w:sz="8" w:color="CCEEFF"/>
            </w:tcBorders>
            <w:shd w:val="clear" w:color="auto" w:fill="CCEEFF"/>
          </w:tcPr>
          <w:p>
            <w:pPr>
              <w:spacing w:after="0"/>
              <w:rPr>
                <w:sz w:val="18"/>
                <w:szCs w:val="18"/>
                <w:color w:val="auto"/>
              </w:rPr>
            </w:pPr>
          </w:p>
        </w:tc>
        <w:tc>
          <w:tcPr>
            <w:tcW w:w="23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25,827</w:t>
            </w:r>
          </w:p>
        </w:tc>
      </w:tr>
      <w:tr>
        <w:trPr>
          <w:trHeight w:val="20"/>
        </w:trPr>
        <w:tc>
          <w:tcPr>
            <w:tcW w:w="4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currency profile of the Group’s cash and bank balances at the end of the reporting date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760" w:type="dxa"/>
            <w:vAlign w:val="bottom"/>
            <w:gridSpan w:val="3"/>
          </w:tcPr>
          <w:p>
            <w:pPr>
              <w:jc w:val="center"/>
              <w:ind w:left="14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580" w:type="dxa"/>
            <w:vAlign w:val="bottom"/>
            <w:gridSpan w:val="2"/>
          </w:tcPr>
          <w:p>
            <w:pPr>
              <w:jc w:val="center"/>
              <w:ind w:left="166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7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9,047</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14,248</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Renminbi (“RMB”)</w:t>
            </w:r>
          </w:p>
        </w:tc>
        <w:tc>
          <w:tcPr>
            <w:tcW w:w="17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 dollar (“SGD”)</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Hong Kong dollar (“HK$”)</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Japanese Yen</w:t>
            </w:r>
          </w:p>
        </w:tc>
        <w:tc>
          <w:tcPr>
            <w:tcW w:w="17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80" w:type="dxa"/>
            <w:vAlign w:val="bottom"/>
            <w:tcBorders>
              <w:top w:val="single" w:sz="8" w:color="CCEEFF"/>
              <w:bottom w:val="single" w:sz="8" w:color="CCEEFF"/>
            </w:tcBorders>
            <w:shd w:val="clear" w:color="auto" w:fill="CCEEFF"/>
          </w:tcPr>
          <w:p>
            <w:pPr>
              <w:spacing w:after="0"/>
              <w:rPr>
                <w:sz w:val="18"/>
                <w:szCs w:val="18"/>
                <w:color w:val="auto"/>
              </w:rPr>
            </w:pP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25,827</w:t>
            </w:r>
          </w:p>
        </w:tc>
        <w:tc>
          <w:tcPr>
            <w:tcW w:w="0" w:type="dxa"/>
            <w:vAlign w:val="bottom"/>
          </w:tcPr>
          <w:p>
            <w:pPr>
              <w:spacing w:after="0"/>
              <w:rPr>
                <w:sz w:val="1"/>
                <w:szCs w:val="1"/>
                <w:color w:val="auto"/>
              </w:rPr>
            </w:pPr>
          </w:p>
        </w:tc>
      </w:tr>
      <w:tr>
        <w:trPr>
          <w:trHeight w:val="20"/>
        </w:trPr>
        <w:tc>
          <w:tcPr>
            <w:tcW w:w="4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50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Digital assets</w:t>
            </w:r>
          </w:p>
        </w:tc>
        <w:tc>
          <w:tcPr>
            <w:tcW w:w="1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0" w:type="dxa"/>
            <w:vAlign w:val="bottom"/>
            <w:vMerge w:val="continue"/>
          </w:tcPr>
          <w:p>
            <w:pPr>
              <w:spacing w:after="0"/>
              <w:rPr>
                <w:sz w:val="24"/>
                <w:szCs w:val="24"/>
                <w:color w:val="auto"/>
              </w:rPr>
            </w:pPr>
          </w:p>
        </w:tc>
        <w:tc>
          <w:tcPr>
            <w:tcW w:w="5040" w:type="dxa"/>
            <w:vAlign w:val="bottom"/>
            <w:gridSpan w:val="2"/>
            <w:vMerge w:val="continue"/>
          </w:tcPr>
          <w:p>
            <w:pPr>
              <w:spacing w:after="0"/>
              <w:rPr>
                <w:sz w:val="24"/>
                <w:szCs w:val="24"/>
                <w:color w:val="auto"/>
              </w:rPr>
            </w:pPr>
          </w:p>
        </w:tc>
        <w:tc>
          <w:tcPr>
            <w:tcW w:w="1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760" w:type="dxa"/>
            <w:vAlign w:val="bottom"/>
            <w:gridSpan w:val="3"/>
          </w:tcPr>
          <w:p>
            <w:pPr>
              <w:jc w:val="center"/>
              <w:ind w:left="14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580" w:type="dxa"/>
            <w:vAlign w:val="bottom"/>
            <w:gridSpan w:val="2"/>
          </w:tcPr>
          <w:p>
            <w:pPr>
              <w:jc w:val="center"/>
              <w:ind w:left="166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assets held on exchange institution</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9,428</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fair values of digital assets held by the Group as the end of the reporting periods:</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9"/>
        </w:trPr>
        <w:tc>
          <w:tcPr>
            <w:tcW w:w="4080" w:type="dxa"/>
            <w:vAlign w:val="bottom"/>
          </w:tcPr>
          <w:p>
            <w:pPr>
              <w:spacing w:after="0"/>
              <w:rPr>
                <w:sz w:val="12"/>
                <w:szCs w:val="12"/>
                <w:color w:val="auto"/>
              </w:rPr>
            </w:pPr>
          </w:p>
        </w:tc>
        <w:tc>
          <w:tcPr>
            <w:tcW w:w="3460" w:type="dxa"/>
            <w:vAlign w:val="bottom"/>
            <w:gridSpan w:val="3"/>
          </w:tcPr>
          <w:p>
            <w:pPr>
              <w:jc w:val="center"/>
              <w:ind w:left="2176"/>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4080" w:type="dxa"/>
            <w:vAlign w:val="bottom"/>
          </w:tcPr>
          <w:p>
            <w:pPr>
              <w:spacing w:after="0"/>
              <w:rPr>
                <w:sz w:val="15"/>
                <w:szCs w:val="15"/>
                <w:color w:val="auto"/>
              </w:rPr>
            </w:pPr>
          </w:p>
        </w:tc>
        <w:tc>
          <w:tcPr>
            <w:tcW w:w="3280" w:type="dxa"/>
            <w:vAlign w:val="bottom"/>
            <w:gridSpan w:val="2"/>
          </w:tcPr>
          <w:p>
            <w:pPr>
              <w:jc w:val="center"/>
              <w:ind w:left="23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Bitcoin (“BTC”)</w:t>
            </w:r>
          </w:p>
        </w:tc>
        <w:tc>
          <w:tcPr>
            <w:tcW w:w="24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Ethereum (“ETH”)</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USD Tether (“USDT”)</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USDC</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 (Note)</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09"/>
        </w:trPr>
        <w:tc>
          <w:tcPr>
            <w:tcW w:w="40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9,428</w:t>
            </w:r>
          </w:p>
        </w:tc>
      </w:tr>
      <w:tr>
        <w:trPr>
          <w:trHeight w:val="20"/>
        </w:trPr>
        <w:tc>
          <w:tcPr>
            <w:tcW w:w="4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Others mainly consist of “XRP”, “ADA”, “BCH”, “ADA”, “DOT”, “BNB”, “TRX” and “SOL”, no other crypto asset individually representing not more than 5% of the total digital assets.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5" w:lineRule="exact"/>
        <w:rPr>
          <w:sz w:val="20"/>
          <w:szCs w:val="20"/>
          <w:color w:val="auto"/>
        </w:rPr>
      </w:pPr>
    </w:p>
    <w:p>
      <w:pPr>
        <w:ind w:right="2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47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Trade and other receivables</w:t>
            </w:r>
          </w:p>
        </w:tc>
        <w:tc>
          <w:tcPr>
            <w:tcW w:w="20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100" w:type="dxa"/>
            <w:vAlign w:val="bottom"/>
            <w:gridSpan w:val="3"/>
          </w:tcPr>
          <w:p>
            <w:pPr>
              <w:jc w:val="center"/>
              <w:ind w:left="1817"/>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920" w:type="dxa"/>
            <w:vAlign w:val="bottom"/>
            <w:gridSpan w:val="2"/>
          </w:tcPr>
          <w:p>
            <w:pPr>
              <w:jc w:val="center"/>
              <w:ind w:left="199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gross</w:t>
            </w:r>
          </w:p>
        </w:tc>
        <w:tc>
          <w:tcPr>
            <w:tcW w:w="20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10,549</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0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Trade receivables, net</w:t>
            </w:r>
          </w:p>
        </w:tc>
        <w:tc>
          <w:tcPr>
            <w:tcW w:w="20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7,034</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media costs</w:t>
            </w:r>
          </w:p>
        </w:tc>
        <w:tc>
          <w:tcPr>
            <w:tcW w:w="20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Rebate receivables</w:t>
            </w:r>
          </w:p>
        </w:tc>
        <w:tc>
          <w:tcPr>
            <w:tcW w:w="20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2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Prepayments</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receivable</w:t>
            </w:r>
          </w:p>
        </w:tc>
        <w:tc>
          <w:tcPr>
            <w:tcW w:w="20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receivables</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recoverable</w:t>
            </w:r>
          </w:p>
        </w:tc>
        <w:tc>
          <w:tcPr>
            <w:tcW w:w="20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20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23,092</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26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non-current rental deposits</w:t>
            </w:r>
          </w:p>
        </w:tc>
        <w:tc>
          <w:tcPr>
            <w:tcW w:w="20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w:t>
            </w: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22,591</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Trade receivables are non-interest bearing and are generally on 30-90 days (December 31, 2024:30 days) credit terms.</w:t>
      </w:r>
    </w:p>
    <w:p>
      <w:pPr>
        <w:spacing w:after="0" w:line="221"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Collateral receivables and collateral payables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offers cryptocurrency accumulator and deccumulator structured product arrangements with customers, which are structured derivatives that allow customers to systematically accumulate or reduce positions specific cryptocurrency at predetermined prices. These structured products involve bilateral collateral arrangements: client-posted collateral is recorded as collateral receivables, while obligations to return collateral are recognized as collateral payables. Both balances receivables and payables are measured at fair value. The Group maintains operational control over custodial assets but does not assume ownership.</w:t>
      </w:r>
    </w:p>
    <w:p>
      <w:pPr>
        <w:spacing w:after="0" w:line="187" w:lineRule="exact"/>
        <w:rPr>
          <w:rFonts w:ascii="Times New Roman" w:cs="Times New Roman" w:eastAsia="Times New Roman" w:hAnsi="Times New Roman"/>
          <w:sz w:val="18"/>
          <w:szCs w:val="18"/>
          <w:b w:val="1"/>
          <w:bCs w:val="1"/>
          <w:color w:val="auto"/>
        </w:rPr>
      </w:pPr>
    </w:p>
    <w:p>
      <w:pPr>
        <w:ind w:left="660" w:right="800"/>
        <w:spacing w:after="0" w:line="5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following table sets forth the fair values of collateral receivables and payables as the end of the financial periods: </w:t>
      </w:r>
      <w:r>
        <w:rPr>
          <w:rFonts w:ascii="Times New Roman" w:cs="Times New Roman" w:eastAsia="Times New Roman" w:hAnsi="Times New Roman"/>
          <w:sz w:val="18"/>
          <w:szCs w:val="18"/>
          <w:u w:val="single" w:color="auto"/>
          <w:color w:val="auto"/>
        </w:rPr>
        <w:t>Collateral receivables</w:t>
      </w:r>
    </w:p>
    <w:tbl>
      <w:tblPr>
        <w:tblLayout w:type="fixed"/>
        <w:tblInd w:w="0" w:type="dxa"/>
        <w:tblCellMar>
          <w:top w:w="0" w:type="dxa"/>
          <w:left w:w="0" w:type="dxa"/>
          <w:bottom w:w="0" w:type="dxa"/>
          <w:right w:w="0" w:type="dxa"/>
        </w:tblCellMar>
      </w:tblPr>
      <w:tr>
        <w:trPr>
          <w:trHeight w:val="149"/>
        </w:trPr>
        <w:tc>
          <w:tcPr>
            <w:tcW w:w="6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720" w:type="dxa"/>
            <w:vAlign w:val="bottom"/>
            <w:gridSpan w:val="2"/>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r>
      <w:tr>
        <w:trPr>
          <w:trHeight w:val="149"/>
        </w:trPr>
        <w:tc>
          <w:tcPr>
            <w:tcW w:w="6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240" w:type="dxa"/>
            <w:vAlign w:val="bottom"/>
            <w:gridSpan w:val="3"/>
          </w:tcPr>
          <w:p>
            <w:pPr>
              <w:jc w:val="center"/>
              <w:ind w:left="3959"/>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720" w:type="dxa"/>
            <w:vAlign w:val="bottom"/>
            <w:gridSpan w:val="2"/>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48"/>
        </w:trPr>
        <w:tc>
          <w:tcPr>
            <w:tcW w:w="6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060" w:type="dxa"/>
            <w:vAlign w:val="bottom"/>
            <w:gridSpan w:val="2"/>
          </w:tcPr>
          <w:p>
            <w:pPr>
              <w:jc w:val="center"/>
              <w:ind w:left="4139"/>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940" w:type="dxa"/>
            <w:vAlign w:val="bottom"/>
          </w:tcPr>
          <w:p>
            <w:pPr>
              <w:spacing w:after="0"/>
              <w:rPr>
                <w:sz w:val="12"/>
                <w:szCs w:val="12"/>
                <w:color w:val="auto"/>
              </w:rPr>
            </w:pPr>
          </w:p>
        </w:tc>
      </w:tr>
      <w:tr>
        <w:trPr>
          <w:trHeight w:val="173"/>
        </w:trPr>
        <w:tc>
          <w:tcPr>
            <w:tcW w:w="6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w:t>
            </w:r>
          </w:p>
        </w:tc>
        <w:tc>
          <w:tcPr>
            <w:tcW w:w="172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09"/>
        </w:trPr>
        <w:tc>
          <w:tcPr>
            <w:tcW w:w="660" w:type="dxa"/>
            <w:vAlign w:val="bottom"/>
          </w:tcPr>
          <w:p>
            <w:pPr>
              <w:spacing w:after="0"/>
              <w:rPr>
                <w:sz w:val="18"/>
                <w:szCs w:val="18"/>
                <w:color w:val="auto"/>
              </w:rPr>
            </w:pPr>
          </w:p>
        </w:tc>
        <w:tc>
          <w:tcPr>
            <w:tcW w:w="2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BTC</w:t>
            </w:r>
          </w:p>
        </w:tc>
        <w:tc>
          <w:tcPr>
            <w:tcW w:w="4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w:t>
            </w:r>
          </w:p>
        </w:tc>
        <w:tc>
          <w:tcPr>
            <w:tcW w:w="9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USDC</w:t>
            </w:r>
          </w:p>
        </w:tc>
        <w:tc>
          <w:tcPr>
            <w:tcW w:w="5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12,125</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13,313</w:t>
            </w:r>
          </w:p>
        </w:tc>
        <w:tc>
          <w:tcPr>
            <w:tcW w:w="9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USDT</w:t>
            </w:r>
          </w:p>
        </w:tc>
        <w:tc>
          <w:tcPr>
            <w:tcW w:w="4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94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14,414</w:t>
            </w: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20,902</w:t>
            </w:r>
          </w:p>
        </w:tc>
        <w:tc>
          <w:tcPr>
            <w:tcW w:w="94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844"/>
        </w:trPr>
        <w:tc>
          <w:tcPr>
            <w:tcW w:w="6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24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F-26</w:t>
            </w: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60"/>
        </w:trPr>
        <w:tc>
          <w:tcPr>
            <w:tcW w:w="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57"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5" w:lineRule="exact"/>
        <w:rPr>
          <w:sz w:val="20"/>
          <w:szCs w:val="20"/>
          <w:color w:val="auto"/>
        </w:rPr>
      </w:pPr>
    </w:p>
    <w:p>
      <w:pPr>
        <w:ind w:right="2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155" w:lineRule="exact"/>
        <w:rPr>
          <w:sz w:val="20"/>
          <w:szCs w:val="20"/>
          <w:color w:val="auto"/>
        </w:rPr>
      </w:pPr>
    </w:p>
    <w:p>
      <w:pPr>
        <w:ind w:left="660" w:right="4820" w:hanging="652"/>
        <w:spacing w:after="0" w:line="507" w:lineRule="auto"/>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Collateral receivables and collateral payables (Continued) </w:t>
      </w:r>
      <w:r>
        <w:rPr>
          <w:rFonts w:ascii="Times New Roman" w:cs="Times New Roman" w:eastAsia="Times New Roman" w:hAnsi="Times New Roman"/>
          <w:sz w:val="18"/>
          <w:szCs w:val="18"/>
          <w:u w:val="single" w:color="auto"/>
          <w:color w:val="auto"/>
        </w:rPr>
        <w:t>Collateral payables</w:t>
      </w:r>
    </w:p>
    <w:tbl>
      <w:tblPr>
        <w:tblLayout w:type="fixed"/>
        <w:tblInd w:w="660" w:type="dxa"/>
        <w:tblCellMar>
          <w:top w:w="0" w:type="dxa"/>
          <w:left w:w="0" w:type="dxa"/>
          <w:bottom w:w="0" w:type="dxa"/>
          <w:right w:w="0" w:type="dxa"/>
        </w:tblCellMar>
      </w:tblPr>
      <w:tr>
        <w:trPr>
          <w:trHeight w:val="149"/>
        </w:trPr>
        <w:tc>
          <w:tcPr>
            <w:tcW w:w="35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r>
      <w:tr>
        <w:trPr>
          <w:trHeight w:val="148"/>
        </w:trPr>
        <w:tc>
          <w:tcPr>
            <w:tcW w:w="3500" w:type="dxa"/>
            <w:vAlign w:val="bottom"/>
          </w:tcPr>
          <w:p>
            <w:pPr>
              <w:spacing w:after="0"/>
              <w:rPr>
                <w:sz w:val="12"/>
                <w:szCs w:val="12"/>
                <w:color w:val="auto"/>
              </w:rPr>
            </w:pPr>
          </w:p>
        </w:tc>
        <w:tc>
          <w:tcPr>
            <w:tcW w:w="4040" w:type="dxa"/>
            <w:vAlign w:val="bottom"/>
            <w:gridSpan w:val="3"/>
          </w:tcPr>
          <w:p>
            <w:pPr>
              <w:jc w:val="center"/>
              <w:ind w:left="2762"/>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48"/>
        </w:trPr>
        <w:tc>
          <w:tcPr>
            <w:tcW w:w="3500" w:type="dxa"/>
            <w:vAlign w:val="bottom"/>
          </w:tcPr>
          <w:p>
            <w:pPr>
              <w:spacing w:after="0"/>
              <w:rPr>
                <w:sz w:val="12"/>
                <w:szCs w:val="12"/>
                <w:color w:val="auto"/>
              </w:rPr>
            </w:pPr>
          </w:p>
        </w:tc>
        <w:tc>
          <w:tcPr>
            <w:tcW w:w="3860" w:type="dxa"/>
            <w:vAlign w:val="bottom"/>
            <w:gridSpan w:val="2"/>
          </w:tcPr>
          <w:p>
            <w:pPr>
              <w:jc w:val="center"/>
              <w:ind w:left="2942"/>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73"/>
        </w:trPr>
        <w:tc>
          <w:tcPr>
            <w:tcW w:w="35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09"/>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BTC</w:t>
            </w:r>
          </w:p>
        </w:tc>
        <w:tc>
          <w:tcPr>
            <w:tcW w:w="30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USDC</w:t>
            </w:r>
          </w:p>
        </w:tc>
        <w:tc>
          <w:tcPr>
            <w:tcW w:w="3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12,125</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13,313</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USDT</w:t>
            </w:r>
          </w:p>
        </w:tc>
        <w:tc>
          <w:tcPr>
            <w:tcW w:w="30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10"/>
        </w:trPr>
        <w:tc>
          <w:tcPr>
            <w:tcW w:w="35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14,414</w:t>
            </w: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20,902</w:t>
            </w:r>
          </w:p>
        </w:tc>
      </w:tr>
      <w:tr>
        <w:trPr>
          <w:trHeight w:val="20"/>
        </w:trPr>
        <w:tc>
          <w:tcPr>
            <w:tcW w:w="35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assets at fair value through profits or loss</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8"/>
        </w:trPr>
        <w:tc>
          <w:tcPr>
            <w:tcW w:w="4540" w:type="dxa"/>
            <w:vAlign w:val="bottom"/>
          </w:tcPr>
          <w:p>
            <w:pPr>
              <w:spacing w:after="0"/>
              <w:rPr>
                <w:sz w:val="12"/>
                <w:szCs w:val="12"/>
                <w:color w:val="auto"/>
              </w:rPr>
            </w:pPr>
          </w:p>
        </w:tc>
        <w:tc>
          <w:tcPr>
            <w:tcW w:w="3000" w:type="dxa"/>
            <w:vAlign w:val="bottom"/>
            <w:gridSpan w:val="3"/>
          </w:tcPr>
          <w:p>
            <w:pPr>
              <w:jc w:val="center"/>
              <w:ind w:left="1719"/>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4540" w:type="dxa"/>
            <w:vAlign w:val="bottom"/>
          </w:tcPr>
          <w:p>
            <w:pPr>
              <w:spacing w:after="0"/>
              <w:rPr>
                <w:sz w:val="15"/>
                <w:szCs w:val="15"/>
                <w:color w:val="auto"/>
              </w:rPr>
            </w:pPr>
          </w:p>
        </w:tc>
        <w:tc>
          <w:tcPr>
            <w:tcW w:w="2820" w:type="dxa"/>
            <w:vAlign w:val="bottom"/>
            <w:gridSpan w:val="2"/>
          </w:tcPr>
          <w:p>
            <w:pPr>
              <w:jc w:val="center"/>
              <w:ind w:left="189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09"/>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9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debt investments</w:t>
            </w:r>
          </w:p>
        </w:tc>
        <w:tc>
          <w:tcPr>
            <w:tcW w:w="19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Unlisted equity investments</w:t>
            </w:r>
          </w:p>
        </w:tc>
        <w:tc>
          <w:tcPr>
            <w:tcW w:w="19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9"/>
        </w:trPr>
        <w:tc>
          <w:tcPr>
            <w:tcW w:w="4540" w:type="dxa"/>
            <w:vAlign w:val="bottom"/>
            <w:tcBorders>
              <w:bottom w:val="single" w:sz="8" w:color="CCEEFF"/>
            </w:tcBorders>
          </w:tcPr>
          <w:p>
            <w:pPr>
              <w:spacing w:after="0"/>
              <w:rPr>
                <w:sz w:val="21"/>
                <w:szCs w:val="21"/>
                <w:color w:val="auto"/>
              </w:rPr>
            </w:pPr>
          </w:p>
        </w:tc>
        <w:tc>
          <w:tcPr>
            <w:tcW w:w="198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197"/>
        </w:trPr>
        <w:tc>
          <w:tcPr>
            <w:tcW w:w="4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19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Fund investments</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5,873</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 listed equity securities</w:t>
            </w:r>
          </w:p>
        </w:tc>
        <w:tc>
          <w:tcPr>
            <w:tcW w:w="19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US listed equity securities</w:t>
            </w:r>
          </w:p>
        </w:tc>
        <w:tc>
          <w:tcPr>
            <w:tcW w:w="19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r>
      <w:tr>
        <w:trPr>
          <w:trHeight w:val="210"/>
        </w:trPr>
        <w:tc>
          <w:tcPr>
            <w:tcW w:w="454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7,774</w:t>
            </w:r>
          </w:p>
        </w:tc>
      </w:tr>
      <w:tr>
        <w:trPr>
          <w:trHeight w:val="210"/>
        </w:trPr>
        <w:tc>
          <w:tcPr>
            <w:tcW w:w="4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8,774</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changes in financial assets measured at fair value for each of the reporting period: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72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8"/>
        </w:trPr>
        <w:tc>
          <w:tcPr>
            <w:tcW w:w="6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920" w:type="dxa"/>
            <w:vAlign w:val="bottom"/>
            <w:gridSpan w:val="3"/>
          </w:tcPr>
          <w:p>
            <w:pPr>
              <w:jc w:val="center"/>
              <w:ind w:left="2639"/>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720" w:type="dxa"/>
            <w:vAlign w:val="bottom"/>
            <w:gridSpan w:val="2"/>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66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3740" w:type="dxa"/>
            <w:vAlign w:val="bottom"/>
            <w:gridSpan w:val="2"/>
          </w:tcPr>
          <w:p>
            <w:pPr>
              <w:jc w:val="center"/>
              <w:ind w:left="28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940" w:type="dxa"/>
            <w:vAlign w:val="bottom"/>
          </w:tcPr>
          <w:p>
            <w:pPr>
              <w:spacing w:after="0"/>
              <w:rPr>
                <w:sz w:val="15"/>
                <w:szCs w:val="15"/>
                <w:color w:val="auto"/>
              </w:rPr>
            </w:pPr>
          </w:p>
        </w:tc>
      </w:tr>
      <w:tr>
        <w:trPr>
          <w:trHeight w:val="210"/>
        </w:trPr>
        <w:tc>
          <w:tcPr>
            <w:tcW w:w="66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period</w:t>
            </w:r>
          </w:p>
        </w:tc>
        <w:tc>
          <w:tcPr>
            <w:tcW w:w="29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9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Business combination – merger transaction</w:t>
            </w:r>
          </w:p>
        </w:tc>
        <w:tc>
          <w:tcPr>
            <w:tcW w:w="29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7,599</w:t>
            </w:r>
          </w:p>
        </w:tc>
        <w:tc>
          <w:tcPr>
            <w:tcW w:w="9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(Note 17)</w:t>
            </w:r>
          </w:p>
        </w:tc>
        <w:tc>
          <w:tcPr>
            <w:tcW w:w="3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940" w:type="dxa"/>
            <w:vAlign w:val="bottom"/>
          </w:tcPr>
          <w:p>
            <w:pPr>
              <w:spacing w:after="0"/>
              <w:rPr>
                <w:sz w:val="18"/>
                <w:szCs w:val="18"/>
                <w:color w:val="auto"/>
              </w:rPr>
            </w:pPr>
          </w:p>
        </w:tc>
      </w:tr>
      <w:tr>
        <w:trPr>
          <w:trHeight w:val="209"/>
        </w:trPr>
        <w:tc>
          <w:tcPr>
            <w:tcW w:w="42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Balance at the end of period</w:t>
            </w:r>
          </w:p>
        </w:tc>
        <w:tc>
          <w:tcPr>
            <w:tcW w:w="29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8,774</w:t>
            </w:r>
          </w:p>
        </w:tc>
        <w:tc>
          <w:tcPr>
            <w:tcW w:w="94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858"/>
        </w:trPr>
        <w:tc>
          <w:tcPr>
            <w:tcW w:w="6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9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F-27</w:t>
            </w: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60"/>
        </w:trPr>
        <w:tc>
          <w:tcPr>
            <w:tcW w:w="6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57"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5" w:lineRule="exact"/>
        <w:rPr>
          <w:sz w:val="20"/>
          <w:szCs w:val="20"/>
          <w:color w:val="auto"/>
        </w:rPr>
      </w:pPr>
    </w:p>
    <w:p>
      <w:pPr>
        <w:ind w:right="2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578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173"/>
        </w:trPr>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38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Buy</w:t>
            </w:r>
          </w:p>
        </w:tc>
        <w:tc>
          <w:tcPr>
            <w:tcW w:w="1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Sell</w:t>
            </w:r>
          </w:p>
        </w:tc>
        <w:tc>
          <w:tcPr>
            <w:tcW w:w="1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Derivatives carried at fair value:</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Crypto structured products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4"/>
              </w:rPr>
              <w:t>To customers</w:t>
            </w:r>
          </w:p>
        </w:tc>
        <w:tc>
          <w:tcPr>
            <w:tcW w:w="4560" w:type="dxa"/>
            <w:vAlign w:val="bottom"/>
            <w:tcBorders>
              <w:bottom w:val="single" w:sz="8" w:color="CCEEFF"/>
            </w:tcBorders>
            <w:gridSpan w:val="2"/>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Call option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34,141</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Put option</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5"/>
              </w:rPr>
              <w:t>To related party</w:t>
            </w:r>
          </w:p>
        </w:tc>
        <w:tc>
          <w:tcPr>
            <w:tcW w:w="43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Call option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34,141</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Put option</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4380" w:type="dxa"/>
            <w:vAlign w:val="bottom"/>
            <w:tcBorders>
              <w:bottom w:val="single" w:sz="8" w:color="CCEEFF"/>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CCEEFF"/>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76,028</w:t>
            </w:r>
          </w:p>
        </w:tc>
        <w:tc>
          <w:tcPr>
            <w:tcW w:w="160" w:type="dxa"/>
            <w:vAlign w:val="bottom"/>
            <w:tcBorders>
              <w:bottom w:val="single" w:sz="8" w:color="CCEEFF"/>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6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0" w:type="dxa"/>
            <w:vAlign w:val="bottom"/>
          </w:tcPr>
          <w:p>
            <w:pPr>
              <w:spacing w:after="0"/>
              <w:rPr>
                <w:sz w:val="1"/>
                <w:szCs w:val="1"/>
                <w:color w:val="auto"/>
              </w:rPr>
            </w:pPr>
          </w:p>
        </w:tc>
      </w:tr>
      <w:tr>
        <w:trPr>
          <w:trHeight w:val="197"/>
        </w:trPr>
        <w:tc>
          <w:tcPr>
            <w:tcW w:w="400" w:type="dxa"/>
            <w:vAlign w:val="bottom"/>
          </w:tcPr>
          <w:p>
            <w:pPr>
              <w:spacing w:after="0"/>
              <w:rPr>
                <w:sz w:val="17"/>
                <w:szCs w:val="17"/>
                <w:color w:val="auto"/>
              </w:rPr>
            </w:pPr>
          </w:p>
        </w:tc>
        <w:tc>
          <w:tcPr>
            <w:tcW w:w="26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4"/>
              </w:rPr>
              <w:t>To customers</w:t>
            </w:r>
          </w:p>
        </w:tc>
        <w:tc>
          <w:tcPr>
            <w:tcW w:w="4560" w:type="dxa"/>
            <w:vAlign w:val="bottom"/>
            <w:tcBorders>
              <w:bottom w:val="single" w:sz="8" w:color="CCEEFF"/>
            </w:tcBorders>
            <w:gridSpan w:val="2"/>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Call option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15,014</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Put option</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5"/>
              </w:rPr>
              <w:t>To related party</w:t>
            </w:r>
          </w:p>
        </w:tc>
        <w:tc>
          <w:tcPr>
            <w:tcW w:w="43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Call option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15,014</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Put option</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39,732</w:t>
            </w:r>
          </w:p>
        </w:tc>
        <w:tc>
          <w:tcPr>
            <w:tcW w:w="16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Group entered into BTC and ETH options with its customers, and as part of the Group’s risk management strategy, the Group also entered into bought identical similar back-to-back put and call BTC and ETH options with its related parties. Management has no intention to hold these derivatives for more than one year and option varies from 4 – 88 days (December 31, 2024: 3 – 178 days) till maturity.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5" w:lineRule="exact"/>
        <w:rPr>
          <w:sz w:val="20"/>
          <w:szCs w:val="20"/>
          <w:color w:val="auto"/>
        </w:rPr>
      </w:pPr>
    </w:p>
    <w:p>
      <w:pPr>
        <w:ind w:right="2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ectPr>
          <w:pgSz w:w="11900" w:h="16838" w:orient="portrait"/>
          <w:cols w:equalWidth="0" w:num="1">
            <w:col w:w="9920"/>
          </w:cols>
          <w:pgMar w:left="980" w:top="657" w:right="999" w:bottom="1440" w:gutter="0" w:footer="0" w:header="0"/>
        </w:sectPr>
      </w:pPr>
    </w:p>
    <w:p>
      <w:pPr>
        <w:spacing w:after="0" w:line="155"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contracts</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301" w:lineRule="exact"/>
        <w:rPr>
          <w:rFonts w:ascii="Times New Roman" w:cs="Times New Roman" w:eastAsia="Times New Roman" w:hAnsi="Times New Roman"/>
          <w:sz w:val="18"/>
          <w:szCs w:val="18"/>
          <w:b w:val="1"/>
          <w:bCs w:val="1"/>
          <w:color w:val="auto"/>
        </w:rPr>
      </w:pPr>
    </w:p>
    <w:p>
      <w:pPr>
        <w:ind w:left="780" w:hanging="13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Financial structured product denominated in digital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50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30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As of June 30, 2025</w:t>
            </w:r>
          </w:p>
        </w:tc>
      </w:tr>
      <w:tr>
        <w:trPr>
          <w:trHeight w:val="117"/>
        </w:trPr>
        <w:tc>
          <w:tcPr>
            <w:tcW w:w="860" w:type="dxa"/>
            <w:vAlign w:val="bottom"/>
            <w:tcBorders>
              <w:top w:val="single" w:sz="8" w:color="auto"/>
            </w:tcBorders>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Initial net</w:t>
            </w:r>
          </w:p>
        </w:tc>
        <w:tc>
          <w:tcPr>
            <w:tcW w:w="820" w:type="dxa"/>
            <w:vAlign w:val="bottom"/>
            <w:tcBorders>
              <w:top w:val="single" w:sz="8" w:color="auto"/>
            </w:tcBorders>
            <w:gridSpan w:val="2"/>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6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200" w:type="dxa"/>
            <w:vAlign w:val="bottom"/>
          </w:tcPr>
          <w:p>
            <w:pPr>
              <w:spacing w:after="0"/>
              <w:rPr>
                <w:sz w:val="10"/>
                <w:szCs w:val="10"/>
                <w:color w:val="auto"/>
              </w:rPr>
            </w:pPr>
          </w:p>
        </w:tc>
        <w:tc>
          <w:tcPr>
            <w:tcW w:w="860" w:type="dxa"/>
            <w:vAlign w:val="bottom"/>
            <w:tcBorders>
              <w:top w:val="single" w:sz="8" w:color="auto"/>
            </w:tcBorders>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Initial net</w:t>
            </w:r>
          </w:p>
        </w:tc>
        <w:tc>
          <w:tcPr>
            <w:tcW w:w="820" w:type="dxa"/>
            <w:vAlign w:val="bottom"/>
            <w:tcBorders>
              <w:top w:val="single" w:sz="8" w:color="auto"/>
            </w:tcBorders>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6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r>
      <w:tr>
        <w:trPr>
          <w:trHeight w:val="173"/>
        </w:trPr>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changes</w:t>
            </w: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changes</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98"/>
        </w:trPr>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70,029</w:t>
            </w:r>
          </w:p>
        </w:tc>
        <w:tc>
          <w:tcPr>
            <w:tcW w:w="180" w:type="dxa"/>
            <w:vAlign w:val="bottom"/>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Pr>
          <w:p>
            <w:pPr>
              <w:spacing w:after="0"/>
              <w:rPr>
                <w:sz w:val="24"/>
                <w:szCs w:val="24"/>
                <w:color w:val="auto"/>
              </w:rPr>
            </w:pPr>
          </w:p>
        </w:tc>
        <w:tc>
          <w:tcPr>
            <w:tcW w:w="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69,934</w:t>
            </w:r>
          </w:p>
        </w:tc>
        <w:tc>
          <w:tcPr>
            <w:tcW w:w="200" w:type="dxa"/>
            <w:vAlign w:val="bottom"/>
          </w:tcPr>
          <w:p>
            <w:pPr>
              <w:spacing w:after="0"/>
              <w:rPr>
                <w:sz w:val="24"/>
                <w:szCs w:val="2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67,520</w:t>
            </w:r>
          </w:p>
        </w:tc>
        <w:tc>
          <w:tcPr>
            <w:tcW w:w="180" w:type="dxa"/>
            <w:vAlign w:val="bottom"/>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80" w:type="dxa"/>
            <w:vAlign w:val="bottom"/>
          </w:tcPr>
          <w:p>
            <w:pPr>
              <w:spacing w:after="0"/>
              <w:rPr>
                <w:sz w:val="24"/>
                <w:szCs w:val="24"/>
                <w:color w:val="auto"/>
              </w:rPr>
            </w:pPr>
          </w:p>
        </w:tc>
        <w:tc>
          <w:tcPr>
            <w:tcW w:w="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68,770</w:t>
            </w: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-2236470</wp:posOffset>
            </wp:positionH>
            <wp:positionV relativeFrom="paragraph">
              <wp:posOffset>-290830</wp:posOffset>
            </wp:positionV>
            <wp:extent cx="5288915" cy="274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88915" cy="27432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840" w:space="340"/>
            <w:col w:w="5740"/>
          </w:cols>
          <w:pgMar w:left="980" w:top="657" w:right="99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fair values of derivative contracts by the Group as the end of the reporting period:</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8"/>
        </w:trPr>
        <w:tc>
          <w:tcPr>
            <w:tcW w:w="3740" w:type="dxa"/>
            <w:vAlign w:val="bottom"/>
          </w:tcPr>
          <w:p>
            <w:pPr>
              <w:spacing w:after="0"/>
              <w:rPr>
                <w:sz w:val="12"/>
                <w:szCs w:val="12"/>
                <w:color w:val="auto"/>
              </w:rPr>
            </w:pPr>
          </w:p>
        </w:tc>
        <w:tc>
          <w:tcPr>
            <w:tcW w:w="3800" w:type="dxa"/>
            <w:vAlign w:val="bottom"/>
            <w:gridSpan w:val="3"/>
          </w:tcPr>
          <w:p>
            <w:pPr>
              <w:jc w:val="center"/>
              <w:ind w:left="2516"/>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3740" w:type="dxa"/>
            <w:vAlign w:val="bottom"/>
          </w:tcPr>
          <w:p>
            <w:pPr>
              <w:spacing w:after="0"/>
              <w:rPr>
                <w:sz w:val="15"/>
                <w:szCs w:val="15"/>
                <w:color w:val="auto"/>
              </w:rPr>
            </w:pPr>
          </w:p>
        </w:tc>
        <w:tc>
          <w:tcPr>
            <w:tcW w:w="3620" w:type="dxa"/>
            <w:vAlign w:val="bottom"/>
            <w:gridSpan w:val="2"/>
          </w:tcPr>
          <w:p>
            <w:pPr>
              <w:jc w:val="center"/>
              <w:ind w:left="269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BTC</w:t>
            </w:r>
          </w:p>
        </w:tc>
        <w:tc>
          <w:tcPr>
            <w:tcW w:w="27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43,618</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23,404</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ETH</w:t>
            </w:r>
          </w:p>
        </w:tc>
        <w:tc>
          <w:tcPr>
            <w:tcW w:w="3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5,352</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USDS (Note)</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7,533</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10,553</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USDC</w:t>
            </w:r>
          </w:p>
        </w:tc>
        <w:tc>
          <w:tcPr>
            <w:tcW w:w="3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USDT</w:t>
            </w:r>
          </w:p>
        </w:tc>
        <w:tc>
          <w:tcPr>
            <w:tcW w:w="3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15,502</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28,924</w:t>
            </w:r>
          </w:p>
        </w:tc>
      </w:tr>
      <w:tr>
        <w:trPr>
          <w:trHeight w:val="210"/>
        </w:trPr>
        <w:tc>
          <w:tcPr>
            <w:tcW w:w="37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69,934</w:t>
            </w: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68,770</w:t>
            </w:r>
          </w:p>
        </w:tc>
      </w:tr>
      <w:tr>
        <w:trPr>
          <w:trHeight w:val="20"/>
        </w:trPr>
        <w:tc>
          <w:tcPr>
            <w:tcW w:w="37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USDS is a cryptographic blockchain-based digital information unit token issued by the Group and only used in Group’s platform. Each USDS is equivalent to US$1.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40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3"/>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Computer</w:t>
            </w:r>
          </w:p>
        </w:tc>
        <w:tc>
          <w:tcPr>
            <w:tcW w:w="10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Trademark</w:t>
            </w: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Brand</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1000" w:type="dxa"/>
            <w:vAlign w:val="bottom"/>
            <w:gridSpan w:val="3"/>
            <w:vMerge w:val="continue"/>
          </w:tcPr>
          <w:p>
            <w:pPr>
              <w:spacing w:after="0"/>
              <w:rPr>
                <w:sz w:val="15"/>
                <w:szCs w:val="15"/>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relationship</w:t>
            </w: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9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July 1, 2024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92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1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combination – merger transaction</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9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 and impairment</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July 1, 2024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92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1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combination – merger transaction</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9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7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at June 30, 2025</w:t>
            </w:r>
          </w:p>
        </w:tc>
        <w:tc>
          <w:tcPr>
            <w:tcW w:w="92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1,910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1,035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3,180</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540" w:type="dxa"/>
            <w:vAlign w:val="bottom"/>
            <w:gridSpan w:val="2"/>
          </w:tcPr>
          <w:p>
            <w:pPr>
              <w:jc w:val="right"/>
              <w:ind w:right="715"/>
              <w:spacing w:after="0"/>
              <w:rPr>
                <w:sz w:val="20"/>
                <w:szCs w:val="20"/>
                <w:color w:val="auto"/>
              </w:rPr>
            </w:pPr>
            <w:r>
              <w:rPr>
                <w:rFonts w:ascii="Times New Roman" w:cs="Times New Roman" w:eastAsia="Times New Roman" w:hAnsi="Times New Roman"/>
                <w:sz w:val="18"/>
                <w:szCs w:val="18"/>
                <w:color w:val="auto"/>
              </w:rPr>
              <w:t>F-29</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57" w:right="9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5" w:lineRule="exact"/>
        <w:rPr>
          <w:sz w:val="20"/>
          <w:szCs w:val="20"/>
          <w:color w:val="auto"/>
        </w:rPr>
      </w:pPr>
    </w:p>
    <w:p>
      <w:pPr>
        <w:ind w:right="2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10.</w:t>
            </w:r>
          </w:p>
        </w:tc>
        <w:tc>
          <w:tcPr>
            <w:tcW w:w="65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13"/>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8"/>
        </w:trPr>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balance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16,735</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16,735</w:t>
            </w: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Business combination – merger transaction</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49,187</w:t>
            </w:r>
          </w:p>
        </w:tc>
      </w:tr>
      <w:tr>
        <w:trPr>
          <w:trHeight w:val="209"/>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 balance</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65,922</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On March 12, 2025, the successful completion of the merger with Amber DWM Holding Limited accounted for as a business combination, resulting in the recognition of US$49,187 in goodwill.</w:t>
      </w:r>
    </w:p>
    <w:p>
      <w:pPr>
        <w:spacing w:after="0" w:line="158"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Trade and other payables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VAT and other taxes payables</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 received from customers</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benefits</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interests</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49"/>
        </w:trPr>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3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25,968</w:t>
            </w:r>
          </w:p>
        </w:tc>
        <w:tc>
          <w:tcPr>
            <w:tcW w:w="0" w:type="dxa"/>
            <w:vAlign w:val="bottom"/>
          </w:tcPr>
          <w:p>
            <w:pPr>
              <w:spacing w:after="0"/>
              <w:rPr>
                <w:sz w:val="1"/>
                <w:szCs w:val="1"/>
                <w:color w:val="auto"/>
              </w:rPr>
            </w:pPr>
          </w:p>
        </w:tc>
      </w:tr>
      <w:tr>
        <w:trPr>
          <w:trHeight w:val="197"/>
        </w:trPr>
        <w:tc>
          <w:tcPr>
            <w:tcW w:w="440" w:type="dxa"/>
            <w:vAlign w:val="bottom"/>
          </w:tcPr>
          <w:p>
            <w:pPr>
              <w:spacing w:after="0"/>
              <w:rPr>
                <w:sz w:val="17"/>
                <w:szCs w:val="17"/>
                <w:color w:val="auto"/>
              </w:rPr>
            </w:pPr>
          </w:p>
        </w:tc>
        <w:tc>
          <w:tcPr>
            <w:tcW w:w="220" w:type="dxa"/>
            <w:vAlign w:val="bottom"/>
            <w:vMerge w:val="restart"/>
          </w:tcPr>
          <w:p>
            <w:pPr>
              <w:spacing w:after="0"/>
              <w:rPr>
                <w:sz w:val="17"/>
                <w:szCs w:val="17"/>
                <w:color w:val="auto"/>
              </w:rPr>
            </w:pPr>
          </w:p>
        </w:tc>
        <w:tc>
          <w:tcPr>
            <w:tcW w:w="6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liabilities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12.</w:t>
            </w:r>
          </w:p>
        </w:tc>
        <w:tc>
          <w:tcPr>
            <w:tcW w:w="65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Liabilities due to customers</w:t>
            </w: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 w:type="dxa"/>
            <w:vAlign w:val="bottom"/>
            <w:vMerge w:val="continue"/>
          </w:tcPr>
          <w:p>
            <w:pPr>
              <w:spacing w:after="0"/>
              <w:rPr>
                <w:sz w:val="24"/>
                <w:szCs w:val="24"/>
                <w:color w:val="auto"/>
              </w:rPr>
            </w:pPr>
          </w:p>
        </w:tc>
        <w:tc>
          <w:tcPr>
            <w:tcW w:w="654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Structured products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71,523</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75,383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Liabilities due to customers mainly related to proceeds received from customers who purchased cryptocurrency-denoted products, which represent fixed/variable interest cryptocurrency deposited in “Sparrow” platform operated by the Group.</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These deposits are not protected by any insurance and unsecured. Upon maturity of the cryptocurrency-denoted products, the customers receive the same type of cryptocurrency in the same quantity plus additional interest returns. The deposit and interest will be deposited to customers’ accounts on the same date upon maturity of cryptocurrency-denoted products, and customers will be able to withdraw on demand.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5" w:lineRule="exact"/>
        <w:rPr>
          <w:sz w:val="20"/>
          <w:szCs w:val="20"/>
          <w:color w:val="auto"/>
        </w:rPr>
      </w:pPr>
    </w:p>
    <w:p>
      <w:pPr>
        <w:ind w:right="2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13.</w:t>
            </w:r>
          </w:p>
        </w:tc>
        <w:tc>
          <w:tcPr>
            <w:tcW w:w="65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Bank borrowings</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13"/>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8"/>
        </w:trPr>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78"/>
        </w:trPr>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1-year term loan denominated in RMB at an interest rates of 2.80% to 2.85% per</w:t>
            </w: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34"/>
        </w:trPr>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annum</w:t>
            </w:r>
          </w:p>
        </w:tc>
        <w:tc>
          <w:tcPr>
            <w:tcW w:w="10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r>
      <w:tr>
        <w:trPr>
          <w:trHeight w:val="198"/>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1-year revolving loan denominated in RMB at an interest rates of 2.50% to 3.05%</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 annum</w:t>
            </w:r>
          </w:p>
        </w:tc>
        <w:tc>
          <w:tcPr>
            <w:tcW w:w="1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service trade loans denominated in HK$at an interest rate of 4.98%</w:t>
            </w:r>
          </w:p>
        </w:tc>
        <w:tc>
          <w:tcPr>
            <w:tcW w:w="10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90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w:t>
      </w:r>
    </w:p>
    <w:p>
      <w:pPr>
        <w:spacing w:after="0" w:line="198" w:lineRule="exact"/>
        <w:rPr>
          <w:sz w:val="20"/>
          <w:szCs w:val="20"/>
          <w:color w:val="auto"/>
        </w:rPr>
      </w:pPr>
    </w:p>
    <w:p>
      <w:pPr>
        <w:ind w:left="1300" w:right="20" w:hanging="644"/>
        <w:spacing w:after="0" w:line="282"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guarantee by Amber International and accounts receivable of the Company of US$1 (2024: US$Nil) are provided as pledge to secure the obligations under the facilities from certain banks.</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 of the total banking facilities of US$7,672 available to the Company as of June 30, 2025, US$2,673 have been utilized by the Company as of June 30, 2025. As of June 30, 2025, total undrawn revolving, service trade and term loan facilities amounted to US$500, US$4,499 and US$Nil (2024: US$Nil, US$Nil and US$Nil), respectively. Total undrawn facilities available for draw-down as of June 30, 2025, net of bank deposits that would need to be pledged as restricted cash upon utilization of the facilities, amounted to US$Nil (2024: US$Nil).</w:t>
      </w:r>
    </w:p>
    <w:p>
      <w:pPr>
        <w:spacing w:after="0" w:line="14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2025 and December 31, 2024, no financial covenants as set out in these loan agreements were breached.</w:t>
      </w:r>
    </w:p>
    <w:p>
      <w:pPr>
        <w:spacing w:after="0" w:line="18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weighted average interest rate for bank borrowings outstanding as of June 30, 2025 was 2.80% per annum. Other than those shown above, Amber International did not have any significant capital and other commitments, long-term obligations, or guarantees as of June 30, 2025 and December 31, 2024.</w:t>
      </w:r>
    </w:p>
    <w:p>
      <w:pPr>
        <w:spacing w:after="0" w:line="172"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related parties transactions and balances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significant transactions with related parties took place at terms agreed between the parties during the financial period:</w:t>
      </w:r>
    </w:p>
    <w:p>
      <w:pPr>
        <w:spacing w:after="0" w:line="16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4"/>
          <w:szCs w:val="14"/>
          <w:b w:val="1"/>
          <w:bCs w:val="1"/>
          <w:color w:val="auto"/>
        </w:rPr>
        <w:t>For the six-month ended</w:t>
      </w:r>
    </w:p>
    <w:p>
      <w:pPr>
        <w:jc w:val="center"/>
        <w:ind w:left="604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660" w:type="dxa"/>
            <w:vAlign w:val="bottom"/>
          </w:tcPr>
          <w:p>
            <w:pPr>
              <w:spacing w:after="0"/>
              <w:rPr>
                <w:sz w:val="12"/>
                <w:szCs w:val="12"/>
                <w:color w:val="auto"/>
              </w:rPr>
            </w:pPr>
          </w:p>
        </w:tc>
        <w:tc>
          <w:tcPr>
            <w:tcW w:w="3280" w:type="dxa"/>
            <w:vAlign w:val="bottom"/>
            <w:tcBorders>
              <w:bottom w:val="single" w:sz="8" w:color="CCEEFF"/>
            </w:tcBorders>
          </w:tcPr>
          <w:p>
            <w:pPr>
              <w:spacing w:after="0"/>
              <w:rPr>
                <w:sz w:val="12"/>
                <w:szCs w:val="12"/>
                <w:color w:val="auto"/>
              </w:rPr>
            </w:pPr>
          </w:p>
        </w:tc>
        <w:tc>
          <w:tcPr>
            <w:tcW w:w="304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WhaleFin Technologies Limited</w:t>
            </w:r>
          </w:p>
        </w:tc>
        <w:tc>
          <w:tcPr>
            <w:tcW w:w="3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3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15,074</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Lead Accelerating Limited</w:t>
            </w:r>
          </w:p>
        </w:tc>
        <w:tc>
          <w:tcPr>
            <w:tcW w:w="3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3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7,295</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Proton Fund SPC</w:t>
            </w:r>
          </w:p>
        </w:tc>
        <w:tc>
          <w:tcPr>
            <w:tcW w:w="3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0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Axiom AI Limited</w:t>
            </w:r>
          </w:p>
        </w:tc>
        <w:tc>
          <w:tcPr>
            <w:tcW w:w="3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30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6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1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F-31</w:t>
            </w: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6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57"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5" w:lineRule="exact"/>
        <w:rPr>
          <w:sz w:val="20"/>
          <w:szCs w:val="20"/>
          <w:color w:val="auto"/>
        </w:rPr>
      </w:pPr>
    </w:p>
    <w:p>
      <w:pPr>
        <w:ind w:right="201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155" w:lineRule="exact"/>
        <w:rPr>
          <w:sz w:val="20"/>
          <w:szCs w:val="20"/>
          <w:color w:val="auto"/>
        </w:rPr>
      </w:pPr>
    </w:p>
    <w:p>
      <w:pPr>
        <w:ind w:left="660" w:right="3839" w:hanging="652"/>
        <w:spacing w:after="0" w:line="507" w:lineRule="auto"/>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Significant related parties transactions and balances (Continued) </w:t>
      </w:r>
      <w:r>
        <w:rPr>
          <w:rFonts w:ascii="Times New Roman" w:cs="Times New Roman" w:eastAsia="Times New Roman" w:hAnsi="Times New Roman"/>
          <w:sz w:val="18"/>
          <w:szCs w:val="18"/>
          <w:u w:val="single" w:color="auto"/>
          <w:color w:val="auto"/>
        </w:rPr>
        <w:t>Amounts due from related parties</w:t>
      </w:r>
    </w:p>
    <w:tbl>
      <w:tblPr>
        <w:tblLayout w:type="fixed"/>
        <w:tblInd w:w="0" w:type="dxa"/>
        <w:tblCellMar>
          <w:top w:w="0" w:type="dxa"/>
          <w:left w:w="0" w:type="dxa"/>
          <w:bottom w:w="0" w:type="dxa"/>
          <w:right w:w="0" w:type="dxa"/>
        </w:tblCellMar>
      </w:tblPr>
      <w:tr>
        <w:trPr>
          <w:trHeight w:val="149"/>
        </w:trPr>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5"/>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720" w:type="dxa"/>
            <w:vAlign w:val="bottom"/>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5"/>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8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32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Trade</w:t>
            </w: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Lead Accelerating Ltd</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63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Non-trade</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Amber AI Ltd</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WhaleFin Technologies Ltd</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WhaleFin Markets Ltd</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Amber Custodian Services Ltd</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Amber Global Ltd</w:t>
            </w:r>
          </w:p>
        </w:tc>
        <w:tc>
          <w:tcPr>
            <w:tcW w:w="2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Axiom AI Ltd</w:t>
            </w:r>
          </w:p>
        </w:tc>
        <w:tc>
          <w:tcPr>
            <w:tcW w:w="20" w:type="dxa"/>
            <w:vAlign w:val="bottom"/>
          </w:tcPr>
          <w:p>
            <w:pPr>
              <w:spacing w:after="0"/>
              <w:rPr>
                <w:sz w:val="20"/>
                <w:szCs w:val="20"/>
                <w:color w:val="auto"/>
              </w:rPr>
            </w:pPr>
          </w:p>
        </w:tc>
        <w:tc>
          <w:tcPr>
            <w:tcW w:w="126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373"/>
        </w:trPr>
        <w:tc>
          <w:tcPr>
            <w:tcW w:w="440" w:type="dxa"/>
            <w:vAlign w:val="bottom"/>
          </w:tcPr>
          <w:p>
            <w:pPr>
              <w:spacing w:after="0"/>
              <w:rPr>
                <w:sz w:val="24"/>
                <w:szCs w:val="24"/>
                <w:color w:val="auto"/>
              </w:rPr>
            </w:pPr>
          </w:p>
        </w:tc>
        <w:tc>
          <w:tcPr>
            <w:tcW w:w="654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2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5"/>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8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32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Trade</w:t>
            </w: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Lead Accelerating Ltd</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WhaleFin Technologies Ltd</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Proton Fund SPC</w:t>
            </w:r>
          </w:p>
        </w:tc>
        <w:tc>
          <w:tcPr>
            <w:tcW w:w="20" w:type="dxa"/>
            <w:vAlign w:val="bottom"/>
          </w:tcPr>
          <w:p>
            <w:pPr>
              <w:spacing w:after="0"/>
              <w:rPr>
                <w:sz w:val="18"/>
                <w:szCs w:val="18"/>
                <w:color w:val="auto"/>
              </w:rPr>
            </w:pPr>
          </w:p>
        </w:tc>
        <w:tc>
          <w:tcPr>
            <w:tcW w:w="126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63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Non-trade</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Amber AI Ltd</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Amber Technologies North America Ltd</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Amber AI Service Ltd</w:t>
            </w:r>
          </w:p>
        </w:tc>
        <w:tc>
          <w:tcPr>
            <w:tcW w:w="2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Amber ALIR Holding Ltd</w:t>
            </w:r>
          </w:p>
        </w:tc>
        <w:tc>
          <w:tcPr>
            <w:tcW w:w="20" w:type="dxa"/>
            <w:vAlign w:val="bottom"/>
          </w:tcPr>
          <w:p>
            <w:pPr>
              <w:spacing w:after="0"/>
              <w:rPr>
                <w:sz w:val="18"/>
                <w:szCs w:val="18"/>
                <w:color w:val="auto"/>
              </w:rPr>
            </w:pPr>
          </w:p>
        </w:tc>
        <w:tc>
          <w:tcPr>
            <w:tcW w:w="126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Amber Services NA</w:t>
            </w:r>
          </w:p>
        </w:tc>
        <w:tc>
          <w:tcPr>
            <w:tcW w:w="2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662"/>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15.</w:t>
            </w:r>
          </w:p>
        </w:tc>
        <w:tc>
          <w:tcPr>
            <w:tcW w:w="654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six-month ended</w:t>
            </w: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Borders>
              <w:bottom w:val="single" w:sz="8" w:color="auto"/>
            </w:tcBorders>
            <w:gridSpan w:val="5"/>
          </w:tcPr>
          <w:p>
            <w:pPr>
              <w:jc w:val="center"/>
              <w:ind w:left="6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30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i w:val="1"/>
                <w:iCs w:val="1"/>
                <w:color w:val="auto"/>
              </w:rPr>
              <w:t>Digital Assets Services and Solution (Note)</w:t>
            </w:r>
          </w:p>
        </w:tc>
        <w:tc>
          <w:tcPr>
            <w:tcW w:w="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Wealth management solutions</w:t>
            </w:r>
          </w:p>
        </w:tc>
        <w:tc>
          <w:tcPr>
            <w:tcW w:w="32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21,462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Execution solutions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Payment solutions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27,801</w:t>
            </w: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0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i w:val="1"/>
                <w:iCs w:val="1"/>
                <w:color w:val="auto"/>
              </w:rPr>
              <w:t>Online Advertising and SaaS Solutions</w:t>
            </w: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1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Sales agent</w:t>
            </w:r>
          </w:p>
        </w:tc>
        <w:tc>
          <w:tcPr>
            <w:tcW w:w="2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Cost-plus</w:t>
            </w:r>
          </w:p>
        </w:tc>
        <w:tc>
          <w:tcPr>
            <w:tcW w:w="20" w:type="dxa"/>
            <w:vAlign w:val="bottom"/>
          </w:tcPr>
          <w:p>
            <w:pPr>
              <w:spacing w:after="0"/>
              <w:rPr>
                <w:sz w:val="18"/>
                <w:szCs w:val="18"/>
                <w:color w:val="auto"/>
              </w:rPr>
            </w:pPr>
          </w:p>
        </w:tc>
        <w:tc>
          <w:tcPr>
            <w:tcW w:w="126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Specified actions</w:t>
            </w:r>
          </w:p>
        </w:tc>
        <w:tc>
          <w:tcPr>
            <w:tcW w:w="2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SaaS products and services</w:t>
            </w:r>
          </w:p>
        </w:tc>
        <w:tc>
          <w:tcPr>
            <w:tcW w:w="20" w:type="dxa"/>
            <w:vAlign w:val="bottom"/>
          </w:tcPr>
          <w:p>
            <w:pPr>
              <w:spacing w:after="0"/>
              <w:rPr>
                <w:sz w:val="18"/>
                <w:szCs w:val="18"/>
                <w:color w:val="auto"/>
              </w:rPr>
            </w:pPr>
          </w:p>
        </w:tc>
        <w:tc>
          <w:tcPr>
            <w:tcW w:w="126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3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1,878</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35,903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479"/>
          </w:cols>
          <w:pgMar w:left="980" w:top="657" w:right="1440" w:bottom="1440" w:gutter="0" w:footer="0" w:header="0"/>
        </w:sectPr>
      </w:pPr>
    </w:p>
    <w:p>
      <w:pPr>
        <w:spacing w:after="0" w:line="36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657" w:right="1440"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5" w:lineRule="exact"/>
        <w:rPr>
          <w:sz w:val="20"/>
          <w:szCs w:val="20"/>
          <w:color w:val="auto"/>
        </w:rPr>
      </w:pPr>
    </w:p>
    <w:p>
      <w:pPr>
        <w:ind w:right="2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w:t>
      </w:r>
    </w:p>
    <w:p>
      <w:pPr>
        <w:spacing w:after="0" w:line="185"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 connection with the consummation of merger, we entered into intercompany services agreements with certain wholly owned subsidiaries of our parent, Amber Group Limited. These agreements would afford us with substantially the same economic benefits as the transactions contemplated under the merger agreement signed in connection with the Merger, pending certain regulatory approvals for DWM Asset Restructuring contemplated under the merger agreement. This includes our entitlement to 100% of the consolidated net income generated from certain contracts associated with WhaleFin Technologies Limited (the “WFTL Assigned Contracts”) effective from January 1, 2025. Therefore, our results for the first half of 2025 have included the net income from WFTL Assigned Contracts, which was not reflected in our results for the first half of 2024.</w:t>
      </w:r>
    </w:p>
    <w:p>
      <w:pPr>
        <w:spacing w:after="0" w:line="162"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following table breaks down revenue by geographic location of the Group’s revenue. The geographical location is based on the geographical location where customers are located.</w:t>
      </w:r>
    </w:p>
    <w:p>
      <w:pPr>
        <w:spacing w:after="0" w:line="16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4"/>
          <w:szCs w:val="14"/>
          <w:b w:val="1"/>
          <w:bCs w:val="1"/>
          <w:color w:val="auto"/>
        </w:rPr>
        <w:t>For the six-month ended</w:t>
      </w:r>
    </w:p>
    <w:p>
      <w:pPr>
        <w:jc w:val="center"/>
        <w:ind w:left="604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660" w:type="dxa"/>
        <w:tblCellMar>
          <w:top w:w="0" w:type="dxa"/>
          <w:left w:w="0" w:type="dxa"/>
          <w:bottom w:w="0" w:type="dxa"/>
          <w:right w:w="0" w:type="dxa"/>
        </w:tblCellMar>
      </w:tblPr>
      <w:tr>
        <w:trPr>
          <w:trHeight w:val="142"/>
        </w:trPr>
        <w:tc>
          <w:tcPr>
            <w:tcW w:w="63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9,163</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12,065</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Africa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14,639</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9"/>
        </w:trPr>
        <w:tc>
          <w:tcPr>
            <w:tcW w:w="63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35,903</w:t>
            </w:r>
          </w:p>
        </w:tc>
      </w:tr>
      <w:tr>
        <w:trPr>
          <w:trHeight w:val="20"/>
        </w:trPr>
        <w:tc>
          <w:tcPr>
            <w:tcW w:w="6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(Loss)/profit before tax</w:t>
      </w:r>
    </w:p>
    <w:p>
      <w:pPr>
        <w:spacing w:after="0" w:line="236"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4"/>
          <w:szCs w:val="14"/>
          <w:b w:val="1"/>
          <w:bCs w:val="1"/>
          <w:color w:val="auto"/>
        </w:rPr>
        <w:t>For the six-month ended</w:t>
      </w:r>
    </w:p>
    <w:p>
      <w:pPr>
        <w:jc w:val="center"/>
        <w:ind w:left="604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660" w:type="dxa"/>
        <w:tblCellMar>
          <w:top w:w="0" w:type="dxa"/>
          <w:left w:w="0" w:type="dxa"/>
          <w:bottom w:w="0" w:type="dxa"/>
          <w:right w:w="0" w:type="dxa"/>
        </w:tblCellMar>
      </w:tblPr>
      <w:tr>
        <w:trPr>
          <w:trHeight w:val="142"/>
        </w:trPr>
        <w:tc>
          <w:tcPr>
            <w:tcW w:w="63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Staff costs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11,585</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Technology expenses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7,577</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plant and equipment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Advertising expenses</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rental expense</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gains, net</w:t>
      </w:r>
    </w:p>
    <w:p>
      <w:pPr>
        <w:spacing w:after="0" w:line="236"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4"/>
          <w:szCs w:val="14"/>
          <w:b w:val="1"/>
          <w:bCs w:val="1"/>
          <w:color w:val="auto"/>
        </w:rPr>
        <w:t>For the six-month ended</w:t>
      </w:r>
    </w:p>
    <w:p>
      <w:pPr>
        <w:jc w:val="center"/>
        <w:ind w:left="604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660" w:type="dxa"/>
            <w:vAlign w:val="bottom"/>
          </w:tcPr>
          <w:p>
            <w:pPr>
              <w:spacing w:after="0"/>
              <w:rPr>
                <w:sz w:val="12"/>
                <w:szCs w:val="12"/>
                <w:color w:val="auto"/>
              </w:rPr>
            </w:pPr>
          </w:p>
        </w:tc>
        <w:tc>
          <w:tcPr>
            <w:tcW w:w="358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Pr>
          <w:p>
            <w:pPr>
              <w:spacing w:after="0"/>
              <w:rPr>
                <w:sz w:val="12"/>
                <w:szCs w:val="12"/>
                <w:color w:val="auto"/>
              </w:rPr>
            </w:pPr>
          </w:p>
        </w:tc>
      </w:tr>
      <w:tr>
        <w:trPr>
          <w:trHeight w:val="209"/>
        </w:trPr>
        <w:tc>
          <w:tcPr>
            <w:tcW w:w="6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difference, net</w:t>
            </w:r>
          </w:p>
        </w:tc>
        <w:tc>
          <w:tcPr>
            <w:tcW w:w="27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9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9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income</w:t>
            </w:r>
          </w:p>
        </w:tc>
        <w:tc>
          <w:tcPr>
            <w:tcW w:w="3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9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on FVPL (Note 6)</w:t>
            </w: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9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27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9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3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94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580" w:type="dxa"/>
            <w:vAlign w:val="bottom"/>
            <w:tcBorders>
              <w:top w:val="single" w:sz="8" w:color="CCEEFF"/>
              <w:bottom w:val="single" w:sz="8" w:color="CCEEFF"/>
            </w:tcBorders>
            <w:shd w:val="clear" w:color="auto" w:fill="CCEEFF"/>
          </w:tcPr>
          <w:p>
            <w:pPr>
              <w:spacing w:after="0"/>
              <w:rPr>
                <w:sz w:val="18"/>
                <w:szCs w:val="18"/>
                <w:color w:val="auto"/>
              </w:rPr>
            </w:pPr>
          </w:p>
        </w:tc>
        <w:tc>
          <w:tcPr>
            <w:tcW w:w="27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94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871"/>
        </w:trPr>
        <w:tc>
          <w:tcPr>
            <w:tcW w:w="6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8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F-33</w:t>
            </w: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47"/>
        </w:trPr>
        <w:tc>
          <w:tcPr>
            <w:tcW w:w="6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57"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5" w:lineRule="exact"/>
        <w:rPr>
          <w:sz w:val="20"/>
          <w:szCs w:val="20"/>
          <w:color w:val="auto"/>
        </w:rPr>
      </w:pPr>
    </w:p>
    <w:p>
      <w:pPr>
        <w:ind w:right="2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155"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Subsequent to the financial period end the Company entered into a successful private placement totaling US$25.5 million, for the expansion of its key institutional crypto services across the U.S. and Southeast Asia.</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Excepted disclosed above, the Company evaluated subsequent events from June 30, 2025 through the date when the unaudited condensed consolidated financial statements were issued, and concluded that no other subsequent events have occurred that would require recognition or disclose in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7" w:right="999" w:bottom="1440" w:gutter="0" w:footer="0" w:header="0"/>
        </w:sectPr>
      </w:pPr>
    </w:p>
    <w:bookmarkStart w:id="38" w:name="page39"/>
    <w:bookmarkEnd w:id="38"/>
    <w:p>
      <w:pPr>
        <w:ind w:left="900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 information that management believes is relevant to an assessment and understanding of our results of operations and financial condition. You should read the following discussion and analysis of our financial condition and results of operations in conjunction with (i) our unaudited condensed consolidated statements of financial position as of June 30, 2025, unaudited condensed consolidated statements of profit or loss, comprehensive income/(loss), changes in shareholders’ equity and cash flows for the six months ended June 30, 2024 and June 30 2025, and notes to the unaudited condensed consolidated financial statements thereto included elsewhere in this Form 6-K, (ii) audited consolidated statements of financial position of Amber DWM Holding Limited and its subsidiaries as of June 30, 2024 and December 31, 2024, and the related consolidated statements of profit or loss and other comprehensive income, change in equity, and cash flows for the six months ended December 31, 2023 (unaudited) and December 31, 2024 (audited) included in our transition report on Form 20-F filed with the U.S. Securities and Exchange Commission (the “SEC”) under the Securities Act of 1933 on June 12, 2025 (the “Transition Report”), and (iii) audited consolidated statements of financial position of Amber DWM Holding Limited and its subsidiaries as of June 30, 2023 and 2024, and the related consolidated statements of profit or loss and other comprehensive loss, change in equity, and cash flows for the years ended June 30, 2023 and 2024 included in the proxy statement attached to our Form 6-K furnished to the SEC on December 19, 2024.</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Form 6-K may contain forward-looking statements (within the meaning of Section 27A of the Securities Act of 1933, as amended and Section 21E of the Securities Exchange Act of 1934, as amended) that relate to our current expectations and views of future events. These statements involve known and unknown risks, uncertainties and other factors that may cause our actual results, performance or achievements to be materially different from those expressed or implied by the forward-looking statements. These statements are made under the “safe harbor” provisions of the U.S. Private Securities Litigations Reform Act of 1995.</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183"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mission, goals and strategies;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products, services and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our business and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crypto reserve strategy;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globally and in jurisdictions where we operate;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or related to any of the foregoing;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and uncertainties described under “Item 3. Key Information — D. Risk Factors” in our annual report on Form 20-F for the year ended December 31, 2024 (the “Form 20-F”) filed with the SEC on April 29, 2025.</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read this Form 6-K and the documents that we refer to in this Form 6-K completely and with the understanding that our actual future results may be materially different from what we expect. Other sections of this Form 6-K discuss factors which could adversely impact our business and financial performance. Moreover, we operate in an evolving environment. We qualify all of our forward-looking statements by these cautionary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468630</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9" w:name="page40"/>
    <w:bookmarkEnd w:id="3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The forward-looking statements made in this Form 6-K relate only to events or information as of the date on which the statements are made in this Form 6-K. The forward-looking statements are not historical facts, and are based upon our current expectations, beliefs, estimates and projections, and various assumptions, many of which, by their nature, are inherently uncertain and beyond our control. Our expectations, beliefs, estimates and projections are expressed in good faith and we believe there is a reasonable basis for them. However, there can be no assurance that management’s expectations, beliefs, estimates and projections will result or be achieved and actual results may vary materially from what is expressed in or indicated by the forward-looking statements. There are a number of risks, uncertainties and other important factors, many of which are beyond our control, that could cause our actual results to differ materially from the forward-looking statements contained in this Form 6-K. The principal risks, uncertainties and other important factors that have affected or may affect our business and that have caused or could cause our actual results to differ materially include the following, as well as the other risks detailed in the “Risk Factors” section contained in the Form 20-F.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 leading digital asset wealth management platform, operating under the brand name “Amber Premium,” strategically positioned within the rapidly expanding digital asset market. We act as the institutional gateway to crypto finance, providing market access, execution infrastructure, and investment solutions for institutional investors and high-net-worth individuals (HNWIs).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institutions and HNWIs increasingly explore opportunities in the digital asset sector, their initial participation is often through familiar traditional financial instruments, such as exchange-traded funds (ETFs) and direct exposure to Bitcoin. As their engagement deepens, these investors increasingly recognize that the digital asset landscape encompasses a broader range of opportunities, including blockchain-based innovations, decentralized finance (DeFi) applications, and tokenized financial products. We seek to address these evolving needs by offering institutional-grade execution services, comprehensive suite of investment products, and integrated crypto payment solutions that extend beyond traditional financial (TradFi) instruments. Leveraging our market expertise, proprietary technologies, and institutional-level risk management practices, we enable clients to effectively navigate the complexities of the digital asset ecosystem, optimize portfolio strategies, and identify new opportunities for growth within this emerging asset class.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By seamlessly merging traditional finance and decentralized finance, we provide the following major products to meet our clients’ evolving needs: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Wealth Management Solutions</w:t>
      </w:r>
    </w:p>
    <w:p>
      <w:pPr>
        <w:spacing w:after="0" w:line="225" w:lineRule="exact"/>
        <w:rPr>
          <w:sz w:val="20"/>
          <w:szCs w:val="20"/>
          <w:color w:val="auto"/>
        </w:rPr>
      </w:pPr>
    </w:p>
    <w:p>
      <w:pPr>
        <w:jc w:val="both"/>
        <w:ind w:left="660" w:right="20" w:hanging="328"/>
        <w:spacing w:after="0" w:line="268"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Structured Investment Products </w:t>
      </w:r>
      <w:r>
        <w:rPr>
          <w:rFonts w:ascii="Times New Roman" w:cs="Times New Roman" w:eastAsia="Times New Roman" w:hAnsi="Times New Roman"/>
          <w:sz w:val="18"/>
          <w:szCs w:val="18"/>
          <w:color w:val="auto"/>
        </w:rPr>
        <w:t>– We offer a range of products with option structures, including dual cryptocurrency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instruments and accumulator/decumulator products, which are designed to support systematic asset accumulation and manage exposure in a risk-adjusted manner.</w:t>
      </w:r>
    </w:p>
    <w:p>
      <w:pPr>
        <w:spacing w:after="0" w:line="170"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Yield &amp; DeFi Solutions </w:t>
      </w:r>
      <w:r>
        <w:rPr>
          <w:rFonts w:ascii="Times New Roman" w:cs="Times New Roman" w:eastAsia="Times New Roman" w:hAnsi="Times New Roman"/>
          <w:sz w:val="18"/>
          <w:szCs w:val="18"/>
          <w:color w:val="auto"/>
        </w:rPr>
        <w:t>– We offer earn programs, staking rewards, and DeFi yield-related products, which are structured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enhance capital efficiency while maintaining effective risk management.</w:t>
      </w:r>
    </w:p>
    <w:p>
      <w:pPr>
        <w:spacing w:after="0" w:line="154" w:lineRule="exact"/>
        <w:rPr>
          <w:rFonts w:ascii="Times New Roman" w:cs="Times New Roman" w:eastAsia="Times New Roman" w:hAnsi="Times New Roman"/>
          <w:sz w:val="18"/>
          <w:szCs w:val="18"/>
          <w:color w:val="auto"/>
        </w:rPr>
      </w:pPr>
    </w:p>
    <w:p>
      <w:pPr>
        <w:jc w:val="both"/>
        <w:ind w:left="660" w:right="20" w:hanging="328"/>
        <w:spacing w:after="0" w:line="268"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Collateralized Lending </w:t>
      </w:r>
      <w:r>
        <w:rPr>
          <w:rFonts w:ascii="Times New Roman" w:cs="Times New Roman" w:eastAsia="Times New Roman" w:hAnsi="Times New Roman"/>
          <w:sz w:val="18"/>
          <w:szCs w:val="18"/>
          <w:color w:val="auto"/>
        </w:rPr>
        <w:t>– We offer crypto-backed financing solutions that allow clients to obtain liquidity against their digital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 holdings. These services include configurable loan terms and automated position monitoring mechanisms designed to reduce the risk of forced liquidation.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Full-Stack Execution Solutions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execution solutions provide direct access to over 2,000 trading pairs across more than 100 centralized exchanges (CEXs), decentralized exchanges (DEXs), and over-the-counter (OTC) markets. The platform’s connectivity to a broad network of liquidity sources enables trade execution across a wide range of digital assets.</w:t>
      </w:r>
    </w:p>
    <w:p>
      <w:pPr>
        <w:spacing w:after="0" w:line="172" w:lineRule="exact"/>
        <w:rPr>
          <w:sz w:val="20"/>
          <w:szCs w:val="20"/>
          <w:color w:val="auto"/>
        </w:rPr>
      </w:pPr>
    </w:p>
    <w:p>
      <w:pPr>
        <w:jc w:val="both"/>
        <w:ind w:left="660" w:hanging="328"/>
        <w:spacing w:after="0" w:line="268"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Automated Execution </w:t>
      </w:r>
      <w:r>
        <w:rPr>
          <w:rFonts w:ascii="Times New Roman" w:cs="Times New Roman" w:eastAsia="Times New Roman" w:hAnsi="Times New Roman"/>
          <w:sz w:val="18"/>
          <w:szCs w:val="18"/>
          <w:color w:val="auto"/>
        </w:rPr>
        <w:t>– Our execution services are backed by a high-performance trading infrastructure, supporting automated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strategies and advanced order execution methods, such as Volume Weighted Average Price (VWAP) and Time Weighted Average Price (TWAP), and Iceberg strategies for optimized trading.</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OTC Trading </w:t>
      </w:r>
      <w:r>
        <w:rPr>
          <w:rFonts w:ascii="Times New Roman" w:cs="Times New Roman" w:eastAsia="Times New Roman" w:hAnsi="Times New Roman"/>
          <w:sz w:val="18"/>
          <w:szCs w:val="18"/>
          <w:color w:val="auto"/>
        </w:rPr>
        <w:t>– We offer over-the-counter trading solutions through a 24/7 institutional OTC desk to facilitate large-order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execution through bilateral transactions. The solutions are tailored to institutional clients and are designed to minimize market impact.</w:t>
      </w:r>
    </w:p>
    <w:p>
      <w:pPr>
        <w:sectPr>
          <w:pgSz w:w="11900" w:h="16838" w:orient="portrait"/>
          <w:cols w:equalWidth="0" w:num="1">
            <w:col w:w="9920"/>
          </w:cols>
          <w:pgMar w:left="98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Seamless Crypto Payment Solutions</w:t>
      </w:r>
    </w:p>
    <w:p>
      <w:pPr>
        <w:spacing w:after="0" w:line="225" w:lineRule="exact"/>
        <w:rPr>
          <w:sz w:val="20"/>
          <w:szCs w:val="20"/>
          <w:color w:val="auto"/>
        </w:rPr>
      </w:pPr>
    </w:p>
    <w:p>
      <w:pPr>
        <w:ind w:left="660" w:hanging="328"/>
        <w:spacing w:after="0" w:line="28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Fiat On/Off-Ramp </w:t>
      </w:r>
      <w:r>
        <w:rPr>
          <w:rFonts w:ascii="Times New Roman" w:cs="Times New Roman" w:eastAsia="Times New Roman" w:hAnsi="Times New Roman"/>
          <w:sz w:val="18"/>
          <w:szCs w:val="18"/>
          <w:color w:val="auto"/>
        </w:rPr>
        <w:t>– We provide crypto-to-fiat and fiat-to-crypto conversion services through regulated channels, enabling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clients to transact between digital assets and traditional currencies in a secure and compliant manner.</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Amber Premium Crypto Card </w:t>
      </w:r>
      <w:r>
        <w:rPr>
          <w:rFonts w:ascii="Times New Roman" w:cs="Times New Roman" w:eastAsia="Times New Roman" w:hAnsi="Times New Roman"/>
          <w:sz w:val="18"/>
          <w:szCs w:val="18"/>
          <w:color w:val="auto"/>
        </w:rPr>
        <w:t>– Amber Premium Crypto Card is a virtual payment solution designed to seamlessly integrate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digital assets with traditional financial systems. This card enables users to directly spend a broad range of cryptocurrencies — including yield-generating digital assets — at merchants worldwide, with real-time transaction settlement. The Amber Premium Crypto Card aims to enhance the utility of digital assets by facilitating instantaneous and secure payments across the global merchant network.</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a lesser extent, we operate marketing solutions and enterprise solutions business in Asia after the completion of the merger with iClick Interactive Asia Group Limited (“iClick”) on March 12, 2025 (the “Merger”).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the key factors affecting our financial condition and results of operations include the followings: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Demand for Digital Asset Management Products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market demand for digital asset management products is affected by a variety of factors related to market conditions and overall sentiment towards digital assets. Developments within the cryptoeconomy—such as regulatory changes, technological advancements, or notable actions by major companies—can rapidly alter perceptions and adoption rates. For instance, if leading firms successfully implement fiat on/off ramp services or enhance OTC trading and execution capabilities, this could bolster confidence in digital assets as viable mediums of exchange or stores of value. While occasional challenges like security concerns or regulatory adjustments may arise, they are part of the dynamic landscape influencing user and investor confidence, affecting clients’ demand for these products. Additionally, evolving social media trends and market speculation may sway consumer preferences, impacting which digital assets are perceived as valuable.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Moreover, the ability of digital assets to meet user demands and provide tangible utility is crucial. As consumers seek products that integrate seamlessly into their financial lives, the functionality of digital assets and their ecosystems becomes paramount. These economic fluctuations can further influence these trends, reducing purchasing power and investment willingness at times. On the other hand, they also present opportunities for innovation and adaptability. This interplay of market sentiment, functionality, regulatory landscape, and economic conditions creates a dynamic environment for demand, driving the need for agility and innovation in responding to evolving consumer needs and perceptions in the cryptoeconomy.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Price of Digital Assets and Transaction Volume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earn conversion fees when clients transfer or withdraw funds and/or digital assets from our platform, and performs conversion between fiat currencies and digital assets. We also earn finance income mainly from premiums earned on structured products as well as interest earned from digital asset lending arrangements. Depending on product type, we either charge a flat fee or a percentage of the value of each transaction. Therefore, our operating results are dependent on the prices of digital assets, transaction volumes, and market liquidity for digital assets.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in May 2025, we announced the crypto reserve plan of up to US$100 million. The reserve strategy will initially focus on high-conviction digital assets, such as Binance Coin (BNB), Solana (SOL), Sui (SUI), Ripple (XRP), Bitcoin (BTC), and Ethereum (ETH) — with flexibility to expand into other ecosystem-aligned tokens as well as allocate funds for stablecoins such as World Liberty Financial USD (USD1). As a result, our financial conditions and results of operation are affected by the fluctuations in the market price of these digital assets and any associated unrealized gains or losses. Such gains or losses may be recognized in our financial statements as a result of a changes in the market price of these digital assets relative to the carrying values recorded on our balance sheets. As of June 30, 2025, we had US$9.4 million in digital assets, primarily consisting of BTC and ETH. Please refer to the Notes to The Unaudited Interim Condensed Consolidated Financial Statements – 3. Digital Assets.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t>Effectiveness of Innovative “1+N” Premium Servicing Model and Client Support and Servicing Capabilities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Central to our offering is the innovative “1+N” premium service model. This client-first approach pairs each client with a dedicated relationship manager (the “1”) supported by a team of domain experts (the “N”), delivering tailored services across the entire digital asset wealth management lifecycle, including fiat on/off ramp services, OTC trading and execution services, standard earn/structured products and DeFi yield-enhanced products. The effectiveness of the “1+N” model may be affected during periods of market volatility, where rapid decisions and responses are crucial, potentially impacting the quality of client engagement and service delivery. In addition, this model requires seamless collaboration between the relationship manager and experts. In addition, our ability to cross-sell our products (e.g., transitioning clients from OTC trading to structured products) could materially affect our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Ability to Competitively Price Products and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operating results depend on our ability to competitively price our products and services. Similar to the industry peers, as the industry evolves, we anticipate some fee pressure. Our strategy is to maintain our position as a trusted brand while developing new products and services to enhance our customer value proposition and offset the effects of any future fee pressure. Maintaining and growing client trust in our brand is critical. In addition, our ability to capture value through the development of new and existing products and services may also affect our operating results and financial condition.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Environment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regulatory environment for digital assets is complex and evolving, presenting both challenges and opportunities that could affect our financial performance. While we are committed to designing products and services that adhere to legal requirements, changes in laws and regulations may influence our ability to onboard customers and offer products across various regions.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our financial prospects and growth depend significantly on our ability to continue to operate in compliance with these regulations. We design our products and services to ensure legal compliance. We maintain operations and hold licenses in multiple jurisdictions, each subject to our own legal framework. We expect to continue to invest significant resources to comply with these regulatory requirements.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generate revenue primarily from digital asset services and solutions under the brand name “Amber Premium,” and to a lesser extent, from marketing and enterprise solutions.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revenue from digital assets services and solutions include wealth management solutions revenue, execution solutions revenue and payment solutions revenue. Wealth management solutions revenue is mainly generated from (a) finance income and premiums earned on structured products and agency fees; and (b) commission, rebates and spread earned from standard earn and structured products, DeFi yield enhanced products and strategic funds. Execution solutions revenue mainly includes the transaction fees from the provision of OTC trading and execution services. Payment solutions revenue is generated from the conversion fee of our fiat on/off-ramp services.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marketing and enterprise solutions revenue is generated from online marketing, SaaS products and services provided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Asia.</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breakdown of our total revenue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2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in thousands, except %)</w:t>
            </w:r>
          </w:p>
        </w:tc>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72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2820" w:type="dxa"/>
            <w:vAlign w:val="bottom"/>
            <w:gridSpan w:val="3"/>
            <w:vMerge w:val="continue"/>
          </w:tcPr>
          <w:p>
            <w:pPr>
              <w:spacing w:after="0"/>
              <w:rPr>
                <w:sz w:val="12"/>
                <w:szCs w:val="12"/>
                <w:color w:val="auto"/>
              </w:rPr>
            </w:pPr>
          </w:p>
        </w:tc>
        <w:tc>
          <w:tcPr>
            <w:tcW w:w="1880" w:type="dxa"/>
            <w:vAlign w:val="bottom"/>
            <w:gridSpan w:val="2"/>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600" w:type="dxa"/>
            <w:vAlign w:val="bottom"/>
            <w:tcBorders>
              <w:top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of revenue</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3"/>
          </w:tcPr>
          <w:p>
            <w:pPr>
              <w:jc w:val="right"/>
              <w:ind w:right="213"/>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Digital Assets Services and Solutions</w:t>
            </w:r>
          </w:p>
        </w:tc>
        <w:tc>
          <w:tcPr>
            <w:tcW w:w="238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1,878</w:t>
            </w:r>
          </w:p>
        </w:tc>
        <w:tc>
          <w:tcPr>
            <w:tcW w:w="10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100.0</w:t>
            </w: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27,801</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77.4</w:t>
            </w:r>
          </w:p>
        </w:tc>
        <w:tc>
          <w:tcPr>
            <w:tcW w:w="100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0" w:type="dxa"/>
            <w:vAlign w:val="bottom"/>
            <w:tcBorders>
              <w:top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Wealth management solutions</w:t>
            </w:r>
          </w:p>
        </w:tc>
        <w:tc>
          <w:tcPr>
            <w:tcW w:w="238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21,462</w:t>
            </w: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Execution solutions</w:t>
            </w:r>
          </w:p>
        </w:tc>
        <w:tc>
          <w:tcPr>
            <w:tcW w:w="2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Payment solutions</w:t>
            </w: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Marketing and Enterprise Solutions</w:t>
            </w:r>
          </w:p>
        </w:tc>
        <w:tc>
          <w:tcPr>
            <w:tcW w:w="4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0.0</w:t>
            </w: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8,102</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22.6</w:t>
            </w:r>
          </w:p>
        </w:tc>
        <w:tc>
          <w:tcPr>
            <w:tcW w:w="100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1,878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35,903</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9"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cost of revenue mainly consists of interests and premium costs paid to clients, the premium costs associated with managing the risks of the underlying assets of our structured products, and customer referral fees. To a lesser extent, our cost of revenue also consists of media cost in connection with marketing campaigns and direct service cost of enterprise solutions.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expenses, sales and marketing expenses, and general and administrative expenses.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operating expenses for the periods presented.</w:t>
      </w:r>
    </w:p>
    <w:p>
      <w:pPr>
        <w:spacing w:after="0" w:line="23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3529330</wp:posOffset>
            </wp:positionH>
            <wp:positionV relativeFrom="paragraph">
              <wp:posOffset>7620</wp:posOffset>
            </wp:positionV>
            <wp:extent cx="21342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ind w:left="5700" w:right="1020" w:hanging="5894"/>
        <w:spacing w:after="0"/>
        <w:tabs>
          <w:tab w:leader="none" w:pos="5680" w:val="left"/>
        </w:tabs>
        <w:rPr>
          <w:sz w:val="20"/>
          <w:szCs w:val="20"/>
          <w:color w:val="auto"/>
        </w:rPr>
      </w:pPr>
      <w:r>
        <w:rPr>
          <w:rFonts w:ascii="Times New Roman" w:cs="Times New Roman" w:eastAsia="Times New Roman" w:hAnsi="Times New Roman"/>
          <w:sz w:val="14"/>
          <w:szCs w:val="14"/>
          <w:b w:val="1"/>
          <w:bCs w:val="1"/>
          <w:color w:val="auto"/>
        </w:rPr>
        <w:t>(US$ in thousands, except %)</w:t>
      </w:r>
      <w:r>
        <w:rPr>
          <w:sz w:val="20"/>
          <w:szCs w:val="20"/>
          <w:color w:val="auto"/>
        </w:rPr>
        <w:tab/>
      </w: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14"/>
          <w:szCs w:val="14"/>
          <w:b w:val="1"/>
          <w:bCs w:val="1"/>
          <w:u w:val="single" w:color="auto"/>
          <w:color w:val="auto"/>
        </w:rPr>
        <w:t>% of revenue</w:t>
      </w:r>
      <w:r>
        <w:rPr>
          <w:rFonts w:ascii="Times New Roman" w:cs="Times New Roman" w:eastAsia="Times New Roman" w:hAnsi="Times New Roman"/>
          <w:sz w:val="14"/>
          <w:szCs w:val="14"/>
          <w:b w:val="1"/>
          <w:bCs w:val="1"/>
          <w:color w:val="auto"/>
        </w:rPr>
        <w:t xml:space="preserve"> 2025 </w:t>
      </w:r>
      <w:r>
        <w:rPr>
          <w:rFonts w:ascii="Times New Roman" w:cs="Times New Roman" w:eastAsia="Times New Roman" w:hAnsi="Times New Roman"/>
          <w:sz w:val="14"/>
          <w:szCs w:val="14"/>
          <w:b w:val="1"/>
          <w:bCs w:val="1"/>
          <w:u w:val="single" w:color="auto"/>
          <w:color w:val="auto"/>
        </w:rPr>
        <w:t>% of revenue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4617720</wp:posOffset>
            </wp:positionH>
            <wp:positionV relativeFrom="paragraph">
              <wp:posOffset>-10160</wp:posOffset>
            </wp:positionV>
            <wp:extent cx="4203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2037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wp:posOffset>
            </wp:positionH>
            <wp:positionV relativeFrom="paragraph">
              <wp:posOffset>-10160</wp:posOffset>
            </wp:positionV>
            <wp:extent cx="32575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34"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(158)</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9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(8,014)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(3,616)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(3,050)</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(162.3)</w:t>
            </w:r>
          </w:p>
        </w:tc>
        <w:tc>
          <w:tcPr>
            <w:tcW w:w="9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(14,302)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(3,213)</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(171.0)</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(25,932)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(72.2)</w:t>
            </w:r>
          </w:p>
        </w:tc>
      </w:tr>
    </w:tbl>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Our research and development expenses primarily consist of technology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software services expenses incurred in operating, maintaining, and enhancing our platform and in developing new products and services.</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Our sales and marketing expenses primarily consist of (i) salary and welfare expenses, and (ii)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branding, marketing and promotional costs.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Our general and administrative expenses primarily consist of personnel expenses,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 and other professional service fees.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Income, Net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finance income consists of interest income on cash and cash equivalents and loan receivables. Our finance costs consist of interest expense on bank borrowings, lease liabilities and related parties.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(Losses)/Gains, Net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other (losses)/gains, net consists of realized and unrealized fair value changes of digital assets, fair value changes on derivative contract, fair value gain on financial assets at fair value through profit or loss from US listed equity securities, dividend income from investment, government grants, and foreign currency exchange difference, net.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unaudited condensed consolidated statements of profit or loss for the periods indicated:</w:t>
      </w:r>
    </w:p>
    <w:p>
      <w:pPr>
        <w:spacing w:after="0" w:line="23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7620</wp:posOffset>
            </wp:positionV>
            <wp:extent cx="21945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ind w:left="5660" w:right="1000" w:hanging="5860"/>
        <w:spacing w:after="0"/>
        <w:tabs>
          <w:tab w:leader="none" w:pos="5640" w:val="left"/>
        </w:tabs>
        <w:rPr>
          <w:sz w:val="20"/>
          <w:szCs w:val="20"/>
          <w:color w:val="auto"/>
        </w:rPr>
      </w:pPr>
      <w:r>
        <w:rPr>
          <w:rFonts w:ascii="Times New Roman" w:cs="Times New Roman" w:eastAsia="Times New Roman" w:hAnsi="Times New Roman"/>
          <w:sz w:val="14"/>
          <w:szCs w:val="14"/>
          <w:b w:val="1"/>
          <w:bCs w:val="1"/>
          <w:color w:val="auto"/>
        </w:rPr>
        <w:t>(US$ in thousands)</w:t>
      </w:r>
      <w:r>
        <w:rPr>
          <w:sz w:val="20"/>
          <w:szCs w:val="20"/>
          <w:color w:val="auto"/>
        </w:rPr>
        <w:tab/>
      </w: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14"/>
          <w:szCs w:val="14"/>
          <w:b w:val="1"/>
          <w:bCs w:val="1"/>
          <w:u w:val="single" w:color="auto"/>
          <w:color w:val="auto"/>
        </w:rPr>
        <w:t>% of revenue</w:t>
      </w:r>
      <w:r>
        <w:rPr>
          <w:rFonts w:ascii="Times New Roman" w:cs="Times New Roman" w:eastAsia="Times New Roman" w:hAnsi="Times New Roman"/>
          <w:sz w:val="14"/>
          <w:szCs w:val="14"/>
          <w:b w:val="1"/>
          <w:bCs w:val="1"/>
          <w:color w:val="auto"/>
        </w:rPr>
        <w:t xml:space="preserve"> 2025 </w:t>
      </w:r>
      <w:r>
        <w:rPr>
          <w:rFonts w:ascii="Times New Roman" w:cs="Times New Roman" w:eastAsia="Times New Roman" w:hAnsi="Times New Roman"/>
          <w:sz w:val="14"/>
          <w:szCs w:val="14"/>
          <w:b w:val="1"/>
          <w:bCs w:val="1"/>
          <w:u w:val="single" w:color="auto"/>
          <w:color w:val="auto"/>
        </w:rPr>
        <w:t>% of revenue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4617720</wp:posOffset>
            </wp:positionH>
            <wp:positionV relativeFrom="paragraph">
              <wp:posOffset>-10160</wp:posOffset>
            </wp:positionV>
            <wp:extent cx="4203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2037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wp:posOffset>
            </wp:positionH>
            <wp:positionV relativeFrom="paragraph">
              <wp:posOffset>-10160</wp:posOffset>
            </wp:positionV>
            <wp:extent cx="32575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34"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1,878</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35,903</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16"/>
        </w:trPr>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(9,942)</w:t>
            </w: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09"/>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25,961</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72.3</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8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(14,302)</w:t>
            </w:r>
          </w:p>
        </w:tc>
        <w:tc>
          <w:tcPr>
            <w:tcW w:w="1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0"/>
        </w:trPr>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(3,213)</w:t>
            </w: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(171.0)</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(25,932)</w:t>
            </w: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(72.2)</w:t>
            </w: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(loss)/income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(2,463)</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 net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(losses)/gains, net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w:t>
            </w:r>
          </w:p>
        </w:tc>
        <w:tc>
          <w:tcPr>
            <w:tcW w:w="1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74"/>
        </w:trPr>
        <w:tc>
          <w:tcPr>
            <w:tcW w:w="448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(Loss)/profit before share of loss from an equity investee</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and income tax expense</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(10,341)</w:t>
            </w:r>
          </w:p>
        </w:tc>
        <w:tc>
          <w:tcPr>
            <w:tcW w:w="1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(550.6)</w:t>
            </w:r>
          </w:p>
        </w:tc>
        <w:tc>
          <w:tcPr>
            <w:tcW w:w="16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1,672</w:t>
            </w:r>
          </w:p>
        </w:tc>
        <w:tc>
          <w:tcPr>
            <w:tcW w:w="1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losses from an equity investee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(10,341)</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(550.6)</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1,644</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74"/>
        </w:trPr>
        <w:tc>
          <w:tcPr>
            <w:tcW w:w="448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(loss)/income attributable to Amber International</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(10,341)</w:t>
            </w: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(550.6)</w:t>
            </w:r>
          </w:p>
        </w:tc>
        <w:tc>
          <w:tcPr>
            <w:tcW w:w="1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1,672</w:t>
            </w:r>
          </w:p>
        </w:tc>
        <w:tc>
          <w:tcPr>
            <w:tcW w:w="1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0" w:type="dxa"/>
            <w:vAlign w:val="bottom"/>
          </w:tcPr>
          <w:p>
            <w:pPr>
              <w:spacing w:after="0"/>
              <w:rPr>
                <w:sz w:val="1"/>
                <w:szCs w:val="1"/>
                <w:color w:val="auto"/>
              </w:rPr>
            </w:pPr>
          </w:p>
        </w:tc>
      </w:tr>
      <w:tr>
        <w:trPr>
          <w:trHeight w:val="225"/>
        </w:trPr>
        <w:tc>
          <w:tcPr>
            <w:tcW w:w="4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Holding Limited’s ordinary shareholders</w:t>
            </w: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Merger, we entered into intercompany services agreements with certain wholly owned subsidiaries of Amber Group. These agreements would afford us with substantially the same economic benefits as the transactions contemplated under the merger agreement signed in connection with the Merger, pending certain regulatory approvals for DWM Asset Restructuring contemplated under the merger agreement. This includes our entitlement to 100% of the consolidated net income generated from certain contracts associated with WFTL (the “WFTL Assigned Contracts”) effective from January 1, 2025, and 100% consolidated net income of Sparrow Tech Private Limited effective from March 12, 2025. Therefore, our results for the first half of 2025 have included the net income from WFTL Assigned Contracts and Sparrow Tech Private Limited, which was not reflected in our results for the first half of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2025 Compared to Six Months Ended June 30,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revenue increased from US$1.9 million for the six months ended June 30, 2024 to US$35.9 million for the six months ended June 30, 2025, driven by continuous growth in client demand and interest on digital assets, along with the WFTL Assigned Contracts, our business expansion, and integration of revenue from Marketing and Enterprise Solutions following the Merger.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revenue from wealth management solutions increased from US$1.2 million for the six months ended June 30, 2024 to US$21.5 million for the six months ended June 30, 2025, contributed by increased client assets on our platform and stronger adoption of wealth management offerings, supported by the WFTL Assigned Contracts starting from 2025, as well as strong demand for our diverse investment products and services.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revenue from execution solutions increased from US$53 thousand for the six months ended June 30, 2024 to US$4.7 million for the six months ended June 30, 2025, mainly driven by revenue generated from the WFTL Assigned Contracts, coupled with higher average fee rate and spread in the mix of different trading in the six months ended June 30, 2025.</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revenue from payment solutions increased from US$0.6 million for the six months ended June 30, 2024 to US$1.7 million for the six months ended June 30, 2025, mainly contributed from the revenue generated from the WFTL Assigned Contracts.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revenue from marketing and enterprise solutions revenue was US$8.1 million, contributed by online marketing, SaaS products and services after the Merger.</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cost of revenue increased from US$1.1 million for the six months ended June 30, 2024 to US$9.9 million for the six months ended June 30, 2025, primarily driven by the WFTL Assigned Contracts, the growth in wealth management solutions business and cost of revenue from marketing and enterprise solutions.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Profit Margin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above, our gross profit was increasing from US$0.8 million for the six months ended June 30, 2024 to US$26.0 million for the six months ended June 30, 2025. Our gross profit margin was significantly improved from 39.9% to 72.3% during the same periods, which was primarily mainly contributed by the strong execution of WFTL Assigned Contracts, accelerated growth of Amber Premium business and higher margin iClick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total operating expenses increased from US$3.2 million for the six months ended June 30, 2024 to US$25.9 million for the six months ended June 30, 2025.</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increased from US$0.2 million for the six months ended June 30, 2024 to US$8.0 million for the six months ended June 30, 2025, primarily attributable to the increase of technology infrastructure expenses and software services expenses for business expansion.</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sales and marketing expenses increased from US$5 thousand for the six months ended June 30, 2024 to US$3.6 million for the six months ended June 30, 2025, primary because of the staff cost, and marketing and promotion expenses for business development during the period.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increased from US$3.1 million for the six months ended June 30, 2024 to US$14.3 million for the six months ended June 30, 2025, primarily related to personnel expenses for business expansion and development, and increase of legal, audit and other professional service fees after the Company going public.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 Net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finance income, net was US$38 thousand for the six months ended June 30, 2025, compared to finance income, net of US$52 thousand for the six months ended June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(Losses)/Gains, Net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other losses, net was US$7.9 million for the six months ended June 30, 2024, mainly represented changes in the prices of BTC and ETH borrowed from or repaid to related parties by us. Other gains, net was US$1.6 million for the six months ended June 30, 2025, primarily because the related party loan was waived prior to the Merger, and the fair value gain on financial assets at fair value through profit or loss from US listed equity securities, dividend income from investment, and government grants recorded during the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of losses from an equity investee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recorded share of losses from an equity investee of US$24 thousand for the six months ended June 30, 2025 as a result of net losses from our joint venture with VGI Global Media Plc in Thailand.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incurred income tax expense of US$4 thousand for the six months ended June 30, 2025 compared to nil for the six months ended June 30, 2024, because some of our operating subsidiaries have achieved profitability.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foregoing, we recorded net income of US$1.6 million for the six months ended June 30, 2025, as compared to net loss of US$10.3 million for the six months ended June 30, 2024.</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six months ended June 30, 2025, our principal sources of liquidity have been cash generated from our operating activities, advances from our ultimate holding company, Amber Group and related companies, and bank borrowings. As of June 30, 2025, we had US$22.7 million in cash and cash equivalents and primarily consisted of bank balances which are readily convertible to known amounts of cash and subject to insignificant risk of changes in value. We closely monitor our cash balance and future payments obligations by preparing monthly management account and regular fund reports to provide a timely overview of our overall cash position and liquidity and risk control measurements. Such reports will be reviewed by the management. In addition, we have adopted a stringent cash management policy. We also regularly monitor our current and expected liquidity requirements to ensure that we maintain sufficient cash balances to meet our liquidity needs.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and Working Capital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in thousands)</w:t>
            </w:r>
          </w:p>
        </w:tc>
        <w:tc>
          <w:tcPr>
            <w:tcW w:w="140" w:type="dxa"/>
            <w:vAlign w:val="bottom"/>
            <w:vMerge w:val="restart"/>
          </w:tcPr>
          <w:p>
            <w:pPr>
              <w:spacing w:after="0"/>
              <w:rPr>
                <w:sz w:val="15"/>
                <w:szCs w:val="15"/>
                <w:color w:val="auto"/>
              </w:rPr>
            </w:pPr>
          </w:p>
        </w:tc>
        <w:tc>
          <w:tcPr>
            <w:tcW w:w="21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562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98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3"/>
          </w:tcPr>
          <w:p>
            <w:pPr>
              <w:jc w:val="center"/>
              <w:ind w:left="595"/>
              <w:spacing w:after="0" w:line="142"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Consolidated Cash Flow Data:</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generated from financing activities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increase/(decrease) in cash and bank balances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bank balances at beginning of period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9,326</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bank balances from the merged business</w:t>
            </w:r>
          </w:p>
        </w:tc>
        <w:tc>
          <w:tcPr>
            <w:tcW w:w="14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18,249</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on exchange rate changes on bank balances</w:t>
            </w:r>
          </w:p>
        </w:tc>
        <w:tc>
          <w:tcPr>
            <w:tcW w:w="14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bank balances at end of period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25,827</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2025 of US$4.1 million was primarily related to net income before tax of US$1.6 million, partially offset by a net decrease in working capital of US$4.5 million and non-cash items of negative US$1.3 million. The net decrease in working capital was primarily attributable to the decrease in trade and other payables during the period. The non-cash items mainly consisted of net income settled in digital assets of US$2.1 million, fair value changes on derivative contract of US$1.3 million, and fair value gain on financial asset at fair value through profits or loss of US$0.9 million, partially offset by unrealized fair value changes on amount due to related parties denominated in digital assets of US$1.5 million, share based compensation of US$0.8 million and depreciation and amortization of US$0.6 million.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2024 of US$0.4 million was primarily related to our net loss of US$10.3 million, partially offset by non-cash items, which mainly consisted of unrealized fair value changes on digital assets of US$8.4 million and net income received in digital assets of US$1.6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2025 of US$0.3 million was primarily attributable to the investments of financial assets at fair value through profit or loss amounting to US$1.1 million and advances to related parties, net amounting to US$1.3 million, partially offset by US$2.1 million disposal of crypto assets held.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2024 of US$7.0 million, primarily attributable to the increase in pledged deposits of US$3.0 million and advances to related parties, net amounting to US$4.1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generated from financing activities for the six months ended June 30, 2025 of US$2.8 million was primarily attributable from repayment from related parties, net of US$2.5 million, and net proceeds from bank borrowings of US$0.7 million.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2024 of US$10.4 million consisted of repayment from related parties, net of US$7.4 million, and proceeds from issuance of preference shares of US$3.0 million.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May 2025, we entered into a facility agreement for working capital loans with a commercial bank, which provides for a one-year revolving loan of RMB5.0 million (US$0.7 million). The interest rate of this loan facility is LPR minus 0.05%. As of June 30, 2025, the total outstanding amount of this loan was RMB5.0 million (US$0.7 million).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May 2025, we entered into a facility agreement for working capital loans with a commercial bank, which provides for a one-year revolving loan of RMB5.0 million (US$0.7 million). The interest rate of this loan facility is 2.50%. As of June 30, 2025, the total outstanding amount of this loan was RMB5.0 million (US$0.7 million).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June 2025, we entered into facility agreements for working capital loans with a commercial bank, which provides for a total of one-year non-revolving loan of RMB9.0 million (US$1.3 million). The interest rate of this loan facility is LPR minus 0.20% to LPR minus 0.15%. As of June 30, 2025, the total outstanding amount of this loan was RMB9.0 million (US$1.3 million).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we have the following legacy credit facilities from iClick:</w:t>
      </w:r>
    </w:p>
    <w:p>
      <w:pPr>
        <w:spacing w:after="0" w:line="225" w:lineRule="exact"/>
        <w:rPr>
          <w:sz w:val="20"/>
          <w:szCs w:val="20"/>
          <w:color w:val="auto"/>
        </w:rPr>
      </w:pPr>
    </w:p>
    <w:p>
      <w:pPr>
        <w:jc w:val="both"/>
        <w:ind w:firstLine="656"/>
        <w:spacing w:after="0" w:line="256" w:lineRule="auto"/>
        <w:tabs>
          <w:tab w:leader="none" w:pos="86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2019, certain subsidiaries of iClick entered into a facility agreement with a commercial bank, which was amended in March 2024 to provide for a one-year factoring loans of HK$11.7 million (US$1.5 million). We provide corporate guarantee and accounts receivable as pledge to secure our obligations under this revolving loan. The interest rate of this loan facility was at 4.25% per annum over 1-month Hong Kong Interbank Offered Rate (“HIBOR”) for loan in HK$, 2.00% per annum over 1-month HIBOR for loan in RMB, or 4.32% over US$ reference rate. As of June 30, 2025, the total outstanding amount of the revolving loan was HK$8 thousand (US$1 thousand).</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92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2019, certain subsidiaries of iClick entered into a one-year facility agreement for working capital loans with a commercial bank, which was amended in March 2024 to provide for (a) US$7.5 million combined limit for pre-shipment buyer loan and post-shipment buyer loan, (b) US$0.5 million overdraft facilities. We provide corporate guarantee and bank deposits as pledge to secure our obligations under these loan facilities. For the pre-shipment buyer loan and post-shipment buyer loan, the interest rate is at either (a) HIBOR plus 3.85% per annum if the loan is drawn down in HK$, or (b) 3.95% over US$ reference rate per annum if the loan is drawn down in US$. For the overdraft facility, the interest rate is at the bank’s US$ best lending rate. We had no outstanding balance under these loan facilities as of June 30, 2025.</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2025, no financial covenants as set out in these loan agreements were breached.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interest rate for bank borrowings outstanding as of June 30, 2025 was 2.80% per annum.</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Other than those shown above, we did not have any significant capital and other commitments, long-term obligations, or guarantees as of June 30,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made capital expenditures of US$0.1 million in the six months ended June 30, 2025. We will continue to make capital expenditures to support our business growth.</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Requirements</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material cash requirements as of June 30, 2025 and any subsequent interim period primarily include our short-term debts, consisting of bank borrowings, and operating lease obligations, which primarily represent our obligations for leasing office premises.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and commitments as of June 30,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On demand or</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Within 2 to 5</w:t>
            </w:r>
          </w:p>
        </w:tc>
        <w:tc>
          <w:tcPr>
            <w:tcW w:w="0" w:type="dxa"/>
            <w:vAlign w:val="bottom"/>
          </w:tcPr>
          <w:p>
            <w:pPr>
              <w:spacing w:after="0"/>
              <w:rPr>
                <w:sz w:val="1"/>
                <w:szCs w:val="1"/>
                <w:color w:val="auto"/>
              </w:rPr>
            </w:pPr>
          </w:p>
        </w:tc>
      </w:tr>
      <w:tr>
        <w:trPr>
          <w:trHeight w:val="148"/>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in thousands)</w:t>
            </w:r>
          </w:p>
        </w:tc>
        <w:tc>
          <w:tcPr>
            <w:tcW w:w="880" w:type="dxa"/>
            <w:vAlign w:val="bottom"/>
            <w:gridSpan w:val="2"/>
            <w:vMerge w:val="continue"/>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6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260" w:type="dxa"/>
            <w:vAlign w:val="bottom"/>
            <w:gridSpan w:val="2"/>
            <w:vMerge w:val="continue"/>
          </w:tcPr>
          <w:p>
            <w:pPr>
              <w:spacing w:after="0"/>
              <w:rPr>
                <w:sz w:val="15"/>
                <w:szCs w:val="15"/>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within 1 year</w:t>
            </w:r>
          </w:p>
        </w:tc>
        <w:tc>
          <w:tcPr>
            <w:tcW w:w="8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09"/>
        </w:trPr>
        <w:tc>
          <w:tcPr>
            <w:tcW w:w="6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debts</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47" w:name="page48"/>
    <w:bookmarkEnd w:id="4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activities expose us to a variety of financial risks from our operation. The key financial risks include credit risk, liquidity risk and market risk (including foreign currency risk, digital asset price risk, risks associated with the storage and protection of digital assets and investment risk related to trading of digital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Foreign currency risk arises from cash flows from transactions denominated in foreign currencies. We have transactional currency exposures arising from sales or purchases that are denominated in a currency other than the functional currency, primarily Singapore Dollar (“SGD”). If the U.S. dollar appreciates against the SGD by 5%, our profit would increase by approximately US$2,000 in the six months ended June 30, 2025. We do not have any formal policy for hedging against currency risk. The value of the SGD against the U.S. dollar and other currencies may fluctuate and is affected by, among other things, changes in economic conditions in Singapore and U.S. and by Singapore’s foreign exchange policies.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extent that we need to convert U.S. dollars into SGD for our operations, appreciation of SGD against the U.S. dollar would reduce the SGD amount we receive from the conversion. Conversely, if we decide to convert SGD into U.S. dollars for the purpose of making payments for dividends on our ordinary shares or ADSs, servicing our outstanding debts, or for other business purposes, appreciation of the U.S. dollar against the SGD would reduce the U.S. dollar amounts available to us.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Certain of our operating activities are transacted in Hong Kong dollars. We consider the foreign exchange risk in relation to transactions denominated in Hong Kong dollars with respect to U.S. dollars is not significant as HK dollar is pegged to U.S. dollar.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Assets Price Risk</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Crypto asset risk is the risk that future profit and financial position will fluctuate because of changes in the price of crypto assets. Digital assets that we deal with in our trading activities are digital assets such as BTC and ETH which can be traded in a number of public exchanges.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exposure to price risk arise from digital assets and digital assets payables which are both measured on a fair value basis. In particular, our operating result may depend upon the market price of BTC and ETH, as well as other digital assets. If the price of BTC and ETH rise by 30%, our profit would increase by approximately US$3,000 and US$36,000 in the six months ended June 30, 2025, respectively. Digital asset prices have fluctuated significantly from time to time. There is no assurance that digital asset prices will reflect historical trends.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price risk of digital assets arising from trading of digital assets business is partially offset by remeasurement of digital assets payables representing the obligations to deliver digital assets held by us in the customers’ accounts to the customers under the respective trading arrangements with us.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Associated with Storage and Protection of Digital Assets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primarily store our digital assets with cryptocurrency custodians to facilitate customers deposits and withdrawals. Due to the lack of an insurance policy for our digital assets, any disruptions or closures of cryptocurrency custodians, as well as potential cyber-attacks or thefts, could result in substantial losses for us.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Risk Related to Trading of Digital Assets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follow a fully hedged strategy for structured products. Each user-facing structured product is quoted by a related party and a spread is added before it is quoted to clients. Therefore, there is no exposure to structured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relates to our consolidated financial statements, which have been prepared in accordance with the International Financial Reporting Standards (“IFRS”) issued by the International Accounting Standards Board. The preparation of these financial statements requires us to make estimates and judgments that affect the reported amounts of assets, liabilities, revenues, costs and expenses, and related disclosures. On an on-going basis, we evaluate our estimates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8" w:name="page49"/>
    <w:bookmarkEnd w:id="4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Changes in estimates used in these and other items could have a material impact on our financial statements.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 detailed discussion of our significant accounting policies and related judgments, see “Notes to the Consolidated Financial Statements – Note 2. Summary of significant accounting policies” contained in our Transition Report.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accounting estimates relate to the significant areas involving management’s judgments and estimates in the preparation of our financial statements, and are those that management believes are the most critical to aid the understanding and evaluation of this management discussion and analysis: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Derivative financial instruments are measured at fair value at initial recognition and designated to be measured subsequently at fair value through profit or loss. We had applied Black-Scholes model to estimate the fair value of the derivative financial instrument. The key inputs contributing to the estimation uncertainty include annualized volatility and risk-free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test goodwill for impairment at least on an annual basis. Determining whether goodwill is impaired requires an estimation of the value-in-use of the cash-generating units (“CGU”) to which goodwill has been allocated. The value-in-use calculation requires the entity to estimate the future cash flows expected to arise from the CGU and a suitable discount rate in order to calculate present value. No impairment loss was recognized during the six months ended June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non-financial assets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assess at each reporting date whether there is an indication that an asset may be impaired. When a triggering event occurs, a test for recoverability is performed, comparing projected undiscounted future cash flows to the carrying value of the asset group. If the test for recoverability identifies a possible impairment, the asset group’s fair value is measured relying primarily on a discounted cash flow method. Judgment is used in estimating future cashflows, determining appropriate discount rates and making other assumptions. Changes in these estimates and assumptions could materially affect the determination of the asset group’s fair value. An impairment loss is recognized for the amount by which the asset group’s carrying amount exceeds its recoverable amount. Non-financial assets other than goodwill that suffered an impairment are reviewed for possible reversal of the impairment at the end of each reporting period. When an impairment loss is recognized for the asset group to be held and used, the adjusted carrying amounts of those asset groups are depreciated over their remaining useful life. No impairment loss was recognized during the six months ended June 30, 2025.</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Amber International Holding Limited Reports Second Quarter 2025 Unaudited Financial Results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 Record-quarter with historical high revenue and gross profit, led by significant growth in Wealth Management Solutions -</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Singapore, September 10, 2025 </w:t>
      </w:r>
      <w:r>
        <w:rPr>
          <w:rFonts w:ascii="Times New Roman" w:cs="Times New Roman" w:eastAsia="Times New Roman" w:hAnsi="Times New Roman"/>
          <w:sz w:val="18"/>
          <w:szCs w:val="18"/>
          <w:color w:val="auto"/>
        </w:rPr>
        <w:t>– Amber International Holding Limited (Nasdaq: AMBR) (“Amber International”, “we,” “us,”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 leading provider of institutional crypto financial services and solutions operating under the brand name “Amber Premium,” today announced unaudited financial results for the second quarter ended June 30, 2025.</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Michael Wu, Chairman of the Board and CEO of Amber International, commented, </w:t>
      </w:r>
      <w:r>
        <w:rPr>
          <w:rFonts w:ascii="Times New Roman" w:cs="Times New Roman" w:eastAsia="Times New Roman" w:hAnsi="Times New Roman"/>
          <w:sz w:val="18"/>
          <w:szCs w:val="18"/>
          <w:color w:val="auto"/>
        </w:rPr>
        <w:t>“We delivered solid overall performance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second quarter of 2025 with total revenue reaching US$21.0 million, driven by robust growth in wealth management business achieving a record revenue at US$11.5 million, reflecting the success of our institutional-first strategy and demonstrate the scalability of our digital wealth management platform. Our leadership team has not only strengthened our foundation but has positioned us for accelerated, long-term growth as a leading digital wealth management platform in Asia.</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technology-driven vision is a defining pillar of our strategy. By integrating our crypto-native infrastructure and advanced AI technologies, we are elevating personalization, efficiency, and scalability across all aspects of our business. Looking ahead, we are well-positioned to serve as a gateway for institutional digital asset adoption, broadening our RWA and AgentFi offerings, in collaboration with partners where appropriate, with the goal of delivering meaningful and long-term value for our clients, partners, and shareholders.”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Vicky Wang, President of Amber International, added, </w:t>
      </w:r>
      <w:r>
        <w:rPr>
          <w:rFonts w:ascii="Times New Roman" w:cs="Times New Roman" w:eastAsia="Times New Roman" w:hAnsi="Times New Roman"/>
          <w:sz w:val="18"/>
          <w:szCs w:val="18"/>
          <w:color w:val="auto"/>
        </w:rPr>
        <w:t>“Amber Premium has solidified its position as Asia’s trusted partner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sophisticated clients, serving a core segment of high-net-worth, ultra-high-net-worth individuals, and institutions where we’re seeing very strong momentum. Our unique ability to solve complex institutional challenges through a one-stop-shop offering and a private-banking-like experience is a key differentiator and direct driver of our performance. This is evidenced by a 14% quarter-over-quarter growth in new client onboarding in the second quarter of 2025 and a 20% quarter-over-quarter growth in client assets as of June 30, 2025. The premium nature of our model is further underscored by our solid gross profit, reflecting both the value we deliver to clients and the scalability of our platform. By focusing on the right client segment and building the right infrastructure, we’ve positioned ourselves to benefit from this fast-growing trend, giving us both strength today and confidence for tomorrow.”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and First Half 2025 Highlights</w:t>
      </w:r>
    </w:p>
    <w:p>
      <w:pPr>
        <w:spacing w:after="0" w:line="225" w:lineRule="exact"/>
        <w:rPr>
          <w:sz w:val="20"/>
          <w:szCs w:val="20"/>
          <w:color w:val="auto"/>
        </w:rPr>
      </w:pPr>
    </w:p>
    <w:p>
      <w:pPr>
        <w:jc w:val="both"/>
        <w:ind w:left="980" w:hanging="324"/>
        <w:spacing w:after="0" w:line="268"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Total Revenue</w:t>
      </w:r>
      <w:r>
        <w:rPr>
          <w:rFonts w:ascii="Times New Roman" w:cs="Times New Roman" w:eastAsia="Times New Roman" w:hAnsi="Times New Roman"/>
          <w:sz w:val="18"/>
          <w:szCs w:val="18"/>
          <w:color w:val="auto"/>
        </w:rPr>
        <w:t>: Reached US$21.0 million in the second quarter of 2025, mainly contributed by WFTL Assigned Contracts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robust growth in wealth management solutions and integration of revenue from Marketing and Enterprise Solutions following the Merger. It reached US$35.9 million in the first half of 2025.</w:t>
      </w:r>
    </w:p>
    <w:p>
      <w:pPr>
        <w:spacing w:after="0" w:line="170" w:lineRule="exact"/>
        <w:rPr>
          <w:rFonts w:ascii="Times New Roman" w:cs="Times New Roman" w:eastAsia="Times New Roman" w:hAnsi="Times New Roman"/>
          <w:sz w:val="18"/>
          <w:szCs w:val="18"/>
          <w:color w:val="auto"/>
        </w:rPr>
      </w:pPr>
    </w:p>
    <w:p>
      <w:pPr>
        <w:ind w:left="980" w:right="20" w:hanging="324"/>
        <w:spacing w:after="0" w:line="286"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Wealth Management Solutions Revenue: </w:t>
      </w:r>
      <w:r>
        <w:rPr>
          <w:rFonts w:ascii="Times New Roman" w:cs="Times New Roman" w:eastAsia="Times New Roman" w:hAnsi="Times New Roman"/>
          <w:sz w:val="18"/>
          <w:szCs w:val="18"/>
          <w:color w:val="auto"/>
        </w:rPr>
        <w:t>Reached US$11.5 million in the second quarter of 2025, achieving multi-fold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It reached US$21.5 million in the first half of 2025.</w:t>
      </w:r>
    </w:p>
    <w:p>
      <w:pPr>
        <w:spacing w:after="0" w:line="1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18"/>
          <w:szCs w:val="18"/>
          <w:color w:val="auto"/>
        </w:rPr>
        <w:t>: Surged to US$15.0 million in the second quarter of 2025, and US$26.0 million in the first half 2025.</w:t>
      </w:r>
    </w:p>
    <w:p>
      <w:pPr>
        <w:spacing w:after="0" w:line="225"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US$0.2 million in the second quarter of 2025, versus a US$1.0 million loss in the same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It was US$1.8 million in the first half 2025, versus a US$1.8 million loss in the same period last year.</w:t>
      </w:r>
    </w:p>
    <w:p>
      <w:pPr>
        <w:spacing w:after="0" w:line="1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Client Assets on Platform</w:t>
      </w:r>
      <w:r>
        <w:rPr>
          <w:rFonts w:ascii="Times New Roman" w:cs="Times New Roman" w:eastAsia="Times New Roman" w:hAnsi="Times New Roman"/>
          <w:sz w:val="26"/>
          <w:szCs w:val="26"/>
          <w:b w:val="1"/>
          <w:bCs w:val="1"/>
          <w:color w:val="auto"/>
          <w:vertAlign w:val="superscript"/>
        </w:rPr>
        <w:t>1</w:t>
      </w:r>
      <w:r>
        <w:rPr>
          <w:rFonts w:ascii="Times New Roman" w:cs="Times New Roman" w:eastAsia="Times New Roman" w:hAnsi="Times New Roman"/>
          <w:sz w:val="18"/>
          <w:szCs w:val="18"/>
          <w:color w:val="auto"/>
        </w:rPr>
        <w:t>: Increased to US$1,535.3 million as of June 30, 2025, up 35.7% from June 30, 2024.</w:t>
      </w:r>
    </w:p>
    <w:p>
      <w:pPr>
        <w:spacing w:after="0" w:line="13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Cumulative KYC’ed Users</w:t>
      </w:r>
      <w:r>
        <w:rPr>
          <w:rFonts w:ascii="Times New Roman" w:cs="Times New Roman" w:eastAsia="Times New Roman" w:hAnsi="Times New Roman"/>
          <w:sz w:val="26"/>
          <w:szCs w:val="26"/>
          <w:b w:val="1"/>
          <w:bCs w:val="1"/>
          <w:color w:val="auto"/>
          <w:vertAlign w:val="superscript"/>
        </w:rPr>
        <w:t>2</w:t>
      </w:r>
      <w:r>
        <w:rPr>
          <w:rFonts w:ascii="Times New Roman" w:cs="Times New Roman" w:eastAsia="Times New Roman" w:hAnsi="Times New Roman"/>
          <w:sz w:val="18"/>
          <w:szCs w:val="18"/>
          <w:color w:val="auto"/>
        </w:rPr>
        <w:t>: Reached 4,911 as of June 30, 2025, up 20.8% from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167005</wp:posOffset>
            </wp:positionV>
            <wp:extent cx="15684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329" w:lineRule="exact"/>
        <w:rPr>
          <w:sz w:val="20"/>
          <w:szCs w:val="20"/>
          <w:color w:val="auto"/>
        </w:rPr>
      </w:pPr>
    </w:p>
    <w:p>
      <w:pPr>
        <w:ind w:left="120" w:hanging="112"/>
        <w:spacing w:after="0"/>
        <w:tabs>
          <w:tab w:leader="none" w:pos="120" w:val="left"/>
        </w:tabs>
        <w:numPr>
          <w:ilvl w:val="0"/>
          <w:numId w:val="4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Client Assets on Platform is defined as the total U.S. dollar equivalent value of client assets as of a specific date.</w:t>
      </w:r>
    </w:p>
    <w:p>
      <w:pPr>
        <w:spacing w:after="0" w:line="4" w:lineRule="exact"/>
        <w:rPr>
          <w:sz w:val="20"/>
          <w:szCs w:val="20"/>
          <w:color w:val="auto"/>
        </w:rPr>
      </w:pPr>
    </w:p>
    <w:p>
      <w:pPr>
        <w:ind w:left="120" w:hanging="112"/>
        <w:spacing w:after="0"/>
        <w:tabs>
          <w:tab w:leader="none" w:pos="120" w:val="left"/>
        </w:tabs>
        <w:numPr>
          <w:ilvl w:val="0"/>
          <w:numId w:val="4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Cumulative KYC’ed Users is defined as the total number of clients that completed the Company’s Know Your Customer identity verification as of a specific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476250</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Business Developments and Strategic Updates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second quarter of 2025, Amber International demonstrated strong growth in overall performance, reaffirming its position as Asia’s leading digital wealth management platform serving high-net-worth, ultra-high-net-worth, family offices, and institutional clients.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 for the quarter reached US$21.0 million, with gross profit rising to US$15.0 million, driven primarily by robust expansion in wealth management solutions powered by continuous product innovation and end-to-end solutions. Our client base expanded significantly, with a 20.8% increase in cumulative KYC’ed users and a 35.7% growth in overall client assets compared to the second quarter of 2024, reinforcing deep client trust and engagement Amber Premium commands within Asia’s elite investor community.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Strategically, Amber International is advancing several core initiatives to drive sustainable, long-term growth:</w:t>
      </w:r>
    </w:p>
    <w:p>
      <w:pPr>
        <w:spacing w:after="0" w:line="221"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AMBR Tokenization &amp; On-Chain Exposure:</w:t>
      </w:r>
    </w:p>
    <w:p>
      <w:pPr>
        <w:spacing w:after="0" w:line="22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Amber Premium is the first Asia-based public company whose stock is made available onchain via xStocks, enabling 24/7 global access and trading of tokenized AMBR shares alongside major global stocks, bridging traditional finance with DeFi and highlighting Amber’s leadership in crypto-native digital asset innovation.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Innovative Financial Products &amp; Seamless Platform Evolution:</w:t>
      </w:r>
    </w:p>
    <w:p>
      <w:pPr>
        <w:spacing w:after="0" w:line="22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the delivery of comprehensive structured product suites, enabling clients to optimize yield and manage risk exposure across market cycles. Concurrently, we are evolving a frictionless, AI-embedded platform to enhance client onboarding, product selection, and portfolio monitoring, catering to sophisticated clients and investors.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RWA Initiatives:</w:t>
      </w:r>
    </w:p>
    <w:p>
      <w:pPr>
        <w:spacing w:after="0" w:line="229"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end-to-end solution brings together advisory, custody, and liquidity, positioning Amber Premium at the forefront of bridging traditional finance and DeFi. Building on the success of our stablecoin infrastructure, we are exploring opportunities to expand into tokenization of real-world assets. Over time, we aim to broaden the range of tokenized products, working alongside ecosystem partners where appropriate, to deliver a more unified portfolio experience for clients.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Crypto and AI Integration:</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Leveraging cutting-edge AI technologies and intelligent agents like MIA across marketing, social engagement, and client support functions in assisting client acquisition and service quality, enabling our businesses and operations to scale efficiently and more consistently.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2025 Financial Results Summary</w:t>
      </w:r>
    </w:p>
    <w:p>
      <w:pPr>
        <w:spacing w:after="0" w:line="229"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8"/>
          <w:szCs w:val="18"/>
          <w:color w:val="auto"/>
        </w:rPr>
        <w:t>On March 12, 2025, iClick Interactive Asia Group Limited (“iClick”) completed its previously announced Merger with Amber DWM Holding Limited (“Amber DWM”)</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The Merger is accounted for as a reverse acquisition for accounting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78105</wp:posOffset>
            </wp:positionV>
            <wp:extent cx="15684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75" w:lineRule="exact"/>
        <w:rPr>
          <w:sz w:val="20"/>
          <w:szCs w:val="20"/>
          <w:color w:val="auto"/>
        </w:rPr>
      </w:pPr>
    </w:p>
    <w:p>
      <w:pPr>
        <w:jc w:val="both"/>
        <w:ind w:left="120" w:hanging="112"/>
        <w:spacing w:after="0"/>
        <w:tabs>
          <w:tab w:leader="none" w:pos="120" w:val="left"/>
        </w:tabs>
        <w:numPr>
          <w:ilvl w:val="0"/>
          <w:numId w:val="5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 connection with the Merger, we entered into intercompany services agreements with certain wholly owned subsidiaries of our parent, Amber Group Limited. These agreements would afford us with substantially the same economic benefits as the transactions contemplated under the merger agreement signed in connection with the Merger, pending certain regulatory approvals for DWM Asset Restructuring contemplated under the merger agreement. This includes our entitlement to 100% of the consolidated net income generated from certain contracts associated with WhaleFin Technologies Limited (“WFTL”) (the “WFTL Assigned Contracts”) effective from January 1, 2025, and 100% consolidated net income of Sparrow Tech Private Limited (“Sparrow”) effective from March 12, 2025. Therefore, our results for the second quarter and the first half of 2025 have included the net income from WFTL Assigned Contracts and Sparrow, which was not reflected in our results for the corresponding periods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541020</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1" w:name="page52"/>
    <w:bookmarkEnd w:id="51"/>
    <w:p>
      <w:pPr>
        <w:spacing w:after="0" w:line="282" w:lineRule="auto"/>
        <w:rPr>
          <w:sz w:val="20"/>
          <w:szCs w:val="20"/>
          <w:color w:val="auto"/>
        </w:rPr>
      </w:pPr>
      <w:r>
        <w:rPr>
          <w:rFonts w:ascii="Times New Roman" w:cs="Times New Roman" w:eastAsia="Times New Roman" w:hAnsi="Times New Roman"/>
          <w:sz w:val="18"/>
          <w:szCs w:val="18"/>
          <w:color w:val="auto"/>
        </w:rPr>
        <w:t>Accordingly, the Merger is treated as the equivalent of Amber DWM issuing shares for the acquisition of iClick, accompanied by a recapitalization. The financial results of iClick have been included in the consolidated financial results since March 12,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key financial metrics of the Company for the periods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2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2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534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in thousands, except per share data; unaudited)</w:t>
            </w:r>
          </w:p>
        </w:tc>
        <w:tc>
          <w:tcPr>
            <w:tcW w:w="132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0"/>
                <w:szCs w:val="10"/>
                <w:color w:val="auto"/>
              </w:rPr>
            </w:pPr>
          </w:p>
        </w:tc>
        <w:tc>
          <w:tcPr>
            <w:tcW w:w="1420" w:type="dxa"/>
            <w:vAlign w:val="bottom"/>
            <w:gridSpan w:val="2"/>
            <w:vMerge w:val="restart"/>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Borders>
              <w:right w:val="single" w:sz="8" w:color="auto"/>
            </w:tcBorders>
          </w:tcPr>
          <w:p>
            <w:pPr>
              <w:jc w:val="right"/>
              <w:ind w:right="293"/>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173"/>
        </w:trPr>
        <w:tc>
          <w:tcPr>
            <w:tcW w:w="5340" w:type="dxa"/>
            <w:vAlign w:val="bottom"/>
            <w:tcBorders>
              <w:right w:val="single" w:sz="8" w:color="auto"/>
            </w:tcBorders>
            <w:gridSpan w:val="2"/>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Borders>
              <w:right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5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Metrics:</w:t>
            </w:r>
          </w:p>
        </w:tc>
        <w:tc>
          <w:tcPr>
            <w:tcW w:w="300" w:type="dxa"/>
            <w:vAlign w:val="bottom"/>
            <w:tcBorders>
              <w:top w:val="single" w:sz="8" w:color="CCEEFF"/>
              <w:right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Borders>
              <w:right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Wealth Management Solutions</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11,544</w:t>
            </w:r>
          </w:p>
        </w:tc>
        <w:tc>
          <w:tcPr>
            <w:tcW w:w="18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i w:val="1"/>
                <w:iCs w:val="1"/>
                <w:color w:val="auto"/>
              </w:rPr>
              <w:t>610</w:t>
            </w:r>
          </w:p>
        </w:tc>
        <w:tc>
          <w:tcPr>
            <w:tcW w:w="200" w:type="dxa"/>
            <w:vAlign w:val="bottom"/>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1,792.5%</w:t>
            </w:r>
          </w:p>
        </w:tc>
        <w:tc>
          <w:tcPr>
            <w:tcW w:w="0" w:type="dxa"/>
            <w:vAlign w:val="bottom"/>
          </w:tcPr>
          <w:p>
            <w:pPr>
              <w:spacing w:after="0"/>
              <w:rPr>
                <w:sz w:val="1"/>
                <w:szCs w:val="1"/>
                <w:color w:val="auto"/>
              </w:rPr>
            </w:pPr>
          </w:p>
        </w:tc>
      </w:tr>
      <w:tr>
        <w:trPr>
          <w:trHeight w:val="216"/>
        </w:trPr>
        <w:tc>
          <w:tcPr>
            <w:tcW w:w="534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Execution Solutions</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2,010</w:t>
            </w:r>
          </w:p>
        </w:tc>
        <w:tc>
          <w:tcPr>
            <w:tcW w:w="18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i w:val="1"/>
                <w:iCs w:val="1"/>
                <w:color w:val="auto"/>
              </w:rPr>
              <w:t>24</w:t>
            </w:r>
          </w:p>
        </w:tc>
        <w:tc>
          <w:tcPr>
            <w:tcW w:w="200" w:type="dxa"/>
            <w:vAlign w:val="bottom"/>
          </w:tcPr>
          <w:p>
            <w:pPr>
              <w:spacing w:after="0"/>
              <w:rPr>
                <w:sz w:val="18"/>
                <w:szCs w:val="18"/>
                <w:color w:val="auto"/>
              </w:rPr>
            </w:pP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8,275.0%</w:t>
            </w:r>
          </w:p>
        </w:tc>
        <w:tc>
          <w:tcPr>
            <w:tcW w:w="0" w:type="dxa"/>
            <w:vAlign w:val="bottom"/>
          </w:tcPr>
          <w:p>
            <w:pPr>
              <w:spacing w:after="0"/>
              <w:rPr>
                <w:sz w:val="1"/>
                <w:szCs w:val="1"/>
                <w:color w:val="auto"/>
              </w:rPr>
            </w:pPr>
          </w:p>
        </w:tc>
      </w:tr>
      <w:tr>
        <w:trPr>
          <w:trHeight w:val="216"/>
        </w:trPr>
        <w:tc>
          <w:tcPr>
            <w:tcW w:w="5340" w:type="dxa"/>
            <w:vAlign w:val="bottom"/>
            <w:tcBorders>
              <w:right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Payment Solutions</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858</w:t>
            </w:r>
          </w:p>
        </w:tc>
        <w:tc>
          <w:tcPr>
            <w:tcW w:w="18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i w:val="1"/>
                <w:iCs w:val="1"/>
                <w:color w:val="auto"/>
              </w:rPr>
              <w:t>233</w:t>
            </w:r>
          </w:p>
        </w:tc>
        <w:tc>
          <w:tcPr>
            <w:tcW w:w="200" w:type="dxa"/>
            <w:vAlign w:val="bottom"/>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268.2%</w:t>
            </w:r>
          </w:p>
        </w:tc>
        <w:tc>
          <w:tcPr>
            <w:tcW w:w="0" w:type="dxa"/>
            <w:vAlign w:val="bottom"/>
          </w:tcPr>
          <w:p>
            <w:pPr>
              <w:spacing w:after="0"/>
              <w:rPr>
                <w:sz w:val="1"/>
                <w:szCs w:val="1"/>
                <w:color w:val="auto"/>
              </w:rPr>
            </w:pPr>
          </w:p>
        </w:tc>
      </w:tr>
      <w:tr>
        <w:trPr>
          <w:trHeight w:val="216"/>
        </w:trPr>
        <w:tc>
          <w:tcPr>
            <w:tcW w:w="5340" w:type="dxa"/>
            <w:vAlign w:val="bottom"/>
            <w:tcBorders>
              <w:right w:val="single" w:sz="8" w:color="auto"/>
            </w:tcBorders>
            <w:gridSpan w:val="2"/>
          </w:tcPr>
          <w:p>
            <w:pPr>
              <w:ind w:left="160"/>
              <w:spacing w:after="0" w:line="216" w:lineRule="exact"/>
              <w:rPr>
                <w:sz w:val="20"/>
                <w:szCs w:val="20"/>
                <w:color w:val="auto"/>
              </w:rPr>
            </w:pPr>
            <w:r>
              <w:rPr>
                <w:rFonts w:ascii="Times New Roman" w:cs="Times New Roman" w:eastAsia="Times New Roman" w:hAnsi="Times New Roman"/>
                <w:sz w:val="17"/>
                <w:szCs w:val="17"/>
                <w:color w:val="auto"/>
              </w:rPr>
              <w:t>Sub-total of Amber Premium Business</w:t>
            </w:r>
            <w:r>
              <w:rPr>
                <w:rFonts w:ascii="Times New Roman" w:cs="Times New Roman" w:eastAsia="Times New Roman" w:hAnsi="Times New Roman"/>
                <w:sz w:val="25"/>
                <w:szCs w:val="25"/>
                <w:color w:val="auto"/>
                <w:vertAlign w:val="superscript"/>
              </w:rPr>
              <w:t>4</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14,412</w:t>
            </w:r>
          </w:p>
        </w:tc>
        <w:tc>
          <w:tcPr>
            <w:tcW w:w="18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867</w:t>
            </w:r>
          </w:p>
        </w:tc>
        <w:tc>
          <w:tcPr>
            <w:tcW w:w="200" w:type="dxa"/>
            <w:vAlign w:val="bottom"/>
          </w:tcPr>
          <w:p>
            <w:pPr>
              <w:spacing w:after="0"/>
              <w:rPr>
                <w:sz w:val="18"/>
                <w:szCs w:val="18"/>
                <w:color w:val="auto"/>
              </w:rPr>
            </w:pP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1,562.3%</w:t>
            </w:r>
          </w:p>
        </w:tc>
        <w:tc>
          <w:tcPr>
            <w:tcW w:w="0" w:type="dxa"/>
            <w:vAlign w:val="bottom"/>
          </w:tcPr>
          <w:p>
            <w:pPr>
              <w:spacing w:after="0"/>
              <w:rPr>
                <w:sz w:val="1"/>
                <w:szCs w:val="1"/>
                <w:color w:val="auto"/>
              </w:rPr>
            </w:pPr>
          </w:p>
        </w:tc>
      </w:tr>
      <w:tr>
        <w:trPr>
          <w:trHeight w:val="216"/>
        </w:trPr>
        <w:tc>
          <w:tcPr>
            <w:tcW w:w="5340" w:type="dxa"/>
            <w:vAlign w:val="bottom"/>
            <w:tcBorders>
              <w:right w:val="single" w:sz="8" w:color="auto"/>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Marketing and Enterprise Solutions</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6,551</w:t>
            </w:r>
          </w:p>
        </w:tc>
        <w:tc>
          <w:tcPr>
            <w:tcW w:w="20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i w:val="1"/>
                <w:iCs w:val="1"/>
                <w:color w:val="auto"/>
              </w:rPr>
              <w:t>—</w:t>
            </w:r>
          </w:p>
        </w:tc>
        <w:tc>
          <w:tcPr>
            <w:tcW w:w="12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16"/>
        </w:trPr>
        <w:tc>
          <w:tcPr>
            <w:tcW w:w="53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20,963</w:t>
            </w:r>
          </w:p>
        </w:tc>
        <w:tc>
          <w:tcPr>
            <w:tcW w:w="18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867</w:t>
            </w:r>
          </w:p>
        </w:tc>
        <w:tc>
          <w:tcPr>
            <w:tcW w:w="200" w:type="dxa"/>
            <w:vAlign w:val="bottom"/>
          </w:tcPr>
          <w:p>
            <w:pPr>
              <w:spacing w:after="0"/>
              <w:rPr>
                <w:sz w:val="18"/>
                <w:szCs w:val="18"/>
                <w:color w:val="auto"/>
              </w:rPr>
            </w:pP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2,317.9%</w:t>
            </w:r>
          </w:p>
        </w:tc>
        <w:tc>
          <w:tcPr>
            <w:tcW w:w="0" w:type="dxa"/>
            <w:vAlign w:val="bottom"/>
          </w:tcPr>
          <w:p>
            <w:pPr>
              <w:spacing w:after="0"/>
              <w:rPr>
                <w:sz w:val="1"/>
                <w:szCs w:val="1"/>
                <w:color w:val="auto"/>
              </w:rPr>
            </w:pPr>
          </w:p>
        </w:tc>
      </w:tr>
      <w:tr>
        <w:trPr>
          <w:trHeight w:val="216"/>
        </w:trPr>
        <w:tc>
          <w:tcPr>
            <w:tcW w:w="5340" w:type="dxa"/>
            <w:vAlign w:val="bottom"/>
            <w:tcBorders>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14,956</w:t>
            </w:r>
          </w:p>
        </w:tc>
        <w:tc>
          <w:tcPr>
            <w:tcW w:w="18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286</w:t>
            </w:r>
          </w:p>
        </w:tc>
        <w:tc>
          <w:tcPr>
            <w:tcW w:w="200" w:type="dxa"/>
            <w:vAlign w:val="bottom"/>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5,129.4%</w:t>
            </w:r>
          </w:p>
        </w:tc>
        <w:tc>
          <w:tcPr>
            <w:tcW w:w="0" w:type="dxa"/>
            <w:vAlign w:val="bottom"/>
          </w:tcPr>
          <w:p>
            <w:pPr>
              <w:spacing w:after="0"/>
              <w:rPr>
                <w:sz w:val="1"/>
                <w:szCs w:val="1"/>
                <w:color w:val="auto"/>
              </w:rPr>
            </w:pPr>
          </w:p>
        </w:tc>
      </w:tr>
      <w:tr>
        <w:trPr>
          <w:trHeight w:val="216"/>
        </w:trPr>
        <w:tc>
          <w:tcPr>
            <w:tcW w:w="53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(798)</w:t>
            </w:r>
          </w:p>
        </w:tc>
        <w:tc>
          <w:tcPr>
            <w:tcW w:w="18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(1,570)</w:t>
            </w:r>
          </w:p>
        </w:tc>
        <w:tc>
          <w:tcPr>
            <w:tcW w:w="200" w:type="dxa"/>
            <w:vAlign w:val="bottom"/>
          </w:tcPr>
          <w:p>
            <w:pPr>
              <w:spacing w:after="0"/>
              <w:rPr>
                <w:sz w:val="18"/>
                <w:szCs w:val="18"/>
                <w:color w:val="auto"/>
              </w:rPr>
            </w:pP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340" w:type="dxa"/>
            <w:vAlign w:val="bottom"/>
            <w:tcBorders>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728</w:t>
            </w:r>
          </w:p>
        </w:tc>
        <w:tc>
          <w:tcPr>
            <w:tcW w:w="18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1,532</w:t>
            </w:r>
          </w:p>
        </w:tc>
        <w:tc>
          <w:tcPr>
            <w:tcW w:w="200" w:type="dxa"/>
            <w:vAlign w:val="bottom"/>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16"/>
        </w:trPr>
        <w:tc>
          <w:tcPr>
            <w:tcW w:w="53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Diluted net income per American Depositary Shares (“ADS”)</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c>
          <w:tcPr>
            <w:tcW w:w="18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tcPr>
          <w:p>
            <w:pPr>
              <w:spacing w:after="0"/>
              <w:rPr>
                <w:sz w:val="18"/>
                <w:szCs w:val="18"/>
                <w:color w:val="auto"/>
              </w:rPr>
            </w:pP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5340" w:type="dxa"/>
            <w:vAlign w:val="bottom"/>
            <w:tcBorders>
              <w:right w:val="single" w:sz="8" w:color="auto"/>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5"/>
                <w:szCs w:val="25"/>
                <w:color w:val="auto"/>
                <w:vertAlign w:val="superscript"/>
              </w:rPr>
              <w:t>5</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w:t>
            </w:r>
          </w:p>
        </w:tc>
        <w:tc>
          <w:tcPr>
            <w:tcW w:w="18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(1,044)</w:t>
            </w:r>
          </w:p>
        </w:tc>
        <w:tc>
          <w:tcPr>
            <w:tcW w:w="200" w:type="dxa"/>
            <w:vAlign w:val="bottom"/>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340" w:type="dxa"/>
            <w:vAlign w:val="bottom"/>
            <w:tcBorders>
              <w:right w:val="single" w:sz="8" w:color="auto"/>
            </w:tcBorders>
            <w:gridSpan w:val="2"/>
          </w:tcPr>
          <w:p>
            <w:pPr>
              <w:spacing w:after="0" w:line="216" w:lineRule="exact"/>
              <w:rPr>
                <w:sz w:val="20"/>
                <w:szCs w:val="20"/>
                <w:color w:val="auto"/>
              </w:rPr>
            </w:pPr>
            <w:r>
              <w:rPr>
                <w:rFonts w:ascii="Times New Roman" w:cs="Times New Roman" w:eastAsia="Times New Roman" w:hAnsi="Times New Roman"/>
                <w:sz w:val="17"/>
                <w:szCs w:val="17"/>
                <w:color w:val="auto"/>
              </w:rPr>
              <w:t>Adjusted net loss</w:t>
            </w:r>
            <w:r>
              <w:rPr>
                <w:rFonts w:ascii="Times New Roman" w:cs="Times New Roman" w:eastAsia="Times New Roman" w:hAnsi="Times New Roman"/>
                <w:sz w:val="25"/>
                <w:szCs w:val="25"/>
                <w:color w:val="auto"/>
                <w:vertAlign w:val="superscript"/>
              </w:rPr>
              <w:t>5</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(311)</w:t>
            </w:r>
          </w:p>
        </w:tc>
        <w:tc>
          <w:tcPr>
            <w:tcW w:w="18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(1,070)</w:t>
            </w:r>
          </w:p>
        </w:tc>
        <w:tc>
          <w:tcPr>
            <w:tcW w:w="200" w:type="dxa"/>
            <w:vAlign w:val="bottom"/>
          </w:tcPr>
          <w:p>
            <w:pPr>
              <w:spacing w:after="0"/>
              <w:rPr>
                <w:sz w:val="18"/>
                <w:szCs w:val="18"/>
                <w:color w:val="auto"/>
              </w:rPr>
            </w:pP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340" w:type="dxa"/>
            <w:vAlign w:val="bottom"/>
            <w:tcBorders>
              <w:right w:val="single" w:sz="8" w:color="auto"/>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Diluted adjusted net loss per ADS</w:t>
            </w:r>
            <w:r>
              <w:rPr>
                <w:rFonts w:ascii="Times New Roman" w:cs="Times New Roman" w:eastAsia="Times New Roman" w:hAnsi="Times New Roman"/>
                <w:sz w:val="25"/>
                <w:szCs w:val="25"/>
                <w:color w:val="auto"/>
                <w:vertAlign w:val="superscript"/>
              </w:rPr>
              <w:t>5</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18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for the second quarter of 2025 was US$21.0 million, a 2,317.9% increase year-over-year, contributed by the thriving growth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revenue streams:</w:t>
      </w:r>
    </w:p>
    <w:p>
      <w:pPr>
        <w:spacing w:after="0" w:line="159" w:lineRule="exact"/>
        <w:rPr>
          <w:sz w:val="20"/>
          <w:szCs w:val="20"/>
          <w:color w:val="auto"/>
        </w:rPr>
      </w:pPr>
    </w:p>
    <w:p>
      <w:pPr>
        <w:jc w:val="both"/>
        <w:ind w:firstLine="8"/>
        <w:spacing w:after="0" w:line="261" w:lineRule="auto"/>
        <w:tabs>
          <w:tab w:leader="none" w:pos="24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Wealth Management Solutions was record high at US$11.5 million in the second quarter of 2025, increased significantly from US$0.6 million in the same period of 2024. It was achieved by higher client assets on our platform and stronger adoption of wealth management offerings, which were supported by the WFTL Assigned Contracts and increased demand on our diverse investment products and services.</w:t>
      </w:r>
    </w:p>
    <w:p>
      <w:pPr>
        <w:spacing w:after="0" w:line="179" w:lineRule="exact"/>
        <w:rPr>
          <w:rFonts w:ascii="Times New Roman" w:cs="Times New Roman" w:eastAsia="Times New Roman" w:hAnsi="Times New Roman"/>
          <w:sz w:val="18"/>
          <w:szCs w:val="18"/>
          <w:color w:val="auto"/>
        </w:rPr>
      </w:pPr>
    </w:p>
    <w:p>
      <w:pPr>
        <w:jc w:val="both"/>
        <w:ind w:firstLine="8"/>
        <w:spacing w:after="0" w:line="266" w:lineRule="auto"/>
        <w:tabs>
          <w:tab w:leader="none" w:pos="21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Execution Solutions grew to US$2.0 million in the second quarter of 2025, up from US$24.0 thousand in the same period of 2024. The growth was primarily driven by revenue generated from the WFTL Assigned Contracts, together with higher average fee rate and spread in this quarter.</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Payment Solutions was US$0.9 million in the second quarter of 2025, increased from US$0.2 million for the same period of 2024, mainly contributed by the WFTL Assigned Contracts.</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Enterprise Solutions revenue was US$6.6 million in the second quarter of 2025, generated from online marketing, SaaS products and services provided by iClick after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165735</wp:posOffset>
            </wp:positionV>
            <wp:extent cx="15684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313" w:lineRule="exact"/>
        <w:rPr>
          <w:sz w:val="20"/>
          <w:szCs w:val="20"/>
          <w:color w:val="auto"/>
        </w:rPr>
      </w:pPr>
    </w:p>
    <w:p>
      <w:pPr>
        <w:ind w:left="120" w:hanging="112"/>
        <w:spacing w:after="0"/>
        <w:tabs>
          <w:tab w:leader="none" w:pos="120"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Amber Premium business comprises our Wealth Management Solutions, Execution Solutions, and Payment Solutions.</w:t>
      </w:r>
    </w:p>
    <w:p>
      <w:pPr>
        <w:spacing w:after="0" w:line="4" w:lineRule="exact"/>
        <w:rPr>
          <w:sz w:val="20"/>
          <w:szCs w:val="20"/>
          <w:color w:val="auto"/>
        </w:rPr>
      </w:pPr>
    </w:p>
    <w:p>
      <w:pPr>
        <w:ind w:left="120" w:hanging="112"/>
        <w:spacing w:after="0" w:line="239" w:lineRule="auto"/>
        <w:tabs>
          <w:tab w:leader="none" w:pos="120"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For more details on these non-GAAP financial measures, please see the tables captioned “Unaudited Reconciliations of GAAP and Non-GAAP Results” set forth at the end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2" w:name="page53"/>
    <w:bookmarkEnd w:id="52"/>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for the second quarter of 2025 reached US$15.0 million, compared to US$0.3 million in the same period of 2024. Gross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profit margin demonstrated an upward trend to 71.3% in the second quarter of 2025, from 33.0% in the second quarter of 2024. The increase was mainly contributed by the WFTL Assigned Contracts, accelerated growth of Amber Premium business, and higher margin of marketing and enterprise solutions.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were US$15.8 million in the second quarter of 2025, increased from US$1.9 million in the second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The change was primarily due to the increase of technology and software services expenses, personnel expenses to support our ongoing business expansion, and legal and other professional service fees.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loss </w:t>
      </w:r>
      <w:r>
        <w:rPr>
          <w:rFonts w:ascii="Times New Roman" w:cs="Times New Roman" w:eastAsia="Times New Roman" w:hAnsi="Times New Roman"/>
          <w:sz w:val="18"/>
          <w:szCs w:val="18"/>
          <w:color w:val="auto"/>
        </w:rPr>
        <w:t>was US$0.8 million in the second quarter of 2025, improved from US$1.6 million operating loss in the second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as a result of our growth in gross profit and strengthened operating leverage.</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gains, net </w:t>
      </w:r>
      <w:r>
        <w:rPr>
          <w:rFonts w:ascii="Times New Roman" w:cs="Times New Roman" w:eastAsia="Times New Roman" w:hAnsi="Times New Roman"/>
          <w:sz w:val="18"/>
          <w:szCs w:val="18"/>
          <w:color w:val="auto"/>
        </w:rPr>
        <w:t>were US$1.5 million in the second quarter of 2025, compared to US$3.0 million in the second quarter of 2024.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gains, net in the second quarter of 2024 were mainly driven by unrealized gain in fair value of digital assets in connection with a related party’s loan, which was subsequently waived prior to the Merger.</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US$0.7 million in the second quarter of 2025, compared to US$1.5 million in the second quarter of 2024, as a result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foregoing.</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adjusted net loss </w:t>
      </w:r>
      <w:r>
        <w:rPr>
          <w:rFonts w:ascii="Times New Roman" w:cs="Times New Roman" w:eastAsia="Times New Roman" w:hAnsi="Times New Roman"/>
          <w:sz w:val="18"/>
          <w:szCs w:val="18"/>
          <w:color w:val="auto"/>
        </w:rPr>
        <w:t>were US$0.2 million and US$0.3 million, respectively for the second quarter of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adjusted EBITDA, a loss at US$1.0 million and adjusted net loss at US$1.1 million in the second quarter of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Highlights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had cash and cash equivalents, time deposits and restricted cash of US$25.8 million, compared to US$9.3 million as of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2025 Operating Data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measures presented in our consolidated financial statements, we use the operating metrics listed below to evaluate our business, measure our performance, identify trends and make strategic decisions: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2140" w:type="dxa"/>
            <w:vAlign w:val="bottom"/>
            <w:tcBorders>
              <w:top w:val="single" w:sz="8" w:color="auto"/>
              <w:bottom w:val="single" w:sz="8" w:color="auto"/>
            </w:tcBorders>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50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1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 in thousands, unless specified)</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tcBorders>
              <w:right w:val="single" w:sz="8" w:color="auto"/>
            </w:tcBorders>
          </w:tcPr>
          <w:p>
            <w:pPr>
              <w:jc w:val="center"/>
              <w:ind w:right="218"/>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173"/>
        </w:trPr>
        <w:tc>
          <w:tcPr>
            <w:tcW w:w="4180" w:type="dxa"/>
            <w:vAlign w:val="bottom"/>
            <w:tcBorders>
              <w:right w:val="single" w:sz="8" w:color="auto"/>
            </w:tcBorders>
            <w:gridSpan w:val="2"/>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Borders>
              <w:right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0" w:type="dxa"/>
            <w:vAlign w:val="bottom"/>
          </w:tcPr>
          <w:p>
            <w:pPr>
              <w:spacing w:after="0"/>
              <w:rPr>
                <w:sz w:val="1"/>
                <w:szCs w:val="1"/>
                <w:color w:val="auto"/>
              </w:rPr>
            </w:pPr>
          </w:p>
        </w:tc>
      </w:tr>
      <w:tr>
        <w:trPr>
          <w:trHeight w:val="209"/>
        </w:trPr>
        <w:tc>
          <w:tcPr>
            <w:tcW w:w="394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Operating Metrics</w:t>
            </w:r>
            <w:r>
              <w:rPr>
                <w:rFonts w:ascii="Times New Roman" w:cs="Times New Roman" w:eastAsia="Times New Roman" w:hAnsi="Times New Roman"/>
                <w:sz w:val="24"/>
                <w:szCs w:val="24"/>
                <w:b w:val="1"/>
                <w:bCs w:val="1"/>
                <w:color w:val="auto"/>
                <w:vertAlign w:val="superscript"/>
              </w:rPr>
              <w:t>6</w:t>
            </w:r>
            <w:r>
              <w:rPr>
                <w:rFonts w:ascii="Times New Roman" w:cs="Times New Roman" w:eastAsia="Times New Roman" w:hAnsi="Times New Roman"/>
                <w:sz w:val="17"/>
                <w:szCs w:val="17"/>
                <w:b w:val="1"/>
                <w:bCs w:val="1"/>
                <w:color w:val="auto"/>
              </w:rPr>
              <w:t>:</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Cumulative KYC’ed users (in number)</w:t>
            </w:r>
          </w:p>
        </w:tc>
        <w:tc>
          <w:tcPr>
            <w:tcW w:w="1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4,911</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4,067</w:t>
            </w:r>
          </w:p>
        </w:tc>
        <w:tc>
          <w:tcPr>
            <w:tcW w:w="280" w:type="dxa"/>
            <w:vAlign w:val="bottom"/>
          </w:tcPr>
          <w:p>
            <w:pPr>
              <w:spacing w:after="0"/>
              <w:rPr>
                <w:sz w:val="18"/>
                <w:szCs w:val="18"/>
                <w:color w:val="auto"/>
              </w:rPr>
            </w:pPr>
          </w:p>
        </w:tc>
        <w:tc>
          <w:tcPr>
            <w:tcW w:w="1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16"/>
        </w:trPr>
        <w:tc>
          <w:tcPr>
            <w:tcW w:w="4180" w:type="dxa"/>
            <w:vAlign w:val="bottom"/>
            <w:tcBorders>
              <w:right w:val="single" w:sz="8" w:color="auto"/>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Active clients</w:t>
            </w: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17"/>
                <w:szCs w:val="17"/>
                <w:color w:val="auto"/>
              </w:rPr>
              <w:t xml:space="preserve"> (in number)</w:t>
            </w:r>
          </w:p>
        </w:tc>
        <w:tc>
          <w:tcPr>
            <w:tcW w:w="1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967</w:t>
            </w: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944</w:t>
            </w:r>
          </w:p>
        </w:tc>
        <w:tc>
          <w:tcPr>
            <w:tcW w:w="280" w:type="dxa"/>
            <w:vAlign w:val="bottom"/>
            <w:shd w:val="clear" w:color="auto" w:fill="CCEEFF"/>
          </w:tcPr>
          <w:p>
            <w:pPr>
              <w:spacing w:after="0"/>
              <w:rPr>
                <w:sz w:val="18"/>
                <w:szCs w:val="18"/>
                <w:color w:val="auto"/>
              </w:rPr>
            </w:pPr>
          </w:p>
        </w:tc>
        <w:tc>
          <w:tcPr>
            <w:tcW w:w="15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4"/>
        </w:trPr>
        <w:tc>
          <w:tcPr>
            <w:tcW w:w="41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Client assets on platform</w:t>
            </w:r>
          </w:p>
        </w:tc>
        <w:tc>
          <w:tcPr>
            <w:tcW w:w="1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1,535,343</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1,131,713</w:t>
            </w:r>
          </w:p>
        </w:tc>
        <w:tc>
          <w:tcPr>
            <w:tcW w:w="280" w:type="dxa"/>
            <w:vAlign w:val="bottom"/>
          </w:tcPr>
          <w:p>
            <w:pPr>
              <w:spacing w:after="0"/>
              <w:rPr>
                <w:sz w:val="20"/>
                <w:szCs w:val="20"/>
                <w:color w:val="auto"/>
              </w:rPr>
            </w:pPr>
          </w:p>
        </w:tc>
        <w:tc>
          <w:tcPr>
            <w:tcW w:w="1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363"/>
        </w:trPr>
        <w:tc>
          <w:tcPr>
            <w:tcW w:w="394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gridSpan w:val="5"/>
          </w:tcPr>
          <w:p>
            <w:pPr>
              <w:jc w:val="center"/>
              <w:ind w:left="273"/>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500" w:type="dxa"/>
            <w:vAlign w:val="bottom"/>
            <w:tcBorders>
              <w:right w:val="single" w:sz="8" w:color="auto"/>
            </w:tcBorders>
            <w:vMerge w:val="restart"/>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07"/>
        </w:trPr>
        <w:tc>
          <w:tcPr>
            <w:tcW w:w="394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12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Borders>
              <w:right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0" w:type="dxa"/>
            <w:vAlign w:val="bottom"/>
          </w:tcPr>
          <w:p>
            <w:pPr>
              <w:spacing w:after="0"/>
              <w:rPr>
                <w:sz w:val="1"/>
                <w:szCs w:val="1"/>
                <w:color w:val="auto"/>
              </w:rPr>
            </w:pPr>
          </w:p>
        </w:tc>
      </w:tr>
      <w:tr>
        <w:trPr>
          <w:trHeight w:val="216"/>
        </w:trPr>
        <w:tc>
          <w:tcPr>
            <w:tcW w:w="4180" w:type="dxa"/>
            <w:vAlign w:val="bottom"/>
            <w:tcBorders>
              <w:right w:val="single" w:sz="8" w:color="auto"/>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New onboarded KYC’ed users</w:t>
            </w:r>
            <w:r>
              <w:rPr>
                <w:rFonts w:ascii="Times New Roman" w:cs="Times New Roman" w:eastAsia="Times New Roman" w:hAnsi="Times New Roman"/>
                <w:sz w:val="25"/>
                <w:szCs w:val="25"/>
                <w:color w:val="auto"/>
                <w:vertAlign w:val="superscript"/>
              </w:rPr>
              <w:t>8</w:t>
            </w:r>
            <w:r>
              <w:rPr>
                <w:rFonts w:ascii="Times New Roman" w:cs="Times New Roman" w:eastAsia="Times New Roman" w:hAnsi="Times New Roman"/>
                <w:sz w:val="17"/>
                <w:szCs w:val="17"/>
                <w:color w:val="auto"/>
              </w:rPr>
              <w:t xml:space="preserve"> (in number)</w:t>
            </w:r>
          </w:p>
        </w:tc>
        <w:tc>
          <w:tcPr>
            <w:tcW w:w="1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254</w:t>
            </w: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240</w:t>
            </w:r>
          </w:p>
        </w:tc>
        <w:tc>
          <w:tcPr>
            <w:tcW w:w="280" w:type="dxa"/>
            <w:vAlign w:val="bottom"/>
            <w:shd w:val="clear" w:color="auto" w:fill="CCEEFF"/>
          </w:tcPr>
          <w:p>
            <w:pPr>
              <w:spacing w:after="0"/>
              <w:rPr>
                <w:sz w:val="18"/>
                <w:szCs w:val="18"/>
                <w:color w:val="auto"/>
              </w:rPr>
            </w:pPr>
          </w:p>
        </w:tc>
        <w:tc>
          <w:tcPr>
            <w:tcW w:w="15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4180" w:type="dxa"/>
            <w:vAlign w:val="bottom"/>
            <w:tcBorders>
              <w:right w:val="single" w:sz="8" w:color="auto"/>
            </w:tcBorders>
            <w:gridSpan w:val="2"/>
          </w:tcPr>
          <w:p>
            <w:pPr>
              <w:spacing w:after="0" w:line="216" w:lineRule="exact"/>
              <w:rPr>
                <w:sz w:val="20"/>
                <w:szCs w:val="20"/>
                <w:color w:val="auto"/>
              </w:rPr>
            </w:pPr>
            <w:r>
              <w:rPr>
                <w:rFonts w:ascii="Times New Roman" w:cs="Times New Roman" w:eastAsia="Times New Roman" w:hAnsi="Times New Roman"/>
                <w:sz w:val="17"/>
                <w:szCs w:val="17"/>
                <w:color w:val="auto"/>
              </w:rPr>
              <w:t>Execution trading volume</w:t>
            </w:r>
            <w:r>
              <w:rPr>
                <w:rFonts w:ascii="Times New Roman" w:cs="Times New Roman" w:eastAsia="Times New Roman" w:hAnsi="Times New Roman"/>
                <w:sz w:val="25"/>
                <w:szCs w:val="25"/>
                <w:color w:val="auto"/>
                <w:vertAlign w:val="superscript"/>
              </w:rPr>
              <w:t>9</w:t>
            </w:r>
          </w:p>
        </w:tc>
        <w:tc>
          <w:tcPr>
            <w:tcW w:w="1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1,918,758</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2,422,586</w:t>
            </w:r>
          </w:p>
        </w:tc>
        <w:tc>
          <w:tcPr>
            <w:tcW w:w="280" w:type="dxa"/>
            <w:vAlign w:val="bottom"/>
          </w:tcPr>
          <w:p>
            <w:pPr>
              <w:spacing w:after="0"/>
              <w:rPr>
                <w:sz w:val="18"/>
                <w:szCs w:val="18"/>
                <w:color w:val="auto"/>
              </w:rPr>
            </w:pPr>
          </w:p>
        </w:tc>
        <w:tc>
          <w:tcPr>
            <w:tcW w:w="15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16"/>
        </w:trPr>
        <w:tc>
          <w:tcPr>
            <w:tcW w:w="4180" w:type="dxa"/>
            <w:vAlign w:val="bottom"/>
            <w:tcBorders>
              <w:right w:val="single" w:sz="8" w:color="auto"/>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Payment trading volume</w:t>
            </w:r>
            <w:r>
              <w:rPr>
                <w:rFonts w:ascii="Times New Roman" w:cs="Times New Roman" w:eastAsia="Times New Roman" w:hAnsi="Times New Roman"/>
                <w:sz w:val="25"/>
                <w:szCs w:val="25"/>
                <w:color w:val="auto"/>
                <w:vertAlign w:val="superscript"/>
              </w:rPr>
              <w:t>10</w:t>
            </w:r>
          </w:p>
        </w:tc>
        <w:tc>
          <w:tcPr>
            <w:tcW w:w="1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347,762</w:t>
            </w:r>
          </w:p>
        </w:tc>
        <w:tc>
          <w:tcPr>
            <w:tcW w:w="186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326,227</w:t>
            </w:r>
          </w:p>
        </w:tc>
        <w:tc>
          <w:tcPr>
            <w:tcW w:w="2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188595</wp:posOffset>
            </wp:positionV>
            <wp:extent cx="15684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349" w:lineRule="exact"/>
        <w:rPr>
          <w:sz w:val="20"/>
          <w:szCs w:val="20"/>
          <w:color w:val="auto"/>
        </w:rPr>
      </w:pPr>
    </w:p>
    <w:p>
      <w:pPr>
        <w:jc w:val="both"/>
        <w:ind w:left="120" w:hanging="112"/>
        <w:spacing w:after="0" w:line="229" w:lineRule="auto"/>
        <w:tabs>
          <w:tab w:leader="none" w:pos="120" w:val="left"/>
        </w:tabs>
        <w:numPr>
          <w:ilvl w:val="0"/>
          <w:numId w:val="5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operating metrics presented in this press release include operating data from Sparrow business and the WFTL Assigned Contracts. While the relevant entities were not consolidated subsidiaries of the Company throughout the relevant periods, their operating data have been included on a pro forma basis for illustrative purposes assuming the completion of DWM Asset Restructuring contemplated in the Merger. As of the date of this earnings release, other than the consolidation of Sparrow</w:t>
      </w:r>
    </w:p>
    <w:p>
      <w:pPr>
        <w:ind w:left="120"/>
        <w:spacing w:after="0" w:line="222" w:lineRule="auto"/>
        <w:rPr>
          <w:sz w:val="20"/>
          <w:szCs w:val="20"/>
          <w:color w:val="auto"/>
        </w:rPr>
      </w:pPr>
      <w:r>
        <w:rPr>
          <w:rFonts w:ascii="Times New Roman" w:cs="Times New Roman" w:eastAsia="Times New Roman" w:hAnsi="Times New Roman"/>
          <w:sz w:val="14"/>
          <w:szCs w:val="14"/>
          <w:color w:val="auto"/>
        </w:rPr>
        <w:t>business following the relevant regulatory approval in April 2025, the DWM Asset Restructuring has not been completed.</w:t>
      </w:r>
    </w:p>
    <w:p>
      <w:pPr>
        <w:ind w:left="120" w:hanging="112"/>
        <w:spacing w:after="0" w:line="221" w:lineRule="auto"/>
        <w:tabs>
          <w:tab w:leader="none" w:pos="120" w:val="left"/>
        </w:tabs>
        <w:numPr>
          <w:ilvl w:val="0"/>
          <w:numId w:val="5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An active client is defined as a client who has conducted at least one transaction during any consecutive three months ended as of a specific date, or the assets under the client’s management were greater than US$10 thousand as of a specific date.</w:t>
      </w:r>
    </w:p>
    <w:p>
      <w:pPr>
        <w:ind w:left="120" w:hanging="112"/>
        <w:spacing w:after="0" w:line="222" w:lineRule="auto"/>
        <w:tabs>
          <w:tab w:leader="none" w:pos="120" w:val="left"/>
        </w:tabs>
        <w:numPr>
          <w:ilvl w:val="0"/>
          <w:numId w:val="5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New onboarded KYC’ed user is defined as the number of clients that completed the Company’s Know Your Customer onboarding procedures during the period.</w:t>
      </w:r>
    </w:p>
    <w:p>
      <w:pPr>
        <w:ind w:left="120" w:right="20" w:hanging="112"/>
        <w:spacing w:after="0" w:line="221" w:lineRule="auto"/>
        <w:tabs>
          <w:tab w:leader="none" w:pos="120" w:val="left"/>
        </w:tabs>
        <w:numPr>
          <w:ilvl w:val="0"/>
          <w:numId w:val="5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Execution trading volume is defined as the total U.S. dollar equivalent value of two-side spot matched trades transacted of crypto assets between a buyer and seller through the Company, and excluding the deposit or withdrawal of crypto assets during the period.</w:t>
      </w:r>
    </w:p>
    <w:p>
      <w:pPr>
        <w:spacing w:after="0" w:line="1" w:lineRule="exact"/>
        <w:rPr>
          <w:sz w:val="20"/>
          <w:szCs w:val="20"/>
          <w:color w:val="auto"/>
        </w:rPr>
      </w:pPr>
    </w:p>
    <w:p>
      <w:pPr>
        <w:ind w:left="120" w:hanging="112"/>
        <w:spacing w:after="0"/>
        <w:tabs>
          <w:tab w:leader="none" w:pos="120" w:val="left"/>
        </w:tabs>
        <w:numPr>
          <w:ilvl w:val="0"/>
          <w:numId w:val="5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Payment trading volume is defined as the total U.S. dollar equivalent value of one-side on/off-ramp through the Company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476250</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the information available as of the date of this press release, the Company provides the following revenue outlook of Amber Premium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Quarter 2025:</w:t>
      </w:r>
    </w:p>
    <w:p>
      <w:pPr>
        <w:spacing w:after="0" w:line="225" w:lineRule="exact"/>
        <w:rPr>
          <w:sz w:val="20"/>
          <w:szCs w:val="20"/>
          <w:color w:val="auto"/>
        </w:rPr>
      </w:pPr>
    </w:p>
    <w:p>
      <w:pPr>
        <w:ind w:left="340" w:hanging="332"/>
        <w:spacing w:after="0"/>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Amber Premium business is estimated to be between US$11.0 million and US$12.5 million.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above outlook is based on current market conditions and reflects the Company’s preliminary estimates of market and operating conditions, expected foreign exchange fluctuation, and customer demand, which are all subject to change. Please also refer to the factors set out under the section titled “Safe Harbor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Withdrawal of Full Year Outlook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the anticipated market volatility in the fourth quarter, the Company has decided to take a more prudent approach to the financial guidance. Accordingly, the Company withdrew its previously disclosed 2025 full-year revenue guidance.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host an earnings conference call at 8:00 AM U.S. Eastern Time on September 10, 2025 (8:00 PM Singapore time on September 10, 2025). Participants are asked to use one of the following teleconferencing numbers to participate in the call and reference the Access ID number 13755513. The Company requests that participants dial in 10 minutes before the conference call begins.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Dial-in Numbers: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 Free: 1-844-539-3703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Toll/International: 1-412-652-1273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The conference call will also be available via a live webcast </w:t>
      </w:r>
      <w:r>
        <w:rPr>
          <w:rFonts w:ascii="Times New Roman" w:cs="Times New Roman" w:eastAsia="Times New Roman" w:hAnsi="Times New Roman"/>
          <w:sz w:val="18"/>
          <w:szCs w:val="18"/>
          <w:u w:val="single" w:color="auto"/>
          <w:color w:val="auto"/>
        </w:rPr>
        <w:t>at https://viavid.webcasts.com/starthere.jsp?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ei=1731922&amp;tp_key=9cb3f85351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Replay Dial-in Numbers: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 Free: 1-844-512-2921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Toll/International: 1-412-317-6671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Replay Pin Number: 13755513</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replay of the call will be available on Wednesday, September 10, 2025, after 12:00 PM ET through Wednesday, September 24, 2025 at 11:59 PM 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4" w:name="page55"/>
    <w:bookmarkEnd w:id="5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earnings release and investor presentation will be available shortly after issuance in the Investor Relations section of Amber International’s website at https://ir.ambr.io.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Amber International Holding Limited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Amber International Holding Limited (Nasdaq: AMBR), operating under the brand name “Amber Premium,” is a leading provider of institutional crypto financial services and solutions. A subsidiary of Amber Group, Amber Premium is a trusted partner to institutions and high-net-worth individuals, delivering institutional-grade market access, execution infrastructure, and investment solutions. The firm is set to redefine the digital wealth management landscape, serving as a proven Nasdaq-listed gateway to digital assets. Learn more at www.ambr.io.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uses adjusted EBITDA, adjusted net (loss)/income, and diluted adjusted net (loss)/income per ADS, each a non-GAAP financial measure, in evaluating the Company’s operating results and for financial and operational decision-making purposes. The Company believes that adjusted EBITDA, adjusted net (loss)/income, and diluted adjusted net (loss)/income per ADS help identify underlying trends in the Company’s business that could otherwise be distorted by the effect of the expenses and gains that the Company includes in net income/(loss). The Company believes that adjusted EBITDA and adjusted net (loss)/income provide useful information about the Company’s operating results, enhance the overall understanding of the Company’s past performance and future prospects, assess operating performance on a consistent basis, and allow for greater visibility with respect to key metrics used by the Company’s management in its financial and operational decision-making.</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Adjusted EBITDA, adjusted net (loss)/income, and diluted adjusted net (loss)/income per ADS should not be considered in isolation or construed as an alternative to net income/(loss) or any other measure of performance or as an indicator of the Company’s operating performance. Investors are encouraged to review the historical non-GAAP financial measures to the most directly comparable GAAP measures. Adjusted EBITDA, adjusted net (loss)/income, and diluted adjusted net (loss)/income per ADS presented here may not be comparable to similarly titled measures presented by other companies. Other companies may calculate similarly titled measures differently, limiting their usefulness as comparative measures to the Company’s data. The Company encourages investors and others to review the Company’s financial information in its entirety and not rely on a single financial measure.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on these non-GAAP financial measures, please see the table captioned “Unaudited Reconciliations of GAAP and Non-GAAP results” set forth at the end of this press release.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non-GAAP financial measures were presented with the most directly comparable GAAP financial measures together for facilitating a more comprehensive understanding of operating performance between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announcement contains forward-looking statements within the meaning of the safe harbor provisions of the Private Securities Litigation Reform Act of 1995. All statements other than statements of historical fact in this announcement are forward-looking statements. These forward-looking statements are inherently uncertain, and shareholders and other potential investors must recognize that actual results may differ materially from the expectations as a result of a variety of factors. Such forward-looking statements are based upon management’s current expectations and include known and unknown risks, uncertainties and other factors, many of which are hard to predict or control, that may cause the actual results, performance, or plans to differ materially from any future results, performance or plans expressed or implied by such forward-looking statements. Such risks and uncertainties include, but are not limited to: (i) the risk that the Company may not obtain the regulatory approval in relation to DWM Asset Restructuring in a timely manner or at all and may need to continue relying on the intercompany service agreements to receive the economic benefits of the WFTL Assigned Contracts; (ii) risks related to the performance of the amendment, waiver and framework agreement, including the expected timing and likelihood of receipt of the regulatory approvals contemplated therein; (iii) the risk that the Company’s business lines are nascent, not fully proven by market and subject to material legal, regulatory, operational, reputational, tax and other risks in the jurisdictions where it operates; (iv) the risk of declining prices of digital assets and reduced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610870</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5" w:name="page56"/>
    <w:bookmarkEnd w:id="55"/>
    <w:p>
      <w:pPr>
        <w:jc w:val="both"/>
        <w:spacing w:after="0" w:line="252" w:lineRule="auto"/>
        <w:rPr>
          <w:sz w:val="20"/>
          <w:szCs w:val="20"/>
          <w:color w:val="auto"/>
        </w:rPr>
      </w:pPr>
      <w:r>
        <w:rPr>
          <w:rFonts w:ascii="Times New Roman" w:cs="Times New Roman" w:eastAsia="Times New Roman" w:hAnsi="Times New Roman"/>
          <w:sz w:val="18"/>
          <w:szCs w:val="18"/>
          <w:color w:val="auto"/>
        </w:rPr>
        <w:t>transaction volumes conducted by the Company; (v) regulatory and market risks related to cryptocurrencies and digital assets and in the jurisdictions where the Company operates; (vi) risks related to fluctuations in the market price of bitcoin and any associated unrealized gains or losses on the digital assets that the Company may record in its financial statements as a result of a change in the market price of bitcoin from the value at which the Company’s bitcoins are carried on its balance sheet, as well as commercial, legal, regulatory, accounting and technical uncertainties associated with the Company’s crypto holdings; (vii) a decrease in liquidity in the markets in which the cryptocurrencies and digital assets are traded; (viii) the impact of the availability of spot exchange traded products and other investment vehicles for digital assets; and (ix) reliance on strategic partners or potential strategic partners. Further information regarding these and other risks is included in the Company’s annual report on Form 20-F and other filings with the SEC. Investors can identify these forward-looking statements by words or phrases such as “may,” “will,” “expect,” “anticipate,” “aim,” “estimate,” “intend,” “plan,” “believe,” “potential,” “continue,” “is/are likely to” or other similar expressions. The Company undertakes no obligation to update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&amp; Investor Contacts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Asia: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 Team</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+65 6022 0228</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pr@ambr.io | ir@ambr.io | ambr@paradigmconsulting.com.hk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the United States: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Elite Capital Inc.</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Annabelle Zhang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(646) 866-7928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amber@iecapitalusa.com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634365</wp:posOffset>
            </wp:positionV>
            <wp:extent cx="629221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80" w:type="dxa"/>
            <w:vAlign w:val="bottom"/>
            <w:tcBorders>
              <w:right w:val="single" w:sz="8" w:color="auto"/>
            </w:tcBorders>
          </w:tcPr>
          <w:p>
            <w:pPr>
              <w:spacing w:after="0"/>
              <w:rPr>
                <w:sz w:val="14"/>
                <w:szCs w:val="14"/>
                <w:color w:val="auto"/>
              </w:rPr>
            </w:pPr>
          </w:p>
        </w:tc>
        <w:tc>
          <w:tcPr>
            <w:tcW w:w="2700" w:type="dxa"/>
            <w:vAlign w:val="bottom"/>
            <w:tcBorders>
              <w:top w:val="single" w:sz="8" w:color="auto"/>
              <w:bottom w:val="single" w:sz="8" w:color="auto"/>
              <w:right w:val="single" w:sz="8" w:color="auto"/>
            </w:tcBorders>
            <w:gridSpan w:val="3"/>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Borders>
              <w:right w:val="single" w:sz="8" w:color="auto"/>
            </w:tcBorders>
          </w:tcPr>
          <w:p>
            <w:pPr>
              <w:spacing w:after="0"/>
              <w:rPr>
                <w:sz w:val="14"/>
                <w:szCs w:val="14"/>
                <w:color w:val="auto"/>
              </w:rPr>
            </w:pPr>
          </w:p>
        </w:tc>
        <w:tc>
          <w:tcPr>
            <w:tcW w:w="2520" w:type="dxa"/>
            <w:vAlign w:val="bottom"/>
            <w:tcBorders>
              <w:top w:val="single" w:sz="8" w:color="auto"/>
              <w:bottom w:val="single" w:sz="8" w:color="auto"/>
              <w:right w:val="single" w:sz="8" w:color="auto"/>
            </w:tcBorders>
            <w:gridSpan w:val="3"/>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Borders>
              <w:bottom w:val="single" w:sz="8" w:color="CCEEFF"/>
              <w:right w:val="single" w:sz="8" w:color="auto"/>
            </w:tcBorders>
          </w:tcPr>
          <w:p>
            <w:pPr>
              <w:spacing w:after="0"/>
              <w:rPr>
                <w:sz w:val="12"/>
                <w:szCs w:val="12"/>
                <w:color w:val="auto"/>
              </w:rPr>
            </w:pPr>
          </w:p>
        </w:tc>
        <w:tc>
          <w:tcPr>
            <w:tcW w:w="134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2"/>
                <w:szCs w:val="12"/>
                <w:color w:val="auto"/>
              </w:rPr>
            </w:pPr>
          </w:p>
        </w:tc>
        <w:tc>
          <w:tcPr>
            <w:tcW w:w="1180" w:type="dxa"/>
            <w:vAlign w:val="bottom"/>
            <w:tcBorders>
              <w:bottom w:val="single" w:sz="8" w:color="auto"/>
              <w:right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right w:val="single" w:sz="8" w:color="auto"/>
            </w:tcBorders>
          </w:tcPr>
          <w:p>
            <w:pPr>
              <w:spacing w:after="0"/>
              <w:rPr>
                <w:sz w:val="12"/>
                <w:szCs w:val="12"/>
                <w:color w:val="auto"/>
              </w:rPr>
            </w:pPr>
          </w:p>
        </w:tc>
        <w:tc>
          <w:tcPr>
            <w:tcW w:w="118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2"/>
                <w:szCs w:val="12"/>
                <w:color w:val="auto"/>
              </w:rPr>
            </w:pPr>
          </w:p>
        </w:tc>
        <w:tc>
          <w:tcPr>
            <w:tcW w:w="1220" w:type="dxa"/>
            <w:vAlign w:val="bottom"/>
            <w:tcBorders>
              <w:bottom w:val="single" w:sz="8" w:color="auto"/>
              <w:right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20,963</w:t>
            </w:r>
          </w:p>
        </w:tc>
        <w:tc>
          <w:tcPr>
            <w:tcW w:w="180" w:type="dxa"/>
            <w:vAlign w:val="bottom"/>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2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35,903</w:t>
            </w:r>
          </w:p>
        </w:tc>
        <w:tc>
          <w:tcPr>
            <w:tcW w:w="120" w:type="dxa"/>
            <w:vAlign w:val="bottom"/>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(6,007)</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tcBorders>
              <w:right w:val="single" w:sz="8" w:color="auto"/>
            </w:tcBorders>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(9,942)</w:t>
            </w: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Borders>
              <w:top w:val="single" w:sz="8" w:color="CCEEFF"/>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14,956</w:t>
            </w: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25,961</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Borders>
              <w:right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(4,621)</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right w:val="single" w:sz="8" w:color="auto"/>
            </w:tcBorders>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(8,014)</w:t>
            </w: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(2,806)</w:t>
            </w:r>
          </w:p>
        </w:tc>
        <w:tc>
          <w:tcPr>
            <w:tcW w:w="11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auto"/>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(3,616)</w:t>
            </w:r>
          </w:p>
        </w:tc>
        <w:tc>
          <w:tcPr>
            <w:tcW w:w="12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(8,327)</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20" w:type="dxa"/>
            <w:vAlign w:val="bottom"/>
            <w:tcBorders>
              <w:right w:val="single" w:sz="8" w:color="auto"/>
            </w:tcBorders>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(14,302)</w:t>
            </w: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(15,754)</w:t>
            </w: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(25,932)</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(loss)/income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80" w:type="dxa"/>
            <w:vAlign w:val="bottom"/>
          </w:tcPr>
          <w:p>
            <w:pPr>
              <w:spacing w:after="0"/>
              <w:rPr>
                <w:sz w:val="18"/>
                <w:szCs w:val="18"/>
                <w:color w:val="auto"/>
              </w:rPr>
            </w:pP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20" w:type="dxa"/>
            <w:vAlign w:val="bottom"/>
            <w:tcBorders>
              <w:right w:val="single" w:sz="8" w:color="auto"/>
            </w:tcBorders>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 net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right w:val="single" w:sz="8" w:color="auto"/>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2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gains/(losses), net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1,549</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120" w:type="dxa"/>
            <w:vAlign w:val="bottom"/>
            <w:tcBorders>
              <w:right w:val="single" w:sz="8" w:color="auto"/>
            </w:tcBorders>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1,605</w:t>
            </w: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80" w:type="dxa"/>
            <w:vAlign w:val="bottom"/>
            <w:tcBorders>
              <w:top w:val="single" w:sz="8" w:color="CCEEFF"/>
              <w:right w:val="single" w:sz="8" w:color="auto"/>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Income/(loss) before share of losses from an equity investee</w:t>
            </w:r>
          </w:p>
        </w:tc>
        <w:tc>
          <w:tcPr>
            <w:tcW w:w="13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right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income tax expense</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751</w:t>
            </w:r>
          </w:p>
        </w:tc>
        <w:tc>
          <w:tcPr>
            <w:tcW w:w="11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20" w:type="dxa"/>
            <w:vAlign w:val="bottom"/>
            <w:tcBorders>
              <w:right w:val="single" w:sz="8" w:color="auto"/>
            </w:tcBorders>
            <w:shd w:val="clear" w:color="auto" w:fill="CCEEFF"/>
          </w:tcPr>
          <w:p>
            <w:pPr>
              <w:spacing w:after="0"/>
              <w:rPr>
                <w:sz w:val="20"/>
                <w:szCs w:val="20"/>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1,672</w:t>
            </w:r>
          </w:p>
        </w:tc>
        <w:tc>
          <w:tcPr>
            <w:tcW w:w="12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 of losses from an equity investee</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Borders>
              <w:top w:val="single" w:sz="8" w:color="CCEEFF"/>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Income/(loss) before income tax expense</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 credit/(expense)</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80" w:type="dxa"/>
            <w:vAlign w:val="bottom"/>
            <w:tcBorders>
              <w:top w:val="single" w:sz="8" w:color="CCEEFF"/>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80" w:type="dxa"/>
            <w:vAlign w:val="bottom"/>
            <w:tcBorders>
              <w:top w:val="single" w:sz="8" w:color="CCEEFF"/>
              <w:right w:val="single" w:sz="8" w:color="auto"/>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income/(loss) attributable to the Company’s ordinary</w:t>
            </w:r>
          </w:p>
        </w:tc>
        <w:tc>
          <w:tcPr>
            <w:tcW w:w="13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right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shareholders</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741</w:t>
            </w:r>
          </w:p>
        </w:tc>
        <w:tc>
          <w:tcPr>
            <w:tcW w:w="11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20" w:type="dxa"/>
            <w:vAlign w:val="bottom"/>
            <w:tcBorders>
              <w:right w:val="single" w:sz="8" w:color="auto"/>
            </w:tcBorders>
            <w:shd w:val="clear" w:color="auto" w:fill="CCEEFF"/>
          </w:tcPr>
          <w:p>
            <w:pPr>
              <w:spacing w:after="0"/>
              <w:rPr>
                <w:sz w:val="20"/>
                <w:szCs w:val="20"/>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1,672</w:t>
            </w:r>
          </w:p>
        </w:tc>
        <w:tc>
          <w:tcPr>
            <w:tcW w:w="12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80" w:type="dxa"/>
            <w:vAlign w:val="bottom"/>
            <w:tcBorders>
              <w:right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top w:val="single" w:sz="8" w:color="auto"/>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728</w:t>
            </w:r>
          </w:p>
        </w:tc>
        <w:tc>
          <w:tcPr>
            <w:tcW w:w="11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20" w:type="dxa"/>
            <w:vAlign w:val="bottom"/>
            <w:tcBorders>
              <w:right w:val="single" w:sz="8" w:color="auto"/>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1,644</w:t>
            </w:r>
          </w:p>
        </w:tc>
        <w:tc>
          <w:tcPr>
            <w:tcW w:w="12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 net of US$nil Tax</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(115)</w:t>
            </w:r>
          </w:p>
        </w:tc>
        <w:tc>
          <w:tcPr>
            <w:tcW w:w="11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12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Comprehensive income/(loss)</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80" w:type="dxa"/>
            <w:vAlign w:val="bottom"/>
          </w:tcPr>
          <w:p>
            <w:pPr>
              <w:spacing w:after="0"/>
              <w:rPr>
                <w:sz w:val="18"/>
                <w:szCs w:val="18"/>
                <w:color w:val="auto"/>
              </w:rPr>
            </w:pPr>
          </w:p>
        </w:tc>
        <w:tc>
          <w:tcPr>
            <w:tcW w:w="118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20" w:type="dxa"/>
            <w:vAlign w:val="bottom"/>
            <w:tcBorders>
              <w:right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20" w:type="dxa"/>
            <w:vAlign w:val="bottom"/>
          </w:tcPr>
          <w:p>
            <w:pPr>
              <w:spacing w:after="0"/>
              <w:rPr>
                <w:sz w:val="18"/>
                <w:szCs w:val="18"/>
                <w:color w:val="auto"/>
              </w:rPr>
            </w:pPr>
          </w:p>
        </w:tc>
        <w:tc>
          <w:tcPr>
            <w:tcW w:w="122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11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2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80" w:type="dxa"/>
            <w:vAlign w:val="bottom"/>
            <w:tcBorders>
              <w:right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rPr>
              <w:t>Comprehensive income/(loss) attributable to the Company’s</w:t>
            </w:r>
          </w:p>
        </w:tc>
        <w:tc>
          <w:tcPr>
            <w:tcW w:w="13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Borders>
              <w:top w:val="single" w:sz="8" w:color="auto"/>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ordinary shareholders</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589</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20" w:type="dxa"/>
            <w:vAlign w:val="bottom"/>
            <w:tcBorders>
              <w:right w:val="single" w:sz="8" w:color="auto"/>
            </w:tcBorders>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1,505</w:t>
            </w: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Borders>
              <w:right w:val="single" w:sz="8" w:color="auto"/>
            </w:tcBorders>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5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Net income/(loss) per ADS attributable to the Company’s</w:t>
            </w: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ordinary shareholders</w:t>
            </w: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0.01</w:t>
            </w:r>
          </w:p>
        </w:tc>
        <w:tc>
          <w:tcPr>
            <w:tcW w:w="11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Borders>
              <w:right w:val="single" w:sz="8" w:color="auto"/>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0.02</w:t>
            </w:r>
          </w:p>
        </w:tc>
        <w:tc>
          <w:tcPr>
            <w:tcW w:w="12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Diluted</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0.01</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Borders>
              <w:right w:val="single" w:sz="8" w:color="auto"/>
            </w:tcBorders>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0.02</w:t>
            </w: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Borders>
              <w:right w:val="single" w:sz="8" w:color="auto"/>
            </w:tcBorders>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5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ADS used in per share</w:t>
            </w: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calculation:</w:t>
            </w: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90,548,508</w:t>
            </w:r>
          </w:p>
        </w:tc>
        <w:tc>
          <w:tcPr>
            <w:tcW w:w="11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61,966,949</w:t>
            </w:r>
          </w:p>
        </w:tc>
        <w:tc>
          <w:tcPr>
            <w:tcW w:w="120" w:type="dxa"/>
            <w:vAlign w:val="bottom"/>
            <w:tcBorders>
              <w:right w:val="single" w:sz="8" w:color="auto"/>
            </w:tcBorders>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79,493,454</w:t>
            </w:r>
          </w:p>
        </w:tc>
        <w:tc>
          <w:tcPr>
            <w:tcW w:w="12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61,966,949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Diluted</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90,551,286</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61,966,949</w:t>
            </w:r>
          </w:p>
        </w:tc>
        <w:tc>
          <w:tcPr>
            <w:tcW w:w="120" w:type="dxa"/>
            <w:vAlign w:val="bottom"/>
            <w:tcBorders>
              <w:right w:val="single" w:sz="8" w:color="auto"/>
            </w:tcBorders>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79,496,261</w:t>
            </w:r>
          </w:p>
        </w:tc>
        <w:tc>
          <w:tcPr>
            <w:tcW w:w="1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61,966,949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right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right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86"/>
        </w:trPr>
        <w:tc>
          <w:tcPr>
            <w:tcW w:w="2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117" w:right="9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31" w:lineRule="exact"/>
        <w:rPr>
          <w:sz w:val="20"/>
          <w:szCs w:val="20"/>
          <w:color w:val="auto"/>
        </w:rPr>
      </w:pPr>
    </w:p>
    <w:p>
      <w:pPr>
        <w:ind w:right="4640"/>
        <w:spacing w:after="0" w:line="260" w:lineRule="auto"/>
        <w:rPr>
          <w:sz w:val="20"/>
          <w:szCs w:val="20"/>
          <w:color w:val="auto"/>
        </w:rPr>
      </w:pPr>
      <w:r>
        <w:rPr>
          <w:rFonts w:ascii="Times New Roman" w:cs="Times New Roman" w:eastAsia="Times New Roman" w:hAnsi="Times New Roman"/>
          <w:sz w:val="18"/>
          <w:szCs w:val="18"/>
          <w:b w:val="1"/>
          <w:bCs w:val="1"/>
          <w:color w:val="auto"/>
        </w:rPr>
        <w:t>Unaudited Condensed Consolidated Statements of Financial Position (US$’000)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4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21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time deposits and restricted cash</w:t>
            </w:r>
          </w:p>
        </w:tc>
        <w:tc>
          <w:tcPr>
            <w:tcW w:w="2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25,827</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US$3,515 and</w:t>
            </w: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US$nil as of June 30, 2025 and December 31, 2024 respectively</w:t>
            </w:r>
          </w:p>
        </w:tc>
        <w:tc>
          <w:tcPr>
            <w:tcW w:w="2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7,034</w:t>
            </w: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contracts</w:t>
            </w:r>
          </w:p>
        </w:tc>
        <w:tc>
          <w:tcPr>
            <w:tcW w:w="2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68,770</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Digital assets</w:t>
            </w:r>
          </w:p>
        </w:tc>
        <w:tc>
          <w:tcPr>
            <w:tcW w:w="2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9,428</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2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18,525</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Collateral receivables</w:t>
            </w:r>
          </w:p>
        </w:tc>
        <w:tc>
          <w:tcPr>
            <w:tcW w:w="2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20,902</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current assets, net of allowance for credit losses of US$nil and</w:t>
            </w:r>
          </w:p>
        </w:tc>
        <w:tc>
          <w:tcPr>
            <w:tcW w:w="2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US$nil as of June 30, 2025 and December 31, 2024, respectively</w:t>
            </w:r>
          </w:p>
        </w:tc>
        <w:tc>
          <w:tcPr>
            <w:tcW w:w="2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24,928</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175,414</w:t>
            </w:r>
          </w:p>
        </w:tc>
        <w:tc>
          <w:tcPr>
            <w:tcW w:w="240" w:type="dxa"/>
            <w:vAlign w:val="bottom"/>
            <w:tcBorders>
              <w:bottom w:val="single" w:sz="8" w:color="CCEEFF"/>
            </w:tcBorders>
          </w:tcPr>
          <w:p>
            <w:pPr>
              <w:spacing w:after="0"/>
              <w:rPr>
                <w:sz w:val="18"/>
                <w:szCs w:val="18"/>
                <w:color w:val="auto"/>
              </w:rPr>
            </w:pPr>
          </w:p>
        </w:tc>
        <w:tc>
          <w:tcPr>
            <w:tcW w:w="2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65,922</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3,180</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3,650</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72,752</w:t>
            </w:r>
          </w:p>
        </w:tc>
        <w:tc>
          <w:tcPr>
            <w:tcW w:w="240" w:type="dxa"/>
            <w:vAlign w:val="bottom"/>
            <w:tcBorders>
              <w:bottom w:val="single" w:sz="8" w:color="CCEEFF"/>
            </w:tcBorders>
          </w:tcPr>
          <w:p>
            <w:pPr>
              <w:spacing w:after="0"/>
              <w:rPr>
                <w:sz w:val="18"/>
                <w:szCs w:val="18"/>
                <w:color w:val="auto"/>
              </w:rPr>
            </w:pPr>
          </w:p>
        </w:tc>
        <w:tc>
          <w:tcPr>
            <w:tcW w:w="2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248,166</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129,834</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2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5,887</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 payables</w:t>
            </w:r>
          </w:p>
        </w:tc>
        <w:tc>
          <w:tcPr>
            <w:tcW w:w="2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20,902</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due to customers</w:t>
            </w:r>
          </w:p>
        </w:tc>
        <w:tc>
          <w:tcPr>
            <w:tcW w:w="2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84,180</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related parties</w:t>
            </w:r>
          </w:p>
        </w:tc>
        <w:tc>
          <w:tcPr>
            <w:tcW w:w="2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16,701</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Bank borrowings</w:t>
            </w:r>
          </w:p>
        </w:tc>
        <w:tc>
          <w:tcPr>
            <w:tcW w:w="2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2,673</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24,234</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154,577</w:t>
            </w:r>
          </w:p>
        </w:tc>
        <w:tc>
          <w:tcPr>
            <w:tcW w:w="240" w:type="dxa"/>
            <w:vAlign w:val="bottom"/>
            <w:tcBorders>
              <w:bottom w:val="single" w:sz="8" w:color="CCEEFF"/>
            </w:tcBorders>
          </w:tcPr>
          <w:p>
            <w:pPr>
              <w:spacing w:after="0"/>
              <w:rPr>
                <w:sz w:val="18"/>
                <w:szCs w:val="18"/>
                <w:color w:val="auto"/>
              </w:rPr>
            </w:pPr>
          </w:p>
        </w:tc>
        <w:tc>
          <w:tcPr>
            <w:tcW w:w="2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2,294</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240" w:type="dxa"/>
            <w:vAlign w:val="bottom"/>
            <w:tcBorders>
              <w:bottom w:val="single" w:sz="8" w:color="CCEEFF"/>
            </w:tcBorders>
          </w:tcPr>
          <w:p>
            <w:pPr>
              <w:spacing w:after="0"/>
              <w:rPr>
                <w:sz w:val="18"/>
                <w:szCs w:val="18"/>
                <w:color w:val="auto"/>
              </w:rPr>
            </w:pPr>
          </w:p>
        </w:tc>
        <w:tc>
          <w:tcPr>
            <w:tcW w:w="2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156,871</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100,049</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2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2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73,431</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2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(35,218)</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w:t>
            </w:r>
          </w:p>
        </w:tc>
        <w:tc>
          <w:tcPr>
            <w:tcW w:w="2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53,086</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Total equity attributable to equity holders of the Company</w:t>
            </w:r>
          </w:p>
        </w:tc>
        <w:tc>
          <w:tcPr>
            <w:tcW w:w="2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91,299</w:t>
            </w:r>
          </w:p>
        </w:tc>
        <w:tc>
          <w:tcPr>
            <w:tcW w:w="240" w:type="dxa"/>
            <w:vAlign w:val="bottom"/>
          </w:tcPr>
          <w:p>
            <w:pPr>
              <w:spacing w:after="0"/>
              <w:rPr>
                <w:sz w:val="18"/>
                <w:szCs w:val="18"/>
                <w:color w:val="auto"/>
              </w:rPr>
            </w:pP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91,295</w:t>
            </w:r>
          </w:p>
        </w:tc>
        <w:tc>
          <w:tcPr>
            <w:tcW w:w="240" w:type="dxa"/>
            <w:vAlign w:val="bottom"/>
          </w:tcPr>
          <w:p>
            <w:pPr>
              <w:spacing w:after="0"/>
              <w:rPr>
                <w:sz w:val="18"/>
                <w:szCs w:val="18"/>
                <w:color w:val="auto"/>
              </w:rPr>
            </w:pP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2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248,166</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2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7"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Reconciliations of GAAP and Non-GAAP Results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(US$’000, except share data and per share data, or otherwise noted)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represents net income/(loss) before (i) depreciation and amortization, (ii) finance income, net, (iii) income tax (credit)/expense, (iv) share-based compensation, (v) other (gains)/losses, net, (vi) net loss attributable to non-controlling interests, (vii) unrealized (gain)/loss in fair value of digital assets, and (viii) cost related to merger.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a reconciliation of the Company’s adjusted EBITDA from net income/(loss) for the periods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1680" w:type="dxa"/>
            <w:vAlign w:val="bottom"/>
            <w:tcBorders>
              <w:right w:val="single" w:sz="8" w:color="auto"/>
            </w:tcBorders>
          </w:tcPr>
          <w:p>
            <w:pPr>
              <w:spacing w:after="0"/>
              <w:rPr>
                <w:sz w:val="14"/>
                <w:szCs w:val="14"/>
                <w:color w:val="auto"/>
              </w:rPr>
            </w:pPr>
          </w:p>
        </w:tc>
        <w:tc>
          <w:tcPr>
            <w:tcW w:w="2760" w:type="dxa"/>
            <w:vAlign w:val="bottom"/>
            <w:tcBorders>
              <w:top w:val="single" w:sz="8" w:color="auto"/>
              <w:bottom w:val="single" w:sz="8" w:color="auto"/>
              <w:right w:val="single" w:sz="8" w:color="auto"/>
            </w:tcBorders>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Borders>
              <w:right w:val="single" w:sz="8" w:color="auto"/>
            </w:tcBorders>
          </w:tcPr>
          <w:p>
            <w:pPr>
              <w:spacing w:after="0"/>
              <w:rPr>
                <w:sz w:val="14"/>
                <w:szCs w:val="14"/>
                <w:color w:val="auto"/>
              </w:rPr>
            </w:pPr>
          </w:p>
        </w:tc>
        <w:tc>
          <w:tcPr>
            <w:tcW w:w="2900" w:type="dxa"/>
            <w:vAlign w:val="bottom"/>
            <w:tcBorders>
              <w:top w:val="single" w:sz="8" w:color="auto"/>
              <w:bottom w:val="single" w:sz="8" w:color="auto"/>
              <w:right w:val="single" w:sz="8" w:color="auto"/>
            </w:tcBorders>
            <w:gridSpan w:val="3"/>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24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right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80" w:type="dxa"/>
            <w:vAlign w:val="bottom"/>
            <w:tcBorders>
              <w:bottom w:val="single" w:sz="8" w:color="auto"/>
              <w:right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right w:val="single" w:sz="8" w:color="auto"/>
            </w:tcBorders>
          </w:tcPr>
          <w:p>
            <w:pPr>
              <w:spacing w:after="0"/>
              <w:rPr>
                <w:sz w:val="12"/>
                <w:szCs w:val="12"/>
                <w:color w:val="auto"/>
              </w:rPr>
            </w:pPr>
          </w:p>
        </w:tc>
        <w:tc>
          <w:tcPr>
            <w:tcW w:w="134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2"/>
                <w:szCs w:val="12"/>
                <w:color w:val="auto"/>
              </w:rPr>
            </w:pPr>
          </w:p>
        </w:tc>
        <w:tc>
          <w:tcPr>
            <w:tcW w:w="1460" w:type="dxa"/>
            <w:vAlign w:val="bottom"/>
            <w:tcBorders>
              <w:bottom w:val="single" w:sz="8" w:color="auto"/>
              <w:right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4160" w:type="dxa"/>
            <w:vAlign w:val="bottom"/>
            <w:tcBorders>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Borders>
              <w:right w:val="single" w:sz="8" w:color="auto"/>
            </w:tcBorders>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(10,341)</w:t>
            </w:r>
          </w:p>
        </w:tc>
      </w:tr>
      <w:tr>
        <w:trPr>
          <w:trHeight w:val="216"/>
        </w:trPr>
        <w:tc>
          <w:tcPr>
            <w:tcW w:w="41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Add/(less):</w:t>
            </w: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r>
      <w:tr>
        <w:trPr>
          <w:trHeight w:val="216"/>
        </w:trPr>
        <w:tc>
          <w:tcPr>
            <w:tcW w:w="4160" w:type="dxa"/>
            <w:vAlign w:val="bottom"/>
            <w:tcBorders>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w:t>
            </w:r>
          </w:p>
        </w:tc>
        <w:tc>
          <w:tcPr>
            <w:tcW w:w="12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right w:val="single" w:sz="8" w:color="auto"/>
            </w:tcBorders>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621</w:t>
            </w:r>
          </w:p>
        </w:tc>
        <w:tc>
          <w:tcPr>
            <w:tcW w:w="14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41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Finance income, net</w:t>
            </w:r>
          </w:p>
        </w:tc>
        <w:tc>
          <w:tcPr>
            <w:tcW w:w="8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right w:val="single" w:sz="8" w:color="auto"/>
            </w:tcBorders>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160" w:type="dxa"/>
            <w:vAlign w:val="bottom"/>
            <w:tcBorders>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Income tax (credit)/expense</w:t>
            </w: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4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1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8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spacing w:after="0"/>
              <w:rPr>
                <w:sz w:val="18"/>
                <w:szCs w:val="18"/>
                <w:color w:val="auto"/>
              </w:rPr>
            </w:pPr>
          </w:p>
        </w:tc>
        <w:tc>
          <w:tcPr>
            <w:tcW w:w="128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Borders>
              <w:right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tcPr>
          <w:p>
            <w:pPr>
              <w:spacing w:after="0"/>
              <w:rPr>
                <w:sz w:val="18"/>
                <w:szCs w:val="18"/>
                <w:color w:val="auto"/>
              </w:rPr>
            </w:pPr>
          </w:p>
        </w:tc>
        <w:tc>
          <w:tcPr>
            <w:tcW w:w="146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(10,197)</w:t>
            </w:r>
          </w:p>
        </w:tc>
      </w:tr>
      <w:tr>
        <w:trPr>
          <w:trHeight w:val="216"/>
        </w:trPr>
        <w:tc>
          <w:tcPr>
            <w:tcW w:w="4160" w:type="dxa"/>
            <w:vAlign w:val="bottom"/>
            <w:tcBorders>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Add/(less):</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tcBorders>
              <w:right w:val="single" w:sz="8" w:color="auto"/>
            </w:tcBorders>
            <w:shd w:val="clear" w:color="auto" w:fill="CCEEFF"/>
          </w:tcPr>
          <w:p>
            <w:pPr>
              <w:spacing w:after="0"/>
              <w:rPr>
                <w:sz w:val="18"/>
                <w:szCs w:val="18"/>
                <w:color w:val="auto"/>
              </w:rPr>
            </w:pPr>
          </w:p>
        </w:tc>
      </w:tr>
      <w:tr>
        <w:trPr>
          <w:trHeight w:val="216"/>
        </w:trPr>
        <w:tc>
          <w:tcPr>
            <w:tcW w:w="41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Share-based compensation</w:t>
            </w:r>
          </w:p>
        </w:tc>
        <w:tc>
          <w:tcPr>
            <w:tcW w:w="8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805</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60" w:type="dxa"/>
            <w:vAlign w:val="bottom"/>
            <w:tcBorders>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(gains)/losses, net</w:t>
            </w: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(1,642)</w:t>
            </w:r>
          </w:p>
        </w:tc>
        <w:tc>
          <w:tcPr>
            <w:tcW w:w="12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right w:val="single" w:sz="8" w:color="auto"/>
            </w:tcBorders>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(1,755)</w:t>
            </w:r>
          </w:p>
        </w:tc>
        <w:tc>
          <w:tcPr>
            <w:tcW w:w="14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160" w:type="dxa"/>
            <w:vAlign w:val="bottom"/>
            <w:tcBorders>
              <w:right w:val="single" w:sz="8" w:color="auto"/>
            </w:tcBorders>
            <w:gridSpan w:val="2"/>
          </w:tcPr>
          <w:p>
            <w:pPr>
              <w:ind w:left="60"/>
              <w:spacing w:after="0" w:line="216" w:lineRule="exact"/>
              <w:rPr>
                <w:sz w:val="20"/>
                <w:szCs w:val="20"/>
                <w:color w:val="auto"/>
              </w:rPr>
            </w:pPr>
            <w:r>
              <w:rPr>
                <w:rFonts w:ascii="Times New Roman" w:cs="Times New Roman" w:eastAsia="Times New Roman" w:hAnsi="Times New Roman"/>
                <w:sz w:val="17"/>
                <w:szCs w:val="17"/>
                <w:color w:val="auto"/>
              </w:rPr>
              <w:t>Net loss attributable to non-controlling interests</w:t>
            </w:r>
            <w:r>
              <w:rPr>
                <w:rFonts w:ascii="Times New Roman" w:cs="Times New Roman" w:eastAsia="Times New Roman" w:hAnsi="Times New Roman"/>
                <w:sz w:val="25"/>
                <w:szCs w:val="25"/>
                <w:color w:val="auto"/>
                <w:vertAlign w:val="superscript"/>
              </w:rPr>
              <w:t>11</w:t>
            </w:r>
          </w:p>
        </w:tc>
        <w:tc>
          <w:tcPr>
            <w:tcW w:w="8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60" w:type="dxa"/>
            <w:vAlign w:val="bottom"/>
            <w:tcBorders>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Unrealized (gain)/loss in fair value of digital assets</w:t>
            </w:r>
          </w:p>
        </w:tc>
        <w:tc>
          <w:tcPr>
            <w:tcW w:w="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00" w:type="dxa"/>
            <w:vAlign w:val="bottom"/>
            <w:tcBorders>
              <w:right w:val="single" w:sz="8" w:color="auto"/>
            </w:tcBorders>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8,399</w:t>
            </w:r>
          </w:p>
        </w:tc>
      </w:tr>
      <w:tr>
        <w:trPr>
          <w:trHeight w:val="216"/>
        </w:trPr>
        <w:tc>
          <w:tcPr>
            <w:tcW w:w="4160" w:type="dxa"/>
            <w:vAlign w:val="bottom"/>
            <w:tcBorders>
              <w:right w:val="single" w:sz="8" w:color="auto"/>
            </w:tcBorders>
            <w:gridSpan w:val="2"/>
          </w:tcPr>
          <w:p>
            <w:pPr>
              <w:ind w:left="60"/>
              <w:spacing w:after="0" w:line="216" w:lineRule="exact"/>
              <w:rPr>
                <w:sz w:val="20"/>
                <w:szCs w:val="20"/>
                <w:color w:val="auto"/>
              </w:rPr>
            </w:pPr>
            <w:r>
              <w:rPr>
                <w:rFonts w:ascii="Times New Roman" w:cs="Times New Roman" w:eastAsia="Times New Roman" w:hAnsi="Times New Roman"/>
                <w:sz w:val="17"/>
                <w:szCs w:val="17"/>
                <w:color w:val="auto"/>
              </w:rPr>
              <w:t>Cost related to merger</w:t>
            </w:r>
            <w:r>
              <w:rPr>
                <w:rFonts w:ascii="Times New Roman" w:cs="Times New Roman" w:eastAsia="Times New Roman" w:hAnsi="Times New Roman"/>
                <w:sz w:val="25"/>
                <w:szCs w:val="25"/>
                <w:color w:val="auto"/>
                <w:vertAlign w:val="superscript"/>
              </w:rPr>
              <w:t>12</w:t>
            </w:r>
          </w:p>
        </w:tc>
        <w:tc>
          <w:tcPr>
            <w:tcW w:w="8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w:t>
            </w:r>
          </w:p>
        </w:tc>
        <w:tc>
          <w:tcPr>
            <w:tcW w:w="14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160" w:type="dxa"/>
            <w:vAlign w:val="bottom"/>
            <w:tcBorders>
              <w:top w:val="single" w:sz="8" w:color="CCEEFF"/>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r>
      <w:tr>
        <w:trPr>
          <w:trHeight w:val="210"/>
        </w:trPr>
        <w:tc>
          <w:tcPr>
            <w:tcW w:w="248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81"/>
        </w:trPr>
        <w:tc>
          <w:tcPr>
            <w:tcW w:w="2480" w:type="dxa"/>
            <w:vAlign w:val="bottom"/>
            <w:tcBorders>
              <w:bottom w:val="single" w:sz="8" w:color="auto"/>
            </w:tcBorders>
          </w:tcPr>
          <w:p>
            <w:pPr>
              <w:spacing w:after="0"/>
              <w:rPr>
                <w:sz w:val="7"/>
                <w:szCs w:val="7"/>
                <w:color w:val="auto"/>
              </w:rPr>
            </w:pPr>
          </w:p>
        </w:tc>
        <w:tc>
          <w:tcPr>
            <w:tcW w:w="1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tcPr>
          <w:p>
            <w:pPr>
              <w:spacing w:after="0"/>
              <w:rPr>
                <w:sz w:val="7"/>
                <w:szCs w:val="7"/>
                <w:color w:val="auto"/>
              </w:rPr>
            </w:pPr>
          </w:p>
        </w:tc>
      </w:tr>
    </w:tbl>
    <w:p>
      <w:pPr>
        <w:spacing w:after="0" w:line="45" w:lineRule="exact"/>
        <w:rPr>
          <w:sz w:val="20"/>
          <w:szCs w:val="20"/>
          <w:color w:val="auto"/>
        </w:rPr>
      </w:pPr>
    </w:p>
    <w:p>
      <w:pPr>
        <w:ind w:left="120" w:right="20" w:hanging="112"/>
        <w:spacing w:after="0" w:line="233" w:lineRule="auto"/>
        <w:tabs>
          <w:tab w:leader="none" w:pos="120" w:val="left"/>
        </w:tabs>
        <w:numPr>
          <w:ilvl w:val="0"/>
          <w:numId w:val="6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Net loss attributable to non-controlling interests has been adjusted back because the Company’s management regularly reviews EBITDA excluding non-controlling interests as a measure of its operational performance.</w:t>
      </w:r>
    </w:p>
    <w:p>
      <w:pPr>
        <w:ind w:left="120" w:hanging="112"/>
        <w:spacing w:after="0"/>
        <w:tabs>
          <w:tab w:leader="none" w:pos="120" w:val="left"/>
        </w:tabs>
        <w:numPr>
          <w:ilvl w:val="0"/>
          <w:numId w:val="6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Cost related to the merger relates to legal and professional fees.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net (loss)/income represents net income/(loss) before (i) share-based compensation, (ii) other (gains)/losses, net, (iii) net loss attributable to non-controlling interests, (iv) unrealized (gain)/loss in fair value of digital assets, and (v) cost related to merger. There is no material tax effects on these non-GAAP adjustments.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a reconciliation of the Company’s adjusted net (loss)/income from net income/(loss) for the periods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Borders>
              <w:right w:val="single" w:sz="8" w:color="auto"/>
            </w:tcBorders>
          </w:tcPr>
          <w:p>
            <w:pPr>
              <w:spacing w:after="0"/>
              <w:rPr>
                <w:sz w:val="14"/>
                <w:szCs w:val="14"/>
                <w:color w:val="auto"/>
              </w:rPr>
            </w:pPr>
          </w:p>
        </w:tc>
        <w:tc>
          <w:tcPr>
            <w:tcW w:w="2780" w:type="dxa"/>
            <w:vAlign w:val="bottom"/>
            <w:tcBorders>
              <w:top w:val="single" w:sz="8" w:color="auto"/>
              <w:bottom w:val="single" w:sz="8" w:color="auto"/>
              <w:right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Borders>
              <w:right w:val="single" w:sz="8" w:color="auto"/>
            </w:tcBorders>
          </w:tcPr>
          <w:p>
            <w:pPr>
              <w:spacing w:after="0"/>
              <w:rPr>
                <w:sz w:val="14"/>
                <w:szCs w:val="14"/>
                <w:color w:val="auto"/>
              </w:rPr>
            </w:pPr>
          </w:p>
        </w:tc>
        <w:tc>
          <w:tcPr>
            <w:tcW w:w="2840" w:type="dxa"/>
            <w:vAlign w:val="bottom"/>
            <w:tcBorders>
              <w:top w:val="single" w:sz="8" w:color="auto"/>
              <w:bottom w:val="single" w:sz="8" w:color="auto"/>
              <w:right w:val="single" w:sz="8" w:color="auto"/>
            </w:tcBorders>
            <w:gridSpan w:val="3"/>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4180" w:type="dxa"/>
            <w:vAlign w:val="bottom"/>
            <w:tcBorders>
              <w:bottom w:val="single" w:sz="8" w:color="CCEEFF"/>
              <w:right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right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right w:val="single" w:sz="8" w:color="auto"/>
            </w:tcBorders>
          </w:tcPr>
          <w:p>
            <w:pPr>
              <w:spacing w:after="0"/>
              <w:rPr>
                <w:sz w:val="17"/>
                <w:szCs w:val="17"/>
                <w:color w:val="auto"/>
              </w:rPr>
            </w:pPr>
          </w:p>
        </w:tc>
        <w:tc>
          <w:tcPr>
            <w:tcW w:w="13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400" w:type="dxa"/>
            <w:vAlign w:val="bottom"/>
            <w:tcBorders>
              <w:bottom w:val="single" w:sz="8" w:color="auto"/>
              <w:right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1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20" w:type="dxa"/>
            <w:vAlign w:val="bottom"/>
            <w:tcBorders>
              <w:right w:val="single" w:sz="8" w:color="auto"/>
            </w:tcBorders>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20" w:type="dxa"/>
            <w:vAlign w:val="bottom"/>
            <w:shd w:val="clear" w:color="auto" w:fill="CCEEFF"/>
          </w:tcPr>
          <w:p>
            <w:pPr>
              <w:spacing w:after="0"/>
              <w:rPr>
                <w:sz w:val="18"/>
                <w:szCs w:val="18"/>
                <w:color w:val="auto"/>
              </w:rPr>
            </w:pPr>
          </w:p>
        </w:tc>
        <w:tc>
          <w:tcPr>
            <w:tcW w:w="14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(10,341)</w:t>
            </w:r>
          </w:p>
        </w:tc>
      </w:tr>
      <w:tr>
        <w:trPr>
          <w:trHeight w:val="216"/>
        </w:trPr>
        <w:tc>
          <w:tcPr>
            <w:tcW w:w="41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Add/(less):</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r>
      <w:tr>
        <w:trPr>
          <w:trHeight w:val="216"/>
        </w:trPr>
        <w:tc>
          <w:tcPr>
            <w:tcW w:w="41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12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805</w:t>
            </w:r>
          </w:p>
        </w:tc>
        <w:tc>
          <w:tcPr>
            <w:tcW w:w="14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(gains)/losses, net</w:t>
            </w:r>
          </w:p>
        </w:tc>
        <w:tc>
          <w:tcPr>
            <w:tcW w:w="8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(1,642)</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right w:val="single" w:sz="8" w:color="auto"/>
            </w:tcBorders>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(1,755)</w:t>
            </w:r>
          </w:p>
        </w:tc>
        <w:tc>
          <w:tcPr>
            <w:tcW w:w="1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180" w:type="dxa"/>
            <w:vAlign w:val="bottom"/>
            <w:tcBorders>
              <w:right w:val="single" w:sz="8" w:color="auto"/>
            </w:tcBorders>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Net loss attributable to non-controlling interests</w:t>
            </w:r>
            <w:r>
              <w:rPr>
                <w:rFonts w:ascii="Times New Roman" w:cs="Times New Roman" w:eastAsia="Times New Roman" w:hAnsi="Times New Roman"/>
                <w:sz w:val="25"/>
                <w:szCs w:val="25"/>
                <w:color w:val="auto"/>
                <w:vertAlign w:val="superscript"/>
              </w:rPr>
              <w:t>11</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12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4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Unrealized (gain)/loss in fair value of digital assets</w:t>
            </w:r>
          </w:p>
        </w:tc>
        <w:tc>
          <w:tcPr>
            <w:tcW w:w="8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20" w:type="dxa"/>
            <w:vAlign w:val="bottom"/>
            <w:tcBorders>
              <w:right w:val="single" w:sz="8" w:color="auto"/>
            </w:tcBorders>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8,399</w:t>
            </w:r>
          </w:p>
        </w:tc>
      </w:tr>
      <w:tr>
        <w:trPr>
          <w:trHeight w:val="216"/>
        </w:trPr>
        <w:tc>
          <w:tcPr>
            <w:tcW w:w="4180" w:type="dxa"/>
            <w:vAlign w:val="bottom"/>
            <w:tcBorders>
              <w:right w:val="single" w:sz="8" w:color="auto"/>
            </w:tcBorders>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Cost related to merger</w:t>
            </w:r>
            <w:r>
              <w:rPr>
                <w:rFonts w:ascii="Times New Roman" w:cs="Times New Roman" w:eastAsia="Times New Roman" w:hAnsi="Times New Roman"/>
                <w:sz w:val="25"/>
                <w:szCs w:val="25"/>
                <w:color w:val="auto"/>
                <w:vertAlign w:val="superscript"/>
              </w:rPr>
              <w:t>12</w:t>
            </w:r>
          </w:p>
        </w:tc>
        <w:tc>
          <w:tcPr>
            <w:tcW w:w="8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c>
          <w:tcPr>
            <w:tcW w:w="12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444</w:t>
            </w:r>
          </w:p>
        </w:tc>
        <w:tc>
          <w:tcPr>
            <w:tcW w:w="14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180" w:type="dxa"/>
            <w:vAlign w:val="bottom"/>
            <w:tcBorders>
              <w:bottom w:val="single" w:sz="8" w:color="CCEEFF"/>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Adjusted net (loss)/income</w:t>
            </w:r>
          </w:p>
        </w:tc>
        <w:tc>
          <w:tcPr>
            <w:tcW w:w="8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tcBorders>
              <w:bottom w:val="single" w:sz="8" w:color="CCEEFF"/>
              <w:right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20" w:type="dxa"/>
            <w:vAlign w:val="bottom"/>
            <w:tcBorders>
              <w:bottom w:val="single" w:sz="8" w:color="CCEEFF"/>
            </w:tcBorders>
          </w:tcPr>
          <w:p>
            <w:pPr>
              <w:spacing w:after="0"/>
              <w:rPr>
                <w:sz w:val="18"/>
                <w:szCs w:val="18"/>
                <w:color w:val="auto"/>
              </w:rPr>
            </w:pPr>
          </w:p>
        </w:tc>
        <w:tc>
          <w:tcPr>
            <w:tcW w:w="140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w:t>
            </w:r>
          </w:p>
        </w:tc>
      </w:tr>
      <w:tr>
        <w:trPr>
          <w:trHeight w:val="210"/>
        </w:trPr>
        <w:tc>
          <w:tcPr>
            <w:tcW w:w="4180" w:type="dxa"/>
            <w:vAlign w:val="bottom"/>
            <w:tcBorders>
              <w:right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auto"/>
            </w:tcBorders>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973"/>
        </w:trPr>
        <w:tc>
          <w:tcPr>
            <w:tcW w:w="4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The diluted adjusted net (loss)/income per ADS for the periods indicated are calculated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40" w:type="dxa"/>
            <w:vAlign w:val="bottom"/>
            <w:tcBorders>
              <w:right w:val="single" w:sz="8" w:color="auto"/>
            </w:tcBorders>
          </w:tcPr>
          <w:p>
            <w:pPr>
              <w:spacing w:after="0"/>
              <w:rPr>
                <w:sz w:val="14"/>
                <w:szCs w:val="14"/>
                <w:color w:val="auto"/>
              </w:rPr>
            </w:pPr>
          </w:p>
        </w:tc>
        <w:tc>
          <w:tcPr>
            <w:tcW w:w="2840" w:type="dxa"/>
            <w:vAlign w:val="bottom"/>
            <w:tcBorders>
              <w:top w:val="single" w:sz="8" w:color="auto"/>
              <w:bottom w:val="single" w:sz="8" w:color="auto"/>
              <w:right w:val="single" w:sz="8" w:color="auto"/>
            </w:tcBorders>
            <w:gridSpan w:val="3"/>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Borders>
              <w:right w:val="single" w:sz="8" w:color="auto"/>
            </w:tcBorders>
          </w:tcPr>
          <w:p>
            <w:pPr>
              <w:spacing w:after="0"/>
              <w:rPr>
                <w:sz w:val="14"/>
                <w:szCs w:val="14"/>
                <w:color w:val="auto"/>
              </w:rPr>
            </w:pPr>
          </w:p>
        </w:tc>
        <w:tc>
          <w:tcPr>
            <w:tcW w:w="2920" w:type="dxa"/>
            <w:vAlign w:val="bottom"/>
            <w:tcBorders>
              <w:top w:val="single" w:sz="8" w:color="auto"/>
              <w:bottom w:val="single" w:sz="8" w:color="auto"/>
              <w:right w:val="single" w:sz="8" w:color="auto"/>
            </w:tcBorders>
            <w:gridSpan w:val="3"/>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Borders>
              <w:bottom w:val="single" w:sz="8" w:color="CCEEFF"/>
              <w:right w:val="single" w:sz="8" w:color="auto"/>
            </w:tcBorders>
          </w:tcPr>
          <w:p>
            <w:pPr>
              <w:spacing w:after="0"/>
              <w:rPr>
                <w:sz w:val="12"/>
                <w:szCs w:val="12"/>
                <w:color w:val="auto"/>
              </w:rPr>
            </w:pPr>
          </w:p>
        </w:tc>
        <w:tc>
          <w:tcPr>
            <w:tcW w:w="146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2"/>
                <w:szCs w:val="12"/>
                <w:color w:val="auto"/>
              </w:rPr>
            </w:pPr>
          </w:p>
        </w:tc>
        <w:tc>
          <w:tcPr>
            <w:tcW w:w="1280" w:type="dxa"/>
            <w:vAlign w:val="bottom"/>
            <w:tcBorders>
              <w:bottom w:val="single" w:sz="8" w:color="auto"/>
              <w:right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right w:val="single" w:sz="8" w:color="auto"/>
            </w:tcBorders>
          </w:tcPr>
          <w:p>
            <w:pPr>
              <w:spacing w:after="0"/>
              <w:rPr>
                <w:sz w:val="12"/>
                <w:szCs w:val="12"/>
                <w:color w:val="auto"/>
              </w:rPr>
            </w:pPr>
          </w:p>
        </w:tc>
        <w:tc>
          <w:tcPr>
            <w:tcW w:w="136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2"/>
                <w:szCs w:val="12"/>
                <w:color w:val="auto"/>
              </w:rPr>
            </w:pPr>
          </w:p>
        </w:tc>
        <w:tc>
          <w:tcPr>
            <w:tcW w:w="1440" w:type="dxa"/>
            <w:vAlign w:val="bottom"/>
            <w:tcBorders>
              <w:bottom w:val="single" w:sz="8" w:color="auto"/>
              <w:right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Borders>
              <w:right w:val="single" w:sz="8" w:color="auto"/>
            </w:tcBorders>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20" w:type="dxa"/>
            <w:vAlign w:val="bottom"/>
            <w:shd w:val="clear" w:color="auto" w:fill="CCEEFF"/>
          </w:tcPr>
          <w:p>
            <w:pPr>
              <w:spacing w:after="0"/>
              <w:rPr>
                <w:sz w:val="18"/>
                <w:szCs w:val="18"/>
                <w:color w:val="auto"/>
              </w:rPr>
            </w:pPr>
          </w:p>
        </w:tc>
        <w:tc>
          <w:tcPr>
            <w:tcW w:w="14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Add: Non-GAAP adjustments to net income/(loss)</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(1,039)</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00" w:type="dxa"/>
            <w:vAlign w:val="bottom"/>
            <w:tcBorders>
              <w:right w:val="single" w:sz="8" w:color="auto"/>
            </w:tcBorders>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(478)</w:t>
            </w:r>
          </w:p>
        </w:tc>
        <w:tc>
          <w:tcPr>
            <w:tcW w:w="1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tcBorders>
              <w:top w:val="single" w:sz="8" w:color="CCEEFF"/>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(loss)/income</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040" w:type="dxa"/>
            <w:vAlign w:val="bottom"/>
            <w:tcBorders>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for net income/(loss) per ADS</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90,548,508</w:t>
            </w:r>
          </w:p>
        </w:tc>
        <w:tc>
          <w:tcPr>
            <w:tcW w:w="12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61,966,949</w:t>
            </w:r>
          </w:p>
        </w:tc>
        <w:tc>
          <w:tcPr>
            <w:tcW w:w="100" w:type="dxa"/>
            <w:vAlign w:val="bottom"/>
            <w:tcBorders>
              <w:right w:val="single" w:sz="8" w:color="auto"/>
            </w:tcBorders>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79,493,454</w:t>
            </w:r>
          </w:p>
        </w:tc>
        <w:tc>
          <w:tcPr>
            <w:tcW w:w="14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61,966,949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Weighted average ADS outstanding</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Borders>
              <w:right w:val="single" w:sz="8" w:color="auto"/>
            </w:tcBorders>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Denominator for diluted adjusted net (loss)/income</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90,551,286</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61,966,949</w:t>
            </w:r>
          </w:p>
        </w:tc>
        <w:tc>
          <w:tcPr>
            <w:tcW w:w="100" w:type="dxa"/>
            <w:vAlign w:val="bottom"/>
            <w:tcBorders>
              <w:right w:val="single" w:sz="8" w:color="auto"/>
            </w:tcBorders>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79,496,261</w:t>
            </w:r>
          </w:p>
        </w:tc>
        <w:tc>
          <w:tcPr>
            <w:tcW w:w="1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61,966,949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 ADS - Weighted average ADS outstanding</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Borders>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income/(loss) per ADS</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12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right w:val="single" w:sz="8" w:color="auto"/>
            </w:tcBorders>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0.02</w:t>
            </w:r>
          </w:p>
        </w:tc>
        <w:tc>
          <w:tcPr>
            <w:tcW w:w="14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4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Add: Non-GAAP adjustments to net income/(loss)</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 ADS</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12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right w:val="single" w:sz="8" w:color="auto"/>
            </w:tcBorders>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14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tcBorders>
              <w:top w:val="single" w:sz="8" w:color="CCEEFF"/>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adjusted net (loss)/income per ADS</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right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70"/>
        </w:trPr>
        <w:tc>
          <w:tcPr>
            <w:tcW w:w="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decimal"/>
      <w:start w:val="104"/>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emdash "/>
      <w:numFmt w:val="bullet"/>
      <w:start w:val="1"/>
    </w:lvl>
  </w:abstractNum>
  <w:abstractNum w:abstractNumId="3">
    <w:nsid w:val="22221A70"/>
    <w:multiLevelType w:val="hybridMultilevel"/>
    <w:lvl w:ilvl="0">
      <w:lvlJc w:val="left"/>
      <w:lvlText w:val="\emdash "/>
      <w:numFmt w:val="bullet"/>
      <w:start w:val="1"/>
    </w:lvl>
  </w:abstractNum>
  <w:abstractNum w:abstractNumId="4">
    <w:nsid w:val="4516DDE9"/>
    <w:multiLevelType w:val="hybridMultilevel"/>
    <w:lvl w:ilvl="0">
      <w:lvlJc w:val="left"/>
      <w:lvlText w:val="%1"/>
      <w:numFmt w:val="decimal"/>
      <w:start w:val="793"/>
    </w:lvl>
  </w:abstractNum>
  <w:abstractNum w:abstractNumId="5">
    <w:nsid w:val="3006C83E"/>
    <w:multiLevelType w:val="hybridMultilevel"/>
    <w:lvl w:ilvl="0">
      <w:lvlJc w:val="left"/>
      <w:lvlText w:val="\emdash "/>
      <w:numFmt w:val="bullet"/>
      <w:start w:val="1"/>
    </w:lvl>
  </w:abstractNum>
  <w:abstractNum w:abstractNumId="6">
    <w:nsid w:val="614FD4A1"/>
    <w:multiLevelType w:val="hybridMultilevel"/>
    <w:lvl w:ilvl="0">
      <w:lvlJc w:val="left"/>
      <w:lvlText w:val="%1."/>
      <w:numFmt w:val="decimal"/>
      <w:start w:val="1"/>
    </w:lvl>
  </w:abstractNum>
  <w:abstractNum w:abstractNumId="7">
    <w:nsid w:val="419AC241"/>
    <w:multiLevelType w:val="hybridMultilevel"/>
    <w:lvl w:ilvl="0">
      <w:lvlJc w:val="left"/>
      <w:lvlText w:val="%1."/>
      <w:numFmt w:val="decimal"/>
      <w:start w:val="1"/>
    </w:lvl>
  </w:abstractNum>
  <w:abstractNum w:abstractNumId="8">
    <w:nsid w:val="5577F8E1"/>
    <w:multiLevelType w:val="hybridMultilevel"/>
    <w:lvl w:ilvl="0">
      <w:lvlJc w:val="left"/>
      <w:lvlText w:val="%1."/>
      <w:numFmt w:val="decimal"/>
      <w:start w:val="1"/>
    </w:lvl>
  </w:abstractNum>
  <w:abstractNum w:abstractNumId="9">
    <w:nsid w:val="440BADFC"/>
    <w:multiLevelType w:val="hybridMultilevel"/>
    <w:lvl w:ilvl="0">
      <w:lvlJc w:val="left"/>
      <w:lvlText w:val="%1."/>
      <w:numFmt w:val="decimal"/>
      <w:start w:val="1"/>
    </w:lvl>
  </w:abstractNum>
  <w:abstractNum w:abstractNumId="10">
    <w:nsid w:val="5072367"/>
    <w:multiLevelType w:val="hybridMultilevel"/>
    <w:lvl w:ilvl="0">
      <w:lvlJc w:val="left"/>
      <w:lvlText w:val="(%1)"/>
      <w:numFmt w:val="lowerLetter"/>
      <w:start w:val="1"/>
    </w:lvl>
  </w:abstractNum>
  <w:abstractNum w:abstractNumId="11">
    <w:nsid w:val="3804823E"/>
    <w:multiLevelType w:val="hybridMultilevel"/>
    <w:lvl w:ilvl="0">
      <w:lvlJc w:val="left"/>
      <w:lvlText w:val="%1."/>
      <w:numFmt w:val="decimal"/>
      <w:start w:val="1"/>
    </w:lvl>
    <w:lvl w:ilvl="1">
      <w:lvlJc w:val="left"/>
      <w:lvlText w:val="(%2)"/>
      <w:numFmt w:val="lowerLetter"/>
      <w:start w:val="2"/>
    </w:lvl>
  </w:abstractNum>
  <w:abstractNum w:abstractNumId="12">
    <w:nsid w:val="77465F01"/>
    <w:multiLevelType w:val="hybridMultilevel"/>
    <w:lvl w:ilvl="0">
      <w:lvlJc w:val="left"/>
      <w:lvlText w:val="%1."/>
      <w:numFmt w:val="decimal"/>
      <w:start w:val="1"/>
    </w:lvl>
    <w:lvl w:ilvl="1">
      <w:lvlJc w:val="left"/>
      <w:lvlText w:val="(%2)"/>
      <w:numFmt w:val="lowerLetter"/>
      <w:start w:val="3"/>
    </w:lvl>
  </w:abstractNum>
  <w:abstractNum w:abstractNumId="13">
    <w:nsid w:val="7724C67E"/>
    <w:multiLevelType w:val="hybridMultilevel"/>
    <w:lvl w:ilvl="0">
      <w:lvlJc w:val="left"/>
      <w:lvlText w:val="(%1)"/>
      <w:numFmt w:val="lowerLetter"/>
      <w:start w:val="1"/>
    </w:lvl>
  </w:abstractNum>
  <w:abstractNum w:abstractNumId="14">
    <w:nsid w:val="5C482A97"/>
    <w:multiLevelType w:val="hybridMultilevel"/>
    <w:lvl w:ilvl="0">
      <w:lvlJc w:val="left"/>
      <w:lvlText w:val="%1."/>
      <w:numFmt w:val="decimal"/>
      <w:start w:val="1"/>
    </w:lvl>
  </w:abstractNum>
  <w:abstractNum w:abstractNumId="15">
    <w:nsid w:val="2463B9EA"/>
    <w:multiLevelType w:val="hybridMultilevel"/>
    <w:lvl w:ilvl="0">
      <w:lvlJc w:val="left"/>
      <w:lvlText w:val="%1."/>
      <w:numFmt w:val="decimal"/>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1."/>
      <w:numFmt w:val="decimal"/>
      <w:start w:val="1"/>
    </w:lvl>
  </w:abstractNum>
  <w:abstractNum w:abstractNumId="19">
    <w:nsid w:val="580BD78F"/>
    <w:multiLevelType w:val="hybridMultilevel"/>
    <w:lvl w:ilvl="0">
      <w:lvlJc w:val="left"/>
      <w:lvlText w:val="%1."/>
      <w:numFmt w:val="decimal"/>
      <w:start w:val="1"/>
    </w:lvl>
  </w:abstractNum>
  <w:abstractNum w:abstractNumId="20">
    <w:nsid w:val="153EA438"/>
    <w:multiLevelType w:val="hybridMultilevel"/>
    <w:lvl w:ilvl="0">
      <w:lvlJc w:val="left"/>
      <w:lvlText w:val="(%1)"/>
      <w:numFmt w:val="lowerRoman"/>
      <w:start w:val="1"/>
    </w:lvl>
  </w:abstractNum>
  <w:abstractNum w:abstractNumId="21">
    <w:nsid w:val="3855585C"/>
    <w:multiLevelType w:val="hybridMultilevel"/>
    <w:lvl w:ilvl="0">
      <w:lvlJc w:val="left"/>
      <w:lvlText w:val="%1."/>
      <w:numFmt w:val="decimal"/>
      <w:start w:val="1"/>
    </w:lvl>
  </w:abstractNum>
  <w:abstractNum w:abstractNumId="22">
    <w:nsid w:val="70A64E2A"/>
    <w:multiLevelType w:val="hybridMultilevel"/>
    <w:lvl w:ilvl="0">
      <w:lvlJc w:val="left"/>
      <w:lvlText w:val="%1."/>
      <w:numFmt w:val="decimal"/>
      <w:start w:val="1"/>
    </w:lvl>
  </w:abstractNum>
  <w:abstractNum w:abstractNumId="23">
    <w:nsid w:val="6A2342EC"/>
    <w:multiLevelType w:val="hybridMultilevel"/>
    <w:lvl w:ilvl="0">
      <w:lvlJc w:val="left"/>
      <w:lvlText w:val="%1."/>
      <w:numFmt w:val="decimal"/>
      <w:start w:val="1"/>
    </w:lvl>
  </w:abstractNum>
  <w:abstractNum w:abstractNumId="24">
    <w:nsid w:val="2A487CB0"/>
    <w:multiLevelType w:val="hybridMultilevel"/>
    <w:lvl w:ilvl="0">
      <w:lvlJc w:val="left"/>
      <w:lvlText w:val="%1."/>
      <w:numFmt w:val="decimal"/>
      <w:start w:val="1"/>
    </w:lvl>
  </w:abstractNum>
  <w:abstractNum w:abstractNumId="25">
    <w:nsid w:val="1D4ED43B"/>
    <w:multiLevelType w:val="hybridMultilevel"/>
    <w:lvl w:ilvl="0">
      <w:lvlJc w:val="left"/>
      <w:lvlText w:val="%1."/>
      <w:numFmt w:val="decimal"/>
      <w:start w:val="1"/>
    </w:lvl>
  </w:abstractNum>
  <w:abstractNum w:abstractNumId="26">
    <w:nsid w:val="725A06FB"/>
    <w:multiLevelType w:val="hybridMultilevel"/>
    <w:lvl w:ilvl="0">
      <w:lvlJc w:val="left"/>
      <w:lvlText w:val="(%1)"/>
      <w:numFmt w:val="lowerRoman"/>
      <w:start w:val="4"/>
    </w:lvl>
  </w:abstractNum>
  <w:abstractNum w:abstractNumId="27">
    <w:nsid w:val="2CD89A32"/>
    <w:multiLevelType w:val="hybridMultilevel"/>
    <w:lvl w:ilvl="0">
      <w:lvlJc w:val="left"/>
      <w:lvlText w:val="%1."/>
      <w:numFmt w:val="decimal"/>
      <w:start w:val="1"/>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1."/>
      <w:numFmt w:val="decimal"/>
      <w:start w:val="2"/>
    </w:lvl>
  </w:abstractNum>
  <w:abstractNum w:abstractNumId="30">
    <w:nsid w:val="4B588F54"/>
    <w:multiLevelType w:val="hybridMultilevel"/>
    <w:lvl w:ilvl="0">
      <w:lvlJc w:val="left"/>
      <w:lvlText w:val="%1."/>
      <w:numFmt w:val="decimal"/>
      <w:start w:val="5"/>
    </w:lvl>
  </w:abstractNum>
  <w:abstractNum w:abstractNumId="31">
    <w:nsid w:val="542289EC"/>
    <w:multiLevelType w:val="hybridMultilevel"/>
    <w:lvl w:ilvl="0">
      <w:lvlJc w:val="left"/>
      <w:lvlText w:val="%1."/>
      <w:numFmt w:val="decimal"/>
      <w:start w:val="5"/>
    </w:lvl>
  </w:abstractNum>
  <w:abstractNum w:abstractNumId="32">
    <w:nsid w:val="6DE91B18"/>
    <w:multiLevelType w:val="hybridMultilevel"/>
    <w:lvl w:ilvl="0">
      <w:lvlJc w:val="left"/>
      <w:lvlText w:val="%1."/>
      <w:numFmt w:val="decimal"/>
      <w:start w:val="6"/>
    </w:lvl>
  </w:abstractNum>
  <w:abstractNum w:abstractNumId="33">
    <w:nsid w:val="38437FDB"/>
    <w:multiLevelType w:val="hybridMultilevel"/>
    <w:lvl w:ilvl="0">
      <w:lvlJc w:val="left"/>
      <w:lvlText w:val="%1."/>
      <w:numFmt w:val="decimal"/>
      <w:start w:val="8"/>
    </w:lvl>
  </w:abstractNum>
  <w:abstractNum w:abstractNumId="34">
    <w:nsid w:val="7644A45C"/>
    <w:multiLevelType w:val="hybridMultilevel"/>
    <w:lvl w:ilvl="0">
      <w:lvlJc w:val="left"/>
      <w:lvlText w:val="%1."/>
      <w:numFmt w:val="decimal"/>
      <w:start w:val="11"/>
    </w:lvl>
  </w:abstractNum>
  <w:abstractNum w:abstractNumId="35">
    <w:nsid w:val="32FFF902"/>
    <w:multiLevelType w:val="hybridMultilevel"/>
    <w:lvl w:ilvl="0">
      <w:lvlJc w:val="left"/>
      <w:lvlText w:val="(%1)"/>
      <w:numFmt w:val="lowerRoman"/>
      <w:start w:val="1"/>
    </w:lvl>
  </w:abstractNum>
  <w:abstractNum w:abstractNumId="36">
    <w:nsid w:val="684A481A"/>
    <w:multiLevelType w:val="hybridMultilevel"/>
    <w:lvl w:ilvl="0">
      <w:lvlJc w:val="left"/>
      <w:lvlText w:val="%1."/>
      <w:numFmt w:val="decimal"/>
      <w:start w:val="14"/>
    </w:lvl>
  </w:abstractNum>
  <w:abstractNum w:abstractNumId="37">
    <w:nsid w:val="579478FE"/>
    <w:multiLevelType w:val="hybridMultilevel"/>
    <w:lvl w:ilvl="0">
      <w:lvlJc w:val="left"/>
      <w:lvlText w:val="%1."/>
      <w:numFmt w:val="decimal"/>
      <w:start w:val="14"/>
    </w:lvl>
  </w:abstractNum>
  <w:abstractNum w:abstractNumId="38">
    <w:nsid w:val="749ABB43"/>
    <w:multiLevelType w:val="hybridMultilevel"/>
    <w:lvl w:ilvl="0">
      <w:lvlJc w:val="left"/>
      <w:lvlText w:val="%1."/>
      <w:numFmt w:val="decimal"/>
      <w:start w:val="16"/>
    </w:lvl>
  </w:abstractNum>
  <w:abstractNum w:abstractNumId="39">
    <w:nsid w:val="3DC240FB"/>
    <w:multiLevelType w:val="hybridMultilevel"/>
    <w:lvl w:ilvl="0">
      <w:lvlJc w:val="left"/>
      <w:lvlText w:val="%1."/>
      <w:numFmt w:val="decimal"/>
      <w:start w:val="17"/>
    </w:lvl>
  </w:abstractNum>
  <w:abstractNum w:abstractNumId="40">
    <w:nsid w:val="1BA026FA"/>
    <w:multiLevelType w:val="hybridMultilevel"/>
    <w:lvl w:ilvl="0">
      <w:lvlJc w:val="left"/>
      <w:lvlText w:val="%1."/>
      <w:numFmt w:val="decimal"/>
      <w:start w:val="18"/>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1)"/>
      <w:numFmt w:val="lowerRoman"/>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1"/>
      <w:numFmt w:val="bullet"/>
      <w:start w:val="1"/>
    </w:lvl>
  </w:abstractNum>
  <w:abstractNum w:abstractNumId="48">
    <w:nsid w:val="23F9C13C"/>
    <w:multiLevelType w:val="hybridMultilevel"/>
    <w:lvl w:ilvl="0">
      <w:lvlJc w:val="left"/>
      <w:lvlText w:val="2"/>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3"/>
      <w:numFmt w:val="bullet"/>
      <w:start w:val="1"/>
    </w:lvl>
  </w:abstractNum>
  <w:abstractNum w:abstractNumId="51">
    <w:nsid w:val="39386575"/>
    <w:multiLevelType w:val="hybridMultilevel"/>
    <w:lvl w:ilvl="0">
      <w:lvlJc w:val="left"/>
      <w:lvlText w:val="%1)"/>
      <w:numFmt w:val="decimal"/>
      <w:start w:val="1"/>
    </w:lvl>
  </w:abstractNum>
  <w:abstractNum w:abstractNumId="52">
    <w:nsid w:val="1CF10FD8"/>
    <w:multiLevelType w:val="hybridMultilevel"/>
    <w:lvl w:ilvl="0">
      <w:lvlJc w:val="left"/>
      <w:lvlText w:val="4"/>
      <w:numFmt w:val="bullet"/>
      <w:start w:val="1"/>
    </w:lvl>
  </w:abstractNum>
  <w:abstractNum w:abstractNumId="53">
    <w:nsid w:val="180115BE"/>
    <w:multiLevelType w:val="hybridMultilevel"/>
    <w:lvl w:ilvl="0">
      <w:lvlJc w:val="left"/>
      <w:lvlText w:val="5"/>
      <w:numFmt w:val="bullet"/>
      <w:start w:val="1"/>
    </w:lvl>
  </w:abstractNum>
  <w:abstractNum w:abstractNumId="54">
    <w:nsid w:val="235BA861"/>
    <w:multiLevelType w:val="hybridMultilevel"/>
    <w:lvl w:ilvl="0">
      <w:lvlJc w:val="left"/>
      <w:lvlText w:val="6"/>
      <w:numFmt w:val="bullet"/>
      <w:start w:val="1"/>
    </w:lvl>
  </w:abstractNum>
  <w:abstractNum w:abstractNumId="55">
    <w:nsid w:val="47398C89"/>
    <w:multiLevelType w:val="hybridMultilevel"/>
    <w:lvl w:ilvl="0">
      <w:lvlJc w:val="left"/>
      <w:lvlText w:val="7"/>
      <w:numFmt w:val="bullet"/>
      <w:start w:val="1"/>
    </w:lvl>
  </w:abstractNum>
  <w:abstractNum w:abstractNumId="56">
    <w:nsid w:val="354FE9F9"/>
    <w:multiLevelType w:val="hybridMultilevel"/>
    <w:lvl w:ilvl="0">
      <w:lvlJc w:val="left"/>
      <w:lvlText w:val="8"/>
      <w:numFmt w:val="bullet"/>
      <w:start w:val="1"/>
    </w:lvl>
  </w:abstractNum>
  <w:abstractNum w:abstractNumId="57">
    <w:nsid w:val="15B5AF5C"/>
    <w:multiLevelType w:val="hybridMultilevel"/>
    <w:lvl w:ilvl="0">
      <w:lvlJc w:val="left"/>
      <w:lvlText w:val="9"/>
      <w:numFmt w:val="bullet"/>
      <w:start w:val="1"/>
    </w:lvl>
  </w:abstractNum>
  <w:abstractNum w:abstractNumId="58">
    <w:nsid w:val="741226BB"/>
    <w:multiLevelType w:val="hybridMultilevel"/>
    <w:lvl w:ilvl="0">
      <w:lvlJc w:val="left"/>
      <w:lvlText w:val="%1"/>
      <w:numFmt w:val="decimal"/>
      <w:start w:val="10"/>
    </w:lvl>
  </w:abstractNum>
  <w:abstractNum w:abstractNumId="59">
    <w:nsid w:val="D34B6A8"/>
    <w:multiLevelType w:val="hybridMultilevel"/>
    <w:lvl w:ilvl="0">
      <w:lvlJc w:val="left"/>
      <w:lvlText w:val="●"/>
      <w:numFmt w:val="bullet"/>
      <w:start w:val="1"/>
    </w:lvl>
  </w:abstractNum>
  <w:abstractNum w:abstractNumId="60">
    <w:nsid w:val="10233C99"/>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2025-09-10T08:42:15Z</dcterms:created>
  <dcterms:modified xsi:type="dcterms:W3CDTF">2025-09-10T08:42:15Z</dcterms:modified>
</cp:coreProperties>
</file>