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April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24"/>
                <w:szCs w:val="24"/>
                <w:color w:val="auto"/>
              </w:rPr>
            </w:pPr>
          </w:p>
        </w:tc>
        <w:tc>
          <w:tcPr>
            <w:tcW w:w="9800" w:type="dxa"/>
            <w:vAlign w:val="bottom"/>
            <w:tcBorders>
              <w:bottom w:val="single" w:sz="8" w:color="auto"/>
            </w:tcBorders>
          </w:tcPr>
          <w:p>
            <w:pPr>
              <w:ind w:left="414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tcPr>
          <w:p>
            <w:pPr>
              <w:ind w:left="360"/>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540" w:type="dxa"/>
            <w:vAlign w:val="bottom"/>
          </w:tcPr>
          <w:p>
            <w:pPr>
              <w:ind w:left="56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540" w:type="dxa"/>
            <w:vAlign w:val="bottom"/>
          </w:tcPr>
          <w:p>
            <w:pPr>
              <w:ind w:left="5620"/>
              <w:spacing w:after="0" w:line="195"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540" w:type="dxa"/>
            <w:vAlign w:val="bottom"/>
          </w:tcPr>
          <w:p>
            <w:pPr>
              <w:ind w:left="56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w w:val="99"/>
              </w:rPr>
              <w:t>Chief Executive Officer and Executive Chairman of the Board</w:t>
            </w:r>
          </w:p>
        </w:tc>
        <w:tc>
          <w:tcPr>
            <w:tcW w:w="40" w:type="dxa"/>
            <w:vAlign w:val="bottom"/>
          </w:tcPr>
          <w:p>
            <w:pPr>
              <w:spacing w:after="0"/>
              <w:rPr>
                <w:sz w:val="20"/>
                <w:szCs w:val="20"/>
                <w:color w:val="auto"/>
              </w:rPr>
            </w:pPr>
          </w:p>
        </w:tc>
      </w:tr>
      <w:tr>
        <w:trPr>
          <w:trHeight w:val="432"/>
        </w:trPr>
        <w:tc>
          <w:tcPr>
            <w:tcW w:w="6540" w:type="dxa"/>
            <w:vAlign w:val="bottom"/>
          </w:tcPr>
          <w:p>
            <w:pPr>
              <w:spacing w:after="0"/>
              <w:rPr>
                <w:sz w:val="20"/>
                <w:szCs w:val="20"/>
                <w:color w:val="auto"/>
              </w:rPr>
            </w:pPr>
            <w:r>
              <w:rPr>
                <w:rFonts w:ascii="Arial" w:cs="Arial" w:eastAsia="Arial" w:hAnsi="Arial"/>
                <w:sz w:val="18"/>
                <w:szCs w:val="18"/>
                <w:color w:val="auto"/>
              </w:rPr>
              <w:t>Date: April 1, 2019</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540" w:type="dxa"/>
            <w:vAlign w:val="bottom"/>
          </w:tcPr>
          <w:p>
            <w:pPr>
              <w:ind w:left="5660"/>
              <w:spacing w:after="0"/>
              <w:rPr>
                <w:sz w:val="20"/>
                <w:szCs w:val="20"/>
                <w:color w:val="auto"/>
              </w:rPr>
            </w:pPr>
            <w:r>
              <w:rPr>
                <w:rFonts w:ascii="Arial" w:cs="Arial" w:eastAsia="Arial" w:hAnsi="Arial"/>
                <w:sz w:val="18"/>
                <w:szCs w:val="18"/>
                <w:color w:val="auto"/>
              </w:rPr>
              <w:t>3</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154940</wp:posOffset>
            </wp:positionV>
            <wp:extent cx="146621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 Announces a 10b5-1 Trading Plan for Share Repurchases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HONG KONG, March 29, 2019 (GLOBE NEWSWIRE) — iClick Interactive Asia Group Limited (“iClick”) (NASDAQ: ICLK), a leading independent online marketing and data technology platform in China, today announced that it entered into a trading plan on 27 March 2019 with an authorised brokerage firm in the United States (the “Plan”). The Plan is for the purpose of repurchasing iClick’s issued and outstanding American Depositary Shares (“ADSs”) in accordance with the guidelines specified under Rule 10b5-1 under the Securities and Exchange Act of 1934, as amended (the “Exchange Act”), and has been established pursuant to, and as part of, the $10-million share buyback program that was previously authorized by iClick’s board of directors and announced on November 28, 2018.</w:t>
      </w:r>
    </w:p>
    <w:p>
      <w:pPr>
        <w:spacing w:after="0" w:line="193" w:lineRule="exact"/>
        <w:rPr>
          <w:sz w:val="20"/>
          <w:szCs w:val="20"/>
          <w:color w:val="auto"/>
        </w:rPr>
      </w:pPr>
    </w:p>
    <w:p>
      <w:pPr>
        <w:jc w:val="both"/>
        <w:ind w:right="320"/>
        <w:spacing w:after="0" w:line="288" w:lineRule="auto"/>
        <w:rPr>
          <w:sz w:val="20"/>
          <w:szCs w:val="20"/>
          <w:color w:val="auto"/>
        </w:rPr>
      </w:pPr>
      <w:r>
        <w:rPr>
          <w:rFonts w:ascii="Arial" w:cs="Arial" w:eastAsia="Arial" w:hAnsi="Arial"/>
          <w:sz w:val="16"/>
          <w:szCs w:val="16"/>
          <w:color w:val="auto"/>
        </w:rPr>
        <w:t>Rule 10b5-1 allows a company to repurchase its shares or ADSs automatically and regularly at times when it otherwise might be prevented from doing so under the insider trading laws or because of self-imposed blackout periods, provided, among other considerations, that repurchases are made pursuant to a plan adopted when the company is not aware of material nonpublic information or is not otherwise prohibited from acquiring its own shares or ADSs.</w:t>
      </w:r>
    </w:p>
    <w:p>
      <w:pPr>
        <w:ind w:right="100"/>
        <w:spacing w:after="0" w:line="295" w:lineRule="auto"/>
        <w:rPr>
          <w:sz w:val="20"/>
          <w:szCs w:val="20"/>
          <w:color w:val="auto"/>
        </w:rPr>
      </w:pPr>
      <w:r>
        <w:rPr>
          <w:rFonts w:ascii="Arial" w:cs="Arial" w:eastAsia="Arial" w:hAnsi="Arial"/>
          <w:sz w:val="16"/>
          <w:szCs w:val="16"/>
          <w:color w:val="auto"/>
        </w:rPr>
        <w:t>Repurchases made under this 10b5-1 trading plan are subject to Securities and Exchange Commission’s regulations, as well as to price, volume, market and timing considerations specified in the plan. There is no guarantee as to the exact number of ADSs that will be repurchased, or the price at which they will be repurchased, under the trading plan. Subject to the rules and regulations of the Exchange Act and other applicable laws, the Plan may be suspended or discontinued at any time in the Company’s sole discretion. The Company expects to use cash on hand and self-generated cash flows to fund any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iClick Interactive Asia Group Limited (NASDAQ:ICLK)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was established in 2009, currently operating in nine locations worldwide including Asia and London. For more information, please visit http://ir.i-click.com.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its success in structuring a CRM &amp; Marketing Cloud platform;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fluctuations in foreign exchange rates; and general economic conditions in China.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6720" w:type="dxa"/>
            <w:vAlign w:val="bottom"/>
          </w:tcPr>
          <w:p>
            <w:pPr>
              <w:spacing w:after="0"/>
              <w:rPr>
                <w:sz w:val="20"/>
                <w:szCs w:val="20"/>
                <w:color w:val="auto"/>
              </w:rPr>
            </w:pPr>
          </w:p>
        </w:tc>
      </w:tr>
      <w:tr>
        <w:trPr>
          <w:trHeight w:val="414"/>
        </w:trPr>
        <w:tc>
          <w:tcPr>
            <w:tcW w:w="474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6720" w:type="dxa"/>
            <w:vAlign w:val="bottom"/>
          </w:tcPr>
          <w:p>
            <w:pPr>
              <w:ind w:left="98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7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6720" w:type="dxa"/>
            <w:vAlign w:val="bottom"/>
          </w:tcPr>
          <w:p>
            <w:pPr>
              <w:ind w:left="980"/>
              <w:spacing w:after="0"/>
              <w:rPr>
                <w:sz w:val="20"/>
                <w:szCs w:val="20"/>
                <w:color w:val="auto"/>
              </w:rPr>
            </w:pPr>
            <w:r>
              <w:rPr>
                <w:rFonts w:ascii="Arial" w:cs="Arial" w:eastAsia="Arial" w:hAnsi="Arial"/>
                <w:sz w:val="18"/>
                <w:szCs w:val="18"/>
                <w:b w:val="1"/>
                <w:bCs w:val="1"/>
                <w:color w:val="auto"/>
              </w:rPr>
              <w:t>PondelWilkinson Inc.</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Lisa Li</w:t>
            </w:r>
          </w:p>
        </w:tc>
        <w:tc>
          <w:tcPr>
            <w:tcW w:w="6720" w:type="dxa"/>
            <w:vAlign w:val="bottom"/>
          </w:tcPr>
          <w:p>
            <w:pPr>
              <w:ind w:left="980"/>
              <w:spacing w:after="0"/>
              <w:rPr>
                <w:sz w:val="20"/>
                <w:szCs w:val="20"/>
                <w:color w:val="auto"/>
              </w:rPr>
            </w:pPr>
            <w:r>
              <w:rPr>
                <w:rFonts w:ascii="Arial" w:cs="Arial" w:eastAsia="Arial" w:hAnsi="Arial"/>
                <w:sz w:val="18"/>
                <w:szCs w:val="18"/>
                <w:color w:val="auto"/>
              </w:rPr>
              <w:t>Evan Pondel/Laurie Berman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Phone: +852-3700-9065</w:t>
            </w:r>
          </w:p>
        </w:tc>
        <w:tc>
          <w:tcPr>
            <w:tcW w:w="6720" w:type="dxa"/>
            <w:vAlign w:val="bottom"/>
          </w:tcPr>
          <w:p>
            <w:pPr>
              <w:ind w:left="980"/>
              <w:spacing w:after="0"/>
              <w:rPr>
                <w:sz w:val="20"/>
                <w:szCs w:val="20"/>
                <w:color w:val="auto"/>
              </w:rPr>
            </w:pPr>
            <w:r>
              <w:rPr>
                <w:rFonts w:ascii="Arial" w:cs="Arial" w:eastAsia="Arial" w:hAnsi="Arial"/>
                <w:sz w:val="18"/>
                <w:szCs w:val="18"/>
                <w:color w:val="auto"/>
              </w:rPr>
              <w:t>Tel: +1-310-279-5980</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E-mail: ir@i-click.com</w:t>
            </w:r>
          </w:p>
        </w:tc>
        <w:tc>
          <w:tcPr>
            <w:tcW w:w="6720" w:type="dxa"/>
            <w:vAlign w:val="bottom"/>
          </w:tcPr>
          <w:p>
            <w:pPr>
              <w:ind w:left="980"/>
              <w:spacing w:after="0"/>
              <w:rPr>
                <w:sz w:val="20"/>
                <w:szCs w:val="20"/>
                <w:color w:val="auto"/>
              </w:rPr>
            </w:pPr>
            <w:r>
              <w:rPr>
                <w:rFonts w:ascii="Arial" w:cs="Arial" w:eastAsia="Arial" w:hAnsi="Arial"/>
                <w:sz w:val="18"/>
                <w:szCs w:val="18"/>
                <w:color w:val="auto"/>
              </w:rPr>
              <w:t>E-mail: iclk@pondel.com</w:t>
            </w:r>
          </w:p>
        </w:tc>
      </w:tr>
      <w:tr>
        <w:trPr>
          <w:trHeight w:val="348"/>
        </w:trPr>
        <w:tc>
          <w:tcPr>
            <w:tcW w:w="4740" w:type="dxa"/>
            <w:vAlign w:val="bottom"/>
            <w:tcBorders>
              <w:bottom w:val="single" w:sz="8" w:color="808080"/>
            </w:tcBorders>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2019-12-03T17:36:38Z</dcterms:created>
  <dcterms:modified xsi:type="dcterms:W3CDTF">2019-12-03T17:36:38Z</dcterms:modified>
</cp:coreProperties>
</file>