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June 25,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F-3</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tbl>
      <w:tblPr>
        <w:tblLayout w:type="fixed"/>
        <w:tblInd w:w="560" w:type="dxa"/>
        <w:tblCellMar>
          <w:top w:w="0" w:type="dxa"/>
          <w:left w:w="0" w:type="dxa"/>
          <w:bottom w:w="0" w:type="dxa"/>
          <w:right w:w="0" w:type="dxa"/>
        </w:tblCellMar>
      </w:tblPr>
      <w:tr>
        <w:trPr>
          <w:trHeight w:val="194"/>
        </w:trPr>
        <w:tc>
          <w:tcPr>
            <w:tcW w:w="53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1"/>
              </w:rPr>
              <w:t>Cayman Islands</w:t>
            </w:r>
          </w:p>
        </w:tc>
        <w:tc>
          <w:tcPr>
            <w:tcW w:w="880" w:type="dxa"/>
            <w:vAlign w:val="bottom"/>
          </w:tcPr>
          <w:p>
            <w:pPr>
              <w:spacing w:after="0"/>
              <w:rPr>
                <w:sz w:val="16"/>
                <w:szCs w:val="16"/>
                <w:color w:val="auto"/>
              </w:rPr>
            </w:pPr>
          </w:p>
        </w:tc>
        <w:tc>
          <w:tcPr>
            <w:tcW w:w="3580" w:type="dxa"/>
            <w:vAlign w:val="bottom"/>
          </w:tcPr>
          <w:p>
            <w:pPr>
              <w:jc w:val="center"/>
              <w:ind w:right="142"/>
              <w:spacing w:after="0"/>
              <w:rPr>
                <w:sz w:val="20"/>
                <w:szCs w:val="20"/>
                <w:color w:val="auto"/>
              </w:rPr>
            </w:pPr>
            <w:r>
              <w:rPr>
                <w:rFonts w:ascii="Arial" w:cs="Arial" w:eastAsia="Arial" w:hAnsi="Arial"/>
                <w:sz w:val="16"/>
                <w:szCs w:val="16"/>
                <w:b w:val="1"/>
                <w:bCs w:val="1"/>
                <w:color w:val="auto"/>
                <w:w w:val="92"/>
              </w:rPr>
              <w:t>Not Applicable</w:t>
            </w:r>
          </w:p>
        </w:tc>
      </w:tr>
      <w:tr>
        <w:trPr>
          <w:trHeight w:val="148"/>
        </w:trPr>
        <w:tc>
          <w:tcPr>
            <w:tcW w:w="5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880" w:type="dxa"/>
            <w:vAlign w:val="bottom"/>
          </w:tcPr>
          <w:p>
            <w:pPr>
              <w:spacing w:after="0"/>
              <w:rPr>
                <w:sz w:val="12"/>
                <w:szCs w:val="12"/>
                <w:color w:val="auto"/>
              </w:rPr>
            </w:pPr>
          </w:p>
        </w:tc>
        <w:tc>
          <w:tcPr>
            <w:tcW w:w="35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Incorporation or Organization)</w:t>
            </w:r>
          </w:p>
        </w:tc>
        <w:tc>
          <w:tcPr>
            <w:tcW w:w="880" w:type="dxa"/>
            <w:vAlign w:val="bottom"/>
          </w:tcPr>
          <w:p>
            <w:pPr>
              <w:spacing w:after="0"/>
              <w:rPr>
                <w:sz w:val="16"/>
                <w:szCs w:val="16"/>
                <w:color w:val="auto"/>
              </w:rPr>
            </w:pPr>
          </w:p>
        </w:tc>
        <w:tc>
          <w:tcPr>
            <w:tcW w:w="358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Identification Number.)</w:t>
            </w:r>
          </w:p>
        </w:tc>
      </w:tr>
      <w:tr>
        <w:trPr>
          <w:trHeight w:val="174"/>
        </w:trPr>
        <w:tc>
          <w:tcPr>
            <w:tcW w:w="39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580" w:type="dxa"/>
            <w:vAlign w:val="bottom"/>
          </w:tcPr>
          <w:p>
            <w:pPr>
              <w:spacing w:after="0"/>
              <w:rPr>
                <w:sz w:val="15"/>
                <w:szCs w:val="15"/>
                <w:color w:val="auto"/>
              </w:rPr>
            </w:pPr>
          </w:p>
        </w:tc>
      </w:tr>
      <w:tr>
        <w:trPr>
          <w:trHeight w:val="304"/>
        </w:trPr>
        <w:tc>
          <w:tcPr>
            <w:tcW w:w="534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3"/>
              </w:rPr>
              <w:t>15/F, Prosperity Millennia Plaza</w:t>
            </w:r>
          </w:p>
        </w:tc>
        <w:tc>
          <w:tcPr>
            <w:tcW w:w="880" w:type="dxa"/>
            <w:vAlign w:val="bottom"/>
          </w:tcPr>
          <w:p>
            <w:pPr>
              <w:spacing w:after="0"/>
              <w:rPr>
                <w:sz w:val="24"/>
                <w:szCs w:val="24"/>
                <w:color w:val="auto"/>
              </w:rPr>
            </w:pPr>
          </w:p>
        </w:tc>
        <w:tc>
          <w:tcPr>
            <w:tcW w:w="3580" w:type="dxa"/>
            <w:vAlign w:val="bottom"/>
          </w:tcPr>
          <w:p>
            <w:pPr>
              <w:jc w:val="center"/>
              <w:ind w:right="142"/>
              <w:spacing w:after="0"/>
              <w:rPr>
                <w:sz w:val="20"/>
                <w:szCs w:val="20"/>
                <w:color w:val="auto"/>
              </w:rPr>
            </w:pPr>
            <w:r>
              <w:rPr>
                <w:rFonts w:ascii="Arial" w:cs="Arial" w:eastAsia="Arial" w:hAnsi="Arial"/>
                <w:sz w:val="16"/>
                <w:szCs w:val="16"/>
                <w:b w:val="1"/>
                <w:bCs w:val="1"/>
                <w:color w:val="auto"/>
                <w:w w:val="90"/>
              </w:rPr>
              <w:t>Cogency Global Inc.</w:t>
            </w:r>
          </w:p>
        </w:tc>
      </w:tr>
      <w:tr>
        <w:trPr>
          <w:trHeight w:val="203"/>
        </w:trPr>
        <w:tc>
          <w:tcPr>
            <w:tcW w:w="53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3"/>
              </w:rPr>
              <w:t>663 King’s Road</w:t>
            </w:r>
          </w:p>
        </w:tc>
        <w:tc>
          <w:tcPr>
            <w:tcW w:w="880" w:type="dxa"/>
            <w:vAlign w:val="bottom"/>
          </w:tcPr>
          <w:p>
            <w:pPr>
              <w:spacing w:after="0"/>
              <w:rPr>
                <w:sz w:val="17"/>
                <w:szCs w:val="17"/>
                <w:color w:val="auto"/>
              </w:rPr>
            </w:pPr>
          </w:p>
        </w:tc>
        <w:tc>
          <w:tcPr>
            <w:tcW w:w="3580" w:type="dxa"/>
            <w:vAlign w:val="bottom"/>
          </w:tcPr>
          <w:p>
            <w:pPr>
              <w:jc w:val="center"/>
              <w:ind w:right="142"/>
              <w:spacing w:after="0"/>
              <w:rPr>
                <w:sz w:val="20"/>
                <w:szCs w:val="20"/>
                <w:color w:val="auto"/>
              </w:rPr>
            </w:pPr>
            <w:r>
              <w:rPr>
                <w:rFonts w:ascii="Arial" w:cs="Arial" w:eastAsia="Arial" w:hAnsi="Arial"/>
                <w:sz w:val="16"/>
                <w:szCs w:val="16"/>
                <w:b w:val="1"/>
                <w:bCs w:val="1"/>
                <w:color w:val="auto"/>
                <w:w w:val="92"/>
              </w:rPr>
              <w:t>122 East 42nd Street, 18th Floor</w:t>
            </w:r>
          </w:p>
        </w:tc>
      </w:tr>
      <w:tr>
        <w:trPr>
          <w:trHeight w:val="203"/>
        </w:trPr>
        <w:tc>
          <w:tcPr>
            <w:tcW w:w="53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4"/>
              </w:rPr>
              <w:t>Quarry Bay, Hong Kong S.A.R.</w:t>
            </w:r>
          </w:p>
        </w:tc>
        <w:tc>
          <w:tcPr>
            <w:tcW w:w="880" w:type="dxa"/>
            <w:vAlign w:val="bottom"/>
          </w:tcPr>
          <w:p>
            <w:pPr>
              <w:spacing w:after="0"/>
              <w:rPr>
                <w:sz w:val="17"/>
                <w:szCs w:val="17"/>
                <w:color w:val="auto"/>
              </w:rPr>
            </w:pPr>
          </w:p>
        </w:tc>
        <w:tc>
          <w:tcPr>
            <w:tcW w:w="3580" w:type="dxa"/>
            <w:vAlign w:val="bottom"/>
          </w:tcPr>
          <w:p>
            <w:pPr>
              <w:jc w:val="center"/>
              <w:ind w:right="142"/>
              <w:spacing w:after="0"/>
              <w:rPr>
                <w:sz w:val="20"/>
                <w:szCs w:val="20"/>
                <w:color w:val="auto"/>
              </w:rPr>
            </w:pPr>
            <w:r>
              <w:rPr>
                <w:rFonts w:ascii="Arial" w:cs="Arial" w:eastAsia="Arial" w:hAnsi="Arial"/>
                <w:sz w:val="16"/>
                <w:szCs w:val="16"/>
                <w:b w:val="1"/>
                <w:bCs w:val="1"/>
                <w:color w:val="auto"/>
                <w:w w:val="94"/>
              </w:rPr>
              <w:t>New York, NY 10168</w:t>
            </w:r>
          </w:p>
        </w:tc>
      </w:tr>
      <w:tr>
        <w:trPr>
          <w:trHeight w:val="203"/>
        </w:trPr>
        <w:tc>
          <w:tcPr>
            <w:tcW w:w="53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1"/>
              </w:rPr>
              <w:t>People’s Republic of China</w:t>
            </w:r>
          </w:p>
        </w:tc>
        <w:tc>
          <w:tcPr>
            <w:tcW w:w="880" w:type="dxa"/>
            <w:vAlign w:val="bottom"/>
          </w:tcPr>
          <w:p>
            <w:pPr>
              <w:spacing w:after="0"/>
              <w:rPr>
                <w:sz w:val="17"/>
                <w:szCs w:val="17"/>
                <w:color w:val="auto"/>
              </w:rPr>
            </w:pPr>
          </w:p>
        </w:tc>
        <w:tc>
          <w:tcPr>
            <w:tcW w:w="3580" w:type="dxa"/>
            <w:vAlign w:val="bottom"/>
          </w:tcPr>
          <w:p>
            <w:pPr>
              <w:jc w:val="center"/>
              <w:ind w:right="142"/>
              <w:spacing w:after="0"/>
              <w:rPr>
                <w:sz w:val="20"/>
                <w:szCs w:val="20"/>
                <w:color w:val="auto"/>
              </w:rPr>
            </w:pPr>
            <w:r>
              <w:rPr>
                <w:rFonts w:ascii="Arial" w:cs="Arial" w:eastAsia="Arial" w:hAnsi="Arial"/>
                <w:sz w:val="16"/>
                <w:szCs w:val="16"/>
                <w:b w:val="1"/>
                <w:bCs w:val="1"/>
                <w:color w:val="auto"/>
                <w:w w:val="90"/>
              </w:rPr>
              <w:t>United States of America</w:t>
            </w:r>
          </w:p>
        </w:tc>
      </w:tr>
      <w:tr>
        <w:trPr>
          <w:trHeight w:val="207"/>
        </w:trPr>
        <w:tc>
          <w:tcPr>
            <w:tcW w:w="3900" w:type="dxa"/>
            <w:vAlign w:val="bottom"/>
          </w:tcPr>
          <w:p>
            <w:pPr>
              <w:jc w:val="center"/>
              <w:ind w:left="702"/>
              <w:spacing w:after="0"/>
              <w:rPr>
                <w:sz w:val="20"/>
                <w:szCs w:val="20"/>
                <w:color w:val="auto"/>
              </w:rPr>
            </w:pPr>
            <w:r>
              <w:rPr>
                <w:rFonts w:ascii="Arial" w:cs="Arial" w:eastAsia="Arial" w:hAnsi="Arial"/>
                <w:sz w:val="16"/>
                <w:szCs w:val="16"/>
                <w:b w:val="1"/>
                <w:bCs w:val="1"/>
                <w:color w:val="auto"/>
                <w:w w:val="91"/>
              </w:rPr>
              <w:t>(852) 3700-9000</w:t>
            </w:r>
          </w:p>
        </w:tc>
        <w:tc>
          <w:tcPr>
            <w:tcW w:w="1440" w:type="dxa"/>
            <w:vAlign w:val="bottom"/>
          </w:tcPr>
          <w:p>
            <w:pPr>
              <w:spacing w:after="0"/>
              <w:rPr>
                <w:sz w:val="18"/>
                <w:szCs w:val="18"/>
                <w:color w:val="auto"/>
              </w:rPr>
            </w:pPr>
          </w:p>
        </w:tc>
        <w:tc>
          <w:tcPr>
            <w:tcW w:w="4460" w:type="dxa"/>
            <w:vAlign w:val="bottom"/>
            <w:gridSpan w:val="2"/>
          </w:tcPr>
          <w:p>
            <w:pPr>
              <w:jc w:val="center"/>
              <w:ind w:left="584"/>
              <w:spacing w:after="0"/>
              <w:rPr>
                <w:sz w:val="20"/>
                <w:szCs w:val="20"/>
                <w:color w:val="auto"/>
              </w:rPr>
            </w:pPr>
            <w:r>
              <w:rPr>
                <w:rFonts w:ascii="Arial" w:cs="Arial" w:eastAsia="Arial" w:hAnsi="Arial"/>
                <w:sz w:val="16"/>
                <w:szCs w:val="16"/>
                <w:b w:val="1"/>
                <w:bCs w:val="1"/>
                <w:color w:val="auto"/>
                <w:w w:val="91"/>
              </w:rPr>
              <w:t>(1) 800 221-0102</w:t>
            </w:r>
          </w:p>
        </w:tc>
      </w:tr>
      <w:tr>
        <w:trPr>
          <w:trHeight w:val="186"/>
        </w:trPr>
        <w:tc>
          <w:tcPr>
            <w:tcW w:w="5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(Address and Telephone Number of Registrant’s Principal Executive Office)</w:t>
            </w:r>
          </w:p>
        </w:tc>
        <w:tc>
          <w:tcPr>
            <w:tcW w:w="4460" w:type="dxa"/>
            <w:vAlign w:val="bottom"/>
            <w:gridSpan w:val="2"/>
          </w:tcPr>
          <w:p>
            <w:pPr>
              <w:jc w:val="center"/>
              <w:ind w:left="584"/>
              <w:spacing w:after="0"/>
              <w:rPr>
                <w:sz w:val="20"/>
                <w:szCs w:val="20"/>
                <w:color w:val="auto"/>
              </w:rPr>
            </w:pPr>
            <w:r>
              <w:rPr>
                <w:rFonts w:ascii="Arial" w:cs="Arial" w:eastAsia="Arial" w:hAnsi="Arial"/>
                <w:sz w:val="14"/>
                <w:szCs w:val="14"/>
                <w:b w:val="1"/>
                <w:bCs w:val="1"/>
                <w:color w:val="auto"/>
                <w:w w:val="92"/>
              </w:rPr>
              <w:t>(Name, Address, and Telephone Number for Agent of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Copy to:</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Shuang Zhao</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Cleary Gottlieb Steen &amp; Hamilton LLP</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37th Floor, Hysan Place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500 Hennessy Road, Causeway Bay</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Hong Kong</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(852) 2532-3783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29"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09"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40" w:firstLine="44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8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55" w:lineRule="exact"/>
        <w:rPr>
          <w:sz w:val="24"/>
          <w:szCs w:val="24"/>
          <w:color w:val="auto"/>
        </w:rPr>
      </w:pPr>
    </w:p>
    <w:p>
      <w:pPr>
        <w:ind w:left="93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7" w:lineRule="exact"/>
        <w:rPr>
          <w:sz w:val="24"/>
          <w:szCs w:val="24"/>
          <w:color w:val="auto"/>
        </w:rPr>
      </w:pPr>
    </w:p>
    <w:p>
      <w:pPr>
        <w:ind w:left="120" w:right="42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300"/>
        <w:spacing w:after="0" w:line="253" w:lineRule="auto"/>
        <w:rPr>
          <w:sz w:val="20"/>
          <w:szCs w:val="20"/>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140"/>
          </w:cols>
          <w:pgMar w:left="320" w:top="230" w:right="439" w:bottom="1440" w:gutter="0" w:footer="0" w:header="0"/>
        </w:sectPr>
      </w:pPr>
    </w:p>
    <w:bookmarkStart w:id="1" w:name="page2"/>
    <w:bookmarkEnd w:id="1"/>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3037205</wp:posOffset>
            </wp:positionH>
            <wp:positionV relativeFrom="page">
              <wp:posOffset>157480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4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Price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r>
              <w:rPr>
                <w:rFonts w:ascii="Arial" w:cs="Arial" w:eastAsia="Arial" w:hAnsi="Arial"/>
                <w:sz w:val="12"/>
                <w:szCs w:val="12"/>
                <w:b w:val="1"/>
                <w:bCs w:val="1"/>
                <w:color w:val="auto"/>
                <w:w w:val="90"/>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par value US$0.001 per share</w:t>
            </w:r>
            <w:r>
              <w:rPr>
                <w:rFonts w:ascii="Arial" w:cs="Arial" w:eastAsia="Arial" w:hAnsi="Arial"/>
                <w:sz w:val="12"/>
                <w:szCs w:val="12"/>
                <w:color w:val="auto"/>
              </w:rPr>
              <w:t>(3)</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 w:hanging="424"/>
        <w:spacing w:after="0" w:line="224"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These securities are not being registered for the purposes of sales outside of the United States.</w:t>
      </w:r>
    </w:p>
    <w:p>
      <w:pPr>
        <w:spacing w:after="0" w:line="1" w:lineRule="exact"/>
        <w:rPr>
          <w:rFonts w:ascii="Arial" w:cs="Arial" w:eastAsia="Arial" w:hAnsi="Arial"/>
          <w:sz w:val="14"/>
          <w:szCs w:val="14"/>
          <w:color w:val="auto"/>
        </w:rPr>
      </w:pPr>
    </w:p>
    <w:p>
      <w:pPr>
        <w:ind w:left="424" w:right="40" w:hanging="424"/>
        <w:spacing w:after="0" w:line="221"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is registering an indeterminate amount of securities for offer and sale from time to time at indeterminate offering prices. In reliance on Rules 456(b) and 457(r) under the Securities Act of 1933, as amended, the registrant is deferring payment of all of the registration fee relating to the registration of securities hereby.</w:t>
      </w:r>
    </w:p>
    <w:p>
      <w:pPr>
        <w:ind w:left="424" w:right="340" w:hanging="424"/>
        <w:spacing w:after="0" w:line="237"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the Class A Ordinary shares registered hereby have been registered under a separate registration statement on Form F-6. Two American depositary shares represent one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24"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171450</wp:posOffset>
            </wp:positionV>
            <wp:extent cx="137160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248920</wp:posOffset>
            </wp:positionV>
            <wp:extent cx="2245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Ordinary shares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163195</wp:posOffset>
            </wp:positionV>
            <wp:extent cx="2245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may offer and sell Class A Ordinary shares, debt securities or warrants in any combination from time to time in one or more offerings, at prices and on terms described in one or more supplements to this prospectus. In addition, this prospectus may be used to offer securities for the account of persons other than 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time we or any selling security holder sell securities, we will provide a supplement to this prospectus that contains specific information about the offering and the terms of the securities. The supplement may also add, update or change information contained in this prospectus. You should read this prospectus and any prospectus supplement carefully before you invest in any of our securities.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or any selling security holder may sell the securities independently or together with any other securities registered hereunder to or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ADSs are currently listed on the NASDAQ Global Market under the symbol “ICLK.”</w:t>
      </w:r>
    </w:p>
    <w:p>
      <w:pPr>
        <w:spacing w:after="0" w:line="221" w:lineRule="exact"/>
        <w:rPr>
          <w:sz w:val="20"/>
          <w:szCs w:val="20"/>
          <w:color w:val="auto"/>
        </w:rPr>
      </w:pPr>
    </w:p>
    <w:p>
      <w:pPr>
        <w:ind w:left="120" w:right="180" w:firstLine="4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You should read the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section contained in the applicable prospectus supplement and the documents we incorporate by reference in this prospectus before investing in our securities.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June 25, 2021.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gridSpan w:val="2"/>
          </w:tcPr>
          <w:p>
            <w:pPr>
              <w:jc w:val="center"/>
              <w:ind w:right="409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6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42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INCORPORATION OF DOCUMENTS BY REFERENCE</w:t>
              </w:r>
            </w:hyperlink>
          </w:p>
        </w:tc>
        <w:tc>
          <w:tcPr>
            <w:tcW w:w="6400" w:type="dxa"/>
            <w:vAlign w:val="bottom"/>
            <w:gridSpan w:val="4"/>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SPECIAL NOTE ON FORWARD-LOOKING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452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OUR COMPANY</w:t>
              </w:r>
            </w:hyperlink>
          </w:p>
        </w:tc>
        <w:tc>
          <w:tcPr>
            <w:tcW w:w="6140" w:type="dxa"/>
            <w:vAlign w:val="bottom"/>
            <w:gridSpan w:val="2"/>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1300" w:type="dxa"/>
            <w:vAlign w:val="bottom"/>
            <w:tcBorders>
              <w:top w:val="single" w:sz="8" w:color="0000EE"/>
            </w:tcBorders>
            <w:gridSpan w:val="4"/>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RISK FACTORS</w:t>
              </w:r>
            </w:hyperlink>
          </w:p>
        </w:tc>
        <w:tc>
          <w:tcPr>
            <w:tcW w:w="9360" w:type="dxa"/>
            <w:vAlign w:val="bottom"/>
            <w:gridSpan w:val="12"/>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USE OF PROCEEDS</w:t>
              </w:r>
            </w:hyperlink>
          </w:p>
        </w:tc>
        <w:tc>
          <w:tcPr>
            <w:tcW w:w="9080" w:type="dxa"/>
            <w:vAlign w:val="bottom"/>
            <w:gridSpan w:val="10"/>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29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DESCRIPTION OF THE SECURITIES</w:t>
              </w:r>
            </w:hyperlink>
          </w:p>
        </w:tc>
        <w:tc>
          <w:tcPr>
            <w:tcW w:w="776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1066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DESCRIPTION OF SHARE CAPITAL</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DESCRIPTION OF AMERICAN DEPOSITARY SHARES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4320" w:type="dxa"/>
            <w:vAlign w:val="bottom"/>
            <w:tcBorders>
              <w:top w:val="single" w:sz="8" w:color="0000EE"/>
            </w:tcBorders>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PLAN OF DISTRIBUTION</w:t>
              </w:r>
            </w:hyperlink>
          </w:p>
        </w:tc>
        <w:tc>
          <w:tcPr>
            <w:tcW w:w="634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TAXATION</w:t>
              </w:r>
            </w:hyperlink>
          </w:p>
        </w:tc>
        <w:tc>
          <w:tcPr>
            <w:tcW w:w="1140" w:type="dxa"/>
            <w:vAlign w:val="bottom"/>
            <w:tcBorders>
              <w:top w:val="single" w:sz="8" w:color="0000EE"/>
            </w:tcBorders>
            <w:gridSpan w:val="5"/>
          </w:tcPr>
          <w:p>
            <w:pPr>
              <w:spacing w:after="0"/>
              <w:rPr>
                <w:sz w:val="22"/>
                <w:szCs w:val="22"/>
                <w:color w:val="auto"/>
              </w:rPr>
            </w:pPr>
          </w:p>
        </w:tc>
        <w:tc>
          <w:tcPr>
            <w:tcW w:w="8620" w:type="dxa"/>
            <w:vAlign w:val="bottom"/>
            <w:gridSpan w:val="9"/>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ENFORCEABILITY OF CIVIL LIABILITIES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1940" w:type="dxa"/>
            <w:vAlign w:val="bottom"/>
            <w:tcBorders>
              <w:top w:val="single" w:sz="8" w:color="0000EE"/>
            </w:tcBorders>
            <w:gridSpan w:val="6"/>
          </w:tcPr>
          <w:p>
            <w:pPr>
              <w:spacing w:after="0"/>
              <w:rPr>
                <w:sz w:val="22"/>
                <w:szCs w:val="22"/>
                <w:color w:val="auto"/>
              </w:rPr>
            </w:pPr>
          </w:p>
        </w:tc>
        <w:tc>
          <w:tcPr>
            <w:tcW w:w="7260" w:type="dxa"/>
            <w:vAlign w:val="bottom"/>
            <w:gridSpan w:val="5"/>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60" w:type="dxa"/>
            <w:vAlign w:val="bottom"/>
            <w:shd w:val="clear" w:color="auto" w:fill="0000EE"/>
          </w:tcPr>
          <w:p>
            <w:pPr>
              <w:spacing w:after="0" w:line="20" w:lineRule="exact"/>
              <w:rPr>
                <w:sz w:val="1"/>
                <w:szCs w:val="1"/>
                <w:color w:val="auto"/>
              </w:rPr>
            </w:pPr>
          </w:p>
        </w:tc>
        <w:tc>
          <w:tcPr>
            <w:tcW w:w="3980" w:type="dxa"/>
            <w:vAlign w:val="bottom"/>
            <w:gridSpan w:val="14"/>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 ABOUT US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920" w:type="dxa"/>
            <w:vAlign w:val="bottom"/>
          </w:tcPr>
          <w:p>
            <w:pPr>
              <w:jc w:val="center"/>
              <w:ind w:right="4310"/>
              <w:spacing w:after="0"/>
              <w:rPr>
                <w:sz w:val="20"/>
                <w:szCs w:val="20"/>
                <w:color w:val="auto"/>
              </w:rPr>
            </w:pPr>
            <w:r>
              <w:rPr>
                <w:rFonts w:ascii="Arial" w:cs="Arial" w:eastAsia="Arial" w:hAnsi="Arial"/>
                <w:sz w:val="18"/>
                <w:szCs w:val="18"/>
                <w:color w:val="auto"/>
                <w:w w:val="98"/>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Before you invest in any of our securities, you should carefully read this prospectus and any prospectus supplement, together with the additional information described in the sections entitled “Where You Can Find More Information About Us” and “Incorporation of Documents by Reference” in this 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and except where the context otherwise requires, references in this prospectus to:</w:t>
      </w:r>
    </w:p>
    <w:p>
      <w:pPr>
        <w:spacing w:after="0" w:line="131" w:lineRule="exact"/>
        <w:rPr>
          <w:sz w:val="20"/>
          <w:szCs w:val="20"/>
          <w:color w:val="auto"/>
        </w:rPr>
      </w:pPr>
    </w:p>
    <w:p>
      <w:pPr>
        <w:ind w:left="1080" w:right="18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if they have direct contractual relationship with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“marketing solutions” refers to mobile marketing solutions and other marketing solutions;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is part of a registration statement on Form F-3 that we filed with the Securities and Exchange Commission, or SEC, utilizing a shelf registration process permitted under the Securities Act of 1933, or the Securities Act. By using a shelf registration statement, we or any selling security holder may sell any of our securities from time to time and in one or more offerings. Each time we or any selling security holders sell securities, we may provide a supplement to this prospectus that contains specific information about the securities being offered and the terms of that offering. The supplement may also add, update or change information contained in this prospectus. If there is any inconsistency between the information in this prospectus and any prospectus supplement, you should rely on the prospectus supplement. You should rely only on the information contained or incorporated by reference in this prospectus or any applicable prospectus supplement. We have not authorized any other person to provide you with different information. If anyone provides you with different 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inconsistent information, you should not rely on it. We will not make an offer to sell these securities in any jurisdiction where the offer or sale is not permitted. You should assume that the information appearing in this prospectus or the applicable supplement to this prospectus is accurate as of its respective date,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26">
        <w:r>
          <w:rPr>
            <w:rFonts w:ascii="Arial" w:cs="Arial" w:eastAsia="Arial" w:hAnsi="Arial"/>
            <w:sz w:val="17"/>
            <w:szCs w:val="17"/>
            <w:u w:val="single" w:color="auto"/>
            <w:color w:val="0000EE"/>
          </w:rPr>
          <w:t>Form 20-F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filed with the SEC on April 21, 2021, or the 2020 20-F;</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our subsequent annual reports on Form 20-F and any report on Form 6-K that indicates that it is being incorporated by reference, in each case, that we file with the SEC on or after the date of this prospectus and until the termination or completion of the offering under this 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2020 20-F contains a description of our business and audited consolidated financial statements with a report by our independent auditors.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or U.S. GAAP.</w:t>
      </w:r>
    </w:p>
    <w:p>
      <w:pPr>
        <w:spacing w:after="0" w:line="21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We will provide to you, upon your written or oral request, without charge, a copy of any or all of the documents we refer to above which we have incorporated in this prospectus by reference, other than exhibits to those documents unless such exhibits are specifically incorporated by reference in the documents. You should direct your requests to our principal executive office located at 15/F Prosperity Millennia Plaza 663 King’s Road, Quarry Bay, Hong Kong S.A.R., People’s Republic of China. Our telephone number at this address is (852) 3700 9000.</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any accompanying prospectus supplement and the information incorporated by reference herein and therein may contain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fluctuations in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implementing our mobile and new retail strategies, including extending our solutions beyond our core online marketing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structuring a customer relationship management and marketing cloud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relative percentage of our gross billing recognized as revenue under the gross and net models;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marketing solutions and enterprise solutions;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existing clients or attract new ones;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investments or strategic partnerships;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collect and use data from various sources and the effectiveness of our algorithms and data engines;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content distribution channels and negotiate favorable contractual terms;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competition, including from independent online marketing technology platforms as well as large and well-established internet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and the regulatory landscape in China and other jurisdictions where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of the COVID-19 outbreak and its potential impact on our business and financial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U.S.-China relations, including the imposition of economic sanctions.</w:t>
      </w:r>
    </w:p>
    <w:p>
      <w:pPr>
        <w:spacing w:after="0" w:line="22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You should not place undue reliance on forward-looking statements because they involve known and unknown risks, uncertainties and other factors, which are, in some cases, beyond our control and which could materially affect results. You should read thoroughly this prospectus, any accompanying prospectus supplement and the documents that we reference in this prospectus and any applicable prospectus supplement with the understanding that our actual future results may be materially different from and worse than what we expect. We qualify all of our forward-looking statements by these cautionary statements. Factors that could cause or contribute to such differences include those discussed in the section titled “Risk Factors.” They include economic and political conditions and government policies in the countries in which we operate, inflation rates, exchange rates, regulatory developments, technological improvements, customer demand and competition. Moreover, we operate in an evolving environment. New risk factors and uncertainties emerge from time to time and it is not possible for our management to predict all risk factors and uncertainties, nor can we assess the impact of all</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factors on our business or the extent to which any factor, or combination of factors, may cause actual results to differ materially from those contained in any forward-looking statements. This prospectus also contains or incorporates by reference data, including industry-demand and product-pricing data, related to independent online marketing technology market and SaaS-based enterprise solutions market. This market data includes projections that are based on a number of assumptions. If any one or more of the assumptions underlying the market data proves to be incorrect, actual results may differ from the projections based on these assumptions.</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forward-looking statements and any related statements made in this prospectus and the documents incorporated by reference are made as of the date of the respective documents. The forward-looking statements obtained from third-party studies or reports are made as of the date of the corresponding study or report. We undertake no obligation, beyond that required by law, to update any forward-looking statement to reflect events or circumstances after the date on which the statement is made, even though circumstances may change in the future.</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COMPANY</w:t>
      </w:r>
    </w:p>
    <w:p>
      <w:pPr>
        <w:spacing w:after="0" w:line="27" w:lineRule="exact"/>
        <w:rPr>
          <w:sz w:val="20"/>
          <w:szCs w:val="20"/>
          <w:color w:val="auto"/>
        </w:rPr>
      </w:pPr>
    </w:p>
    <w:p>
      <w:pPr>
        <w:ind w:left="120" w:right="240" w:firstLine="440"/>
        <w:spacing w:after="0" w:line="253" w:lineRule="auto"/>
        <w:rPr>
          <w:sz w:val="20"/>
          <w:szCs w:val="20"/>
          <w:color w:val="auto"/>
        </w:rPr>
      </w:pPr>
      <w:r>
        <w:rPr>
          <w:rFonts w:ascii="Arial" w:cs="Arial" w:eastAsia="Arial" w:hAnsi="Arial"/>
          <w:sz w:val="18"/>
          <w:szCs w:val="18"/>
          <w:color w:val="auto"/>
        </w:rPr>
        <w:t>We are a leading enterprise and marketing cloud platform in China. We offer a consumer full lifecycle solution that addresses our clients’ needs from traffic acquisition, customer relations management and business decisions optimization driven by data analytics in today’s smart retail era. With our industry-leading marketing solutions as our entry point, we drive customer retention and loyalty with our data enterprise solutions and grow customer lifetime value with our intelligent enterprise solutions.</w:t>
      </w:r>
    </w:p>
    <w:p>
      <w:pPr>
        <w:spacing w:after="0" w:line="19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commenced our online marketing business in 2009. Our marketing solutions serve as an integrated cross-channel gateway that provides marketers with innovative and cost-effective ways to optimize their online marketing efforts throughout their marketing cycle and achieve their branding and performance-based marketing goals. Our integrated data-driven marketing solutions help marketers engage and activate potential customers, monitor and measure the results of marketing campaigns, and create content catering to potential customers across different content distribution channels through both PC and mobile devices. Our marketing solutions appeal to marketers by offering omni-channel reach to the Chinese audience. We provide our clients with one-stop access to a wide variety of cross-channel content distribution opportunities, including those from leading online publishers in China. We work closely with our content distribution partners to facilitate innovative and effective audience engagement.</w:t>
      </w:r>
    </w:p>
    <w:p>
      <w:pPr>
        <w:spacing w:after="0" w:line="166"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Leveraging our data analytics and experience and expertise in online marketing, we launched our SaaS-based enterprise solutions in May 2018. Our data-driven enterprise solutions, which are built on Tencent cloud and leverage Tencent’s proprietary API connection and mini programs in Tencent’s WeChat ecosystem, help enterprises maximize the value of their data to gain actionable insights to improve CRM, decision-making and establishment of data-management platforms. Through the enterprise solutions, we are able to foster deeper relationship with clients beyond online marketing.</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5"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For our marketing solutions, we generate revenues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on-going subscription fees our clients pay. .</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Investing in our securities involves risk. You should carefully consider the risk factors and uncertainties described under the heading “Item 3. Key Information—D. Risk Factors” in our most recent annual report on Form 20-F, which is incorporated in this prospectus by reference, as updated by our subsequent filings under the Securities Exchange Act of 1934, or the Exchange Act, and any risk factors and other information described in the applicable prospectus supplement before acquiring any of our securities. These risks and uncertainties could materially affect our business, results of operations or financial condition and cause the value of our securities to decline.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indicate otherwise in a prospectus supplement, we plan to use the net proceeds from the sale of the securities for general corporate purposes. We will not receive proceeds from sales of securities by persons other than us except as may otherwise be stated in any applicable prospectus supplement.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32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A Ordinary shares, including Class A Ordinary shares represented by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set forth in the applicable prospectus supplement a description of the debt securities and warrants, and, in certain cases, the Class A Ordinary shares (including Class A Ordinary shares represented by ADSs) that may be offered under this prospectus. The terms of the offering of securities, the initial offering price and the net proceeds to us will be contained in the prospectus supplement, and other offering material, relating to such offer. The prospectus supplement may also add, update or change information contained in this prospectus. You should carefully read this prospectus and any supplement before you invest in any of our securities.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320" w:top="459" w:right="7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Act (2021 Revision) of the Cayman Islands, which we refer to as the Companies Law below, and the common law of the Cayman Islands.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Act (2021 Revision) insofar as they relate to the material terms of our Class A Ordinary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Objects of Our Company.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 our ninth amended and restated memorandum and articles of association, the objects of our company are unrestricted and we have the full power and authority to carry out any object not prohibited by the laws of the Cayman Islands.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Register of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1080" w:right="78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holders of our ordinary shares are entitled to such dividends as may be declared by our board of directors. In addition, our shareholders may by ordinary resolution declare a dividend, but no dividend may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Act and our ninth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Ordinary Shares.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80" w:right="30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Class A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Calls on Shares and Forfeiture of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Repurchase and Surrender of Ordinary Shares.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Variations of Rights of Shares.</w:t>
      </w:r>
    </w:p>
    <w:p>
      <w:pPr>
        <w:spacing w:after="0" w:line="117" w:lineRule="exact"/>
        <w:rPr>
          <w:sz w:val="20"/>
          <w:szCs w:val="20"/>
          <w:color w:val="auto"/>
        </w:rPr>
      </w:pPr>
    </w:p>
    <w:p>
      <w:pPr>
        <w:jc w:val="both"/>
        <w:ind w:left="120" w:right="280" w:firstLine="440"/>
        <w:spacing w:after="0" w:line="257" w:lineRule="auto"/>
        <w:rPr>
          <w:sz w:val="20"/>
          <w:szCs w:val="20"/>
          <w:color w:val="auto"/>
        </w:rPr>
      </w:pPr>
      <w:r>
        <w:rPr>
          <w:rFonts w:ascii="Arial" w:cs="Arial" w:eastAsia="Arial" w:hAnsi="Arial"/>
          <w:sz w:val="18"/>
          <w:szCs w:val="18"/>
          <w:color w:val="auto"/>
        </w:rPr>
        <w:t>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Additional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ninth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Our ninth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Issuance of these shares may dilute the voting power of holders of ordinary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Inspection of Books and Records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Anti-Takeover Provisions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Some provisions of our ninth amended and restated memorandum and articles of association may discourage, delay or prevent a change of control of our company or management that shareholders may consider favorable, including provisions that:</w:t>
      </w:r>
    </w:p>
    <w:p>
      <w:pPr>
        <w:spacing w:after="0" w:line="76" w:lineRule="exact"/>
        <w:rPr>
          <w:sz w:val="20"/>
          <w:szCs w:val="20"/>
          <w:color w:val="auto"/>
        </w:rPr>
      </w:pPr>
    </w:p>
    <w:p>
      <w:pPr>
        <w:ind w:left="1080" w:right="18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Meetings of Shareholders and Shareholder Proposals</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Our shareholders’ general meetings may be held in such place within or outside the Cayman Islands as our board of directors considers appropriate.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ninth amended and restated memorandum and articles of association provide that we shall in each year hold a general meeting as our annual general meeting.</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Exempted Company.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Companies Act permits mergers and consolidations between Cayman Islands companies and between Cayman Islands companies</w:t>
      </w:r>
    </w:p>
    <w:p>
      <w:pPr>
        <w:spacing w:after="0" w:line="3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w:t>
      </w:r>
    </w:p>
    <w:p>
      <w:pPr>
        <w:spacing w:after="0" w:line="23"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90"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principle, we will normally be the proper plaintiff to sue for a wrong done to us as a company and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5540" w:right="320" w:hanging="4992"/>
        <w:spacing w:after="0" w:line="449" w:lineRule="auto"/>
        <w:tabs>
          <w:tab w:leader="none" w:pos="10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act which requires a resolution with a qualified (or special) majority (i.e. more than a simple majority) which has not been obtained. 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we will enter into indemnification agreements with our directors and executive officers that provide such persons with additional indemnification beyond that provided in our current amended and restated memorandum and articles of association.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Cayman Islands law and our current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amended and restated articles of association do not provide for cumulative voting. As a result, our shareholders are not afforded any less protections or rights on this issue than shareholders of a Delaware corporation.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amended and restated articles of association, directors may be removed with or without cause, by an ordinary resolution of our shareholders with or without cause or by our directors for cause.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current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current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current amended and restated memorandum and articles of association may only be amended with a special resolution of our shareholders.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There are no limitations imposed by our current amended and restated memorandum and articles of association on the rights of non-resident or foreign shareholders to hold or exercise voting rights on our shares. In addition, there are no provisions in our current amended and restated memorandum and articles of association governing the ownership threshold above which shareholder ownership must be disclosed.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depositary’s office is located at 383 Madison Avenue, Floor 11, New York, New York 10179.</w:t>
      </w:r>
    </w:p>
    <w:p>
      <w:pPr>
        <w:spacing w:after="0" w:line="225"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5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w:t>
      </w:r>
    </w:p>
    <w:p>
      <w:pPr>
        <w:spacing w:after="0" w:line="1"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New York, New York, and you irrevocably waive any objection which you may have to the laying of venue of any such proceeding and irrevocably submit to the exclusive jurisdiction of such courts in any such suit, action or proceeding.</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1080" w:right="40" w:hanging="424"/>
        <w:spacing w:after="0" w:line="29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1080" w:right="60" w:firstLine="8"/>
        <w:spacing w:after="0" w:line="268" w:lineRule="auto"/>
        <w:tabs>
          <w:tab w:leader="none" w:pos="129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88"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89"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Rights to receive additional shares</w:t>
      </w:r>
      <w:r>
        <w:rPr>
          <w:rFonts w:ascii="Arial" w:cs="Arial" w:eastAsia="Arial" w:hAnsi="Arial"/>
          <w:sz w:val="18"/>
          <w:szCs w:val="18"/>
          <w:color w:val="auto"/>
        </w:rPr>
        <w:t>. 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2"/>
          <w:numId w:val="13"/>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 or</w:t>
      </w:r>
    </w:p>
    <w:p>
      <w:pPr>
        <w:spacing w:after="0" w:line="153" w:lineRule="exact"/>
        <w:rPr>
          <w:rFonts w:ascii="Arial" w:cs="Arial" w:eastAsia="Arial" w:hAnsi="Arial"/>
          <w:sz w:val="16"/>
          <w:szCs w:val="16"/>
          <w:color w:val="auto"/>
        </w:rPr>
      </w:pPr>
    </w:p>
    <w:p>
      <w:pPr>
        <w:ind w:left="1540" w:right="80" w:hanging="439"/>
        <w:spacing w:after="0" w:line="263" w:lineRule="auto"/>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jc w:val="both"/>
        <w:ind w:left="1080" w:right="660" w:firstLine="8"/>
        <w:spacing w:after="0" w:line="255" w:lineRule="auto"/>
        <w:tabs>
          <w:tab w:leader="none" w:pos="12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84"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1080" w:right="3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ADRs or to the withdrawal of deposited securities.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 all subject to the provisions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w:t>
      </w:r>
    </w:p>
    <w:p>
      <w:pPr>
        <w:spacing w:after="0" w:line="2" w:lineRule="exact"/>
        <w:rPr>
          <w:sz w:val="20"/>
          <w:szCs w:val="20"/>
          <w:color w:val="auto"/>
        </w:rPr>
      </w:pPr>
    </w:p>
    <w:p>
      <w:pPr>
        <w:ind w:left="380" w:hanging="264"/>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substantial opposition exists with respect to any agenda item for which the proxy would be given or (iii) the agenda item in question, if approved,</w:t>
      </w:r>
    </w:p>
    <w:p>
      <w:pPr>
        <w:spacing w:after="0" w:line="32" w:lineRule="exact"/>
        <w:rPr>
          <w:rFonts w:ascii="Arial" w:cs="Arial" w:eastAsia="Arial" w:hAnsi="Arial"/>
          <w:sz w:val="16"/>
          <w:szCs w:val="16"/>
          <w:color w:val="auto"/>
        </w:rPr>
      </w:pPr>
    </w:p>
    <w:p>
      <w:pPr>
        <w:ind w:left="120"/>
        <w:spacing w:after="0" w:line="253" w:lineRule="auto"/>
        <w:rPr>
          <w:rFonts w:ascii="Arial" w:cs="Arial" w:eastAsia="Arial" w:hAnsi="Arial"/>
          <w:sz w:val="16"/>
          <w:szCs w:val="16"/>
          <w:color w:val="auto"/>
        </w:rPr>
      </w:pPr>
      <w:r>
        <w:rPr>
          <w:rFonts w:ascii="Arial" w:cs="Arial" w:eastAsia="Arial" w:hAnsi="Arial"/>
          <w:sz w:val="18"/>
          <w:szCs w:val="18"/>
          <w:color w:val="auto"/>
        </w:rPr>
        <w:t>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6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64"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without 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w:t>
      </w:r>
    </w:p>
    <w:p>
      <w:pPr>
        <w:spacing w:after="0" w:line="2" w:lineRule="exact"/>
        <w:rPr>
          <w:sz w:val="20"/>
          <w:szCs w:val="20"/>
          <w:color w:val="auto"/>
        </w:rPr>
      </w:pPr>
    </w:p>
    <w:p>
      <w:pPr>
        <w:ind w:left="120" w:right="20" w:hanging="4"/>
        <w:spacing w:after="0" w:line="284"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1080" w:right="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9" w:lineRule="exact"/>
        <w:rPr>
          <w:sz w:val="20"/>
          <w:szCs w:val="20"/>
          <w:color w:val="auto"/>
        </w:rPr>
      </w:pPr>
    </w:p>
    <w:p>
      <w:pPr>
        <w:ind w:left="1080" w:right="100" w:hanging="424"/>
        <w:spacing w:after="0" w:line="271"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4"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5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342" w:lineRule="auto"/>
        <w:rPr>
          <w:sz w:val="20"/>
          <w:szCs w:val="20"/>
          <w:color w:val="auto"/>
        </w:rPr>
      </w:pPr>
      <w:r>
        <w:rPr>
          <w:rFonts w:ascii="Arial" w:cs="Arial" w:eastAsia="Arial" w:hAnsi="Arial"/>
          <w:sz w:val="16"/>
          <w:szCs w:val="16"/>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4"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or any selling security holder may sell or distribute the securities offered by this prospectus, from time to time, in one or more offerings, as follows:</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dealers or underwriters for resale;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 In some cases, we or any selling security holder or any dealers acting for us or on our behalf or a selling security holder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securities distributed by any of these methods may be sold to the public, in one or more transactions, either:</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relating to any offering will identify or describe:</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underwriter,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their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proceeds to us or any selling security 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exchange on which the securities will be listed.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dealers are used in the sale of the securities offered through this prospectus, we or any selling security holder will sell the securities to them as principals, unless we otherwise indicate in the prospectus supplement.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dealers may then resell those securities to the public at varying prices determined by the dealers at the time of resale. The applicable prospectus supplement will include the names of the dealers and the terms of the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or any selling security holder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is acting on a best efforts basis for the period of its appointment.</w:t>
      </w:r>
    </w:p>
    <w:p>
      <w:pPr>
        <w:spacing w:after="0" w:line="17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or any selling security holder may sell the securities directly to institutional investors or others who may be deemed to be underwriters within the meaning of the Securities Act with respect to any sale of those securities. The terms of any such sales will be described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Institutional Investors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If indicated in the prospectus supplement, we will authorize underwriters, dealers or agents to solicit offers from various institutional investors to purchase securities. In this case, then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77"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educational and charitable institutions;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validity of the arrangements;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Transactions and Hedging</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any selling security holder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or any selling security holder may enter into security lending or repurchase agreements with the underwriters. The underwriters may affect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 of Securities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or any selling security holder may loan or pledge securities to a financial institution or other third party that in turn may sell the securities using this prospectus and an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Agents, underwriters, and dealers may be entitled, under agreements entered into with us or any selling security holder,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8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arrangements that provide for the reciprocal recognition and enforcement of foreign judgments with the United States or the Cayman Islands. Therefore,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w:t>
      </w:r>
    </w:p>
    <w:p>
      <w:pPr>
        <w:spacing w:after="0" w:line="2" w:lineRule="exact"/>
        <w:rPr>
          <w:sz w:val="20"/>
          <w:szCs w:val="20"/>
          <w:color w:val="auto"/>
        </w:rPr>
      </w:pPr>
    </w:p>
    <w:p>
      <w:pPr>
        <w:ind w:left="120" w:right="200" w:hanging="4"/>
        <w:spacing w:after="0" w:line="260"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entertain original actions brought in the PRC against us or our directors or officers, predicated upon the securities laws of the United States or any state in the United States.</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Except as otherwise set forth in the applicable prospectus supplement, certain legal matters in connection with the securities offered pursuant to this prospectus will be passed upon for us by Cleary Gottlieb Steen &amp; Hamilton LLP, our special United States counsel, to the extent governed by the laws of the State of New York, and by Travers Thorp Alberga, our special legal counsel as to Cayman Islands law, to the extent governed by the laws of the Cayman Islands. Legal matters as to PRC law will be passed upon for us by Jingtian &amp; Gongcheng, our counsel as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20-F for the year ended December 31, 2020 have been so incorporated in reliance on the report of PricewaterhouseCoopers, an independent registered public accounting firm, given on the authority of said firm as experts in auditing and accounting.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320" w:top="459" w:right="6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are currently subject to periodic reporting and other informational requirements of the Securities Exchange Act of 1934, as amended, or the Exchange Act, as applicable to foreign private issuers. Accordingly, we are required to file reports, including annual reports on Form 20-F, and other information with the SEC. All information filed with the SEC can be obtained over the Internet at the SEC’s website at www.sec.gov.</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320" w:top="459" w:right="5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that any such provision may be held by the Cayman Islands courts to be contrary to public policy, such as to provide indemnification against civil fraud or the consequences of committing a crime. The registrant’s articles of association provide for (1) indemnification of directors and officers for actions, costs, charges, losses, damages, and expenses incurred or sustained in their capacities as such and (2) waiver by each shareholder of any claim or right of action against any director on account of any action taken or omitted to be taken by such director, in each case except for any matter in respect of any fraud or dishonesty of the relevant directors and officers.</w:t>
      </w:r>
    </w:p>
    <w:p>
      <w:pPr>
        <w:spacing w:after="0" w:line="178" w:lineRule="exact"/>
        <w:rPr>
          <w:sz w:val="20"/>
          <w:szCs w:val="20"/>
          <w:color w:val="auto"/>
        </w:rPr>
      </w:pPr>
    </w:p>
    <w:p>
      <w:pPr>
        <w:ind w:left="120" w:right="580" w:firstLine="991"/>
        <w:spacing w:after="0" w:line="291" w:lineRule="auto"/>
        <w:rPr>
          <w:sz w:val="20"/>
          <w:szCs w:val="20"/>
          <w:color w:val="auto"/>
        </w:rPr>
      </w:pPr>
      <w:r>
        <w:rPr>
          <w:rFonts w:ascii="Arial" w:cs="Arial" w:eastAsia="Arial" w:hAnsi="Arial"/>
          <w:sz w:val="16"/>
          <w:szCs w:val="16"/>
          <w:color w:val="auto"/>
        </w:rPr>
        <w:t>Pursuant to the indemnification agreements between the registrant and its directors and officers (the form of which was included as Exhibit 10.9 of the registrant’s registration statement on Form F-1 originally filed with the SEC on October 20, 2017, as amended (file</w:t>
      </w:r>
    </w:p>
    <w:p>
      <w:pPr>
        <w:ind w:left="120" w:right="320"/>
        <w:spacing w:after="0" w:line="260" w:lineRule="auto"/>
        <w:rPr>
          <w:sz w:val="20"/>
          <w:szCs w:val="20"/>
          <w:color w:val="auto"/>
        </w:rPr>
      </w:pPr>
      <w:r>
        <w:rPr>
          <w:rFonts w:ascii="Arial" w:cs="Arial" w:eastAsia="Arial" w:hAnsi="Arial"/>
          <w:sz w:val="18"/>
          <w:szCs w:val="18"/>
          <w:color w:val="auto"/>
        </w:rPr>
        <w:t>no. 333-221034)), the registrant has agreed to indemnify its directors and officers against certain liabilities and expenses incurred by such persons in connection with claims made by reason of their being such a director or officer.</w:t>
      </w:r>
    </w:p>
    <w:p>
      <w:pPr>
        <w:spacing w:after="0" w:line="185" w:lineRule="exact"/>
        <w:rPr>
          <w:sz w:val="20"/>
          <w:szCs w:val="20"/>
          <w:color w:val="auto"/>
        </w:rPr>
      </w:pPr>
    </w:p>
    <w:p>
      <w:pPr>
        <w:jc w:val="both"/>
        <w:ind w:left="120" w:right="140" w:firstLine="991"/>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the registrant and its officers and directors and other persons.</w:t>
      </w:r>
    </w:p>
    <w:p>
      <w:pPr>
        <w:spacing w:after="0" w:line="170" w:lineRule="exact"/>
        <w:rPr>
          <w:sz w:val="20"/>
          <w:szCs w:val="20"/>
          <w:color w:val="auto"/>
        </w:rPr>
      </w:pPr>
    </w:p>
    <w:p>
      <w:pPr>
        <w:jc w:val="both"/>
        <w:ind w:left="120" w:right="140" w:firstLine="991"/>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3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Exhibits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37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Undertakings.</w:t>
      </w:r>
    </w:p>
    <w:p>
      <w:pPr>
        <w:spacing w:after="0" w:line="131" w:lineRule="exact"/>
        <w:rPr>
          <w:sz w:val="20"/>
          <w:szCs w:val="20"/>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540" w:right="20" w:firstLine="8"/>
        <w:spacing w:after="0" w:line="258" w:lineRule="auto"/>
        <w:tabs>
          <w:tab w:leader="none" w:pos="2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(i)To include any prospectus required by Section 10(a)(3) of the Securities Act;</w:t>
      </w:r>
    </w:p>
    <w:p>
      <w:pPr>
        <w:spacing w:after="0" w:line="1" w:lineRule="exact"/>
        <w:rPr>
          <w:rFonts w:ascii="Arial" w:cs="Arial" w:eastAsia="Arial" w:hAnsi="Arial"/>
          <w:sz w:val="18"/>
          <w:szCs w:val="18"/>
          <w:color w:val="auto"/>
        </w:rPr>
      </w:pPr>
    </w:p>
    <w:p>
      <w:pPr>
        <w:ind w:left="1540"/>
        <w:spacing w:after="0" w:line="265" w:lineRule="auto"/>
        <w:rPr>
          <w:rFonts w:ascii="Arial" w:cs="Arial" w:eastAsia="Arial" w:hAnsi="Arial"/>
          <w:sz w:val="18"/>
          <w:szCs w:val="18"/>
          <w:color w:val="auto"/>
        </w:rPr>
      </w:pPr>
      <w:r>
        <w:rPr>
          <w:rFonts w:ascii="Arial" w:cs="Arial" w:eastAsia="Arial" w:hAnsi="Arial"/>
          <w:sz w:val="17"/>
          <w:szCs w:val="17"/>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 w:lineRule="exact"/>
        <w:rPr>
          <w:rFonts w:ascii="Arial" w:cs="Arial" w:eastAsia="Arial" w:hAnsi="Arial"/>
          <w:sz w:val="18"/>
          <w:szCs w:val="18"/>
          <w:color w:val="auto"/>
        </w:rPr>
      </w:pPr>
    </w:p>
    <w:p>
      <w:pPr>
        <w:ind w:left="1540" w:right="80"/>
        <w:spacing w:after="0" w:line="260" w:lineRule="auto"/>
        <w:rPr>
          <w:rFonts w:ascii="Arial" w:cs="Arial" w:eastAsia="Arial" w:hAnsi="Arial"/>
          <w:sz w:val="18"/>
          <w:szCs w:val="18"/>
          <w:color w:val="auto"/>
        </w:rPr>
      </w:pPr>
      <w:r>
        <w:rPr>
          <w:rFonts w:ascii="Arial" w:cs="Arial" w:eastAsia="Arial" w:hAnsi="Arial"/>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77" w:lineRule="exact"/>
        <w:rPr>
          <w:sz w:val="20"/>
          <w:szCs w:val="20"/>
          <w:color w:val="auto"/>
        </w:rPr>
      </w:pPr>
    </w:p>
    <w:p>
      <w:pPr>
        <w:jc w:val="both"/>
        <w:ind w:left="2540" w:right="22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do not apply if the information required to be included in a post-effective amendment by those paragraphs is contained in reports filed with or furnished to the SEC by the registrant pursuant to Section 13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540" w:right="100"/>
        <w:spacing w:after="0" w:line="277" w:lineRule="auto"/>
        <w:rPr>
          <w:sz w:val="20"/>
          <w:szCs w:val="20"/>
          <w:color w:val="auto"/>
        </w:rPr>
      </w:pPr>
      <w:r>
        <w:rPr>
          <w:rFonts w:ascii="Arial" w:cs="Arial" w:eastAsia="Arial" w:hAnsi="Arial"/>
          <w:sz w:val="18"/>
          <w:szCs w:val="18"/>
          <w:color w:val="auto"/>
        </w:rPr>
        <w:t>Section 15(d) of the Exchange Act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jc w:val="both"/>
        <w:ind w:left="1540" w:right="280" w:firstLine="8"/>
        <w:spacing w:after="0" w:line="263" w:lineRule="auto"/>
        <w:tabs>
          <w:tab w:leader="none" w:pos="21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1540" w:right="100" w:firstLine="8"/>
        <w:spacing w:after="0" w:line="255" w:lineRule="auto"/>
        <w:tabs>
          <w:tab w:leader="none" w:pos="21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To remove from registration by means of a post-effective amendment any of the securities being registered which remain unsold at the termination of the offering. (4)To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that the registrant includes in the prospectus, by means of a post-effective amendment, financial statements required pursuant to this paragraph</w:t>
      </w:r>
    </w:p>
    <w:p>
      <w:pPr>
        <w:spacing w:after="0" w:line="84" w:lineRule="exact"/>
        <w:rPr>
          <w:rFonts w:ascii="Arial" w:cs="Arial" w:eastAsia="Arial" w:hAnsi="Arial"/>
          <w:sz w:val="18"/>
          <w:szCs w:val="18"/>
          <w:color w:val="auto"/>
        </w:rPr>
      </w:pPr>
    </w:p>
    <w:p>
      <w:pPr>
        <w:ind w:left="1540" w:right="360" w:firstLine="8"/>
        <w:spacing w:after="0" w:line="296" w:lineRule="auto"/>
        <w:tabs>
          <w:tab w:leader="none" w:pos="21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53" w:lineRule="exact"/>
        <w:rPr>
          <w:rFonts w:ascii="Arial" w:cs="Arial" w:eastAsia="Arial" w:hAnsi="Arial"/>
          <w:sz w:val="16"/>
          <w:szCs w:val="16"/>
          <w:color w:val="auto"/>
        </w:rPr>
      </w:pPr>
    </w:p>
    <w:p>
      <w:pPr>
        <w:ind w:left="2160" w:hanging="612"/>
        <w:spacing w:after="0"/>
        <w:tabs>
          <w:tab w:leader="none" w:pos="2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2420" w:right="140" w:firstLine="9"/>
        <w:spacing w:after="0" w:line="342" w:lineRule="auto"/>
        <w:tabs>
          <w:tab w:leader="none" w:pos="299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 w:lineRule="exact"/>
        <w:rPr>
          <w:rFonts w:ascii="Arial" w:cs="Arial" w:eastAsia="Arial" w:hAnsi="Arial"/>
          <w:sz w:val="16"/>
          <w:szCs w:val="16"/>
          <w:color w:val="auto"/>
        </w:rPr>
      </w:pPr>
    </w:p>
    <w:p>
      <w:pPr>
        <w:ind w:left="3060" w:hanging="631"/>
        <w:spacing w:after="0"/>
        <w:tabs>
          <w:tab w:leader="none" w:pos="30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w:t>
      </w:r>
    </w:p>
    <w:p>
      <w:pPr>
        <w:spacing w:after="0" w:line="34" w:lineRule="exact"/>
        <w:rPr>
          <w:rFonts w:ascii="Arial" w:cs="Arial" w:eastAsia="Arial" w:hAnsi="Arial"/>
          <w:sz w:val="17"/>
          <w:szCs w:val="17"/>
          <w:color w:val="auto"/>
        </w:rPr>
      </w:pPr>
    </w:p>
    <w:p>
      <w:pPr>
        <w:ind w:left="2420"/>
        <w:spacing w:after="0" w:line="285" w:lineRule="auto"/>
        <w:rPr>
          <w:rFonts w:ascii="Arial" w:cs="Arial" w:eastAsia="Arial" w:hAnsi="Arial"/>
          <w:sz w:val="17"/>
          <w:szCs w:val="17"/>
          <w:color w:val="auto"/>
        </w:rPr>
      </w:pPr>
      <w:r>
        <w:rPr>
          <w:rFonts w:ascii="Arial" w:cs="Arial" w:eastAsia="Arial" w:hAnsi="Arial"/>
          <w:sz w:val="16"/>
          <w:szCs w:val="16"/>
          <w:color w:val="auto"/>
        </w:rPr>
        <w:t>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3" w:lineRule="exact"/>
        <w:rPr>
          <w:rFonts w:ascii="Arial" w:cs="Arial" w:eastAsia="Arial" w:hAnsi="Arial"/>
          <w:sz w:val="17"/>
          <w:szCs w:val="17"/>
          <w:color w:val="auto"/>
        </w:rPr>
      </w:pPr>
    </w:p>
    <w:p>
      <w:pPr>
        <w:jc w:val="both"/>
        <w:ind w:left="1540" w:right="80" w:firstLine="8"/>
        <w:spacing w:after="0" w:line="279" w:lineRule="auto"/>
        <w:tabs>
          <w:tab w:leader="none" w:pos="21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undersigned registrant will be a seller to the purchaser and will be considered to offer or sell such securities to such purchaser:</w:t>
      </w:r>
    </w:p>
    <w:p>
      <w:pPr>
        <w:spacing w:after="0" w:line="140" w:lineRule="exact"/>
        <w:rPr>
          <w:sz w:val="20"/>
          <w:szCs w:val="20"/>
          <w:color w:val="auto"/>
        </w:rPr>
      </w:pPr>
    </w:p>
    <w:p>
      <w:pPr>
        <w:ind w:left="2420" w:right="360" w:firstLine="9"/>
        <w:spacing w:after="0" w:line="277" w:lineRule="auto"/>
        <w:tabs>
          <w:tab w:leader="none" w:pos="29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2420" w:right="340" w:firstLine="9"/>
        <w:spacing w:after="0" w:line="277" w:lineRule="auto"/>
        <w:tabs>
          <w:tab w:leader="none" w:pos="29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2420" w:right="180" w:firstLine="9"/>
        <w:spacing w:after="0" w:line="308" w:lineRule="auto"/>
        <w:tabs>
          <w:tab w:leader="none" w:pos="3046"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38" w:lineRule="exact"/>
        <w:rPr>
          <w:rFonts w:ascii="Arial" w:cs="Arial" w:eastAsia="Arial" w:hAnsi="Arial"/>
          <w:sz w:val="17"/>
          <w:szCs w:val="17"/>
          <w:color w:val="auto"/>
        </w:rPr>
      </w:pPr>
    </w:p>
    <w:p>
      <w:pPr>
        <w:ind w:left="3040" w:hanging="611"/>
        <w:spacing w:after="0"/>
        <w:tabs>
          <w:tab w:leader="none" w:pos="3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153" w:lineRule="exact"/>
        <w:rPr>
          <w:rFonts w:ascii="Arial" w:cs="Arial" w:eastAsia="Arial" w:hAnsi="Arial"/>
          <w:sz w:val="16"/>
          <w:szCs w:val="16"/>
          <w:color w:val="auto"/>
        </w:rPr>
      </w:pPr>
    </w:p>
    <w:p>
      <w:pPr>
        <w:ind w:left="1540" w:right="80" w:hanging="439"/>
        <w:spacing w:after="0" w:line="275" w:lineRule="auto"/>
        <w:tabs>
          <w:tab w:leader="none" w:pos="1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Arial" w:cs="Arial" w:eastAsia="Arial" w:hAnsi="Arial"/>
          <w:sz w:val="17"/>
          <w:szCs w:val="17"/>
          <w:color w:val="auto"/>
        </w:rPr>
      </w:pPr>
    </w:p>
    <w:p>
      <w:pPr>
        <w:ind w:left="1540" w:hanging="439"/>
        <w:spacing w:after="0" w:line="253"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ind w:left="1540" w:right="120" w:hanging="439"/>
        <w:spacing w:after="0" w:line="286" w:lineRule="auto"/>
        <w:tabs>
          <w:tab w:leader="none" w:pos="1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undersigned registrant hereby undertakes to file an application for the purpose of determining the eligibility of the trustee to act under subsection (a) of Section 310 of the Trust Indenture Act of 1939, as amended, or the Trust Indenture Act, in accordance with the rules and regulations prescribed by the SEC under Section 305(b)(2) of the Trust Indenture Act.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20" w:type="dxa"/>
            <w:vAlign w:val="bottom"/>
            <w:gridSpan w:val="12"/>
          </w:tcPr>
          <w:p>
            <w:pPr>
              <w:ind w:left="1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80" w:type="dxa"/>
            <w:vAlign w:val="bottom"/>
            <w:gridSpan w:val="10"/>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58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Specimen Certificate for Class A Ordinary shares of the Registrant, incorporated herein by reference to Exhibit 4.2 to our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statement on Form F-1, as amended, filed with the SEC (File No. 001-38313) on April 21, 2021</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Form of Deposit Agreement among the Registrant, the depositary and holder of the American Depositary Receipts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reference to Exhibit 4.3 of our Registration Statement on Form F-1/A (file No. 333-221034) filed with the Securities and Exchange</w:t>
              </w:r>
            </w:hyperlink>
          </w:p>
        </w:tc>
        <w:tc>
          <w:tcPr>
            <w:tcW w:w="2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Commission on December 1,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5620" w:type="dxa"/>
            <w:vAlign w:val="bottom"/>
            <w:tcBorders>
              <w:bottom w:val="single" w:sz="8" w:color="0000EE"/>
            </w:tcBorders>
            <w:gridSpan w:val="7"/>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Registrant’s Specimen American Depositary Receipt (included in Exhibit 4.2)</w:t>
              </w:r>
            </w:hyperlink>
          </w:p>
        </w:tc>
        <w:tc>
          <w:tcPr>
            <w:tcW w:w="4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Form of Indenture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85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Opinion of Travers Thorp Alberga regarding the validity of the Class A Ordinary shares and warrants being registered</w:t>
              </w:r>
            </w:hyperlink>
          </w:p>
        </w:tc>
        <w:tc>
          <w:tcPr>
            <w:tcW w:w="1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Opinion of Cleary Gottlieb Steen &amp; Hamilton LLP regarding the validity of the debt securities being registered</w:t>
              </w:r>
            </w:hyperlink>
          </w:p>
        </w:tc>
        <w:tc>
          <w:tcPr>
            <w:tcW w:w="1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Consent of PricewaterhouseCoopers, independent registered public accounting firm</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6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Consent of Travers Thorp Alberga (included in Exhibit 5.1)</w:t>
              </w:r>
            </w:hyperlink>
          </w:p>
        </w:tc>
        <w:tc>
          <w:tcPr>
            <w:tcW w:w="1720" w:type="dxa"/>
            <w:vAlign w:val="bottom"/>
            <w:tcBorders>
              <w:top w:val="single" w:sz="8" w:color="0000EE"/>
            </w:tcBorders>
            <w:gridSpan w:val="3"/>
          </w:tcPr>
          <w:p>
            <w:pPr>
              <w:spacing w:after="0"/>
              <w:rPr>
                <w:sz w:val="24"/>
                <w:szCs w:val="24"/>
                <w:color w:val="auto"/>
              </w:rPr>
            </w:pPr>
          </w:p>
        </w:tc>
        <w:tc>
          <w:tcPr>
            <w:tcW w:w="3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23.3</w:t>
            </w:r>
          </w:p>
        </w:tc>
        <w:tc>
          <w:tcPr>
            <w:tcW w:w="64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Consent of Cleary Gottlieb Steen &amp; Hamilton LLP (included in Exhibit 5.2)</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23.4</w:t>
            </w:r>
          </w:p>
        </w:tc>
        <w:tc>
          <w:tcPr>
            <w:tcW w:w="640" w:type="dxa"/>
            <w:vAlign w:val="bottom"/>
          </w:tcPr>
          <w:p>
            <w:pPr>
              <w:spacing w:after="0"/>
              <w:rPr>
                <w:sz w:val="24"/>
                <w:szCs w:val="24"/>
                <w:color w:val="auto"/>
              </w:rPr>
            </w:pPr>
          </w:p>
        </w:tc>
        <w:tc>
          <w:tcPr>
            <w:tcW w:w="5480" w:type="dxa"/>
            <w:vAlign w:val="bottom"/>
            <w:tcBorders>
              <w:top w:val="single" w:sz="8" w:color="0000EE"/>
            </w:tcBorders>
            <w:gridSpan w:val="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Consent of Jingtian &amp; Gongcheng</w:t>
              </w:r>
            </w:hyperlink>
          </w:p>
        </w:tc>
        <w:tc>
          <w:tcPr>
            <w:tcW w:w="4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24.1</w:t>
            </w:r>
          </w:p>
        </w:tc>
        <w:tc>
          <w:tcPr>
            <w:tcW w:w="64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Power of Attorney (included on signature page hereof)</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5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25.1*</w:t>
            </w:r>
          </w:p>
        </w:tc>
        <w:tc>
          <w:tcPr>
            <w:tcW w:w="64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8"/>
                <w:szCs w:val="18"/>
                <w:color w:val="auto"/>
              </w:rPr>
              <w:t>Form T-1 Statement of Eligibility and Qualification under the Trust Indenture Act of the Trustee under the Indenture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*To be filed as an exhibit to a post-effective amendment to this registration statement or as an exhibit to a report filed under the Exchange Act and incorporated herein by reference.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Hong Kong, on June 25,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Terence Li</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Terence 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Director and Chief Financial Officer</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Mr. Jian Tang and Mr. Terence Li and each of them, individually, as his true and lawful attorneys-in-fact and agents, each with full power of substitution and resubstitution, for him and in his name, place and stead, in any and all capacities, to sign any and all amendments (including post-effective amendments) and supplements to this registration statement on Form F-3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 or substitutes, may lawfully do or cause to be done by virtue hereof.</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the 25th day of June, 2021.</w:t>
      </w:r>
    </w:p>
    <w:p>
      <w:pPr>
        <w:sectPr>
          <w:pgSz w:w="11900" w:h="16838" w:orient="portrait"/>
          <w:cols w:equalWidth="0" w:num="1">
            <w:col w:w="11120"/>
          </w:cols>
          <w:pgMar w:left="320" w:top="459" w:right="459" w:bottom="1440" w:gutter="0" w:footer="0" w:header="0"/>
        </w:sectPr>
      </w:pPr>
    </w:p>
    <w:p>
      <w:pPr>
        <w:spacing w:after="0" w:line="193" w:lineRule="exact"/>
        <w:rPr>
          <w:sz w:val="20"/>
          <w:szCs w:val="20"/>
          <w:color w:val="auto"/>
        </w:rPr>
      </w:pPr>
    </w:p>
    <w:p>
      <w:pPr>
        <w:jc w:val="right"/>
        <w:ind w:right="196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2143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Jian Tang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Wing Hong Sammy Hsieh</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Lub Bun Chong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Lub Bun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Matthew Chu Pong Fong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Matthew Chu Pong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Dylan Huang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Dylan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Philip Kan</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Terence Li</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2143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3488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76" w:lineRule="exact"/>
        <w:rPr>
          <w:sz w:val="20"/>
          <w:szCs w:val="20"/>
          <w:color w:val="auto"/>
        </w:rPr>
      </w:pPr>
    </w:p>
    <w:p>
      <w:pPr>
        <w:sectPr>
          <w:pgSz w:w="11900" w:h="16838" w:orient="portrait"/>
          <w:cols w:equalWidth="0" w:num="2">
            <w:col w:w="5020" w:space="720"/>
            <w:col w:w="5380"/>
          </w:cols>
          <w:pgMar w:left="320" w:top="459" w:right="459" w:bottom="1440" w:gutter="0" w:footer="0" w:header="0"/>
          <w:type w:val="continuous"/>
        </w:sectPr>
      </w:pP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undersigned, the duly authorized representative in the United States of iClick Interactive Asia Group Limited, has signed this registration statement or amendment thereto in New York on June 25,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COGENCY GLOBAL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00"/>
          </w:cols>
          <w:pgMar w:left="320" w:top="459" w:right="4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60"/>
        <w:spacing w:after="0"/>
        <w:tabs>
          <w:tab w:leader="none" w:pos="53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960" w:hanging="966"/>
        <w:spacing w:after="0"/>
        <w:tabs>
          <w:tab w:leader="none" w:pos="4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020"/>
          </w:cols>
          <w:pgMar w:left="1440" w:top="121"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9620" w:type="dxa"/>
            <w:vAlign w:val="bottom"/>
            <w:vMerge w:val="restart"/>
          </w:tcPr>
          <w:p>
            <w:pPr>
              <w:jc w:val="center"/>
              <w:ind w:right="65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9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620" w:type="dxa"/>
            <w:vAlign w:val="bottom"/>
          </w:tcPr>
          <w:p>
            <w:pPr>
              <w:jc w:val="center"/>
              <w:ind w:right="670"/>
              <w:spacing w:after="0"/>
              <w:rPr>
                <w:sz w:val="20"/>
                <w:szCs w:val="20"/>
                <w:color w:val="auto"/>
              </w:rPr>
            </w:pPr>
            <w:r>
              <w:rPr>
                <w:rFonts w:ascii="Arial" w:cs="Arial" w:eastAsia="Arial" w:hAnsi="Arial"/>
                <w:sz w:val="18"/>
                <w:szCs w:val="18"/>
                <w:color w:val="auto"/>
                <w:w w:val="96"/>
              </w:rPr>
              <w:t>DEFINITIONS AND INCORPORATION BY REFERENCE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1.1</w:t>
            </w:r>
          </w:p>
        </w:tc>
        <w:tc>
          <w:tcPr>
            <w:tcW w:w="96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1.2</w:t>
            </w:r>
          </w:p>
        </w:tc>
        <w:tc>
          <w:tcPr>
            <w:tcW w:w="962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1.3</w:t>
            </w:r>
          </w:p>
        </w:tc>
        <w:tc>
          <w:tcPr>
            <w:tcW w:w="9620" w:type="dxa"/>
            <w:vAlign w:val="bottom"/>
          </w:tcPr>
          <w:p>
            <w:pPr>
              <w:ind w:left="14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1.4</w:t>
            </w:r>
          </w:p>
        </w:tc>
        <w:tc>
          <w:tcPr>
            <w:tcW w:w="962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9620" w:type="dxa"/>
            <w:vAlign w:val="bottom"/>
          </w:tcPr>
          <w:p>
            <w:pPr>
              <w:jc w:val="center"/>
              <w:ind w:right="65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620" w:type="dxa"/>
            <w:vAlign w:val="bottom"/>
          </w:tcPr>
          <w:p>
            <w:pPr>
              <w:jc w:val="center"/>
              <w:ind w:right="670"/>
              <w:spacing w:after="0"/>
              <w:rPr>
                <w:sz w:val="20"/>
                <w:szCs w:val="20"/>
                <w:color w:val="auto"/>
              </w:rPr>
            </w:pPr>
            <w:r>
              <w:rPr>
                <w:rFonts w:ascii="Arial" w:cs="Arial" w:eastAsia="Arial" w:hAnsi="Arial"/>
                <w:sz w:val="18"/>
                <w:szCs w:val="18"/>
                <w:color w:val="auto"/>
                <w:w w:val="95"/>
              </w:rPr>
              <w:t>THE SECURITIES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2.1</w:t>
            </w:r>
          </w:p>
        </w:tc>
        <w:tc>
          <w:tcPr>
            <w:tcW w:w="9620" w:type="dxa"/>
            <w:vAlign w:val="bottom"/>
          </w:tcPr>
          <w:p>
            <w:pPr>
              <w:ind w:left="140"/>
              <w:spacing w:after="0"/>
              <w:rPr>
                <w:sz w:val="20"/>
                <w:szCs w:val="20"/>
                <w:color w:val="auto"/>
              </w:rPr>
            </w:pPr>
            <w:r>
              <w:rPr>
                <w:rFonts w:ascii="Arial" w:cs="Arial" w:eastAsia="Arial" w:hAnsi="Arial"/>
                <w:sz w:val="18"/>
                <w:szCs w:val="18"/>
                <w:color w:val="auto"/>
              </w:rPr>
              <w:t>Issuable in Series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40"/>
              <w:spacing w:after="0"/>
              <w:rPr>
                <w:sz w:val="20"/>
                <w:szCs w:val="20"/>
                <w:color w:val="auto"/>
              </w:rPr>
            </w:pPr>
            <w:r>
              <w:rPr>
                <w:rFonts w:ascii="Arial" w:cs="Arial" w:eastAsia="Arial" w:hAnsi="Arial"/>
                <w:sz w:val="18"/>
                <w:szCs w:val="18"/>
                <w:color w:val="auto"/>
              </w:rPr>
              <w:t>Establishment of Terms of Series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2.4</w:t>
            </w:r>
          </w:p>
        </w:tc>
        <w:tc>
          <w:tcPr>
            <w:tcW w:w="9620" w:type="dxa"/>
            <w:vAlign w:val="bottom"/>
          </w:tcPr>
          <w:p>
            <w:pPr>
              <w:ind w:left="140"/>
              <w:spacing w:after="0"/>
              <w:rPr>
                <w:sz w:val="20"/>
                <w:szCs w:val="20"/>
                <w:color w:val="auto"/>
              </w:rPr>
            </w:pPr>
            <w:r>
              <w:rPr>
                <w:rFonts w:ascii="Arial" w:cs="Arial" w:eastAsia="Arial" w:hAnsi="Arial"/>
                <w:sz w:val="18"/>
                <w:szCs w:val="18"/>
                <w:color w:val="auto"/>
              </w:rPr>
              <w:t>Registrar and Paying Agent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2.5</w:t>
            </w:r>
          </w:p>
        </w:tc>
        <w:tc>
          <w:tcPr>
            <w:tcW w:w="9620" w:type="dxa"/>
            <w:vAlign w:val="bottom"/>
          </w:tcPr>
          <w:p>
            <w:pPr>
              <w:ind w:left="14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2.6</w:t>
            </w:r>
          </w:p>
        </w:tc>
        <w:tc>
          <w:tcPr>
            <w:tcW w:w="9620" w:type="dxa"/>
            <w:vAlign w:val="bottom"/>
          </w:tcPr>
          <w:p>
            <w:pPr>
              <w:ind w:left="140"/>
              <w:spacing w:after="0"/>
              <w:rPr>
                <w:sz w:val="20"/>
                <w:szCs w:val="20"/>
                <w:color w:val="auto"/>
              </w:rPr>
            </w:pPr>
            <w:r>
              <w:rPr>
                <w:rFonts w:ascii="Arial" w:cs="Arial" w:eastAsia="Arial" w:hAnsi="Arial"/>
                <w:sz w:val="18"/>
                <w:szCs w:val="18"/>
                <w:color w:val="auto"/>
              </w:rPr>
              <w:t>Security Holder Lists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2.7</w:t>
            </w:r>
          </w:p>
        </w:tc>
        <w:tc>
          <w:tcPr>
            <w:tcW w:w="9620" w:type="dxa"/>
            <w:vAlign w:val="bottom"/>
          </w:tcPr>
          <w:p>
            <w:pPr>
              <w:ind w:left="140"/>
              <w:spacing w:after="0"/>
              <w:rPr>
                <w:sz w:val="20"/>
                <w:szCs w:val="20"/>
                <w:color w:val="auto"/>
              </w:rPr>
            </w:pPr>
            <w:r>
              <w:rPr>
                <w:rFonts w:ascii="Arial" w:cs="Arial" w:eastAsia="Arial" w:hAnsi="Arial"/>
                <w:sz w:val="18"/>
                <w:szCs w:val="18"/>
                <w:color w:val="auto"/>
              </w:rPr>
              <w:t>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2.8</w:t>
            </w:r>
          </w:p>
        </w:tc>
        <w:tc>
          <w:tcPr>
            <w:tcW w:w="9620" w:type="dxa"/>
            <w:vAlign w:val="bottom"/>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2.9</w:t>
            </w:r>
          </w:p>
        </w:tc>
        <w:tc>
          <w:tcPr>
            <w:tcW w:w="9620" w:type="dxa"/>
            <w:vAlign w:val="bottom"/>
          </w:tcPr>
          <w:p>
            <w:pPr>
              <w:ind w:left="140"/>
              <w:spacing w:after="0"/>
              <w:rPr>
                <w:sz w:val="20"/>
                <w:szCs w:val="20"/>
                <w:color w:val="auto"/>
              </w:rPr>
            </w:pPr>
            <w:r>
              <w:rPr>
                <w:rFonts w:ascii="Arial" w:cs="Arial" w:eastAsia="Arial" w:hAnsi="Arial"/>
                <w:sz w:val="18"/>
                <w:szCs w:val="18"/>
                <w:color w:val="auto"/>
              </w:rPr>
              <w:t>Outstanding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2.10</w:t>
            </w:r>
          </w:p>
        </w:tc>
        <w:tc>
          <w:tcPr>
            <w:tcW w:w="9620" w:type="dxa"/>
            <w:vAlign w:val="bottom"/>
          </w:tcPr>
          <w:p>
            <w:pPr>
              <w:ind w:left="140"/>
              <w:spacing w:after="0"/>
              <w:rPr>
                <w:sz w:val="20"/>
                <w:szCs w:val="20"/>
                <w:color w:val="auto"/>
              </w:rPr>
            </w:pPr>
            <w:r>
              <w:rPr>
                <w:rFonts w:ascii="Arial" w:cs="Arial" w:eastAsia="Arial" w:hAnsi="Arial"/>
                <w:sz w:val="18"/>
                <w:szCs w:val="18"/>
                <w:color w:val="auto"/>
              </w:rPr>
              <w:t>Treasury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2.11</w:t>
            </w:r>
          </w:p>
        </w:tc>
        <w:tc>
          <w:tcPr>
            <w:tcW w:w="962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2.12</w:t>
            </w:r>
          </w:p>
        </w:tc>
        <w:tc>
          <w:tcPr>
            <w:tcW w:w="962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2.13</w:t>
            </w:r>
          </w:p>
        </w:tc>
        <w:tc>
          <w:tcPr>
            <w:tcW w:w="962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2.14</w:t>
            </w:r>
          </w:p>
        </w:tc>
        <w:tc>
          <w:tcPr>
            <w:tcW w:w="962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2.15</w:t>
            </w:r>
          </w:p>
        </w:tc>
        <w:tc>
          <w:tcPr>
            <w:tcW w:w="9620" w:type="dxa"/>
            <w:vAlign w:val="bottom"/>
          </w:tcPr>
          <w:p>
            <w:pPr>
              <w:ind w:left="14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9620" w:type="dxa"/>
            <w:vAlign w:val="bottom"/>
          </w:tcPr>
          <w:p>
            <w:pPr>
              <w:jc w:val="center"/>
              <w:ind w:right="65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620" w:type="dxa"/>
            <w:vAlign w:val="bottom"/>
          </w:tcPr>
          <w:p>
            <w:pPr>
              <w:jc w:val="center"/>
              <w:ind w:right="650"/>
              <w:spacing w:after="0"/>
              <w:rPr>
                <w:sz w:val="20"/>
                <w:szCs w:val="20"/>
                <w:color w:val="auto"/>
              </w:rPr>
            </w:pPr>
            <w:r>
              <w:rPr>
                <w:rFonts w:ascii="Arial" w:cs="Arial" w:eastAsia="Arial" w:hAnsi="Arial"/>
                <w:sz w:val="18"/>
                <w:szCs w:val="18"/>
                <w:color w:val="auto"/>
                <w:w w:val="96"/>
              </w:rPr>
              <w:t>REDEMPTION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3.1</w:t>
            </w:r>
          </w:p>
        </w:tc>
        <w:tc>
          <w:tcPr>
            <w:tcW w:w="9620" w:type="dxa"/>
            <w:vAlign w:val="bottom"/>
          </w:tcPr>
          <w:p>
            <w:pPr>
              <w:ind w:left="140"/>
              <w:spacing w:after="0"/>
              <w:rPr>
                <w:sz w:val="20"/>
                <w:szCs w:val="20"/>
                <w:color w:val="auto"/>
              </w:rPr>
            </w:pPr>
            <w:r>
              <w:rPr>
                <w:rFonts w:ascii="Arial" w:cs="Arial" w:eastAsia="Arial" w:hAnsi="Arial"/>
                <w:sz w:val="18"/>
                <w:szCs w:val="18"/>
                <w:color w:val="auto"/>
              </w:rPr>
              <w:t>Notice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3.2</w:t>
            </w:r>
          </w:p>
        </w:tc>
        <w:tc>
          <w:tcPr>
            <w:tcW w:w="9620" w:type="dxa"/>
            <w:vAlign w:val="bottom"/>
          </w:tcPr>
          <w:p>
            <w:pPr>
              <w:ind w:left="140"/>
              <w:spacing w:after="0"/>
              <w:rPr>
                <w:sz w:val="20"/>
                <w:szCs w:val="20"/>
                <w:color w:val="auto"/>
              </w:rPr>
            </w:pPr>
            <w:r>
              <w:rPr>
                <w:rFonts w:ascii="Arial" w:cs="Arial" w:eastAsia="Arial" w:hAnsi="Arial"/>
                <w:sz w:val="18"/>
                <w:szCs w:val="18"/>
                <w:color w:val="auto"/>
              </w:rPr>
              <w:t>Selection of Securities to be Redeemed</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3.3</w:t>
            </w:r>
          </w:p>
        </w:tc>
        <w:tc>
          <w:tcPr>
            <w:tcW w:w="962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3.4</w:t>
            </w:r>
          </w:p>
        </w:tc>
        <w:tc>
          <w:tcPr>
            <w:tcW w:w="962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3.5</w:t>
            </w:r>
          </w:p>
        </w:tc>
        <w:tc>
          <w:tcPr>
            <w:tcW w:w="9620" w:type="dxa"/>
            <w:vAlign w:val="bottom"/>
          </w:tcPr>
          <w:p>
            <w:pPr>
              <w:ind w:left="140"/>
              <w:spacing w:after="0"/>
              <w:rPr>
                <w:sz w:val="20"/>
                <w:szCs w:val="20"/>
                <w:color w:val="auto"/>
              </w:rPr>
            </w:pPr>
            <w:r>
              <w:rPr>
                <w:rFonts w:ascii="Arial" w:cs="Arial" w:eastAsia="Arial" w:hAnsi="Arial"/>
                <w:sz w:val="18"/>
                <w:szCs w:val="18"/>
                <w:color w:val="auto"/>
              </w:rPr>
              <w:t>Deposit of Redemption Price</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3.6</w:t>
            </w:r>
          </w:p>
        </w:tc>
        <w:tc>
          <w:tcPr>
            <w:tcW w:w="9620" w:type="dxa"/>
            <w:vAlign w:val="bottom"/>
          </w:tcPr>
          <w:p>
            <w:pPr>
              <w:ind w:left="140"/>
              <w:spacing w:after="0"/>
              <w:rPr>
                <w:sz w:val="20"/>
                <w:szCs w:val="20"/>
                <w:color w:val="auto"/>
              </w:rPr>
            </w:pPr>
            <w:r>
              <w:rPr>
                <w:rFonts w:ascii="Arial" w:cs="Arial" w:eastAsia="Arial" w:hAnsi="Arial"/>
                <w:sz w:val="18"/>
                <w:szCs w:val="18"/>
                <w:color w:val="auto"/>
              </w:rPr>
              <w:t>Securities Redeemed in Part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9620" w:type="dxa"/>
            <w:vAlign w:val="bottom"/>
          </w:tcPr>
          <w:p>
            <w:pPr>
              <w:jc w:val="center"/>
              <w:ind w:right="67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620" w:type="dxa"/>
            <w:vAlign w:val="bottom"/>
          </w:tcPr>
          <w:p>
            <w:pPr>
              <w:jc w:val="center"/>
              <w:ind w:right="650"/>
              <w:spacing w:after="0"/>
              <w:rPr>
                <w:sz w:val="20"/>
                <w:szCs w:val="20"/>
                <w:color w:val="auto"/>
              </w:rPr>
            </w:pPr>
            <w:r>
              <w:rPr>
                <w:rFonts w:ascii="Arial" w:cs="Arial" w:eastAsia="Arial" w:hAnsi="Arial"/>
                <w:sz w:val="18"/>
                <w:szCs w:val="18"/>
                <w:color w:val="auto"/>
                <w:w w:val="96"/>
              </w:rPr>
              <w:t>COVENANTS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4.1</w:t>
            </w:r>
          </w:p>
        </w:tc>
        <w:tc>
          <w:tcPr>
            <w:tcW w:w="9620" w:type="dxa"/>
            <w:vAlign w:val="bottom"/>
          </w:tcPr>
          <w:p>
            <w:pPr>
              <w:ind w:left="140"/>
              <w:spacing w:after="0"/>
              <w:rPr>
                <w:sz w:val="20"/>
                <w:szCs w:val="20"/>
                <w:color w:val="auto"/>
              </w:rPr>
            </w:pPr>
            <w:r>
              <w:rPr>
                <w:rFonts w:ascii="Arial" w:cs="Arial" w:eastAsia="Arial" w:hAnsi="Arial"/>
                <w:sz w:val="18"/>
                <w:szCs w:val="18"/>
                <w:color w:val="auto"/>
              </w:rPr>
              <w:t>Payment of Principal and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4.2</w:t>
            </w:r>
          </w:p>
        </w:tc>
        <w:tc>
          <w:tcPr>
            <w:tcW w:w="9620" w:type="dxa"/>
            <w:vAlign w:val="bottom"/>
          </w:tcPr>
          <w:p>
            <w:pPr>
              <w:ind w:left="140"/>
              <w:spacing w:after="0"/>
              <w:rPr>
                <w:sz w:val="20"/>
                <w:szCs w:val="20"/>
                <w:color w:val="auto"/>
              </w:rPr>
            </w:pPr>
            <w:r>
              <w:rPr>
                <w:rFonts w:ascii="Arial" w:cs="Arial" w:eastAsia="Arial" w:hAnsi="Arial"/>
                <w:sz w:val="18"/>
                <w:szCs w:val="18"/>
                <w:color w:val="auto"/>
              </w:rPr>
              <w:t>SEC Reports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4.3</w:t>
            </w:r>
          </w:p>
        </w:tc>
        <w:tc>
          <w:tcPr>
            <w:tcW w:w="962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4.4</w:t>
            </w:r>
          </w:p>
        </w:tc>
        <w:tc>
          <w:tcPr>
            <w:tcW w:w="9620" w:type="dxa"/>
            <w:vAlign w:val="bottom"/>
          </w:tcPr>
          <w:p>
            <w:pPr>
              <w:ind w:left="140"/>
              <w:spacing w:after="0"/>
              <w:rPr>
                <w:sz w:val="20"/>
                <w:szCs w:val="20"/>
                <w:color w:val="auto"/>
              </w:rPr>
            </w:pPr>
            <w:r>
              <w:rPr>
                <w:rFonts w:ascii="Arial" w:cs="Arial" w:eastAsia="Arial" w:hAnsi="Arial"/>
                <w:sz w:val="18"/>
                <w:szCs w:val="18"/>
                <w:color w:val="auto"/>
              </w:rPr>
              <w:t>Stay, Extension and Usury Laws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4.5</w:t>
            </w:r>
          </w:p>
        </w:tc>
        <w:tc>
          <w:tcPr>
            <w:tcW w:w="9620" w:type="dxa"/>
            <w:vAlign w:val="bottom"/>
          </w:tcPr>
          <w:p>
            <w:pPr>
              <w:ind w:left="140"/>
              <w:spacing w:after="0"/>
              <w:rPr>
                <w:sz w:val="20"/>
                <w:szCs w:val="20"/>
                <w:color w:val="auto"/>
              </w:rPr>
            </w:pPr>
            <w:r>
              <w:rPr>
                <w:rFonts w:ascii="Arial" w:cs="Arial" w:eastAsia="Arial" w:hAnsi="Arial"/>
                <w:sz w:val="18"/>
                <w:szCs w:val="18"/>
                <w:color w:val="auto"/>
              </w:rPr>
              <w:t>Corporate 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9620" w:type="dxa"/>
            <w:vAlign w:val="bottom"/>
          </w:tcPr>
          <w:p>
            <w:pPr>
              <w:jc w:val="center"/>
              <w:ind w:right="65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620" w:type="dxa"/>
            <w:vAlign w:val="bottom"/>
          </w:tcPr>
          <w:p>
            <w:pPr>
              <w:jc w:val="center"/>
              <w:ind w:right="650"/>
              <w:spacing w:after="0"/>
              <w:rPr>
                <w:sz w:val="20"/>
                <w:szCs w:val="20"/>
                <w:color w:val="auto"/>
              </w:rPr>
            </w:pPr>
            <w:r>
              <w:rPr>
                <w:rFonts w:ascii="Arial" w:cs="Arial" w:eastAsia="Arial" w:hAnsi="Arial"/>
                <w:sz w:val="18"/>
                <w:szCs w:val="18"/>
                <w:color w:val="auto"/>
                <w:w w:val="88"/>
              </w:rPr>
              <w:t>SUCCESSORS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5.1</w:t>
            </w:r>
          </w:p>
        </w:tc>
        <w:tc>
          <w:tcPr>
            <w:tcW w:w="9620" w:type="dxa"/>
            <w:vAlign w:val="bottom"/>
          </w:tcPr>
          <w:p>
            <w:pPr>
              <w:ind w:left="140"/>
              <w:spacing w:after="0"/>
              <w:rPr>
                <w:sz w:val="20"/>
                <w:szCs w:val="20"/>
                <w:color w:val="auto"/>
              </w:rPr>
            </w:pPr>
            <w:r>
              <w:rPr>
                <w:rFonts w:ascii="Arial" w:cs="Arial" w:eastAsia="Arial" w:hAnsi="Arial"/>
                <w:sz w:val="18"/>
                <w:szCs w:val="18"/>
                <w:color w:val="auto"/>
              </w:rPr>
              <w:t>When Company May Merge, Etc.</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5.2</w:t>
            </w:r>
          </w:p>
        </w:tc>
        <w:tc>
          <w:tcPr>
            <w:tcW w:w="9620" w:type="dxa"/>
            <w:vAlign w:val="bottom"/>
          </w:tcPr>
          <w:p>
            <w:pPr>
              <w:ind w:left="140"/>
              <w:spacing w:after="0"/>
              <w:rPr>
                <w:sz w:val="20"/>
                <w:szCs w:val="20"/>
                <w:color w:val="auto"/>
              </w:rPr>
            </w:pPr>
            <w:r>
              <w:rPr>
                <w:rFonts w:ascii="Arial" w:cs="Arial" w:eastAsia="Arial" w:hAnsi="Arial"/>
                <w:sz w:val="18"/>
                <w:szCs w:val="18"/>
                <w:color w:val="auto"/>
              </w:rPr>
              <w:t>Successor Corporation Substituted</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9620" w:type="dxa"/>
            <w:vAlign w:val="bottom"/>
          </w:tcPr>
          <w:p>
            <w:pPr>
              <w:ind w:left="44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33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1" w:name="page52"/>
    <w:bookmarkEnd w:id="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6.1</w:t>
            </w:r>
          </w:p>
        </w:tc>
        <w:tc>
          <w:tcPr>
            <w:tcW w:w="838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6.2</w:t>
            </w:r>
          </w:p>
        </w:tc>
        <w:tc>
          <w:tcPr>
            <w:tcW w:w="8380" w:type="dxa"/>
            <w:vAlign w:val="bottom"/>
          </w:tcPr>
          <w:p>
            <w:pPr>
              <w:ind w:left="140"/>
              <w:spacing w:after="0"/>
              <w:rPr>
                <w:sz w:val="20"/>
                <w:szCs w:val="20"/>
                <w:color w:val="auto"/>
              </w:rPr>
            </w:pPr>
            <w:r>
              <w:rPr>
                <w:rFonts w:ascii="Arial" w:cs="Arial" w:eastAsia="Arial" w:hAnsi="Arial"/>
                <w:sz w:val="18"/>
                <w:szCs w:val="18"/>
                <w:color w:val="auto"/>
              </w:rPr>
              <w:t>Acceleration of Maturity; Rescission and Annulment</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6.3</w:t>
            </w:r>
          </w:p>
        </w:tc>
        <w:tc>
          <w:tcPr>
            <w:tcW w:w="8380" w:type="dxa"/>
            <w:vAlign w:val="bottom"/>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6.4</w:t>
            </w:r>
          </w:p>
        </w:tc>
        <w:tc>
          <w:tcPr>
            <w:tcW w:w="838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6.5</w:t>
            </w:r>
          </w:p>
        </w:tc>
        <w:tc>
          <w:tcPr>
            <w:tcW w:w="8380" w:type="dxa"/>
            <w:vAlign w:val="bottom"/>
          </w:tcPr>
          <w:p>
            <w:pPr>
              <w:ind w:left="140"/>
              <w:spacing w:after="0"/>
              <w:rPr>
                <w:sz w:val="20"/>
                <w:szCs w:val="20"/>
                <w:color w:val="auto"/>
              </w:rPr>
            </w:pPr>
            <w:r>
              <w:rPr>
                <w:rFonts w:ascii="Arial" w:cs="Arial" w:eastAsia="Arial" w:hAnsi="Arial"/>
                <w:sz w:val="18"/>
                <w:szCs w:val="18"/>
                <w:color w:val="auto"/>
              </w:rPr>
              <w:t>Trustee May Enforce Claims Without Possession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6.6</w:t>
            </w:r>
          </w:p>
        </w:tc>
        <w:tc>
          <w:tcPr>
            <w:tcW w:w="8380" w:type="dxa"/>
            <w:vAlign w:val="bottom"/>
          </w:tcPr>
          <w:p>
            <w:pPr>
              <w:ind w:left="140"/>
              <w:spacing w:after="0"/>
              <w:rPr>
                <w:sz w:val="20"/>
                <w:szCs w:val="20"/>
                <w:color w:val="auto"/>
              </w:rPr>
            </w:pPr>
            <w:r>
              <w:rPr>
                <w:rFonts w:ascii="Arial" w:cs="Arial" w:eastAsia="Arial" w:hAnsi="Arial"/>
                <w:sz w:val="18"/>
                <w:szCs w:val="18"/>
                <w:color w:val="auto"/>
              </w:rPr>
              <w:t>Application of Money Collected</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6.7</w:t>
            </w:r>
          </w:p>
        </w:tc>
        <w:tc>
          <w:tcPr>
            <w:tcW w:w="838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6.8</w:t>
            </w:r>
          </w:p>
        </w:tc>
        <w:tc>
          <w:tcPr>
            <w:tcW w:w="8380" w:type="dxa"/>
            <w:vAlign w:val="bottom"/>
          </w:tcPr>
          <w:p>
            <w:pPr>
              <w:ind w:left="140"/>
              <w:spacing w:after="0"/>
              <w:rPr>
                <w:sz w:val="20"/>
                <w:szCs w:val="20"/>
                <w:color w:val="auto"/>
              </w:rPr>
            </w:pPr>
            <w:r>
              <w:rPr>
                <w:rFonts w:ascii="Arial" w:cs="Arial" w:eastAsia="Arial" w:hAnsi="Arial"/>
                <w:sz w:val="18"/>
                <w:szCs w:val="18"/>
                <w:color w:val="auto"/>
              </w:rPr>
              <w:t>Unconditional Right of Holders to Receive Principal and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6.9</w:t>
            </w:r>
          </w:p>
        </w:tc>
        <w:tc>
          <w:tcPr>
            <w:tcW w:w="838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6.10</w:t>
            </w:r>
          </w:p>
        </w:tc>
        <w:tc>
          <w:tcPr>
            <w:tcW w:w="8380" w:type="dxa"/>
            <w:vAlign w:val="bottom"/>
          </w:tcPr>
          <w:p>
            <w:pPr>
              <w:ind w:left="140"/>
              <w:spacing w:after="0"/>
              <w:rPr>
                <w:sz w:val="20"/>
                <w:szCs w:val="20"/>
                <w:color w:val="auto"/>
              </w:rPr>
            </w:pPr>
            <w:r>
              <w:rPr>
                <w:rFonts w:ascii="Arial" w:cs="Arial" w:eastAsia="Arial" w:hAnsi="Arial"/>
                <w:sz w:val="18"/>
                <w:szCs w:val="18"/>
                <w:color w:val="auto"/>
              </w:rPr>
              <w:t>Rights and Remedies Cumulative</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6.11</w:t>
            </w:r>
          </w:p>
        </w:tc>
        <w:tc>
          <w:tcPr>
            <w:tcW w:w="838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6.12</w:t>
            </w:r>
          </w:p>
        </w:tc>
        <w:tc>
          <w:tcPr>
            <w:tcW w:w="8380" w:type="dxa"/>
            <w:vAlign w:val="bottom"/>
          </w:tcPr>
          <w:p>
            <w:pPr>
              <w:ind w:left="140"/>
              <w:spacing w:after="0"/>
              <w:rPr>
                <w:sz w:val="20"/>
                <w:szCs w:val="20"/>
                <w:color w:val="auto"/>
              </w:rPr>
            </w:pPr>
            <w:r>
              <w:rPr>
                <w:rFonts w:ascii="Arial" w:cs="Arial" w:eastAsia="Arial" w:hAnsi="Arial"/>
                <w:sz w:val="18"/>
                <w:szCs w:val="18"/>
                <w:color w:val="auto"/>
              </w:rPr>
              <w:t>Control by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6.13</w:t>
            </w:r>
          </w:p>
        </w:tc>
        <w:tc>
          <w:tcPr>
            <w:tcW w:w="838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6.14</w:t>
            </w:r>
          </w:p>
        </w:tc>
        <w:tc>
          <w:tcPr>
            <w:tcW w:w="838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040" w:type="dxa"/>
            <w:vAlign w:val="bottom"/>
          </w:tcPr>
          <w:p>
            <w:pPr>
              <w:spacing w:after="0"/>
              <w:rPr>
                <w:sz w:val="24"/>
                <w:szCs w:val="24"/>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rPr>
              <w:t>ARTICLE VII</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5"/>
              </w:rPr>
              <w:t>TRUSTEE</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7.1</w:t>
            </w:r>
          </w:p>
        </w:tc>
        <w:tc>
          <w:tcPr>
            <w:tcW w:w="838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7.2</w:t>
            </w:r>
          </w:p>
        </w:tc>
        <w:tc>
          <w:tcPr>
            <w:tcW w:w="838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7.3</w:t>
            </w:r>
          </w:p>
        </w:tc>
        <w:tc>
          <w:tcPr>
            <w:tcW w:w="838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7.4</w:t>
            </w:r>
          </w:p>
        </w:tc>
        <w:tc>
          <w:tcPr>
            <w:tcW w:w="838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7.5</w:t>
            </w:r>
          </w:p>
        </w:tc>
        <w:tc>
          <w:tcPr>
            <w:tcW w:w="838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7.6</w:t>
            </w:r>
          </w:p>
        </w:tc>
        <w:tc>
          <w:tcPr>
            <w:tcW w:w="838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7.7</w:t>
            </w:r>
          </w:p>
        </w:tc>
        <w:tc>
          <w:tcPr>
            <w:tcW w:w="8380" w:type="dxa"/>
            <w:vAlign w:val="bottom"/>
          </w:tcPr>
          <w:p>
            <w:pPr>
              <w:ind w:left="140"/>
              <w:spacing w:after="0"/>
              <w:rPr>
                <w:sz w:val="20"/>
                <w:szCs w:val="20"/>
                <w:color w:val="auto"/>
              </w:rPr>
            </w:pPr>
            <w:r>
              <w:rPr>
                <w:rFonts w:ascii="Arial" w:cs="Arial" w:eastAsia="Arial" w:hAnsi="Arial"/>
                <w:sz w:val="18"/>
                <w:szCs w:val="18"/>
                <w:color w:val="auto"/>
              </w:rPr>
              <w:t>Reports by Trustee to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7.8</w:t>
            </w:r>
          </w:p>
        </w:tc>
        <w:tc>
          <w:tcPr>
            <w:tcW w:w="838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7.9</w:t>
            </w:r>
          </w:p>
        </w:tc>
        <w:tc>
          <w:tcPr>
            <w:tcW w:w="838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7.10</w:t>
            </w:r>
          </w:p>
        </w:tc>
        <w:tc>
          <w:tcPr>
            <w:tcW w:w="838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7.11</w:t>
            </w:r>
          </w:p>
        </w:tc>
        <w:tc>
          <w:tcPr>
            <w:tcW w:w="838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7.12</w:t>
            </w:r>
          </w:p>
        </w:tc>
        <w:tc>
          <w:tcPr>
            <w:tcW w:w="838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040" w:type="dxa"/>
            <w:vAlign w:val="bottom"/>
          </w:tcPr>
          <w:p>
            <w:pPr>
              <w:spacing w:after="0"/>
              <w:rPr>
                <w:sz w:val="24"/>
                <w:szCs w:val="24"/>
                <w:color w:val="auto"/>
              </w:rPr>
            </w:pPr>
          </w:p>
        </w:tc>
        <w:tc>
          <w:tcPr>
            <w:tcW w:w="8380" w:type="dxa"/>
            <w:vAlign w:val="bottom"/>
          </w:tcPr>
          <w:p>
            <w:pPr>
              <w:jc w:val="center"/>
              <w:ind w:left="390"/>
              <w:spacing w:after="0"/>
              <w:rPr>
                <w:sz w:val="20"/>
                <w:szCs w:val="20"/>
                <w:color w:val="auto"/>
              </w:rPr>
            </w:pPr>
            <w:r>
              <w:rPr>
                <w:rFonts w:ascii="Arial" w:cs="Arial" w:eastAsia="Arial" w:hAnsi="Arial"/>
                <w:sz w:val="18"/>
                <w:szCs w:val="18"/>
                <w:color w:val="auto"/>
              </w:rPr>
              <w:t>ARTICLE VIII</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390"/>
              <w:spacing w:after="0"/>
              <w:rPr>
                <w:sz w:val="20"/>
                <w:szCs w:val="20"/>
                <w:color w:val="auto"/>
              </w:rPr>
            </w:pPr>
            <w:r>
              <w:rPr>
                <w:rFonts w:ascii="Arial" w:cs="Arial" w:eastAsia="Arial" w:hAnsi="Arial"/>
                <w:sz w:val="18"/>
                <w:szCs w:val="18"/>
                <w:color w:val="auto"/>
                <w:w w:val="96"/>
              </w:rPr>
              <w:t>SATISFACTION AND DISCHARGE; DEFEASANCE</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8.1</w:t>
            </w:r>
          </w:p>
        </w:tc>
        <w:tc>
          <w:tcPr>
            <w:tcW w:w="838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8.2</w:t>
            </w:r>
          </w:p>
        </w:tc>
        <w:tc>
          <w:tcPr>
            <w:tcW w:w="8380" w:type="dxa"/>
            <w:vAlign w:val="bottom"/>
          </w:tcPr>
          <w:p>
            <w:pPr>
              <w:ind w:left="140"/>
              <w:spacing w:after="0"/>
              <w:rPr>
                <w:sz w:val="20"/>
                <w:szCs w:val="20"/>
                <w:color w:val="auto"/>
              </w:rPr>
            </w:pPr>
            <w:r>
              <w:rPr>
                <w:rFonts w:ascii="Arial" w:cs="Arial" w:eastAsia="Arial" w:hAnsi="Arial"/>
                <w:sz w:val="18"/>
                <w:szCs w:val="18"/>
                <w:color w:val="auto"/>
              </w:rPr>
              <w:t>Application of Trust Funds; Indemnification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8.3</w:t>
            </w:r>
          </w:p>
        </w:tc>
        <w:tc>
          <w:tcPr>
            <w:tcW w:w="8380" w:type="dxa"/>
            <w:vAlign w:val="bottom"/>
          </w:tcPr>
          <w:p>
            <w:pPr>
              <w:ind w:left="140"/>
              <w:spacing w:after="0"/>
              <w:rPr>
                <w:sz w:val="20"/>
                <w:szCs w:val="20"/>
                <w:color w:val="auto"/>
              </w:rPr>
            </w:pPr>
            <w:r>
              <w:rPr>
                <w:rFonts w:ascii="Arial" w:cs="Arial" w:eastAsia="Arial" w:hAnsi="Arial"/>
                <w:sz w:val="18"/>
                <w:szCs w:val="18"/>
                <w:color w:val="auto"/>
              </w:rPr>
              <w:t>Legal Defeasance of Securities of any Series</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8.4</w:t>
            </w:r>
          </w:p>
        </w:tc>
        <w:tc>
          <w:tcPr>
            <w:tcW w:w="838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8.5</w:t>
            </w:r>
          </w:p>
        </w:tc>
        <w:tc>
          <w:tcPr>
            <w:tcW w:w="8380" w:type="dxa"/>
            <w:vAlign w:val="bottom"/>
          </w:tcPr>
          <w:p>
            <w:pPr>
              <w:ind w:left="140"/>
              <w:spacing w:after="0"/>
              <w:rPr>
                <w:sz w:val="20"/>
                <w:szCs w:val="20"/>
                <w:color w:val="auto"/>
              </w:rPr>
            </w:pPr>
            <w:r>
              <w:rPr>
                <w:rFonts w:ascii="Arial" w:cs="Arial" w:eastAsia="Arial" w:hAnsi="Arial"/>
                <w:sz w:val="18"/>
                <w:szCs w:val="18"/>
                <w:color w:val="auto"/>
              </w:rPr>
              <w:t>Repayment to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040" w:type="dxa"/>
            <w:vAlign w:val="bottom"/>
          </w:tcPr>
          <w:p>
            <w:pPr>
              <w:spacing w:after="0"/>
              <w:rPr>
                <w:sz w:val="24"/>
                <w:szCs w:val="24"/>
                <w:color w:val="auto"/>
              </w:rPr>
            </w:pPr>
          </w:p>
        </w:tc>
        <w:tc>
          <w:tcPr>
            <w:tcW w:w="8380" w:type="dxa"/>
            <w:vAlign w:val="bottom"/>
          </w:tcPr>
          <w:p>
            <w:pPr>
              <w:jc w:val="center"/>
              <w:ind w:left="390"/>
              <w:spacing w:after="0"/>
              <w:rPr>
                <w:sz w:val="20"/>
                <w:szCs w:val="20"/>
                <w:color w:val="auto"/>
              </w:rPr>
            </w:pPr>
            <w:r>
              <w:rPr>
                <w:rFonts w:ascii="Arial" w:cs="Arial" w:eastAsia="Arial" w:hAnsi="Arial"/>
                <w:sz w:val="18"/>
                <w:szCs w:val="18"/>
                <w:color w:val="auto"/>
                <w:w w:val="99"/>
              </w:rPr>
              <w:t>ARTICLE IX</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380" w:type="dxa"/>
            <w:vAlign w:val="bottom"/>
          </w:tcPr>
          <w:p>
            <w:pPr>
              <w:jc w:val="center"/>
              <w:ind w:left="410"/>
              <w:spacing w:after="0"/>
              <w:rPr>
                <w:sz w:val="20"/>
                <w:szCs w:val="20"/>
                <w:color w:val="auto"/>
              </w:rPr>
            </w:pPr>
            <w:r>
              <w:rPr>
                <w:rFonts w:ascii="Arial" w:cs="Arial" w:eastAsia="Arial" w:hAnsi="Arial"/>
                <w:sz w:val="18"/>
                <w:szCs w:val="18"/>
                <w:color w:val="auto"/>
                <w:w w:val="97"/>
              </w:rPr>
              <w:t>SUPPLEMENTAL INDENTURES, AMENDMENTS AND WAIVERS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9.1</w:t>
            </w:r>
          </w:p>
        </w:tc>
        <w:tc>
          <w:tcPr>
            <w:tcW w:w="838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9.2</w:t>
            </w:r>
          </w:p>
        </w:tc>
        <w:tc>
          <w:tcPr>
            <w:tcW w:w="838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9.3</w:t>
            </w:r>
          </w:p>
        </w:tc>
        <w:tc>
          <w:tcPr>
            <w:tcW w:w="838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9.4</w:t>
            </w:r>
          </w:p>
        </w:tc>
        <w:tc>
          <w:tcPr>
            <w:tcW w:w="838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9.5</w:t>
            </w:r>
          </w:p>
        </w:tc>
        <w:tc>
          <w:tcPr>
            <w:tcW w:w="838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9.6</w:t>
            </w:r>
          </w:p>
        </w:tc>
        <w:tc>
          <w:tcPr>
            <w:tcW w:w="838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9.7</w:t>
            </w:r>
          </w:p>
        </w:tc>
        <w:tc>
          <w:tcPr>
            <w:tcW w:w="8380" w:type="dxa"/>
            <w:vAlign w:val="bottom"/>
          </w:tcPr>
          <w:p>
            <w:pPr>
              <w:ind w:left="140"/>
              <w:spacing w:after="0"/>
              <w:rPr>
                <w:sz w:val="20"/>
                <w:szCs w:val="20"/>
                <w:color w:val="auto"/>
              </w:rPr>
            </w:pPr>
            <w:r>
              <w:rPr>
                <w:rFonts w:ascii="Arial" w:cs="Arial" w:eastAsia="Arial" w:hAnsi="Arial"/>
                <w:sz w:val="18"/>
                <w:szCs w:val="18"/>
                <w:color w:val="auto"/>
              </w:rPr>
              <w:t>Trustee Protected</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4"/>
        </w:trPr>
        <w:tc>
          <w:tcPr>
            <w:tcW w:w="1040" w:type="dxa"/>
            <w:vAlign w:val="bottom"/>
          </w:tcPr>
          <w:p>
            <w:pPr>
              <w:spacing w:after="0"/>
              <w:rPr>
                <w:sz w:val="24"/>
                <w:szCs w:val="24"/>
                <w:color w:val="auto"/>
              </w:rPr>
            </w:pPr>
          </w:p>
        </w:tc>
        <w:tc>
          <w:tcPr>
            <w:tcW w:w="8380" w:type="dxa"/>
            <w:vAlign w:val="bottom"/>
          </w:tcPr>
          <w:p>
            <w:pPr>
              <w:ind w:left="4420"/>
              <w:spacing w:after="0"/>
              <w:rPr>
                <w:sz w:val="20"/>
                <w:szCs w:val="20"/>
                <w:color w:val="auto"/>
              </w:rPr>
            </w:pPr>
            <w:r>
              <w:rPr>
                <w:rFonts w:ascii="Arial" w:cs="Arial" w:eastAsia="Arial" w:hAnsi="Arial"/>
                <w:sz w:val="18"/>
                <w:szCs w:val="18"/>
                <w:color w:val="auto"/>
              </w:rPr>
              <w:t>3</w:t>
            </w:r>
          </w:p>
        </w:tc>
        <w:tc>
          <w:tcPr>
            <w:tcW w:w="154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7400" w:type="dxa"/>
            <w:vAlign w:val="bottom"/>
          </w:tcPr>
          <w:p>
            <w:pPr>
              <w:ind w:left="100"/>
              <w:spacing w:after="0"/>
              <w:rPr>
                <w:sz w:val="20"/>
                <w:szCs w:val="20"/>
                <w:color w:val="auto"/>
              </w:rPr>
            </w:pPr>
            <w:r>
              <w:rPr>
                <w:rFonts w:ascii="Arial" w:cs="Arial" w:eastAsia="Arial" w:hAnsi="Arial"/>
                <w:sz w:val="18"/>
                <w:szCs w:val="18"/>
                <w:color w:val="auto"/>
              </w:rPr>
              <w:t>Trust Indenture Act Controls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10.2</w:t>
            </w:r>
          </w:p>
        </w:tc>
        <w:tc>
          <w:tcPr>
            <w:tcW w:w="7400" w:type="dxa"/>
            <w:vAlign w:val="bottom"/>
          </w:tcPr>
          <w:p>
            <w:pPr>
              <w:ind w:left="10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10.3</w:t>
            </w:r>
          </w:p>
        </w:tc>
        <w:tc>
          <w:tcPr>
            <w:tcW w:w="7400" w:type="dxa"/>
            <w:vAlign w:val="bottom"/>
          </w:tcPr>
          <w:p>
            <w:pPr>
              <w:ind w:left="100"/>
              <w:spacing w:after="0"/>
              <w:rPr>
                <w:sz w:val="20"/>
                <w:szCs w:val="20"/>
                <w:color w:val="auto"/>
              </w:rPr>
            </w:pPr>
            <w:r>
              <w:rPr>
                <w:rFonts w:ascii="Arial" w:cs="Arial" w:eastAsia="Arial" w:hAnsi="Arial"/>
                <w:sz w:val="18"/>
                <w:szCs w:val="18"/>
                <w:color w:val="auto"/>
              </w:rPr>
              <w:t>Communication by Holders with Other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10.4</w:t>
            </w:r>
          </w:p>
        </w:tc>
        <w:tc>
          <w:tcPr>
            <w:tcW w:w="740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10.5</w:t>
            </w:r>
          </w:p>
        </w:tc>
        <w:tc>
          <w:tcPr>
            <w:tcW w:w="740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10.6</w:t>
            </w:r>
          </w:p>
        </w:tc>
        <w:tc>
          <w:tcPr>
            <w:tcW w:w="740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10.7</w:t>
            </w:r>
          </w:p>
        </w:tc>
        <w:tc>
          <w:tcPr>
            <w:tcW w:w="740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10.8</w:t>
            </w:r>
          </w:p>
        </w:tc>
        <w:tc>
          <w:tcPr>
            <w:tcW w:w="7400" w:type="dxa"/>
            <w:vAlign w:val="bottom"/>
          </w:tcPr>
          <w:p>
            <w:pPr>
              <w:ind w:left="100"/>
              <w:spacing w:after="0"/>
              <w:rPr>
                <w:sz w:val="20"/>
                <w:szCs w:val="20"/>
                <w:color w:val="auto"/>
              </w:rPr>
            </w:pPr>
            <w:r>
              <w:rPr>
                <w:rFonts w:ascii="Arial" w:cs="Arial" w:eastAsia="Arial" w:hAnsi="Arial"/>
                <w:sz w:val="18"/>
                <w:szCs w:val="18"/>
                <w:color w:val="auto"/>
              </w:rPr>
              <w:t>No Recourse Against Others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10.9</w:t>
            </w:r>
          </w:p>
        </w:tc>
        <w:tc>
          <w:tcPr>
            <w:tcW w:w="74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10.10</w:t>
            </w:r>
          </w:p>
        </w:tc>
        <w:tc>
          <w:tcPr>
            <w:tcW w:w="7400" w:type="dxa"/>
            <w:vAlign w:val="bottom"/>
          </w:tcPr>
          <w:p>
            <w:pPr>
              <w:ind w:left="100"/>
              <w:spacing w:after="0"/>
              <w:rPr>
                <w:sz w:val="20"/>
                <w:szCs w:val="20"/>
                <w:color w:val="auto"/>
              </w:rPr>
            </w:pPr>
            <w:r>
              <w:rPr>
                <w:rFonts w:ascii="Arial" w:cs="Arial" w:eastAsia="Arial" w:hAnsi="Arial"/>
                <w:sz w:val="18"/>
                <w:szCs w:val="18"/>
                <w:color w:val="auto"/>
              </w:rPr>
              <w:t>Governing Laws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10.11</w:t>
            </w:r>
          </w:p>
        </w:tc>
        <w:tc>
          <w:tcPr>
            <w:tcW w:w="740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10.12</w:t>
            </w:r>
          </w:p>
        </w:tc>
        <w:tc>
          <w:tcPr>
            <w:tcW w:w="740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10.13</w:t>
            </w:r>
          </w:p>
        </w:tc>
        <w:tc>
          <w:tcPr>
            <w:tcW w:w="74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10.14</w:t>
            </w:r>
          </w:p>
        </w:tc>
        <w:tc>
          <w:tcPr>
            <w:tcW w:w="740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10.15</w:t>
            </w:r>
          </w:p>
        </w:tc>
        <w:tc>
          <w:tcPr>
            <w:tcW w:w="7400" w:type="dxa"/>
            <w:vAlign w:val="bottom"/>
          </w:tcPr>
          <w:p>
            <w:pPr>
              <w:ind w:left="100"/>
              <w:spacing w:after="0"/>
              <w:rPr>
                <w:sz w:val="20"/>
                <w:szCs w:val="20"/>
                <w:color w:val="auto"/>
              </w:rPr>
            </w:pPr>
            <w:r>
              <w:rPr>
                <w:rFonts w:ascii="Arial" w:cs="Arial" w:eastAsia="Arial" w:hAnsi="Arial"/>
                <w:sz w:val="18"/>
                <w:szCs w:val="18"/>
                <w:color w:val="auto"/>
              </w:rPr>
              <w:t>Securities in a Foreign Currency or in ECU</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10.16</w:t>
            </w:r>
          </w:p>
        </w:tc>
        <w:tc>
          <w:tcPr>
            <w:tcW w:w="740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80" w:type="dxa"/>
            <w:vAlign w:val="bottom"/>
          </w:tcPr>
          <w:p>
            <w:pPr>
              <w:spacing w:after="0"/>
              <w:rPr>
                <w:sz w:val="24"/>
                <w:szCs w:val="24"/>
                <w:color w:val="auto"/>
              </w:rPr>
            </w:pPr>
          </w:p>
        </w:tc>
        <w:tc>
          <w:tcPr>
            <w:tcW w:w="7400" w:type="dxa"/>
            <w:vAlign w:val="bottom"/>
          </w:tcPr>
          <w:p>
            <w:pPr>
              <w:ind w:left="3900"/>
              <w:spacing w:after="0"/>
              <w:rPr>
                <w:sz w:val="20"/>
                <w:szCs w:val="20"/>
                <w:color w:val="auto"/>
              </w:rPr>
            </w:pPr>
            <w:r>
              <w:rPr>
                <w:rFonts w:ascii="Arial" w:cs="Arial" w:eastAsia="Arial" w:hAnsi="Arial"/>
                <w:sz w:val="18"/>
                <w:szCs w:val="18"/>
                <w:color w:val="auto"/>
              </w:rPr>
              <w:t>ARTICLE XI</w:t>
            </w:r>
          </w:p>
        </w:tc>
        <w:tc>
          <w:tcPr>
            <w:tcW w:w="24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7400" w:type="dxa"/>
            <w:vAlign w:val="bottom"/>
          </w:tcPr>
          <w:p>
            <w:pPr>
              <w:ind w:left="3700"/>
              <w:spacing w:after="0"/>
              <w:rPr>
                <w:sz w:val="20"/>
                <w:szCs w:val="20"/>
                <w:color w:val="auto"/>
              </w:rPr>
            </w:pPr>
            <w:r>
              <w:rPr>
                <w:rFonts w:ascii="Arial" w:cs="Arial" w:eastAsia="Arial" w:hAnsi="Arial"/>
                <w:sz w:val="18"/>
                <w:szCs w:val="18"/>
                <w:color w:val="auto"/>
              </w:rPr>
              <w:t>SINKING FUNDS</w:t>
            </w:r>
          </w:p>
        </w:tc>
        <w:tc>
          <w:tcPr>
            <w:tcW w:w="248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Section 11.1</w:t>
            </w:r>
          </w:p>
        </w:tc>
        <w:tc>
          <w:tcPr>
            <w:tcW w:w="7400" w:type="dxa"/>
            <w:vAlign w:val="bottom"/>
          </w:tcPr>
          <w:p>
            <w:pPr>
              <w:ind w:left="100"/>
              <w:spacing w:after="0"/>
              <w:rPr>
                <w:sz w:val="20"/>
                <w:szCs w:val="20"/>
                <w:color w:val="auto"/>
              </w:rPr>
            </w:pPr>
            <w:r>
              <w:rPr>
                <w:rFonts w:ascii="Arial" w:cs="Arial" w:eastAsia="Arial" w:hAnsi="Arial"/>
                <w:sz w:val="18"/>
                <w:szCs w:val="18"/>
                <w:color w:val="auto"/>
              </w:rPr>
              <w:t>Applicability of Article</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11.2</w:t>
            </w:r>
          </w:p>
        </w:tc>
        <w:tc>
          <w:tcPr>
            <w:tcW w:w="7400" w:type="dxa"/>
            <w:vAlign w:val="bottom"/>
          </w:tcPr>
          <w:p>
            <w:pPr>
              <w:ind w:left="100"/>
              <w:spacing w:after="0"/>
              <w:rPr>
                <w:sz w:val="20"/>
                <w:szCs w:val="20"/>
                <w:color w:val="auto"/>
              </w:rPr>
            </w:pPr>
            <w:r>
              <w:rPr>
                <w:rFonts w:ascii="Arial" w:cs="Arial" w:eastAsia="Arial" w:hAnsi="Arial"/>
                <w:sz w:val="18"/>
                <w:szCs w:val="18"/>
                <w:color w:val="auto"/>
              </w:rPr>
              <w:t>Satisfaction of Sinking Fund Payments with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11.3</w:t>
            </w:r>
          </w:p>
        </w:tc>
        <w:tc>
          <w:tcPr>
            <w:tcW w:w="7400" w:type="dxa"/>
            <w:vAlign w:val="bottom"/>
          </w:tcPr>
          <w:p>
            <w:pPr>
              <w:ind w:left="100"/>
              <w:spacing w:after="0"/>
              <w:rPr>
                <w:sz w:val="20"/>
                <w:szCs w:val="20"/>
                <w:color w:val="auto"/>
              </w:rPr>
            </w:pPr>
            <w:r>
              <w:rPr>
                <w:rFonts w:ascii="Arial" w:cs="Arial" w:eastAsia="Arial" w:hAnsi="Arial"/>
                <w:sz w:val="18"/>
                <w:szCs w:val="18"/>
                <w:color w:val="auto"/>
              </w:rPr>
              <w:t>Redemption of Securities for Sinking Fund</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4"/>
        </w:trPr>
        <w:tc>
          <w:tcPr>
            <w:tcW w:w="1080" w:type="dxa"/>
            <w:vAlign w:val="bottom"/>
          </w:tcPr>
          <w:p>
            <w:pPr>
              <w:spacing w:after="0"/>
              <w:rPr>
                <w:sz w:val="24"/>
                <w:szCs w:val="24"/>
                <w:color w:val="auto"/>
              </w:rPr>
            </w:pPr>
          </w:p>
        </w:tc>
        <w:tc>
          <w:tcPr>
            <w:tcW w:w="7400" w:type="dxa"/>
            <w:vAlign w:val="bottom"/>
          </w:tcPr>
          <w:p>
            <w:pPr>
              <w:ind w:left="4380"/>
              <w:spacing w:after="0"/>
              <w:rPr>
                <w:sz w:val="20"/>
                <w:szCs w:val="20"/>
                <w:color w:val="auto"/>
              </w:rPr>
            </w:pPr>
            <w:r>
              <w:rPr>
                <w:rFonts w:ascii="Arial" w:cs="Arial" w:eastAsia="Arial" w:hAnsi="Arial"/>
                <w:sz w:val="18"/>
                <w:szCs w:val="18"/>
                <w:color w:val="auto"/>
              </w:rPr>
              <w:t>4</w:t>
            </w:r>
          </w:p>
        </w:tc>
        <w:tc>
          <w:tcPr>
            <w:tcW w:w="248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iClick Interactive Asia Group Limited</w:t>
      </w:r>
    </w:p>
    <w:p>
      <w:pPr>
        <w:spacing w:after="0" w:line="225" w:lineRule="exact"/>
        <w:rPr>
          <w:sz w:val="20"/>
          <w:szCs w:val="20"/>
          <w:color w:val="auto"/>
        </w:rPr>
      </w:pPr>
    </w:p>
    <w:p>
      <w:pPr>
        <w:spacing w:after="0"/>
        <w:tabs>
          <w:tab w:leader="none" w:pos="7160" w:val="left"/>
        </w:tabs>
        <w:rPr>
          <w:sz w:val="20"/>
          <w:szCs w:val="20"/>
          <w:color w:val="auto"/>
        </w:rPr>
      </w:pPr>
      <w:r>
        <w:rPr>
          <w:rFonts w:ascii="Arial" w:cs="Arial" w:eastAsia="Arial" w:hAnsi="Arial"/>
          <w:sz w:val="18"/>
          <w:szCs w:val="18"/>
          <w:color w:val="auto"/>
        </w:rPr>
        <w:t>Reconciliation and tie between Trust Indenture Act of 1939 and Indenture, 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Note: This reconciliation and tie shall not, for any purpose, be deemed to be part of the Indenture.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 310(a)(1)</w:t>
            </w:r>
          </w:p>
        </w:tc>
        <w:tc>
          <w:tcPr>
            <w:tcW w:w="2620" w:type="dxa"/>
            <w:vAlign w:val="bottom"/>
          </w:tcPr>
          <w:p>
            <w:pPr>
              <w:ind w:left="1520"/>
              <w:spacing w:after="0"/>
              <w:rPr>
                <w:sz w:val="20"/>
                <w:szCs w:val="20"/>
                <w:color w:val="auto"/>
              </w:rPr>
            </w:pPr>
            <w:r>
              <w:rPr>
                <w:rFonts w:ascii="Arial" w:cs="Arial" w:eastAsia="Arial" w:hAnsi="Arial"/>
                <w:sz w:val="18"/>
                <w:szCs w:val="18"/>
                <w:color w:val="auto"/>
              </w:rPr>
              <w:t>7.11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(a)(2)</w:t>
            </w:r>
          </w:p>
        </w:tc>
        <w:tc>
          <w:tcPr>
            <w:tcW w:w="2620" w:type="dxa"/>
            <w:vAlign w:val="bottom"/>
          </w:tcPr>
          <w:p>
            <w:pPr>
              <w:ind w:left="1520"/>
              <w:spacing w:after="0"/>
              <w:rPr>
                <w:sz w:val="20"/>
                <w:szCs w:val="20"/>
                <w:color w:val="auto"/>
              </w:rPr>
            </w:pPr>
            <w:r>
              <w:rPr>
                <w:rFonts w:ascii="Arial" w:cs="Arial" w:eastAsia="Arial" w:hAnsi="Arial"/>
                <w:sz w:val="18"/>
                <w:szCs w:val="18"/>
                <w:color w:val="auto"/>
              </w:rPr>
              <w:t>7.11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(a)(3)</w:t>
            </w:r>
          </w:p>
        </w:tc>
        <w:tc>
          <w:tcPr>
            <w:tcW w:w="2620" w:type="dxa"/>
            <w:vAlign w:val="bottom"/>
          </w:tcPr>
          <w:p>
            <w:pPr>
              <w:ind w:left="1520"/>
              <w:spacing w:after="0"/>
              <w:rPr>
                <w:sz w:val="20"/>
                <w:szCs w:val="20"/>
                <w:color w:val="auto"/>
              </w:rPr>
            </w:pPr>
            <w:r>
              <w:rPr>
                <w:rFonts w:ascii="Arial" w:cs="Arial" w:eastAsia="Arial" w:hAnsi="Arial"/>
                <w:sz w:val="18"/>
                <w:szCs w:val="18"/>
                <w:color w:val="auto"/>
                <w:w w:val="93"/>
              </w:rPr>
              <w:t>Not Applicable</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(a)(4)</w:t>
            </w:r>
          </w:p>
        </w:tc>
        <w:tc>
          <w:tcPr>
            <w:tcW w:w="2620" w:type="dxa"/>
            <w:vAlign w:val="bottom"/>
          </w:tcPr>
          <w:p>
            <w:pPr>
              <w:ind w:left="1520"/>
              <w:spacing w:after="0"/>
              <w:rPr>
                <w:sz w:val="20"/>
                <w:szCs w:val="20"/>
                <w:color w:val="auto"/>
              </w:rPr>
            </w:pPr>
            <w:r>
              <w:rPr>
                <w:rFonts w:ascii="Arial" w:cs="Arial" w:eastAsia="Arial" w:hAnsi="Arial"/>
                <w:sz w:val="18"/>
                <w:szCs w:val="18"/>
                <w:color w:val="auto"/>
                <w:w w:val="93"/>
              </w:rPr>
              <w:t>Not Applicable</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(a)(5)</w:t>
            </w:r>
          </w:p>
        </w:tc>
        <w:tc>
          <w:tcPr>
            <w:tcW w:w="2620" w:type="dxa"/>
            <w:vAlign w:val="bottom"/>
          </w:tcPr>
          <w:p>
            <w:pPr>
              <w:ind w:left="1520"/>
              <w:spacing w:after="0"/>
              <w:rPr>
                <w:sz w:val="20"/>
                <w:szCs w:val="20"/>
                <w:color w:val="auto"/>
              </w:rPr>
            </w:pPr>
            <w:r>
              <w:rPr>
                <w:rFonts w:ascii="Arial" w:cs="Arial" w:eastAsia="Arial" w:hAnsi="Arial"/>
                <w:sz w:val="18"/>
                <w:szCs w:val="18"/>
                <w:color w:val="auto"/>
              </w:rPr>
              <w:t>7.11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rPr>
              <w:t>7.11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311(a)</w:t>
            </w:r>
          </w:p>
        </w:tc>
        <w:tc>
          <w:tcPr>
            <w:tcW w:w="2620" w:type="dxa"/>
            <w:vAlign w:val="bottom"/>
          </w:tcPr>
          <w:p>
            <w:pPr>
              <w:ind w:left="1520"/>
              <w:spacing w:after="0"/>
              <w:rPr>
                <w:sz w:val="20"/>
                <w:szCs w:val="20"/>
                <w:color w:val="auto"/>
              </w:rPr>
            </w:pPr>
            <w:r>
              <w:rPr>
                <w:rFonts w:ascii="Arial" w:cs="Arial" w:eastAsia="Arial" w:hAnsi="Arial"/>
                <w:sz w:val="18"/>
                <w:szCs w:val="18"/>
                <w:color w:val="auto"/>
              </w:rPr>
              <w:t>7.12</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rPr>
              <w:t>7.12</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312(a)</w:t>
            </w:r>
          </w:p>
        </w:tc>
        <w:tc>
          <w:tcPr>
            <w:tcW w:w="2620" w:type="dxa"/>
            <w:vAlign w:val="bottom"/>
          </w:tcPr>
          <w:p>
            <w:pPr>
              <w:ind w:left="1520"/>
              <w:spacing w:after="0"/>
              <w:rPr>
                <w:sz w:val="20"/>
                <w:szCs w:val="20"/>
                <w:color w:val="auto"/>
              </w:rPr>
            </w:pPr>
            <w:r>
              <w:rPr>
                <w:rFonts w:ascii="Arial" w:cs="Arial" w:eastAsia="Arial" w:hAnsi="Arial"/>
                <w:sz w:val="18"/>
                <w:szCs w:val="18"/>
                <w:color w:val="auto"/>
              </w:rPr>
              <w:t>2.6</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rPr>
              <w:t>10.3</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(c)</w:t>
            </w:r>
          </w:p>
        </w:tc>
        <w:tc>
          <w:tcPr>
            <w:tcW w:w="2620" w:type="dxa"/>
            <w:vAlign w:val="bottom"/>
          </w:tcPr>
          <w:p>
            <w:pPr>
              <w:ind w:left="1520"/>
              <w:spacing w:after="0"/>
              <w:rPr>
                <w:sz w:val="20"/>
                <w:szCs w:val="20"/>
                <w:color w:val="auto"/>
              </w:rPr>
            </w:pPr>
            <w:r>
              <w:rPr>
                <w:rFonts w:ascii="Arial" w:cs="Arial" w:eastAsia="Arial" w:hAnsi="Arial"/>
                <w:sz w:val="18"/>
                <w:szCs w:val="18"/>
                <w:color w:val="auto"/>
              </w:rPr>
              <w:t>10.3</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313(a)</w:t>
            </w:r>
          </w:p>
        </w:tc>
        <w:tc>
          <w:tcPr>
            <w:tcW w:w="2620" w:type="dxa"/>
            <w:vAlign w:val="bottom"/>
          </w:tcPr>
          <w:p>
            <w:pPr>
              <w:ind w:left="1520"/>
              <w:spacing w:after="0"/>
              <w:rPr>
                <w:sz w:val="20"/>
                <w:szCs w:val="20"/>
                <w:color w:val="auto"/>
              </w:rPr>
            </w:pPr>
            <w:r>
              <w:rPr>
                <w:rFonts w:ascii="Arial" w:cs="Arial" w:eastAsia="Arial" w:hAnsi="Arial"/>
                <w:sz w:val="18"/>
                <w:szCs w:val="18"/>
                <w:color w:val="auto"/>
              </w:rPr>
              <w:t>7.7</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(b)(1)</w:t>
            </w:r>
          </w:p>
        </w:tc>
        <w:tc>
          <w:tcPr>
            <w:tcW w:w="2620" w:type="dxa"/>
            <w:vAlign w:val="bottom"/>
          </w:tcPr>
          <w:p>
            <w:pPr>
              <w:ind w:left="1520"/>
              <w:spacing w:after="0"/>
              <w:rPr>
                <w:sz w:val="20"/>
                <w:szCs w:val="20"/>
                <w:color w:val="auto"/>
              </w:rPr>
            </w:pPr>
            <w:r>
              <w:rPr>
                <w:rFonts w:ascii="Arial" w:cs="Arial" w:eastAsia="Arial" w:hAnsi="Arial"/>
                <w:sz w:val="18"/>
                <w:szCs w:val="18"/>
                <w:color w:val="auto"/>
              </w:rPr>
              <w:t>7.7</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(b)(2)</w:t>
            </w:r>
          </w:p>
        </w:tc>
        <w:tc>
          <w:tcPr>
            <w:tcW w:w="2620" w:type="dxa"/>
            <w:vAlign w:val="bottom"/>
          </w:tcPr>
          <w:p>
            <w:pPr>
              <w:ind w:left="1520"/>
              <w:spacing w:after="0"/>
              <w:rPr>
                <w:sz w:val="20"/>
                <w:szCs w:val="20"/>
                <w:color w:val="auto"/>
              </w:rPr>
            </w:pPr>
            <w:r>
              <w:rPr>
                <w:rFonts w:ascii="Arial" w:cs="Arial" w:eastAsia="Arial" w:hAnsi="Arial"/>
                <w:sz w:val="18"/>
                <w:szCs w:val="18"/>
                <w:color w:val="auto"/>
              </w:rPr>
              <w:t>7.7</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(c)</w:t>
            </w:r>
          </w:p>
        </w:tc>
        <w:tc>
          <w:tcPr>
            <w:tcW w:w="2620" w:type="dxa"/>
            <w:vAlign w:val="bottom"/>
          </w:tcPr>
          <w:p>
            <w:pPr>
              <w:ind w:left="1520"/>
              <w:spacing w:after="0"/>
              <w:rPr>
                <w:sz w:val="20"/>
                <w:szCs w:val="20"/>
                <w:color w:val="auto"/>
              </w:rPr>
            </w:pPr>
            <w:r>
              <w:rPr>
                <w:rFonts w:ascii="Arial" w:cs="Arial" w:eastAsia="Arial" w:hAnsi="Arial"/>
                <w:sz w:val="18"/>
                <w:szCs w:val="18"/>
                <w:color w:val="auto"/>
              </w:rPr>
              <w:t>7.7</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(d)</w:t>
            </w:r>
          </w:p>
        </w:tc>
        <w:tc>
          <w:tcPr>
            <w:tcW w:w="2620" w:type="dxa"/>
            <w:vAlign w:val="bottom"/>
          </w:tcPr>
          <w:p>
            <w:pPr>
              <w:ind w:left="1520"/>
              <w:spacing w:after="0"/>
              <w:rPr>
                <w:sz w:val="20"/>
                <w:szCs w:val="20"/>
                <w:color w:val="auto"/>
              </w:rPr>
            </w:pPr>
            <w:r>
              <w:rPr>
                <w:rFonts w:ascii="Arial" w:cs="Arial" w:eastAsia="Arial" w:hAnsi="Arial"/>
                <w:sz w:val="18"/>
                <w:szCs w:val="18"/>
                <w:color w:val="auto"/>
              </w:rPr>
              <w:t>7.7</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314(a)</w:t>
            </w:r>
          </w:p>
        </w:tc>
        <w:tc>
          <w:tcPr>
            <w:tcW w:w="2620" w:type="dxa"/>
            <w:vAlign w:val="bottom"/>
          </w:tcPr>
          <w:p>
            <w:pPr>
              <w:ind w:left="1520"/>
              <w:spacing w:after="0"/>
              <w:rPr>
                <w:sz w:val="20"/>
                <w:szCs w:val="20"/>
                <w:color w:val="auto"/>
              </w:rPr>
            </w:pPr>
            <w:r>
              <w:rPr>
                <w:rFonts w:ascii="Arial" w:cs="Arial" w:eastAsia="Arial" w:hAnsi="Arial"/>
                <w:sz w:val="18"/>
                <w:szCs w:val="18"/>
                <w:color w:val="auto"/>
              </w:rPr>
              <w:t>4.2, 10.5</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w w:val="93"/>
              </w:rPr>
              <w:t>Not Applicable</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(c)(1)</w:t>
            </w:r>
          </w:p>
        </w:tc>
        <w:tc>
          <w:tcPr>
            <w:tcW w:w="2620" w:type="dxa"/>
            <w:vAlign w:val="bottom"/>
          </w:tcPr>
          <w:p>
            <w:pPr>
              <w:ind w:left="1520"/>
              <w:spacing w:after="0"/>
              <w:rPr>
                <w:sz w:val="20"/>
                <w:szCs w:val="20"/>
                <w:color w:val="auto"/>
              </w:rPr>
            </w:pPr>
            <w:r>
              <w:rPr>
                <w:rFonts w:ascii="Arial" w:cs="Arial" w:eastAsia="Arial" w:hAnsi="Arial"/>
                <w:sz w:val="18"/>
                <w:szCs w:val="18"/>
                <w:color w:val="auto"/>
              </w:rPr>
              <w:t>10.4</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(c)(2)</w:t>
            </w:r>
          </w:p>
        </w:tc>
        <w:tc>
          <w:tcPr>
            <w:tcW w:w="2620" w:type="dxa"/>
            <w:vAlign w:val="bottom"/>
          </w:tcPr>
          <w:p>
            <w:pPr>
              <w:ind w:left="1520"/>
              <w:spacing w:after="0"/>
              <w:rPr>
                <w:sz w:val="20"/>
                <w:szCs w:val="20"/>
                <w:color w:val="auto"/>
              </w:rPr>
            </w:pPr>
            <w:r>
              <w:rPr>
                <w:rFonts w:ascii="Arial" w:cs="Arial" w:eastAsia="Arial" w:hAnsi="Arial"/>
                <w:sz w:val="18"/>
                <w:szCs w:val="18"/>
                <w:color w:val="auto"/>
              </w:rPr>
              <w:t>10.4</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(c)(3)</w:t>
            </w:r>
          </w:p>
        </w:tc>
        <w:tc>
          <w:tcPr>
            <w:tcW w:w="2620" w:type="dxa"/>
            <w:vAlign w:val="bottom"/>
          </w:tcPr>
          <w:p>
            <w:pPr>
              <w:ind w:left="1520"/>
              <w:spacing w:after="0"/>
              <w:rPr>
                <w:sz w:val="20"/>
                <w:szCs w:val="20"/>
                <w:color w:val="auto"/>
              </w:rPr>
            </w:pPr>
            <w:r>
              <w:rPr>
                <w:rFonts w:ascii="Arial" w:cs="Arial" w:eastAsia="Arial" w:hAnsi="Arial"/>
                <w:sz w:val="18"/>
                <w:szCs w:val="18"/>
                <w:color w:val="auto"/>
                <w:w w:val="93"/>
              </w:rPr>
              <w:t>Not Applicable</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(d)</w:t>
            </w:r>
          </w:p>
        </w:tc>
        <w:tc>
          <w:tcPr>
            <w:tcW w:w="2620" w:type="dxa"/>
            <w:vAlign w:val="bottom"/>
          </w:tcPr>
          <w:p>
            <w:pPr>
              <w:ind w:left="1520"/>
              <w:spacing w:after="0"/>
              <w:rPr>
                <w:sz w:val="20"/>
                <w:szCs w:val="20"/>
                <w:color w:val="auto"/>
              </w:rPr>
            </w:pPr>
            <w:r>
              <w:rPr>
                <w:rFonts w:ascii="Arial" w:cs="Arial" w:eastAsia="Arial" w:hAnsi="Arial"/>
                <w:sz w:val="18"/>
                <w:szCs w:val="18"/>
                <w:color w:val="auto"/>
                <w:w w:val="93"/>
              </w:rPr>
              <w:t>Not Applicable</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(e)</w:t>
            </w:r>
          </w:p>
        </w:tc>
        <w:tc>
          <w:tcPr>
            <w:tcW w:w="2620" w:type="dxa"/>
            <w:vAlign w:val="bottom"/>
          </w:tcPr>
          <w:p>
            <w:pPr>
              <w:ind w:left="1520"/>
              <w:spacing w:after="0"/>
              <w:rPr>
                <w:sz w:val="20"/>
                <w:szCs w:val="20"/>
                <w:color w:val="auto"/>
              </w:rPr>
            </w:pPr>
            <w:r>
              <w:rPr>
                <w:rFonts w:ascii="Arial" w:cs="Arial" w:eastAsia="Arial" w:hAnsi="Arial"/>
                <w:sz w:val="18"/>
                <w:szCs w:val="18"/>
                <w:color w:val="auto"/>
              </w:rPr>
              <w:t>10.5</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(f)</w:t>
            </w:r>
          </w:p>
        </w:tc>
        <w:tc>
          <w:tcPr>
            <w:tcW w:w="2620" w:type="dxa"/>
            <w:vAlign w:val="bottom"/>
          </w:tcPr>
          <w:p>
            <w:pPr>
              <w:ind w:left="1520"/>
              <w:spacing w:after="0"/>
              <w:rPr>
                <w:sz w:val="20"/>
                <w:szCs w:val="20"/>
                <w:color w:val="auto"/>
              </w:rPr>
            </w:pPr>
            <w:r>
              <w:rPr>
                <w:rFonts w:ascii="Arial" w:cs="Arial" w:eastAsia="Arial" w:hAnsi="Arial"/>
                <w:sz w:val="18"/>
                <w:szCs w:val="18"/>
                <w:color w:val="auto"/>
                <w:w w:val="93"/>
              </w:rPr>
              <w:t>Not Applicable</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315(a)</w:t>
            </w:r>
          </w:p>
        </w:tc>
        <w:tc>
          <w:tcPr>
            <w:tcW w:w="2620" w:type="dxa"/>
            <w:vAlign w:val="bottom"/>
          </w:tcPr>
          <w:p>
            <w:pPr>
              <w:ind w:left="1520"/>
              <w:spacing w:after="0"/>
              <w:rPr>
                <w:sz w:val="20"/>
                <w:szCs w:val="20"/>
                <w:color w:val="auto"/>
              </w:rPr>
            </w:pPr>
            <w:r>
              <w:rPr>
                <w:rFonts w:ascii="Arial" w:cs="Arial" w:eastAsia="Arial" w:hAnsi="Arial"/>
                <w:sz w:val="18"/>
                <w:szCs w:val="18"/>
                <w:color w:val="auto"/>
              </w:rPr>
              <w:t>7.1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rPr>
              <w:t>7.6</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(c)</w:t>
            </w:r>
          </w:p>
        </w:tc>
        <w:tc>
          <w:tcPr>
            <w:tcW w:w="2620" w:type="dxa"/>
            <w:vAlign w:val="bottom"/>
          </w:tcPr>
          <w:p>
            <w:pPr>
              <w:ind w:left="1520"/>
              <w:spacing w:after="0"/>
              <w:rPr>
                <w:sz w:val="20"/>
                <w:szCs w:val="20"/>
                <w:color w:val="auto"/>
              </w:rPr>
            </w:pPr>
            <w:r>
              <w:rPr>
                <w:rFonts w:ascii="Arial" w:cs="Arial" w:eastAsia="Arial" w:hAnsi="Arial"/>
                <w:sz w:val="18"/>
                <w:szCs w:val="18"/>
                <w:color w:val="auto"/>
              </w:rPr>
              <w:t>7.1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(d)</w:t>
            </w:r>
          </w:p>
        </w:tc>
        <w:tc>
          <w:tcPr>
            <w:tcW w:w="2620" w:type="dxa"/>
            <w:vAlign w:val="bottom"/>
          </w:tcPr>
          <w:p>
            <w:pPr>
              <w:ind w:left="1520"/>
              <w:spacing w:after="0"/>
              <w:rPr>
                <w:sz w:val="20"/>
                <w:szCs w:val="20"/>
                <w:color w:val="auto"/>
              </w:rPr>
            </w:pPr>
            <w:r>
              <w:rPr>
                <w:rFonts w:ascii="Arial" w:cs="Arial" w:eastAsia="Arial" w:hAnsi="Arial"/>
                <w:sz w:val="18"/>
                <w:szCs w:val="18"/>
                <w:color w:val="auto"/>
              </w:rPr>
              <w:t>7.1</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(e)</w:t>
            </w:r>
          </w:p>
        </w:tc>
        <w:tc>
          <w:tcPr>
            <w:tcW w:w="2620" w:type="dxa"/>
            <w:vAlign w:val="bottom"/>
          </w:tcPr>
          <w:p>
            <w:pPr>
              <w:ind w:left="1520"/>
              <w:spacing w:after="0"/>
              <w:rPr>
                <w:sz w:val="20"/>
                <w:szCs w:val="20"/>
                <w:color w:val="auto"/>
              </w:rPr>
            </w:pPr>
            <w:r>
              <w:rPr>
                <w:rFonts w:ascii="Arial" w:cs="Arial" w:eastAsia="Arial" w:hAnsi="Arial"/>
                <w:sz w:val="18"/>
                <w:szCs w:val="18"/>
                <w:color w:val="auto"/>
              </w:rPr>
              <w:t>6.14</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316(a)</w:t>
            </w:r>
          </w:p>
        </w:tc>
        <w:tc>
          <w:tcPr>
            <w:tcW w:w="2620" w:type="dxa"/>
            <w:vAlign w:val="bottom"/>
          </w:tcPr>
          <w:p>
            <w:pPr>
              <w:ind w:left="1520"/>
              <w:spacing w:after="0"/>
              <w:rPr>
                <w:sz w:val="20"/>
                <w:szCs w:val="20"/>
                <w:color w:val="auto"/>
              </w:rPr>
            </w:pPr>
            <w:r>
              <w:rPr>
                <w:rFonts w:ascii="Arial" w:cs="Arial" w:eastAsia="Arial" w:hAnsi="Arial"/>
                <w:sz w:val="18"/>
                <w:szCs w:val="18"/>
                <w:color w:val="auto"/>
              </w:rPr>
              <w:t>2.10</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(a)(1)(A)</w:t>
            </w:r>
          </w:p>
        </w:tc>
        <w:tc>
          <w:tcPr>
            <w:tcW w:w="2620" w:type="dxa"/>
            <w:vAlign w:val="bottom"/>
          </w:tcPr>
          <w:p>
            <w:pPr>
              <w:ind w:left="1520"/>
              <w:spacing w:after="0"/>
              <w:rPr>
                <w:sz w:val="20"/>
                <w:szCs w:val="20"/>
                <w:color w:val="auto"/>
              </w:rPr>
            </w:pPr>
            <w:r>
              <w:rPr>
                <w:rFonts w:ascii="Arial" w:cs="Arial" w:eastAsia="Arial" w:hAnsi="Arial"/>
                <w:sz w:val="18"/>
                <w:szCs w:val="18"/>
                <w:color w:val="auto"/>
              </w:rPr>
              <w:t>6.12</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(a)(1)(B)</w:t>
            </w:r>
          </w:p>
        </w:tc>
        <w:tc>
          <w:tcPr>
            <w:tcW w:w="2620" w:type="dxa"/>
            <w:vAlign w:val="bottom"/>
          </w:tcPr>
          <w:p>
            <w:pPr>
              <w:ind w:left="1520"/>
              <w:spacing w:after="0"/>
              <w:rPr>
                <w:sz w:val="20"/>
                <w:szCs w:val="20"/>
                <w:color w:val="auto"/>
              </w:rPr>
            </w:pPr>
            <w:r>
              <w:rPr>
                <w:rFonts w:ascii="Arial" w:cs="Arial" w:eastAsia="Arial" w:hAnsi="Arial"/>
                <w:sz w:val="18"/>
                <w:szCs w:val="18"/>
                <w:color w:val="auto"/>
              </w:rPr>
              <w:t>6.13</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rPr>
              <w:t>6.8</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317(a)(1)</w:t>
            </w:r>
          </w:p>
        </w:tc>
        <w:tc>
          <w:tcPr>
            <w:tcW w:w="2620" w:type="dxa"/>
            <w:vAlign w:val="bottom"/>
          </w:tcPr>
          <w:p>
            <w:pPr>
              <w:ind w:left="1520"/>
              <w:spacing w:after="0"/>
              <w:rPr>
                <w:sz w:val="20"/>
                <w:szCs w:val="20"/>
                <w:color w:val="auto"/>
              </w:rPr>
            </w:pPr>
            <w:r>
              <w:rPr>
                <w:rFonts w:ascii="Arial" w:cs="Arial" w:eastAsia="Arial" w:hAnsi="Arial"/>
                <w:sz w:val="18"/>
                <w:szCs w:val="18"/>
                <w:color w:val="auto"/>
              </w:rPr>
              <w:t>6.3</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(a)(2)</w:t>
            </w:r>
          </w:p>
        </w:tc>
        <w:tc>
          <w:tcPr>
            <w:tcW w:w="2620" w:type="dxa"/>
            <w:vAlign w:val="bottom"/>
          </w:tcPr>
          <w:p>
            <w:pPr>
              <w:ind w:left="1520"/>
              <w:spacing w:after="0"/>
              <w:rPr>
                <w:sz w:val="20"/>
                <w:szCs w:val="20"/>
                <w:color w:val="auto"/>
              </w:rPr>
            </w:pPr>
            <w:r>
              <w:rPr>
                <w:rFonts w:ascii="Arial" w:cs="Arial" w:eastAsia="Arial" w:hAnsi="Arial"/>
                <w:sz w:val="18"/>
                <w:szCs w:val="18"/>
                <w:color w:val="auto"/>
              </w:rPr>
              <w:t>6.4</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(b)</w:t>
            </w:r>
          </w:p>
        </w:tc>
        <w:tc>
          <w:tcPr>
            <w:tcW w:w="2620" w:type="dxa"/>
            <w:vAlign w:val="bottom"/>
          </w:tcPr>
          <w:p>
            <w:pPr>
              <w:ind w:left="1520"/>
              <w:spacing w:after="0"/>
              <w:rPr>
                <w:sz w:val="20"/>
                <w:szCs w:val="20"/>
                <w:color w:val="auto"/>
              </w:rPr>
            </w:pPr>
            <w:r>
              <w:rPr>
                <w:rFonts w:ascii="Arial" w:cs="Arial" w:eastAsia="Arial" w:hAnsi="Arial"/>
                <w:sz w:val="18"/>
                <w:szCs w:val="18"/>
                <w:color w:val="auto"/>
              </w:rPr>
              <w:t>2.5</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 318(a)</w:t>
            </w:r>
          </w:p>
        </w:tc>
        <w:tc>
          <w:tcPr>
            <w:tcW w:w="2620" w:type="dxa"/>
            <w:vAlign w:val="bottom"/>
          </w:tcPr>
          <w:p>
            <w:pPr>
              <w:ind w:left="1520"/>
              <w:spacing w:after="0"/>
              <w:rPr>
                <w:sz w:val="20"/>
                <w:szCs w:val="20"/>
                <w:color w:val="auto"/>
              </w:rPr>
            </w:pPr>
            <w:r>
              <w:rPr>
                <w:rFonts w:ascii="Arial" w:cs="Arial" w:eastAsia="Arial" w:hAnsi="Arial"/>
                <w:sz w:val="18"/>
                <w:szCs w:val="18"/>
                <w:color w:val="auto"/>
              </w:rPr>
              <w:t>10.1</w:t>
            </w:r>
          </w:p>
        </w:tc>
      </w:tr>
    </w:tbl>
    <w:p>
      <w:pPr>
        <w:spacing w:after="0" w:line="134" w:lineRule="exact"/>
        <w:rPr>
          <w:sz w:val="20"/>
          <w:szCs w:val="20"/>
          <w:color w:val="auto"/>
        </w:rPr>
      </w:pPr>
    </w:p>
    <w:p>
      <w:pPr>
        <w:sectPr>
          <w:pgSz w:w="11900" w:h="16838" w:orient="portrait"/>
          <w:cols w:equalWidth="0" w:num="1">
            <w:col w:w="10019"/>
          </w:cols>
          <w:pgMar w:left="440" w:top="274" w:right="1440" w:bottom="1440" w:gutter="0" w:footer="0" w:header="0"/>
        </w:sectPr>
      </w:pPr>
    </w:p>
    <w:p>
      <w:pPr>
        <w:ind w:left="54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019"/>
          </w:cols>
          <w:pgMar w:left="440" w:top="274" w:right="1440" w:bottom="1440" w:gutter="0" w:footer="0" w:header="0"/>
          <w:type w:val="continuous"/>
        </w:sectPr>
      </w:pPr>
    </w:p>
    <w:bookmarkStart w:id="54" w:name="page55"/>
    <w:bookmarkEnd w:id="54"/>
    <w:p>
      <w:pPr>
        <w:ind w:right="175" w:firstLine="440"/>
        <w:spacing w:after="0" w:line="277" w:lineRule="auto"/>
        <w:rPr>
          <w:sz w:val="20"/>
          <w:szCs w:val="20"/>
          <w:color w:val="auto"/>
        </w:rPr>
      </w:pPr>
      <w:r>
        <w:rPr>
          <w:rFonts w:ascii="Arial" w:cs="Arial" w:eastAsia="Arial" w:hAnsi="Arial"/>
          <w:sz w:val="18"/>
          <w:szCs w:val="18"/>
          <w:color w:val="auto"/>
        </w:rPr>
        <w:t>Indenture dated as of [ (“Company”), and [</w:t>
      </w:r>
    </w:p>
    <w:p>
      <w:pPr>
        <w:spacing w:after="0" w:line="20" w:lineRule="exact"/>
        <w:rPr>
          <w:sz w:val="20"/>
          <w:szCs w:val="20"/>
          <w:color w:val="auto"/>
        </w:rPr>
      </w:pPr>
      <w:r>
        <w:rPr>
          <w:sz w:val="20"/>
          <w:szCs w:val="20"/>
          <w:color w:val="auto"/>
        </w:rPr>
        <w:br w:type="column"/>
      </w:r>
    </w:p>
    <w:p>
      <w:pPr>
        <w:ind w:left="-635" w:firstLine="635"/>
        <w:spacing w:after="0" w:line="277" w:lineRule="auto"/>
        <w:tabs>
          <w:tab w:leader="none" w:pos="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between iClick Interactive Asia Group Limited, an exempted company incorporated in the Cayman Islands ]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-387985</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235" w:space="720"/>
            <w:col w:w="7805"/>
          </w:cols>
          <w:pgMar w:left="440" w:top="274" w:right="699" w:bottom="1440" w:gutter="0" w:footer="0" w:header="0"/>
        </w:sectPr>
      </w:pPr>
    </w:p>
    <w:p>
      <w:pPr>
        <w:ind w:right="40"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440" w:top="274" w:right="699" w:bottom="1440" w:gutter="0" w:footer="0" w:header="0"/>
          <w:type w:val="continuous"/>
        </w:sectPr>
      </w:pPr>
    </w:p>
    <w:bookmarkStart w:id="55" w:name="page56"/>
    <w:bookmarkEnd w:id="5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p>
    <w:p>
      <w:pPr>
        <w:spacing w:after="0" w:line="117"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Tender Agent or Notice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Chairman, its Chief Executive Officer, or any Vice President and by its Chief Financial Officer and delivered to the Trustee.</w:t>
      </w:r>
    </w:p>
    <w:p>
      <w:pPr>
        <w:spacing w:after="0" w:line="170"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or offices of the Trustee at which at any particular time its corporate trust business shall be administered.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0" w:right="539" w:bottom="1440" w:gutter="0" w:footer="0" w:header="0"/>
        </w:sectPr>
      </w:pPr>
    </w:p>
    <w:bookmarkStart w:id="56" w:name="page57"/>
    <w:bookmarkEnd w:id="56"/>
    <w:p>
      <w:pPr>
        <w:ind w:left="4"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w:t>
      </w:r>
      <w:r>
        <w:rPr>
          <w:rFonts w:ascii="Arial" w:cs="Arial" w:eastAsia="Arial" w:hAnsi="Arial"/>
          <w:sz w:val="18"/>
          <w:szCs w:val="18"/>
          <w:color w:val="auto"/>
        </w:rPr>
        <w:t>” means the European Currency Unit as determined by the Commission of the European Union.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w:t>
      </w:r>
      <w:r>
        <w:rPr>
          <w:rFonts w:ascii="Arial" w:cs="Arial" w:eastAsia="Arial" w:hAnsi="Arial"/>
          <w:sz w:val="16"/>
          <w:szCs w:val="16"/>
          <w:color w:val="auto"/>
        </w:rPr>
        <w:t xml:space="preserve"> Obligations”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left="4" w:right="340" w:hanging="4"/>
        <w:spacing w:after="0" w:line="255" w:lineRule="auto"/>
        <w:tabs>
          <w:tab w:leader="none" w:pos="2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9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w:t>
      </w:r>
      <w:r>
        <w:rPr>
          <w:rFonts w:ascii="Arial" w:cs="Arial" w:eastAsia="Arial" w:hAnsi="Arial"/>
          <w:sz w:val="18"/>
          <w:szCs w:val="18"/>
          <w:color w:val="auto"/>
        </w:rPr>
        <w:t>r” or “</w:t>
      </w:r>
      <w:r>
        <w:rPr>
          <w:rFonts w:ascii="Arial" w:cs="Arial" w:eastAsia="Arial" w:hAnsi="Arial"/>
          <w:sz w:val="18"/>
          <w:szCs w:val="18"/>
          <w:i w:val="1"/>
          <w:iCs w:val="1"/>
          <w:color w:val="auto"/>
        </w:rPr>
        <w:t>Security 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the Chief Executive Officer, any Vice President, the Chief Financial Officer or Principal Accounting Officer of the Company.</w:t>
      </w:r>
    </w:p>
    <w:p>
      <w:pPr>
        <w:spacing w:after="0" w:line="170"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which opinion, is acceptable to the Trustee. The counsel may be an employee of or counsel to the Company.</w:t>
      </w:r>
    </w:p>
    <w:p>
      <w:pPr>
        <w:spacing w:after="0" w:line="170"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57" w:name="page58"/>
    <w:bookmarkEnd w:id="57"/>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in each case, who shall in each case have direct responsibility for the administration of this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w:t>
      </w:r>
      <w:r>
        <w:rPr>
          <w:rFonts w:ascii="Arial" w:cs="Arial" w:eastAsia="Arial" w:hAnsi="Arial"/>
          <w:sz w:val="17"/>
          <w:szCs w:val="17"/>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which trustee shall be appointed pursuant to a supplemental indenture.</w:t>
      </w:r>
    </w:p>
    <w:p>
      <w:pPr>
        <w:spacing w:after="0" w:line="17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58" w:name="page59"/>
    <w:bookmarkEnd w:id="58"/>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w:t>
      </w:r>
      <w:r>
        <w:rPr>
          <w:sz w:val="20"/>
          <w:szCs w:val="20"/>
          <w:color w:val="auto"/>
        </w:rPr>
        <w:tab/>
      </w:r>
      <w:r>
        <w:rPr>
          <w:rFonts w:ascii="Arial" w:cs="Arial" w:eastAsia="Arial" w:hAnsi="Arial"/>
          <w:sz w:val="17"/>
          <w:szCs w:val="17"/>
          <w:u w:val="single" w:color="auto"/>
          <w:color w:val="auto"/>
        </w:rPr>
        <w:t>Other Definitions.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5460" w:type="dxa"/>
            <w:vAlign w:val="bottom"/>
          </w:tcPr>
          <w:p>
            <w:pPr>
              <w:spacing w:after="0"/>
              <w:rPr>
                <w:sz w:val="16"/>
                <w:szCs w:val="16"/>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DEFINED IN SECTION</w:t>
            </w:r>
          </w:p>
        </w:tc>
      </w:tr>
      <w:tr>
        <w:trPr>
          <w:trHeight w:val="217"/>
        </w:trPr>
        <w:tc>
          <w:tcPr>
            <w:tcW w:w="5900" w:type="dxa"/>
            <w:vAlign w:val="bottom"/>
            <w:gridSpan w:val="2"/>
          </w:tcPr>
          <w:p>
            <w:pPr>
              <w:spacing w:after="0"/>
              <w:rPr>
                <w:sz w:val="20"/>
                <w:szCs w:val="20"/>
                <w:color w:val="auto"/>
              </w:rPr>
            </w:pPr>
            <w:r>
              <w:rPr>
                <w:rFonts w:ascii="Arial" w:cs="Arial" w:eastAsia="Arial" w:hAnsi="Arial"/>
                <w:sz w:val="18"/>
                <w:szCs w:val="18"/>
                <w:color w:val="auto"/>
              </w:rPr>
              <w:t>“Bankruptcy Law”</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310"/>
        </w:trPr>
        <w:tc>
          <w:tcPr>
            <w:tcW w:w="590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“Journal”</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“Judgment Currency”</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“Legal Holiday”</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“Market Exchange Rate”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“New York Banking Day”</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“Notice Agent”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“optional sinking fund payment”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“Required Currency”</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“successor person”</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31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Incorporation by Reference of Trust Indenture Act.</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“Commission” means the SEC.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 means Event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securities” means the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security holder” means a Security Holder.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to be qualified” means this Indenture.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“obligor” on the indenture securities means the Company and any successor obligor upon the Securities.</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27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860" w:hanging="42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0"/>
          </w:cols>
          <w:pgMar w:left="440" w:top="274" w:right="719" w:bottom="1440" w:gutter="0" w:footer="0" w:header="0"/>
        </w:sectPr>
      </w:pPr>
    </w:p>
    <w:bookmarkStart w:id="59" w:name="page60"/>
    <w:bookmarkEnd w:id="59"/>
    <w:p>
      <w:pPr>
        <w:ind w:left="880" w:hanging="44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860" w:hanging="4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880" w:hanging="44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860" w:hanging="4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p>
    <w:p>
      <w:pPr>
        <w:spacing w:after="0" w:line="11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7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r>
        <w:rPr>
          <w:rFonts w:ascii="Arial" w:cs="Arial" w:eastAsia="Arial" w:hAnsi="Arial"/>
          <w:sz w:val="16"/>
          <w:szCs w:val="16"/>
          <w:color w:val="auto"/>
        </w:rPr>
        <w:t>.</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2.2(a) and either as to such Securities within the Series or as to the Series generally in the case of Subsections 2.2(a) through 2.2(u)) by or pursuant to a Board Resolution, and set forth or determined in the manner provided in a Board Resolution or Officers’ Certificate, and associated supplemental indenture:</w:t>
      </w:r>
    </w:p>
    <w:p>
      <w:pPr>
        <w:spacing w:after="0" w:line="187" w:lineRule="exact"/>
        <w:rPr>
          <w:sz w:val="20"/>
          <w:szCs w:val="20"/>
          <w:color w:val="auto"/>
        </w:rPr>
      </w:pPr>
    </w:p>
    <w:p>
      <w:pPr>
        <w:ind w:left="860" w:hanging="424"/>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Securities of that particular Series from the Securities of any other Series);</w:t>
      </w:r>
    </w:p>
    <w:p>
      <w:pPr>
        <w:spacing w:after="0" w:line="225" w:lineRule="exact"/>
        <w:rPr>
          <w:rFonts w:ascii="Arial" w:cs="Arial" w:eastAsia="Arial" w:hAnsi="Arial"/>
          <w:sz w:val="18"/>
          <w:szCs w:val="18"/>
          <w:color w:val="auto"/>
        </w:rPr>
      </w:pPr>
    </w:p>
    <w:p>
      <w:pPr>
        <w:ind w:left="880" w:hanging="444"/>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price or prices (expressed as a percentage of the principal amount thereof) at which the Securities of the Series will be issued;</w:t>
      </w:r>
    </w:p>
    <w:p>
      <w:pPr>
        <w:spacing w:after="0" w:line="236" w:lineRule="exact"/>
        <w:rPr>
          <w:rFonts w:ascii="Arial" w:cs="Arial" w:eastAsia="Arial" w:hAnsi="Arial"/>
          <w:sz w:val="17"/>
          <w:szCs w:val="17"/>
          <w:color w:val="auto"/>
        </w:rPr>
      </w:pPr>
    </w:p>
    <w:p>
      <w:pPr>
        <w:jc w:val="both"/>
        <w:ind w:right="60" w:firstLine="436"/>
        <w:spacing w:after="0" w:line="263" w:lineRule="auto"/>
        <w:tabs>
          <w:tab w:leader="none" w:pos="8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3" w:lineRule="exact"/>
        <w:rPr>
          <w:rFonts w:ascii="Arial" w:cs="Arial" w:eastAsia="Arial" w:hAnsi="Arial"/>
          <w:sz w:val="18"/>
          <w:szCs w:val="18"/>
          <w:color w:val="auto"/>
        </w:rPr>
      </w:pPr>
    </w:p>
    <w:p>
      <w:pPr>
        <w:ind w:left="880" w:hanging="44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firstLine="436"/>
        <w:spacing w:after="0" w:line="259" w:lineRule="auto"/>
        <w:tabs>
          <w:tab w:leader="none" w:pos="8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ind w:right="20" w:firstLine="436"/>
        <w:spacing w:after="0" w:line="286" w:lineRule="auto"/>
        <w:tabs>
          <w:tab w:leader="none" w:pos="8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60" w:name="page61"/>
    <w:bookmarkEnd w:id="60"/>
    <w:p>
      <w:pPr>
        <w:ind w:left="-40" w:right="120" w:firstLine="436"/>
        <w:spacing w:after="0" w:line="277" w:lineRule="auto"/>
        <w:tabs>
          <w:tab w:leader="none" w:pos="835"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40" w:right="280" w:firstLine="436"/>
        <w:spacing w:after="0" w:line="286" w:lineRule="auto"/>
        <w:tabs>
          <w:tab w:leader="none" w:pos="8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40" w:right="180" w:firstLine="436"/>
        <w:spacing w:after="0" w:line="277"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40" w:right="460" w:firstLine="436"/>
        <w:spacing w:after="0" w:line="277"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minimum denominations of $1,000 and any integral multiples of $1,000, the denominations in which the Securities of the Series shall be issuable;</w:t>
      </w:r>
    </w:p>
    <w:p>
      <w:pPr>
        <w:spacing w:after="0" w:line="170" w:lineRule="exact"/>
        <w:rPr>
          <w:rFonts w:ascii="Arial" w:cs="Arial" w:eastAsia="Arial" w:hAnsi="Arial"/>
          <w:sz w:val="18"/>
          <w:szCs w:val="18"/>
          <w:color w:val="auto"/>
        </w:rPr>
      </w:pPr>
    </w:p>
    <w:p>
      <w:pPr>
        <w:ind w:left="840" w:hanging="44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forms of the Securities of the Series and whether the Securities will be issuable as Global Securities;</w:t>
      </w:r>
    </w:p>
    <w:p>
      <w:pPr>
        <w:spacing w:after="0" w:line="225" w:lineRule="exact"/>
        <w:rPr>
          <w:rFonts w:ascii="Arial" w:cs="Arial" w:eastAsia="Arial" w:hAnsi="Arial"/>
          <w:sz w:val="18"/>
          <w:szCs w:val="18"/>
          <w:color w:val="auto"/>
        </w:rPr>
      </w:pPr>
    </w:p>
    <w:p>
      <w:pPr>
        <w:ind w:left="-40" w:right="500" w:firstLine="436"/>
        <w:spacing w:after="0" w:line="277"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70" w:lineRule="exact"/>
        <w:rPr>
          <w:rFonts w:ascii="Arial" w:cs="Arial" w:eastAsia="Arial" w:hAnsi="Arial"/>
          <w:sz w:val="18"/>
          <w:szCs w:val="18"/>
          <w:color w:val="auto"/>
        </w:rPr>
      </w:pPr>
    </w:p>
    <w:p>
      <w:pPr>
        <w:ind w:left="-40" w:right="20" w:firstLine="436"/>
        <w:spacing w:after="0" w:line="263" w:lineRule="auto"/>
        <w:tabs>
          <w:tab w:leader="none" w:pos="8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U.S. Dollars or any Foreign Currency, including, but not limited to, the ECU, and if such currency of denomination is a composite currency other than the ECU, the agency or organization, if any, responsible for overseeing such composite currency;</w:t>
      </w:r>
    </w:p>
    <w:p>
      <w:pPr>
        <w:spacing w:after="0" w:line="183" w:lineRule="exact"/>
        <w:rPr>
          <w:rFonts w:ascii="Arial" w:cs="Arial" w:eastAsia="Arial" w:hAnsi="Arial"/>
          <w:sz w:val="18"/>
          <w:szCs w:val="18"/>
          <w:color w:val="auto"/>
        </w:rPr>
      </w:pPr>
    </w:p>
    <w:p>
      <w:pPr>
        <w:ind w:left="-40" w:firstLine="436"/>
        <w:spacing w:after="0" w:line="277" w:lineRule="auto"/>
        <w:tabs>
          <w:tab w:leader="none" w:pos="8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ind w:left="-40" w:right="40" w:firstLine="436"/>
        <w:spacing w:after="0" w:line="342" w:lineRule="auto"/>
        <w:tabs>
          <w:tab w:leader="none" w:pos="8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23" w:lineRule="exact"/>
        <w:rPr>
          <w:rFonts w:ascii="Arial" w:cs="Arial" w:eastAsia="Arial" w:hAnsi="Arial"/>
          <w:sz w:val="16"/>
          <w:szCs w:val="16"/>
          <w:color w:val="auto"/>
        </w:rPr>
      </w:pPr>
    </w:p>
    <w:p>
      <w:pPr>
        <w:ind w:left="-40" w:right="320" w:firstLine="436"/>
        <w:spacing w:after="0" w:line="263" w:lineRule="auto"/>
        <w:tabs>
          <w:tab w:leader="none" w:pos="8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left="840" w:hanging="44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25" w:lineRule="exact"/>
        <w:rPr>
          <w:rFonts w:ascii="Arial" w:cs="Arial" w:eastAsia="Arial" w:hAnsi="Arial"/>
          <w:sz w:val="18"/>
          <w:szCs w:val="18"/>
          <w:color w:val="auto"/>
        </w:rPr>
      </w:pPr>
    </w:p>
    <w:p>
      <w:pPr>
        <w:ind w:left="-40" w:right="80" w:firstLine="436"/>
        <w:spacing w:after="0" w:line="277" w:lineRule="auto"/>
        <w:tabs>
          <w:tab w:leader="none" w:pos="8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70" w:lineRule="exact"/>
        <w:rPr>
          <w:rFonts w:ascii="Arial" w:cs="Arial" w:eastAsia="Arial" w:hAnsi="Arial"/>
          <w:sz w:val="18"/>
          <w:szCs w:val="18"/>
          <w:color w:val="auto"/>
        </w:rPr>
      </w:pPr>
    </w:p>
    <w:p>
      <w:pPr>
        <w:ind w:left="820" w:hanging="424"/>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IV or V which applies to Securities of the Series;</w:t>
      </w:r>
    </w:p>
    <w:p>
      <w:pPr>
        <w:spacing w:after="0" w:line="225" w:lineRule="exact"/>
        <w:rPr>
          <w:rFonts w:ascii="Arial" w:cs="Arial" w:eastAsia="Arial" w:hAnsi="Arial"/>
          <w:sz w:val="18"/>
          <w:szCs w:val="18"/>
          <w:color w:val="auto"/>
        </w:rPr>
      </w:pPr>
    </w:p>
    <w:p>
      <w:pPr>
        <w:ind w:left="-40" w:right="120" w:firstLine="436"/>
        <w:spacing w:after="0" w:line="277"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supplement, modify or delete any provision of this Indenture insofar as it applies to such Series); and</w:t>
      </w:r>
    </w:p>
    <w:p>
      <w:pPr>
        <w:spacing w:after="0" w:line="170" w:lineRule="exact"/>
        <w:rPr>
          <w:rFonts w:ascii="Arial" w:cs="Arial" w:eastAsia="Arial" w:hAnsi="Arial"/>
          <w:sz w:val="18"/>
          <w:szCs w:val="18"/>
          <w:color w:val="auto"/>
        </w:rPr>
      </w:pPr>
    </w:p>
    <w:p>
      <w:pPr>
        <w:ind w:left="-40" w:right="60" w:firstLine="436"/>
        <w:spacing w:after="0" w:line="277" w:lineRule="auto"/>
        <w:tabs>
          <w:tab w:leader="none" w:pos="8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80" w:top="274" w:right="479" w:bottom="1440" w:gutter="0" w:footer="0" w:header="0"/>
        </w:sectPr>
      </w:pPr>
    </w:p>
    <w:bookmarkStart w:id="61" w:name="page62"/>
    <w:bookmarkEnd w:id="61"/>
    <w:p>
      <w:pPr>
        <w:ind w:left="4" w:right="6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232"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left="4" w:right="300" w:firstLine="440"/>
        <w:spacing w:after="0" w:line="311" w:lineRule="auto"/>
        <w:rPr>
          <w:sz w:val="20"/>
          <w:szCs w:val="20"/>
          <w:color w:val="auto"/>
        </w:rPr>
      </w:pPr>
      <w:r>
        <w:rPr>
          <w:rFonts w:ascii="Arial" w:cs="Arial" w:eastAsia="Arial" w:hAnsi="Arial"/>
          <w:sz w:val="16"/>
          <w:szCs w:val="16"/>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49"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left="4" w:right="360" w:hanging="4"/>
        <w:spacing w:after="0" w:line="255"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a trust committee of Responsible Officers shall determine that such action would expose the Trustee to personal liability to Holders of any then outstanding Series of Securities, or (c) if the Trustee in good faith by a Responsible Officer shall determine that the terms of any such securities as set forth in Board Resolutions or Officers’ Certificates would adversely affect it.</w:t>
      </w:r>
    </w:p>
    <w:p>
      <w:pPr>
        <w:spacing w:after="0" w:line="188" w:lineRule="exact"/>
        <w:rPr>
          <w:sz w:val="20"/>
          <w:szCs w:val="20"/>
          <w:color w:val="auto"/>
        </w:rPr>
      </w:pPr>
    </w:p>
    <w:p>
      <w:pPr>
        <w:jc w:val="both"/>
        <w:ind w:left="4" w:right="12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73"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 provided however, that any appointment of the Trustee as the Notice Agent shall exclude the appointment of the Trustee as an agent to receive the service of legal process on the Company.</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62" w:name="page63"/>
    <w:bookmarkEnd w:id="62"/>
    <w:p>
      <w:pPr>
        <w:ind w:right="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7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Company hereby appoints the Trustee the initial Registrar and Paying Agent for each Series unless another Registrar or Paying Agent, as the case may be, is appointed prior to the time Securities of that Series are first issued.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ind w:left="440"/>
        <w:spacing w:after="0"/>
        <w:tabs>
          <w:tab w:leader="none" w:pos="2920" w:val="left"/>
        </w:tabs>
        <w:rPr>
          <w:sz w:val="20"/>
          <w:szCs w:val="20"/>
          <w:color w:val="auto"/>
        </w:rPr>
      </w:pPr>
      <w:r>
        <w:rPr>
          <w:rFonts w:ascii="Arial" w:cs="Arial" w:eastAsia="Arial" w:hAnsi="Arial"/>
          <w:sz w:val="18"/>
          <w:szCs w:val="18"/>
          <w:color w:val="auto"/>
        </w:rPr>
        <w:t>The Company hereby appoints [</w:t>
      </w:r>
      <w:r>
        <w:rPr>
          <w:sz w:val="20"/>
          <w:szCs w:val="20"/>
          <w:color w:val="auto"/>
        </w:rPr>
        <w:tab/>
      </w:r>
      <w:r>
        <w:rPr>
          <w:rFonts w:ascii="Arial" w:cs="Arial" w:eastAsia="Arial" w:hAnsi="Arial"/>
          <w:sz w:val="16"/>
          <w:szCs w:val="16"/>
          <w:color w:val="auto"/>
        </w:rPr>
        <w:t>] to act as the Notice Agent with respect to the Securities.</w:t>
      </w:r>
    </w:p>
    <w:p>
      <w:pPr>
        <w:spacing w:after="0" w:line="33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28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 Holder Lists.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26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63" w:name="page64"/>
    <w:bookmarkEnd w:id="63"/>
    <w:p>
      <w:pPr>
        <w:ind w:left="4"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29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117" w:lineRule="exact"/>
        <w:rPr>
          <w:sz w:val="20"/>
          <w:szCs w:val="20"/>
          <w:color w:val="auto"/>
        </w:rPr>
      </w:pPr>
    </w:p>
    <w:p>
      <w:pPr>
        <w:jc w:val="both"/>
        <w:ind w:left="4" w:right="540" w:firstLine="440"/>
        <w:spacing w:after="0" w:line="263" w:lineRule="auto"/>
        <w:rPr>
          <w:sz w:val="20"/>
          <w:szCs w:val="20"/>
          <w:color w:val="auto"/>
        </w:rPr>
      </w:pPr>
      <w:r>
        <w:rPr>
          <w:rFonts w:ascii="Arial" w:cs="Arial" w:eastAsia="Arial" w:hAnsi="Arial"/>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8"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64" w:name="page65"/>
    <w:bookmarkEnd w:id="64"/>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w:t>
      </w:r>
      <w:r>
        <w:rPr>
          <w:sz w:val="20"/>
          <w:szCs w:val="20"/>
          <w:color w:val="auto"/>
        </w:rPr>
        <w:tab/>
      </w:r>
      <w:r>
        <w:rPr>
          <w:rFonts w:ascii="Arial" w:cs="Arial" w:eastAsia="Arial" w:hAnsi="Arial"/>
          <w:sz w:val="15"/>
          <w:szCs w:val="15"/>
          <w:u w:val="single" w:color="auto"/>
          <w:color w:val="auto"/>
        </w:rPr>
        <w:t>Treasury Securities.</w:t>
      </w:r>
    </w:p>
    <w:p>
      <w:pPr>
        <w:spacing w:after="0" w:line="117"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actually knows are so owned shall be so disregarded.</w:t>
      </w:r>
    </w:p>
    <w:p>
      <w:pPr>
        <w:spacing w:after="0" w:line="26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Temporary Securities.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p>
    <w:p>
      <w:pPr>
        <w:spacing w:after="0" w:line="11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in accordance with its standard procedures and deliver a certificate of such cancellation to the Company upon its written request. The Company may not issue new Securities to replace Securities that it has paid or delivered to the Trustee for cancellation.</w:t>
      </w:r>
    </w:p>
    <w:p>
      <w:pPr>
        <w:spacing w:after="0" w:line="28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special record date and payment date. At least 10 days before the record date, the Company shall send to the Trustee and to each Security Holder of the Series a notice that states the record date, the payment date and the amount of interest to be paid. The Company may pay defaulted interest in any other lawful manner.</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p>
    <w:p>
      <w:pPr>
        <w:spacing w:after="0" w:line="117" w:lineRule="exact"/>
        <w:rPr>
          <w:sz w:val="20"/>
          <w:szCs w:val="20"/>
          <w:color w:val="auto"/>
        </w:rPr>
      </w:pPr>
    </w:p>
    <w:p>
      <w:pPr>
        <w:ind w:firstLine="436"/>
        <w:spacing w:after="0" w:line="342" w:lineRule="auto"/>
        <w:tabs>
          <w:tab w:leader="none" w:pos="86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23" w:lineRule="exact"/>
        <w:rPr>
          <w:rFonts w:ascii="Arial" w:cs="Arial" w:eastAsia="Arial" w:hAnsi="Arial"/>
          <w:sz w:val="16"/>
          <w:szCs w:val="16"/>
          <w:color w:val="auto"/>
        </w:rPr>
      </w:pPr>
    </w:p>
    <w:p>
      <w:pPr>
        <w:ind w:firstLine="436"/>
        <w:spacing w:after="0" w:line="253"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Transfer and Exchange</w:t>
      </w:r>
      <w:r>
        <w:rPr>
          <w:rFonts w:ascii="Arial" w:cs="Arial" w:eastAsia="Arial" w:hAnsi="Arial"/>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an Event of Default with respect to such Global Security has occurred and is continuing and such beneficial owner requests that its notes be issued in physical, certificated form.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65" w:name="page66"/>
    <w:bookmarkEnd w:id="65"/>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1" w:lineRule="exact"/>
        <w:rPr>
          <w:sz w:val="20"/>
          <w:szCs w:val="20"/>
          <w:color w:val="auto"/>
        </w:rPr>
      </w:pPr>
    </w:p>
    <w:p>
      <w:pPr>
        <w:ind w:left="860" w:hanging="424"/>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right="140" w:firstLine="436"/>
        <w:spacing w:after="0" w:line="308" w:lineRule="auto"/>
        <w:tabs>
          <w:tab w:leader="none" w:pos="83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rFonts w:ascii="Arial" w:cs="Arial" w:eastAsia="Arial" w:hAnsi="Arial"/>
          <w:sz w:val="17"/>
          <w:szCs w:val="17"/>
          <w:color w:val="auto"/>
        </w:rPr>
      </w:pPr>
    </w:p>
    <w:p>
      <w:pPr>
        <w:ind w:firstLine="436"/>
        <w:spacing w:after="0" w:line="277" w:lineRule="auto"/>
        <w:tabs>
          <w:tab w:leader="none" w:pos="8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rFonts w:ascii="Arial" w:cs="Arial" w:eastAsia="Arial" w:hAnsi="Arial"/>
          <w:sz w:val="18"/>
          <w:szCs w:val="18"/>
          <w:color w:val="auto"/>
        </w:rPr>
      </w:pPr>
    </w:p>
    <w:p>
      <w:pPr>
        <w:ind w:right="20" w:firstLine="436"/>
        <w:spacing w:after="0" w:line="259"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xml:space="preserve"> Except as provided in Section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2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p>
    <w:p>
      <w:pPr>
        <w:spacing w:after="0" w:line="11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30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Trustee shall select the Securities of the Series to be by lot, on a pro-rata basis or by another method that the Trustee deems fair and appropriate and in accordance with DTC’s applicable procedures. The Trustee shall make the selection from Securities of the Series outstanding not previously called for redemption. The Trustee may select for redemption portions of the principal of Securities of the Series that have minimum denominations larger than $1,000. Securities of the Series and portions of them it selects shall be in amounts of $1,000 or whole multiples of $1,000 or, with respect to Securities of any Series issuable in other denominations pursuant to Section 2.2(j),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28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(provided that redemption notices may be mailed more than 60 days prior to a Redemption Date if such notice is issued in connection with a Legal Defeasance, a Covenant Defeasance or a satisfaction and discharge of this Indenture pursuant to Article 8 hereof. The Company shall send a notice of redemption by first-class mail to each Holder whose Securities are to be redeemed, with a copy to the Trustee.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820" w:hanging="38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25" w:lineRule="exact"/>
        <w:rPr>
          <w:rFonts w:ascii="Arial" w:cs="Arial" w:eastAsia="Arial" w:hAnsi="Arial"/>
          <w:sz w:val="18"/>
          <w:szCs w:val="18"/>
          <w:color w:val="auto"/>
        </w:rPr>
      </w:pPr>
    </w:p>
    <w:p>
      <w:pPr>
        <w:ind w:left="840" w:hanging="40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5420" w:right="1340" w:hanging="4984"/>
        <w:spacing w:after="0" w:line="449" w:lineRule="auto"/>
        <w:tabs>
          <w:tab w:leader="none" w:pos="8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 18</w:t>
      </w:r>
    </w:p>
    <w:p>
      <w:pPr>
        <w:sectPr>
          <w:pgSz w:w="11900" w:h="16838" w:orient="portrait"/>
          <w:cols w:equalWidth="0" w:num="1">
            <w:col w:w="11000"/>
          </w:cols>
          <w:pgMar w:left="440" w:top="270" w:right="459" w:bottom="1440" w:gutter="0" w:footer="0" w:header="0"/>
        </w:sectPr>
      </w:pPr>
    </w:p>
    <w:bookmarkStart w:id="67" w:name="page68"/>
    <w:bookmarkEnd w:id="67"/>
    <w:p>
      <w:pPr>
        <w:ind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Company’s written request, the Trustee shall give the notice of redemption prepared by the Company,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25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Once notice of redemption is sent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29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p>
    <w:p>
      <w:pPr>
        <w:spacing w:after="0" w:line="11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On or before 11:00 am New York time the redemption date, the Company shall deposit with the Paying Agent money sufficient to pay the redemption price of and accrued interest, if any, on all Securities to be redeemed on that date.</w:t>
      </w:r>
    </w:p>
    <w:p>
      <w:pPr>
        <w:spacing w:after="0" w:line="27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27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29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68" w:name="page69"/>
    <w:bookmarkEnd w:id="68"/>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292"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8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Corporate Existence.</w:t>
      </w:r>
    </w:p>
    <w:p>
      <w:pPr>
        <w:spacing w:after="0" w:line="117"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Holders.The company shall provide to the Trustee written notice of any changes in the name or formation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170" w:lineRule="exact"/>
        <w:rPr>
          <w:sz w:val="20"/>
          <w:szCs w:val="20"/>
          <w:color w:val="auto"/>
        </w:rPr>
      </w:pPr>
    </w:p>
    <w:p>
      <w:pPr>
        <w:ind w:right="40" w:firstLine="436"/>
        <w:spacing w:after="0" w:line="342"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23" w:lineRule="exact"/>
        <w:rPr>
          <w:rFonts w:ascii="Arial" w:cs="Arial" w:eastAsia="Arial" w:hAnsi="Arial"/>
          <w:sz w:val="16"/>
          <w:szCs w:val="16"/>
          <w:color w:val="auto"/>
        </w:rPr>
      </w:pPr>
    </w:p>
    <w:p>
      <w:pPr>
        <w:ind w:left="880" w:hanging="44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 that the supplemental indenture is authorized or permitted under the Indenture and such opinion of counsel shall state that this Indenture and the supplemental indenture is the legal, valid and binding obligation of the Company or such successor person.</w:t>
      </w:r>
    </w:p>
    <w:p>
      <w:pPr>
        <w:spacing w:after="0" w:line="187" w:lineRule="exact"/>
        <w:rPr>
          <w:sz w:val="20"/>
          <w:szCs w:val="20"/>
          <w:color w:val="auto"/>
        </w:rPr>
      </w:pPr>
    </w:p>
    <w:p>
      <w:pPr>
        <w:ind w:right="660" w:firstLine="440"/>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254"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p>
    <w:p>
      <w:pPr>
        <w:spacing w:after="0" w:line="117"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ind w:right="60" w:firstLine="436"/>
        <w:spacing w:after="0" w:line="263" w:lineRule="auto"/>
        <w:tabs>
          <w:tab w:leader="none" w:pos="8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3" w:lineRule="exact"/>
        <w:rPr>
          <w:rFonts w:ascii="Arial" w:cs="Arial" w:eastAsia="Arial" w:hAnsi="Arial"/>
          <w:sz w:val="18"/>
          <w:szCs w:val="18"/>
          <w:color w:val="auto"/>
        </w:rPr>
      </w:pPr>
    </w:p>
    <w:p>
      <w:pPr>
        <w:ind w:left="880" w:hanging="44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firstLine="436"/>
        <w:spacing w:after="0" w:line="257" w:lineRule="auto"/>
        <w:tabs>
          <w:tab w:leader="none" w:pos="8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rFonts w:ascii="Arial" w:cs="Arial" w:eastAsia="Arial" w:hAnsi="Arial"/>
          <w:sz w:val="18"/>
          <w:szCs w:val="18"/>
          <w:color w:val="auto"/>
        </w:rPr>
      </w:pPr>
    </w:p>
    <w:p>
      <w:pPr>
        <w:ind w:left="880" w:hanging="44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sz w:val="20"/>
          <w:szCs w:val="20"/>
          <w:color w:val="auto"/>
        </w:rPr>
      </w:pPr>
    </w:p>
    <w:p>
      <w:pPr>
        <w:ind w:left="860"/>
        <w:spacing w:after="0"/>
        <w:tabs>
          <w:tab w:leader="none" w:pos="11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commences a voluntary case,</w:t>
      </w:r>
    </w:p>
    <w:p>
      <w:pPr>
        <w:spacing w:after="0" w:line="117" w:lineRule="exact"/>
        <w:rPr>
          <w:sz w:val="20"/>
          <w:szCs w:val="20"/>
          <w:color w:val="auto"/>
        </w:rPr>
      </w:pPr>
    </w:p>
    <w:p>
      <w:pPr>
        <w:ind w:left="1260" w:hanging="401"/>
        <w:spacing w:after="0"/>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340" w:hanging="481"/>
        <w:spacing w:after="0"/>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right="560" w:firstLine="436"/>
        <w:spacing w:after="0" w:line="277"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 (r).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70" w:name="page71"/>
    <w:bookmarkEnd w:id="70"/>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“Bankruptcy Law” means title 11, U.S. Code or any similar Federal or State law for the relief of debtors. The term “Custodian” means any receiver, trustee, assignee, liquidator or similar official under any Bankruptcy Law.</w:t>
      </w:r>
    </w:p>
    <w:p>
      <w:pPr>
        <w:spacing w:after="0" w:line="27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6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3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120" w:firstLine="436"/>
        <w:spacing w:after="0" w:line="277"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1" w:name="page72"/>
    <w:bookmarkEnd w:id="71"/>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6.4</w:t>
      </w:r>
      <w:r>
        <w:rPr>
          <w:sz w:val="20"/>
          <w:szCs w:val="20"/>
          <w:color w:val="auto"/>
        </w:rPr>
        <w:tab/>
      </w:r>
      <w:r>
        <w:rPr>
          <w:rFonts w:ascii="Arial" w:cs="Arial" w:eastAsia="Arial" w:hAnsi="Arial"/>
          <w:sz w:val="16"/>
          <w:szCs w:val="16"/>
          <w:u w:val="single" w:color="auto"/>
          <w:color w:val="auto"/>
        </w:rPr>
        <w:t>Trustee May File Proofs of Claim.</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6" w:lineRule="exact"/>
        <w:rPr>
          <w:sz w:val="20"/>
          <w:szCs w:val="20"/>
          <w:color w:val="auto"/>
        </w:rPr>
      </w:pPr>
    </w:p>
    <w:p>
      <w:pPr>
        <w:ind w:right="120" w:firstLine="436"/>
        <w:spacing w:after="0" w:line="311" w:lineRule="auto"/>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8" w:lineRule="exact"/>
        <w:rPr>
          <w:rFonts w:ascii="Arial" w:cs="Arial" w:eastAsia="Arial" w:hAnsi="Arial"/>
          <w:sz w:val="16"/>
          <w:szCs w:val="16"/>
          <w:color w:val="auto"/>
        </w:rPr>
      </w:pPr>
    </w:p>
    <w:p>
      <w:pPr>
        <w:ind w:left="820" w:hanging="384"/>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9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its agents and counsel under Section 7.8; and</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Company or to such party as a court of competent jurisdiction shall direct.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72" w:name="page73"/>
    <w:bookmarkEnd w:id="72"/>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6.7</w:t>
      </w:r>
      <w:r>
        <w:rPr>
          <w:sz w:val="20"/>
          <w:szCs w:val="20"/>
          <w:color w:val="auto"/>
        </w:rPr>
        <w:tab/>
      </w:r>
      <w:r>
        <w:rPr>
          <w:rFonts w:ascii="Arial" w:cs="Arial" w:eastAsia="Arial" w:hAnsi="Arial"/>
          <w:sz w:val="17"/>
          <w:szCs w:val="17"/>
          <w:u w:val="single" w:color="auto"/>
          <w:color w:val="auto"/>
        </w:rPr>
        <w:t>Limitation on Suits.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25" w:lineRule="exact"/>
        <w:rPr>
          <w:sz w:val="20"/>
          <w:szCs w:val="20"/>
          <w:color w:val="auto"/>
        </w:rPr>
      </w:pPr>
    </w:p>
    <w:p>
      <w:pPr>
        <w:ind w:right="460" w:firstLine="436"/>
        <w:spacing w:after="0" w:line="277" w:lineRule="auto"/>
        <w:tabs>
          <w:tab w:leader="none" w:pos="8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460" w:firstLine="436"/>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220" w:firstLine="436"/>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29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29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p>
    <w:p>
      <w:pPr>
        <w:spacing w:after="0" w:line="11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3" w:name="page74"/>
    <w:bookmarkEnd w:id="73"/>
    <w:p>
      <w:pPr>
        <w:ind w:left="440"/>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6.11</w:t>
      </w:r>
      <w:r>
        <w:rPr>
          <w:sz w:val="20"/>
          <w:szCs w:val="20"/>
          <w:color w:val="auto"/>
        </w:rPr>
        <w:tab/>
      </w:r>
      <w:r>
        <w:rPr>
          <w:rFonts w:ascii="Arial" w:cs="Arial" w:eastAsia="Arial" w:hAnsi="Arial"/>
          <w:sz w:val="16"/>
          <w:szCs w:val="16"/>
          <w:u w:val="single" w:color="auto"/>
          <w:color w:val="auto"/>
        </w:rPr>
        <w:t>Delay or Omission Not Waiver.</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9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820" w:hanging="384"/>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440" w:firstLine="436"/>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p>
    <w:p>
      <w:pPr>
        <w:spacing w:after="0" w:line="117"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7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p>
    <w:p>
      <w:pPr>
        <w:spacing w:after="0" w:line="11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400"/>
        <w:spacing w:after="0"/>
        <w:tabs>
          <w:tab w:leader="none" w:pos="13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p>
    <w:p>
      <w:pPr>
        <w:spacing w:after="0" w:line="117" w:lineRule="exact"/>
        <w:rPr>
          <w:sz w:val="20"/>
          <w:szCs w:val="20"/>
          <w:color w:val="auto"/>
        </w:rPr>
      </w:pPr>
    </w:p>
    <w:p>
      <w:pPr>
        <w:ind w:left="-40" w:right="140" w:firstLine="436"/>
        <w:spacing w:after="0" w:line="342"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23" w:lineRule="exact"/>
        <w:rPr>
          <w:rFonts w:ascii="Arial" w:cs="Arial" w:eastAsia="Arial" w:hAnsi="Arial"/>
          <w:sz w:val="16"/>
          <w:szCs w:val="16"/>
          <w:color w:val="auto"/>
        </w:rPr>
      </w:pPr>
    </w:p>
    <w:p>
      <w:pPr>
        <w:ind w:left="780" w:hanging="384"/>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00" w:firstLine="419"/>
        <w:spacing w:after="0" w:line="277" w:lineRule="auto"/>
        <w:tabs>
          <w:tab w:leader="none" w:pos="116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implied covenants or obligations shall be read into this Indenture against the Trustee.</w:t>
      </w:r>
    </w:p>
    <w:p>
      <w:pPr>
        <w:spacing w:after="0" w:line="62" w:lineRule="exact"/>
        <w:rPr>
          <w:rFonts w:ascii="Arial" w:cs="Arial" w:eastAsia="Arial" w:hAnsi="Arial"/>
          <w:sz w:val="18"/>
          <w:szCs w:val="18"/>
          <w:color w:val="auto"/>
        </w:rPr>
      </w:pPr>
    </w:p>
    <w:p>
      <w:pPr>
        <w:ind w:left="400" w:right="100" w:firstLine="419"/>
        <w:spacing w:after="0" w:line="296" w:lineRule="auto"/>
        <w:tabs>
          <w:tab w:leader="none" w:pos="1219"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61" w:lineRule="exact"/>
        <w:rPr>
          <w:rFonts w:ascii="Arial" w:cs="Arial" w:eastAsia="Arial" w:hAnsi="Arial"/>
          <w:sz w:val="16"/>
          <w:szCs w:val="16"/>
          <w:color w:val="auto"/>
        </w:rPr>
      </w:pPr>
    </w:p>
    <w:p>
      <w:pPr>
        <w:ind w:left="-40" w:right="300" w:firstLine="436"/>
        <w:spacing w:after="0" w:line="277" w:lineRule="auto"/>
        <w:tabs>
          <w:tab w:leader="none" w:pos="7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220" w:hanging="401"/>
        <w:spacing w:after="0"/>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rFonts w:ascii="Arial" w:cs="Arial" w:eastAsia="Arial" w:hAnsi="Arial"/>
          <w:sz w:val="18"/>
          <w:szCs w:val="18"/>
          <w:color w:val="auto"/>
        </w:rPr>
      </w:pPr>
    </w:p>
    <w:p>
      <w:pPr>
        <w:ind w:left="400" w:right="460" w:firstLine="419"/>
        <w:spacing w:after="0" w:line="277" w:lineRule="auto"/>
        <w:tabs>
          <w:tab w:leader="none" w:pos="121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Responsible Officer was negligent in ascertaining the pertinent facts.</w:t>
      </w:r>
    </w:p>
    <w:p>
      <w:pPr>
        <w:spacing w:after="0" w:line="62" w:lineRule="exact"/>
        <w:rPr>
          <w:rFonts w:ascii="Arial" w:cs="Arial" w:eastAsia="Arial" w:hAnsi="Arial"/>
          <w:sz w:val="18"/>
          <w:szCs w:val="18"/>
          <w:color w:val="auto"/>
        </w:rPr>
      </w:pPr>
    </w:p>
    <w:p>
      <w:pPr>
        <w:jc w:val="both"/>
        <w:ind w:left="400" w:right="120" w:firstLine="419"/>
        <w:spacing w:after="0" w:line="279" w:lineRule="auto"/>
        <w:tabs>
          <w:tab w:leader="none" w:pos="1269"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71" w:lineRule="exact"/>
        <w:rPr>
          <w:rFonts w:ascii="Arial" w:cs="Arial" w:eastAsia="Arial" w:hAnsi="Arial"/>
          <w:sz w:val="17"/>
          <w:szCs w:val="17"/>
          <w:color w:val="auto"/>
        </w:rPr>
      </w:pPr>
    </w:p>
    <w:p>
      <w:pPr>
        <w:ind w:left="780" w:hanging="384"/>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this Section and Section 7.2.</w:t>
      </w:r>
    </w:p>
    <w:p>
      <w:pPr>
        <w:spacing w:after="0" w:line="225" w:lineRule="exact"/>
        <w:rPr>
          <w:rFonts w:ascii="Arial" w:cs="Arial" w:eastAsia="Arial" w:hAnsi="Arial"/>
          <w:sz w:val="18"/>
          <w:szCs w:val="18"/>
          <w:color w:val="auto"/>
        </w:rPr>
      </w:pPr>
    </w:p>
    <w:p>
      <w:pPr>
        <w:ind w:left="-40" w:right="140" w:firstLine="436"/>
        <w:spacing w:after="0" w:line="277" w:lineRule="auto"/>
        <w:tabs>
          <w:tab w:leader="none" w:pos="7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security or indemnity satisfactory to it against any loss, liability or expense.</w:t>
      </w:r>
    </w:p>
    <w:p>
      <w:pPr>
        <w:spacing w:after="0" w:line="170" w:lineRule="exact"/>
        <w:rPr>
          <w:rFonts w:ascii="Arial" w:cs="Arial" w:eastAsia="Arial" w:hAnsi="Arial"/>
          <w:sz w:val="18"/>
          <w:szCs w:val="18"/>
          <w:color w:val="auto"/>
        </w:rPr>
      </w:pPr>
    </w:p>
    <w:p>
      <w:pPr>
        <w:ind w:left="760" w:hanging="364"/>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w:t>
      </w:r>
    </w:p>
    <w:p>
      <w:pPr>
        <w:spacing w:after="0" w:line="225" w:lineRule="exact"/>
        <w:rPr>
          <w:rFonts w:ascii="Arial" w:cs="Arial" w:eastAsia="Arial" w:hAnsi="Arial"/>
          <w:sz w:val="18"/>
          <w:szCs w:val="18"/>
          <w:color w:val="auto"/>
        </w:rPr>
      </w:pPr>
    </w:p>
    <w:p>
      <w:pPr>
        <w:ind w:left="-40" w:right="300" w:firstLine="436"/>
        <w:spacing w:after="0" w:line="277" w:lineRule="auto"/>
        <w:tabs>
          <w:tab w:leader="none" w:pos="7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left="-40" w:right="120" w:firstLine="436"/>
        <w:spacing w:after="0" w:line="263" w:lineRule="auto"/>
        <w:tabs>
          <w:tab w:leader="none" w:pos="7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0" w:right="499" w:bottom="1440" w:gutter="0" w:footer="0" w:header="0"/>
        </w:sectPr>
      </w:pPr>
    </w:p>
    <w:bookmarkStart w:id="75" w:name="page76"/>
    <w:bookmarkEnd w:id="75"/>
    <w:p>
      <w:pPr>
        <w:ind w:left="-20" w:right="800" w:firstLine="436"/>
        <w:spacing w:after="0" w:line="342" w:lineRule="auto"/>
        <w:tabs>
          <w:tab w:leader="none" w:pos="767"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the Registrar, the Conversion Agent, any agent and any authenticating agent shall be entitled to the protections, immunities and standard of care as are set forth in paragraphs (b) and (j) of this Section and Section 7.2 with respect to the Trustee.</w:t>
      </w:r>
    </w:p>
    <w:p>
      <w:pPr>
        <w:spacing w:after="0" w:line="123" w:lineRule="exact"/>
        <w:rPr>
          <w:rFonts w:ascii="Arial" w:cs="Arial" w:eastAsia="Arial" w:hAnsi="Arial"/>
          <w:sz w:val="16"/>
          <w:szCs w:val="16"/>
          <w:color w:val="auto"/>
        </w:rPr>
      </w:pPr>
    </w:p>
    <w:p>
      <w:pPr>
        <w:ind w:left="-20" w:right="240" w:firstLine="436"/>
        <w:spacing w:after="0" w:line="342" w:lineRule="auto"/>
        <w:tabs>
          <w:tab w:leader="none" w:pos="76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matters relating to payment) or notice effected by the Company or any Paying Agent, or any records maintained by any Co-Note Registrar with respect to the Notes.</w:t>
      </w:r>
    </w:p>
    <w:p>
      <w:pPr>
        <w:spacing w:after="0" w:line="232"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p>
    <w:p>
      <w:pPr>
        <w:spacing w:after="0" w:line="117" w:lineRule="exact"/>
        <w:rPr>
          <w:sz w:val="20"/>
          <w:szCs w:val="20"/>
          <w:color w:val="auto"/>
        </w:rPr>
      </w:pPr>
    </w:p>
    <w:p>
      <w:pPr>
        <w:ind w:left="-20" w:right="300" w:firstLine="436"/>
        <w:spacing w:after="0" w:line="308" w:lineRule="auto"/>
        <w:tabs>
          <w:tab w:leader="none" w:pos="79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46" w:lineRule="exact"/>
        <w:rPr>
          <w:rFonts w:ascii="Arial" w:cs="Arial" w:eastAsia="Arial" w:hAnsi="Arial"/>
          <w:sz w:val="17"/>
          <w:szCs w:val="17"/>
          <w:color w:val="auto"/>
        </w:rPr>
      </w:pPr>
    </w:p>
    <w:p>
      <w:pPr>
        <w:ind w:left="-20" w:right="60" w:firstLine="436"/>
        <w:spacing w:after="0" w:line="259" w:lineRule="auto"/>
        <w:tabs>
          <w:tab w:leader="none" w:pos="8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86" w:lineRule="exact"/>
        <w:rPr>
          <w:rFonts w:ascii="Arial" w:cs="Arial" w:eastAsia="Arial" w:hAnsi="Arial"/>
          <w:sz w:val="18"/>
          <w:szCs w:val="18"/>
          <w:color w:val="auto"/>
        </w:rPr>
      </w:pPr>
    </w:p>
    <w:p>
      <w:pPr>
        <w:ind w:left="-20" w:right="120" w:firstLine="436"/>
        <w:spacing w:after="0" w:line="342" w:lineRule="auto"/>
        <w:tabs>
          <w:tab w:leader="none" w:pos="79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23" w:lineRule="exact"/>
        <w:rPr>
          <w:rFonts w:ascii="Arial" w:cs="Arial" w:eastAsia="Arial" w:hAnsi="Arial"/>
          <w:sz w:val="16"/>
          <w:szCs w:val="16"/>
          <w:color w:val="auto"/>
        </w:rPr>
      </w:pPr>
    </w:p>
    <w:p>
      <w:pPr>
        <w:jc w:val="both"/>
        <w:ind w:left="-20" w:right="200" w:firstLine="436"/>
        <w:spacing w:after="0" w:line="263" w:lineRule="auto"/>
        <w:tabs>
          <w:tab w:leader="none" w:pos="8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indirect or special loss, punitive or consequential damages, even if they were reasonably foreseeable.</w:t>
      </w:r>
    </w:p>
    <w:p>
      <w:pPr>
        <w:spacing w:after="0" w:line="183" w:lineRule="exact"/>
        <w:rPr>
          <w:rFonts w:ascii="Arial" w:cs="Arial" w:eastAsia="Arial" w:hAnsi="Arial"/>
          <w:sz w:val="18"/>
          <w:szCs w:val="18"/>
          <w:color w:val="auto"/>
        </w:rPr>
      </w:pPr>
    </w:p>
    <w:p>
      <w:pPr>
        <w:ind w:left="-20" w:right="180" w:firstLine="436"/>
        <w:spacing w:after="0" w:line="263" w:lineRule="auto"/>
        <w:tabs>
          <w:tab w:leader="none" w:pos="8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83" w:lineRule="exact"/>
        <w:rPr>
          <w:rFonts w:ascii="Arial" w:cs="Arial" w:eastAsia="Arial" w:hAnsi="Arial"/>
          <w:sz w:val="18"/>
          <w:szCs w:val="18"/>
          <w:color w:val="auto"/>
        </w:rPr>
      </w:pPr>
    </w:p>
    <w:p>
      <w:pPr>
        <w:ind w:left="-20" w:firstLine="436"/>
        <w:spacing w:after="0" w:line="263" w:lineRule="auto"/>
        <w:tabs>
          <w:tab w:leader="none" w:pos="7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183" w:lineRule="exact"/>
        <w:rPr>
          <w:rFonts w:ascii="Arial" w:cs="Arial" w:eastAsia="Arial" w:hAnsi="Arial"/>
          <w:sz w:val="18"/>
          <w:szCs w:val="18"/>
          <w:color w:val="auto"/>
        </w:rPr>
      </w:pPr>
    </w:p>
    <w:p>
      <w:pPr>
        <w:ind w:left="-20" w:right="80" w:firstLine="436"/>
        <w:spacing w:after="0" w:line="286" w:lineRule="auto"/>
        <w:tabs>
          <w:tab w:leader="none" w:pos="80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auto"/>
        </w:rPr>
      </w:pPr>
    </w:p>
    <w:p>
      <w:pPr>
        <w:jc w:val="both"/>
        <w:ind w:left="-20" w:right="200" w:firstLine="436"/>
        <w:spacing w:after="0" w:line="259" w:lineRule="auto"/>
        <w:tabs>
          <w:tab w:leader="none" w:pos="8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 and indicates it is a “notice of default.”</w:t>
      </w:r>
    </w:p>
    <w:p>
      <w:pPr>
        <w:spacing w:after="0" w:line="186" w:lineRule="exact"/>
        <w:rPr>
          <w:rFonts w:ascii="Arial" w:cs="Arial" w:eastAsia="Arial" w:hAnsi="Arial"/>
          <w:sz w:val="18"/>
          <w:szCs w:val="18"/>
          <w:color w:val="auto"/>
        </w:rPr>
      </w:pPr>
    </w:p>
    <w:p>
      <w:pPr>
        <w:ind w:left="-20" w:right="140" w:firstLine="436"/>
        <w:spacing w:after="0" w:line="263" w:lineRule="auto"/>
        <w:tabs>
          <w:tab w:leader="none" w:pos="7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83" w:lineRule="exact"/>
        <w:rPr>
          <w:rFonts w:ascii="Arial" w:cs="Arial" w:eastAsia="Arial" w:hAnsi="Arial"/>
          <w:sz w:val="18"/>
          <w:szCs w:val="18"/>
          <w:color w:val="auto"/>
        </w:rPr>
      </w:pPr>
    </w:p>
    <w:p>
      <w:pPr>
        <w:jc w:val="both"/>
        <w:ind w:left="-20" w:right="40" w:firstLine="436"/>
        <w:spacing w:after="0" w:line="286" w:lineRule="auto"/>
        <w:tabs>
          <w:tab w:leader="none" w:pos="76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60" w:top="274" w:right="479" w:bottom="1440" w:gutter="0" w:footer="0" w:header="0"/>
        </w:sectPr>
      </w:pPr>
    </w:p>
    <w:bookmarkStart w:id="76" w:name="page77"/>
    <w:bookmarkEnd w:id="76"/>
    <w:p>
      <w:pPr>
        <w:ind w:left="820" w:hanging="384"/>
        <w:spacing w:after="0"/>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duty to inquire as to or monitor the performance of the Issuer with respect to the covenants contained in Article IV.</w:t>
      </w:r>
    </w:p>
    <w:p>
      <w:pPr>
        <w:spacing w:after="0" w:line="248" w:lineRule="exact"/>
        <w:rPr>
          <w:rFonts w:ascii="Arial" w:cs="Arial" w:eastAsia="Arial" w:hAnsi="Arial"/>
          <w:sz w:val="16"/>
          <w:szCs w:val="16"/>
          <w:color w:val="auto"/>
        </w:rPr>
      </w:pPr>
    </w:p>
    <w:p>
      <w:pPr>
        <w:ind w:left="780" w:hanging="344"/>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not be required to give any note, bond or surety in respect of the execution of the trusts and powers under this Indenture.</w:t>
      </w:r>
    </w:p>
    <w:p>
      <w:pPr>
        <w:spacing w:after="0" w:line="248" w:lineRule="exact"/>
        <w:rPr>
          <w:rFonts w:ascii="Arial" w:cs="Arial" w:eastAsia="Arial" w:hAnsi="Arial"/>
          <w:sz w:val="16"/>
          <w:szCs w:val="16"/>
          <w:color w:val="auto"/>
        </w:rPr>
      </w:pPr>
    </w:p>
    <w:p>
      <w:pPr>
        <w:ind w:left="880" w:hanging="44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Nothing herein shall be deemed to require the Trustee to submit to the jurisdiction or venue of a non-U.S. court.</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 duty or obligation to do so.</w:t>
      </w:r>
    </w:p>
    <w:p>
      <w:pPr>
        <w:spacing w:after="0" w:line="248" w:lineRule="exact"/>
        <w:rPr>
          <w:rFonts w:ascii="Arial" w:cs="Arial" w:eastAsia="Arial" w:hAnsi="Arial"/>
          <w:sz w:val="16"/>
          <w:szCs w:val="16"/>
          <w:color w:val="auto"/>
        </w:rPr>
      </w:pPr>
    </w:p>
    <w:p>
      <w:pPr>
        <w:ind w:left="820" w:hanging="384"/>
        <w:spacing w:after="0"/>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is not responsible for monitoring the performance of the other persons of the for the failure of others to perform their duties.</w:t>
      </w:r>
    </w:p>
    <w:p>
      <w:pPr>
        <w:spacing w:after="0" w:line="248" w:lineRule="exact"/>
        <w:rPr>
          <w:rFonts w:ascii="Arial" w:cs="Arial" w:eastAsia="Arial" w:hAnsi="Arial"/>
          <w:sz w:val="16"/>
          <w:szCs w:val="16"/>
          <w:color w:val="auto"/>
        </w:rPr>
      </w:pPr>
    </w:p>
    <w:p>
      <w:pPr>
        <w:ind w:left="820" w:hanging="384"/>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333"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Force Majeure.</w:t>
      </w:r>
    </w:p>
    <w:p>
      <w:pPr>
        <w:spacing w:after="0" w:line="117" w:lineRule="exact"/>
        <w:rPr>
          <w:sz w:val="20"/>
          <w:szCs w:val="20"/>
          <w:color w:val="auto"/>
        </w:rPr>
      </w:pPr>
    </w:p>
    <w:p>
      <w:pPr>
        <w:ind w:right="260" w:firstLine="436"/>
        <w:spacing w:after="0" w:line="279" w:lineRule="auto"/>
        <w:tabs>
          <w:tab w:leader="none" w:pos="81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shall have no liability for delays or inability to perform its duties hereunder due to forces majeures,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71" w:lineRule="exact"/>
        <w:rPr>
          <w:rFonts w:ascii="Arial" w:cs="Arial" w:eastAsia="Arial" w:hAnsi="Arial"/>
          <w:sz w:val="17"/>
          <w:szCs w:val="17"/>
          <w:color w:val="auto"/>
        </w:rPr>
      </w:pPr>
    </w:p>
    <w:p>
      <w:pPr>
        <w:ind w:right="140" w:firstLine="436"/>
        <w:spacing w:after="0" w:line="277" w:lineRule="auto"/>
        <w:tabs>
          <w:tab w:leader="none" w:pos="8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27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Individual Rights of Trustee.</w:t>
      </w:r>
    </w:p>
    <w:p>
      <w:pPr>
        <w:spacing w:after="0" w:line="117"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29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Trustee’s Disclaimer.</w:t>
      </w:r>
    </w:p>
    <w:p>
      <w:pPr>
        <w:spacing w:after="0" w:line="117"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23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Notice of Defaults.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actually known to a Responsible Officer of the Trustee, the Trustee shall send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or obtains actual knowledge of such Default or Event of Default. Except in the case of a Default or Event of Default in payment of principal of or interest on any Security of any Series, or in the payment of any sinking fund installment, the Trustee may withhold the notice if and so long as a Responsible Officers in good faith determines that withholding the notice is in the interests of Security Holders of that Series.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7.7</w:t>
      </w:r>
      <w:r>
        <w:rPr>
          <w:sz w:val="20"/>
          <w:szCs w:val="20"/>
          <w:color w:val="auto"/>
        </w:rPr>
        <w:tab/>
      </w:r>
      <w:r>
        <w:rPr>
          <w:rFonts w:ascii="Arial" w:cs="Arial" w:eastAsia="Arial" w:hAnsi="Arial"/>
          <w:sz w:val="16"/>
          <w:szCs w:val="16"/>
          <w:u w:val="single" w:color="auto"/>
          <w:color w:val="auto"/>
        </w:rPr>
        <w:t>Reports by Trustee to Holders.</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Within 60 days after October 15 in each year, the Trustee shall transmit by mail to all Security Holders, as their names and addresses appear on the register kept by the Registrar, a brief report dated as of such October 15, in accordance with, and to the extent required under, TIA § 313.</w:t>
      </w:r>
    </w:p>
    <w:p>
      <w:pPr>
        <w:spacing w:after="0" w:line="124"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A copy of each report at the time of its mailing to Security Holders of any Series shall be filed with the SEC and each stock exchange on which the Securities of that Series are listed. The Company shall promptly notify the Trustee when Securities in writing of any Series are listed on any stock exchange.</w:t>
      </w:r>
    </w:p>
    <w:p>
      <w:pPr>
        <w:spacing w:after="0" w:line="29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Compensation and Indemnity.</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Company shall indemnify and hold harmless each of the Trustee and any predecessor Trustee (including for the cost of defending itself or enforcing this indemnity) against any cost, expense or liability, including taxes (other than taxes based upon, measured by or determined by the income of the Trustee) incurred by it as Trustee or Agent under this Indenture except as set forth in the next paragraph in the performance of its duties or exercise of any rights under this Indenture as Trustee or Agent. The Trustee shall notify the Company promptly of any third party claim for which it may seek indemnity. Failure by the Trustee to so notify the Company shall not relieve the Company of its obligations hereunder. The Company shall defend any third party claim and the Trustee shall cooperate in the defense. The Trustee may have one separate counsel plus local counsel, if applicable,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6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84"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 (d) or (e)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and removal of the Trustee.</w:t>
      </w:r>
    </w:p>
    <w:p>
      <w:pPr>
        <w:spacing w:after="0" w:line="33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Replacement of Trustee.</w:t>
      </w:r>
    </w:p>
    <w:p>
      <w:pPr>
        <w:spacing w:after="0" w:line="11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of the proposed resignation. The Holders of a majority in principal amount of the Securities of any Series may remove the Trustee with respect to that Series by so notifying the Trustee and the Company in writing at least 30 days prior to the date of such removal. The Company may remove the Trustee with respect to Securities of one or more Series if:</w:t>
      </w:r>
    </w:p>
    <w:p>
      <w:pPr>
        <w:spacing w:after="0" w:line="187"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Trustee fails to comply with Section 7.11;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78" w:name="page79"/>
    <w:bookmarkEnd w:id="78"/>
    <w:p>
      <w:pPr>
        <w:ind w:left="820" w:hanging="384"/>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248" w:lineRule="exact"/>
        <w:rPr>
          <w:rFonts w:ascii="Arial" w:cs="Arial" w:eastAsia="Arial" w:hAnsi="Arial"/>
          <w:sz w:val="16"/>
          <w:szCs w:val="16"/>
          <w:color w:val="auto"/>
        </w:rPr>
      </w:pPr>
    </w:p>
    <w:p>
      <w:pPr>
        <w:ind w:left="820" w:hanging="384"/>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 at the Company’s expense.</w:t>
      </w:r>
    </w:p>
    <w:p>
      <w:pPr>
        <w:spacing w:after="0" w:line="28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u w:val="single" w:color="auto"/>
          <w:color w:val="auto"/>
        </w:rPr>
        <w:t>Successor Trustee by Merger, etc.</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278"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color w:val="auto"/>
        </w:rPr>
        <w:t>E</w:t>
      </w:r>
      <w:r>
        <w:rPr>
          <w:rFonts w:ascii="Arial" w:cs="Arial" w:eastAsia="Arial" w:hAnsi="Arial"/>
          <w:sz w:val="17"/>
          <w:szCs w:val="17"/>
          <w:u w:val="single" w:color="auto"/>
          <w:color w:val="auto"/>
        </w:rPr>
        <w:t>ligibility; Disqualification.</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Preferential Collection of Claims Against Company.</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p>
    <w:p>
      <w:pPr>
        <w:spacing w:after="0" w:line="11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79" w:name="page80"/>
    <w:bookmarkEnd w:id="79"/>
    <w:p>
      <w:pPr>
        <w:ind w:left="820" w:hanging="384"/>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2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17" w:lineRule="exact"/>
        <w:rPr>
          <w:rFonts w:ascii="Arial" w:cs="Arial" w:eastAsia="Arial" w:hAnsi="Arial"/>
          <w:sz w:val="18"/>
          <w:szCs w:val="18"/>
          <w:color w:val="auto"/>
        </w:rPr>
      </w:pPr>
    </w:p>
    <w:p>
      <w:pPr>
        <w:ind w:left="1860" w:hanging="472"/>
        <w:spacing w:after="0"/>
        <w:tabs>
          <w:tab w:leader="none" w:pos="18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800" w:hanging="412"/>
        <w:spacing w:after="0"/>
        <w:tabs>
          <w:tab w:leader="none" w:pos="18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440" w:right="460" w:firstLine="948"/>
        <w:spacing w:after="0" w:line="308" w:lineRule="auto"/>
        <w:tabs>
          <w:tab w:leader="none" w:pos="1812" w:val="left"/>
        </w:tabs>
        <w:numPr>
          <w:ilvl w:val="2"/>
          <w:numId w:val="63"/>
        </w:numPr>
        <w:rPr>
          <w:rFonts w:ascii="Arial" w:cs="Arial" w:eastAsia="Arial" w:hAnsi="Arial"/>
          <w:sz w:val="17"/>
          <w:szCs w:val="17"/>
          <w:color w:val="auto"/>
        </w:rPr>
      </w:pPr>
      <w:r>
        <w:rPr>
          <w:rFonts w:ascii="Arial" w:cs="Arial" w:eastAsia="Arial" w:hAnsi="Arial"/>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38" w:lineRule="exact"/>
        <w:rPr>
          <w:rFonts w:ascii="Arial" w:cs="Arial" w:eastAsia="Arial" w:hAnsi="Arial"/>
          <w:sz w:val="17"/>
          <w:szCs w:val="17"/>
          <w:color w:val="auto"/>
        </w:rPr>
      </w:pPr>
    </w:p>
    <w:p>
      <w:pPr>
        <w:ind w:left="1820" w:hanging="432"/>
        <w:spacing w:after="0"/>
        <w:tabs>
          <w:tab w:leader="none" w:pos="18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and the Company, in the case of (A), (B) or (C)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sz w:val="20"/>
          <w:szCs w:val="20"/>
          <w:color w:val="auto"/>
        </w:rPr>
      </w:pPr>
    </w:p>
    <w:p>
      <w:pPr>
        <w:ind w:left="820" w:hanging="384"/>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480" w:firstLine="436"/>
        <w:spacing w:after="0" w:line="277"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23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p>
    <w:p>
      <w:pPr>
        <w:spacing w:after="0" w:line="117" w:lineRule="exact"/>
        <w:rPr>
          <w:sz w:val="20"/>
          <w:szCs w:val="20"/>
          <w:color w:val="auto"/>
        </w:rPr>
      </w:pPr>
    </w:p>
    <w:p>
      <w:pPr>
        <w:ind w:right="180" w:firstLine="436"/>
        <w:spacing w:after="0" w:line="272" w:lineRule="auto"/>
        <w:tabs>
          <w:tab w:leader="none" w:pos="8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77" w:lineRule="exact"/>
        <w:rPr>
          <w:rFonts w:ascii="Arial" w:cs="Arial" w:eastAsia="Arial" w:hAnsi="Arial"/>
          <w:sz w:val="17"/>
          <w:szCs w:val="17"/>
          <w:color w:val="auto"/>
        </w:rPr>
      </w:pPr>
    </w:p>
    <w:p>
      <w:pPr>
        <w:ind w:left="880" w:hanging="444"/>
        <w:spacing w:after="0"/>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shall pay and shall indemnify the Trustee against any tax, fee or other charge imposed on or assessed against U.S.</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Government Obligations or Foreign Government Obligations deposited pursuant to Sections 8.3 or 8.4 or the interest and principal received in respect of such obligations other than any payable by or on behalf of Holders.</w:t>
      </w:r>
    </w:p>
    <w:p>
      <w:pPr>
        <w:spacing w:after="0" w:line="185" w:lineRule="exact"/>
        <w:rPr>
          <w:rFonts w:ascii="Arial" w:cs="Arial" w:eastAsia="Arial" w:hAnsi="Arial"/>
          <w:sz w:val="17"/>
          <w:szCs w:val="17"/>
          <w:color w:val="auto"/>
        </w:rPr>
      </w:pPr>
    </w:p>
    <w:p>
      <w:pPr>
        <w:jc w:val="both"/>
        <w:ind w:right="320" w:firstLine="436"/>
        <w:spacing w:after="0" w:line="263" w:lineRule="auto"/>
        <w:tabs>
          <w:tab w:leader="none" w:pos="8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80" w:name="page81"/>
    <w:bookmarkEnd w:id="80"/>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73"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Unless this Section 8.3 is otherwise specified, pursuant to Section 2.2(t),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88" w:lineRule="exact"/>
        <w:rPr>
          <w:sz w:val="20"/>
          <w:szCs w:val="20"/>
          <w:color w:val="auto"/>
        </w:rPr>
      </w:pPr>
    </w:p>
    <w:p>
      <w:pPr>
        <w:jc w:val="both"/>
        <w:ind w:right="120" w:firstLine="436"/>
        <w:spacing w:after="0" w:line="301" w:lineRule="auto"/>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7" w:lineRule="exact"/>
        <w:rPr>
          <w:rFonts w:ascii="Arial" w:cs="Arial" w:eastAsia="Arial" w:hAnsi="Arial"/>
          <w:sz w:val="16"/>
          <w:szCs w:val="16"/>
          <w:color w:val="auto"/>
        </w:rPr>
      </w:pPr>
    </w:p>
    <w:p>
      <w:pPr>
        <w:ind w:left="820" w:hanging="384"/>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provided that, the following conditions shall have been satisfied:</w:t>
      </w:r>
    </w:p>
    <w:p>
      <w:pPr>
        <w:spacing w:after="0" w:line="225" w:lineRule="exact"/>
        <w:rPr>
          <w:rFonts w:ascii="Arial" w:cs="Arial" w:eastAsia="Arial" w:hAnsi="Arial"/>
          <w:sz w:val="18"/>
          <w:szCs w:val="18"/>
          <w:color w:val="auto"/>
        </w:rPr>
      </w:pPr>
    </w:p>
    <w:p>
      <w:pPr>
        <w:ind w:firstLine="436"/>
        <w:spacing w:after="0" w:line="289" w:lineRule="auto"/>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right="260" w:firstLine="436"/>
        <w:spacing w:after="0" w:line="277"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40" w:firstLine="436"/>
        <w:spacing w:after="0" w:line="277" w:lineRule="auto"/>
        <w:tabs>
          <w:tab w:leader="none" w:pos="8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firstLine="436"/>
        <w:spacing w:after="0" w:line="273" w:lineRule="auto"/>
        <w:tabs>
          <w:tab w:leader="none" w:pos="83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81" w:name="page82"/>
    <w:bookmarkEnd w:id="81"/>
    <w:p>
      <w:pPr>
        <w:ind w:right="20" w:firstLine="436"/>
        <w:spacing w:after="0" w:line="263" w:lineRule="auto"/>
        <w:tabs>
          <w:tab w:leader="none" w:pos="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3" w:lineRule="exact"/>
        <w:rPr>
          <w:rFonts w:ascii="Arial" w:cs="Arial" w:eastAsia="Arial" w:hAnsi="Arial"/>
          <w:sz w:val="18"/>
          <w:szCs w:val="18"/>
          <w:color w:val="auto"/>
        </w:rPr>
      </w:pPr>
    </w:p>
    <w:p>
      <w:pPr>
        <w:ind w:right="20" w:firstLine="436"/>
        <w:spacing w:after="0" w:line="277" w:lineRule="auto"/>
        <w:tabs>
          <w:tab w:leader="none" w:pos="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27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Unless this Section 8.4 is otherwise specified pursuant to Section 2.2(t)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2.2(t)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2.2(r) and designated as an Event of Default shall not constitute a Default or Event of Default hereunder, with respect to the Securities of such Series, provided that the following conditions shall have been satisfied:</w:t>
      </w:r>
    </w:p>
    <w:p>
      <w:pPr>
        <w:spacing w:after="0" w:line="166" w:lineRule="exact"/>
        <w:rPr>
          <w:sz w:val="20"/>
          <w:szCs w:val="20"/>
          <w:color w:val="auto"/>
        </w:rPr>
      </w:pPr>
    </w:p>
    <w:p>
      <w:pPr>
        <w:ind w:right="20" w:firstLine="436"/>
        <w:spacing w:after="0" w:line="289" w:lineRule="auto"/>
        <w:tabs>
          <w:tab w:leader="none" w:pos="81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right="200" w:firstLine="436"/>
        <w:spacing w:after="0" w:line="277" w:lineRule="auto"/>
        <w:tabs>
          <w:tab w:leader="none" w:pos="8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deposit;</w:t>
      </w:r>
    </w:p>
    <w:p>
      <w:pPr>
        <w:spacing w:after="0" w:line="210" w:lineRule="exact"/>
        <w:rPr>
          <w:rFonts w:ascii="Arial" w:cs="Arial" w:eastAsia="Arial" w:hAnsi="Arial"/>
          <w:sz w:val="17"/>
          <w:szCs w:val="17"/>
          <w:color w:val="auto"/>
        </w:rPr>
      </w:pPr>
    </w:p>
    <w:p>
      <w:pPr>
        <w:ind w:right="60" w:firstLine="436"/>
        <w:spacing w:after="0" w:line="259" w:lineRule="auto"/>
        <w:tabs>
          <w:tab w:leader="none" w:pos="8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86" w:lineRule="exact"/>
        <w:rPr>
          <w:rFonts w:ascii="Arial" w:cs="Arial" w:eastAsia="Arial" w:hAnsi="Arial"/>
          <w:sz w:val="18"/>
          <w:szCs w:val="18"/>
          <w:color w:val="auto"/>
        </w:rPr>
      </w:pPr>
    </w:p>
    <w:p>
      <w:pPr>
        <w:ind w:right="40" w:firstLine="436"/>
        <w:spacing w:after="0" w:line="263" w:lineRule="auto"/>
        <w:tabs>
          <w:tab w:leader="none" w:pos="8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3" w:lineRule="exact"/>
        <w:rPr>
          <w:rFonts w:ascii="Arial" w:cs="Arial" w:eastAsia="Arial" w:hAnsi="Arial"/>
          <w:sz w:val="18"/>
          <w:szCs w:val="18"/>
          <w:color w:val="auto"/>
        </w:rPr>
      </w:pPr>
    </w:p>
    <w:p>
      <w:pPr>
        <w:ind w:right="700" w:firstLine="436"/>
        <w:spacing w:after="0" w:line="308" w:lineRule="auto"/>
        <w:tabs>
          <w:tab w:leader="none" w:pos="79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82" w:name="page83"/>
    <w:bookmarkEnd w:id="82"/>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8.5</w:t>
      </w:r>
      <w:r>
        <w:rPr>
          <w:sz w:val="20"/>
          <w:szCs w:val="20"/>
          <w:color w:val="auto"/>
        </w:rPr>
        <w:tab/>
      </w:r>
      <w:r>
        <w:rPr>
          <w:rFonts w:ascii="Arial" w:cs="Arial" w:eastAsia="Arial" w:hAnsi="Arial"/>
          <w:sz w:val="16"/>
          <w:szCs w:val="16"/>
          <w:u w:val="single" w:color="auto"/>
          <w:color w:val="auto"/>
        </w:rPr>
        <w:t>Repayment to Company.</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Subject to any unclaimed property laws, 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SUPPLEMENTAL INDENTURES, AMENDMENTS AND WAIVERS</w:t>
      </w:r>
    </w:p>
    <w:p>
      <w:pPr>
        <w:spacing w:after="0" w:line="2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and the Trustee may amend or supplement this Indenture or the Securities of one or more Series without the consent of any Security Holder:</w:t>
      </w:r>
    </w:p>
    <w:p>
      <w:pPr>
        <w:spacing w:after="0" w:line="170" w:lineRule="exact"/>
        <w:rPr>
          <w:sz w:val="20"/>
          <w:szCs w:val="20"/>
          <w:color w:val="auto"/>
        </w:rPr>
      </w:pPr>
    </w:p>
    <w:p>
      <w:pPr>
        <w:ind w:left="820" w:hanging="3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 Holder;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248" w:lineRule="exact"/>
        <w:rPr>
          <w:rFonts w:ascii="Arial" w:cs="Arial" w:eastAsia="Arial" w:hAnsi="Arial"/>
          <w:sz w:val="16"/>
          <w:szCs w:val="16"/>
          <w:color w:val="auto"/>
        </w:rPr>
      </w:pPr>
    </w:p>
    <w:p>
      <w:pPr>
        <w:jc w:val="both"/>
        <w:ind w:right="320" w:firstLine="436"/>
        <w:spacing w:after="0" w:line="263"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333"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With Consent of Holders.</w:t>
      </w:r>
    </w:p>
    <w:p>
      <w:pPr>
        <w:spacing w:after="0" w:line="117"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and evidence of consent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83" w:name="page84"/>
    <w:bookmarkEnd w:id="83"/>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9.3</w:t>
      </w:r>
      <w:r>
        <w:rPr>
          <w:sz w:val="20"/>
          <w:szCs w:val="20"/>
          <w:color w:val="auto"/>
        </w:rPr>
        <w:tab/>
      </w:r>
      <w:r>
        <w:rPr>
          <w:rFonts w:ascii="Arial" w:cs="Arial" w:eastAsia="Arial" w:hAnsi="Arial"/>
          <w:sz w:val="17"/>
          <w:szCs w:val="17"/>
          <w:u w:val="single" w:color="auto"/>
          <w:color w:val="auto"/>
        </w:rPr>
        <w:t>Limitations.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Without the consent of each Security Holder affected, an amendment or waiver may not:</w:t>
      </w:r>
    </w:p>
    <w:p>
      <w:pPr>
        <w:spacing w:after="0" w:line="225" w:lineRule="exact"/>
        <w:rPr>
          <w:sz w:val="20"/>
          <w:szCs w:val="20"/>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280" w:firstLine="436"/>
        <w:spacing w:after="0" w:line="27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right="100" w:firstLine="436"/>
        <w:spacing w:after="0" w:line="263"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800" w:hanging="364"/>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880" w:hanging="44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333"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Compliance with Trust Indenture Act.</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27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25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color w:val="auto"/>
        </w:rPr>
        <w:t>N</w:t>
      </w:r>
      <w:r>
        <w:rPr>
          <w:rFonts w:ascii="Arial" w:cs="Arial" w:eastAsia="Arial" w:hAnsi="Arial"/>
          <w:sz w:val="16"/>
          <w:szCs w:val="16"/>
          <w:u w:val="single" w:color="auto"/>
          <w:color w:val="auto"/>
        </w:rPr>
        <w:t>otation on or Exchange of Securities.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84" w:name="page85"/>
    <w:bookmarkEnd w:id="84"/>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9.7</w:t>
      </w:r>
      <w:r>
        <w:rPr>
          <w:sz w:val="20"/>
          <w:szCs w:val="20"/>
          <w:color w:val="auto"/>
        </w:rPr>
        <w:tab/>
      </w:r>
      <w:r>
        <w:rPr>
          <w:rFonts w:ascii="Arial" w:cs="Arial" w:eastAsia="Arial" w:hAnsi="Arial"/>
          <w:sz w:val="15"/>
          <w:szCs w:val="15"/>
          <w:u w:val="single" w:color="auto"/>
          <w:color w:val="auto"/>
        </w:rPr>
        <w:t>Trustee Protected.</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(in addition to the matters set forth in Section 10.5), and Officers’ Certificate and an Opinion of Counsel stating that the execution of such supplemental indenture is authorized or permitted by this Indenture. The opinion of counsel shall also state that the supplemental indenture constitutes the legal, valid and binding obligation of the Company. The Trustee shall sign all supplemental indentures, except that the Trustee need not sign any supplemental indenture that adversely affects its rights, duties, liabilities or immunities under this Indenture.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p>
    <w:p>
      <w:pPr>
        <w:spacing w:after="0" w:line="11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Hong Kong S.A.R., People’s Republic of China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+852 3700 9000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Jian Tang,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980"/>
        <w:spacing w:after="0"/>
        <w:tabs>
          <w:tab w:leader="none" w:pos="120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6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 Holder receives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mails a notice or communication to Security Holders, it shall mail a copy to the Trustee and each Agent at the same time.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10.3</w:t>
      </w:r>
      <w:r>
        <w:rPr>
          <w:sz w:val="20"/>
          <w:szCs w:val="20"/>
          <w:color w:val="auto"/>
        </w:rPr>
        <w:tab/>
      </w:r>
      <w:r>
        <w:rPr>
          <w:rFonts w:ascii="Arial" w:cs="Arial" w:eastAsia="Arial" w:hAnsi="Arial"/>
          <w:sz w:val="16"/>
          <w:szCs w:val="16"/>
          <w:u w:val="single" w:color="auto"/>
          <w:color w:val="auto"/>
        </w:rPr>
        <w:t>Communication by Holders with Other Holders.</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right="240" w:firstLine="436"/>
        <w:spacing w:after="0" w:line="277" w:lineRule="auto"/>
        <w:tabs>
          <w:tab w:leader="none" w:pos="8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33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Statements Required in Certificate or Opinion.</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820" w:hanging="384"/>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400" w:firstLine="436"/>
        <w:spacing w:after="0" w:line="277" w:lineRule="auto"/>
        <w:tabs>
          <w:tab w:leader="none" w:pos="8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300" w:firstLine="436"/>
        <w:spacing w:after="0" w:line="27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880" w:hanging="44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33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 Holders of one or more Series. Any Agent may make reasonable rules and set reasonable requirements for its functions.</w:t>
      </w:r>
    </w:p>
    <w:p>
      <w:pPr>
        <w:spacing w:after="0" w:line="2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p>
    <w:p>
      <w:pPr>
        <w:spacing w:after="0" w:line="11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86" w:name="page87"/>
    <w:bookmarkEnd w:id="86"/>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10.9</w:t>
      </w:r>
      <w:r>
        <w:rPr>
          <w:sz w:val="20"/>
          <w:szCs w:val="20"/>
          <w:color w:val="auto"/>
        </w:rPr>
        <w:tab/>
      </w:r>
      <w:r>
        <w:rPr>
          <w:rFonts w:ascii="Arial" w:cs="Arial" w:eastAsia="Arial" w:hAnsi="Arial"/>
          <w:sz w:val="16"/>
          <w:szCs w:val="16"/>
          <w:u w:val="single" w:color="auto"/>
          <w:color w:val="auto"/>
        </w:rPr>
        <w:t>Counterparts.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Laws; Waiver of Jury Trial; Jurisdiction</w:t>
      </w:r>
    </w:p>
    <w:p>
      <w:pPr>
        <w:spacing w:after="0" w:line="113"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286"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color w:val="auto"/>
        </w:rPr>
        <w:t>S</w:t>
      </w:r>
      <w:r>
        <w:rPr>
          <w:rFonts w:ascii="Arial" w:cs="Arial" w:eastAsia="Arial" w:hAnsi="Arial"/>
          <w:sz w:val="15"/>
          <w:szCs w:val="15"/>
          <w:u w:val="single" w:color="auto"/>
          <w:color w:val="auto"/>
        </w:rPr>
        <w:t>uccessors.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p>
    <w:p>
      <w:pPr>
        <w:spacing w:after="0" w:line="11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87" w:name="page88"/>
    <w:bookmarkEnd w:id="87"/>
    <w:p>
      <w:pPr>
        <w:ind w:left="44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10.15</w:t>
      </w:r>
      <w:r>
        <w:rPr>
          <w:sz w:val="20"/>
          <w:szCs w:val="20"/>
          <w:color w:val="auto"/>
        </w:rPr>
        <w:tab/>
      </w:r>
      <w:r>
        <w:rPr>
          <w:rFonts w:ascii="Arial" w:cs="Arial" w:eastAsia="Arial" w:hAnsi="Arial"/>
          <w:sz w:val="16"/>
          <w:szCs w:val="16"/>
          <w:u w:val="single" w:color="auto"/>
          <w:color w:val="auto"/>
        </w:rPr>
        <w:t>Securities in a Foreign Currency or in ECU.</w:t>
      </w:r>
    </w:p>
    <w:p>
      <w:pPr>
        <w:spacing w:after="0" w:line="11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U.S.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Paying Agent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Paying Agent, upon consultation with the Company, shall deem appropriate. The provisions of this paragraph shall apply in determining the equivalent principal amount in respect of Securities of a Series denominated in currency other than U.S. Dollars in connection with any action taken by Holders of Securities pursuant to the terms of this Indenture.</w:t>
      </w:r>
    </w:p>
    <w:p>
      <w:pPr>
        <w:spacing w:after="0" w:line="17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All decisions and determinations of the Paying Agent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292"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88" w:name="page89"/>
    <w:bookmarkEnd w:id="88"/>
    <w:p>
      <w:pPr>
        <w:ind w:left="440"/>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11.2</w:t>
      </w:r>
      <w:r>
        <w:rPr>
          <w:sz w:val="20"/>
          <w:szCs w:val="20"/>
          <w:color w:val="auto"/>
        </w:rPr>
        <w:tab/>
      </w:r>
      <w:r>
        <w:rPr>
          <w:rFonts w:ascii="Arial" w:cs="Arial" w:eastAsia="Arial" w:hAnsi="Arial"/>
          <w:sz w:val="16"/>
          <w:szCs w:val="16"/>
          <w:u w:val="single" w:color="auto"/>
          <w:color w:val="auto"/>
        </w:rPr>
        <w:t>Satisfaction of Sinking Fund Payments with Securities.</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288"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(which shall be prepared by the Company)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tabs>
          <w:tab w:leader="none" w:pos="640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[Signature Page to Indenture]</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680"/>
          </w:cols>
          <w:pgMar w:left="880" w:top="274" w:right="1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5777865</wp:posOffset>
            </wp:positionH>
            <wp:positionV relativeFrom="paragraph">
              <wp:posOffset>171450</wp:posOffset>
            </wp:positionV>
            <wp:extent cx="1217295" cy="745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2172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+852 2801 6066</w:t>
      </w:r>
    </w:p>
    <w:p>
      <w:pPr>
        <w:spacing w:after="0" w:line="27" w:lineRule="exact"/>
        <w:rPr>
          <w:sz w:val="20"/>
          <w:szCs w:val="20"/>
          <w:color w:val="auto"/>
        </w:rPr>
      </w:pPr>
    </w:p>
    <w:p>
      <w:pPr>
        <w:ind w:left="4"/>
        <w:spacing w:after="0"/>
        <w:tabs>
          <w:tab w:leader="none" w:pos="764" w:val="left"/>
        </w:tabs>
        <w:rPr>
          <w:sz w:val="20"/>
          <w:szCs w:val="20"/>
          <w:color w:val="auto"/>
        </w:rPr>
      </w:pPr>
      <w:r>
        <w:rPr>
          <w:rFonts w:ascii="Arial" w:cs="Arial" w:eastAsia="Arial" w:hAnsi="Arial"/>
          <w:sz w:val="18"/>
          <w:szCs w:val="18"/>
          <w:b w:val="1"/>
          <w:bCs w:val="1"/>
          <w:color w:val="auto"/>
        </w:rPr>
        <w:t>Mobile:</w:t>
      </w:r>
      <w:r>
        <w:rPr>
          <w:sz w:val="20"/>
          <w:szCs w:val="20"/>
          <w:color w:val="auto"/>
        </w:rPr>
        <w:tab/>
      </w:r>
      <w:r>
        <w:rPr>
          <w:rFonts w:ascii="Arial" w:cs="Arial" w:eastAsia="Arial" w:hAnsi="Arial"/>
          <w:sz w:val="16"/>
          <w:szCs w:val="16"/>
          <w:color w:val="auto"/>
        </w:rPr>
        <w:t>+852 9718 8740</w:t>
      </w:r>
    </w:p>
    <w:p>
      <w:pPr>
        <w:spacing w:after="0" w:line="9" w:lineRule="exact"/>
        <w:rPr>
          <w:sz w:val="20"/>
          <w:szCs w:val="20"/>
          <w:color w:val="auto"/>
        </w:rPr>
      </w:pPr>
    </w:p>
    <w:p>
      <w:pPr>
        <w:ind w:left="4"/>
        <w:spacing w:after="0"/>
        <w:tabs>
          <w:tab w:leader="none" w:pos="764"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rthorp@tta.lawyer</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iClick Interactive Asia Group Limited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ind w:left="10064"/>
        <w:spacing w:after="0"/>
        <w:rPr>
          <w:sz w:val="20"/>
          <w:szCs w:val="20"/>
          <w:color w:val="auto"/>
        </w:rPr>
      </w:pPr>
      <w:r>
        <w:rPr>
          <w:rFonts w:ascii="Arial" w:cs="Arial" w:eastAsia="Arial" w:hAnsi="Arial"/>
          <w:sz w:val="15"/>
          <w:szCs w:val="15"/>
          <w:color w:val="auto"/>
        </w:rPr>
        <w:t>25 June 2021</w:t>
      </w: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iClick Interactive Asia Group Limited – F-3</w:t>
      </w:r>
    </w:p>
    <w:p>
      <w:pPr>
        <w:spacing w:after="0" w:line="225" w:lineRule="exact"/>
        <w:rPr>
          <w:sz w:val="20"/>
          <w:szCs w:val="20"/>
          <w:color w:val="auto"/>
        </w:rPr>
      </w:pPr>
    </w:p>
    <w:p>
      <w:pPr>
        <w:ind w:left="4" w:right="100"/>
        <w:spacing w:after="0" w:line="256" w:lineRule="auto"/>
        <w:rPr>
          <w:sz w:val="20"/>
          <w:szCs w:val="20"/>
          <w:color w:val="auto"/>
        </w:rPr>
      </w:pPr>
      <w:r>
        <w:rPr>
          <w:rFonts w:ascii="Arial" w:cs="Arial" w:eastAsia="Arial" w:hAnsi="Arial"/>
          <w:sz w:val="18"/>
          <w:szCs w:val="18"/>
          <w:color w:val="auto"/>
        </w:rPr>
        <w:t>We have acted as Cayman Islands legal advisers to iClick Interactive Asia Group Limited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U.S. Securities Act of 1933, as amended to date, relating to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Company of (i) its Class A ordinary shares of a nominal or par value of US$0.001 each (the “</w:t>
      </w:r>
      <w:r>
        <w:rPr>
          <w:rFonts w:ascii="Arial" w:cs="Arial" w:eastAsia="Arial" w:hAnsi="Arial"/>
          <w:sz w:val="18"/>
          <w:szCs w:val="18"/>
          <w:b w:val="1"/>
          <w:bCs w:val="1"/>
          <w:color w:val="auto"/>
        </w:rPr>
        <w:t>Shares</w:t>
      </w:r>
      <w:r>
        <w:rPr>
          <w:rFonts w:ascii="Arial" w:cs="Arial" w:eastAsia="Arial" w:hAnsi="Arial"/>
          <w:sz w:val="18"/>
          <w:szCs w:val="18"/>
          <w:color w:val="auto"/>
        </w:rPr>
        <w:t>”), including in the form of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(ii) debt securities of the Company (the “Debt Securities”), or (iii) warrants to subscribe for Shares (the “Warrants”), from time to time.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furnishing this opinion as Exhibit 5.1 and 23.2 to the Registration Statement.</w:t>
      </w:r>
    </w:p>
    <w:p>
      <w:pPr>
        <w:spacing w:after="0" w:line="370" w:lineRule="exact"/>
        <w:rPr>
          <w:sz w:val="20"/>
          <w:szCs w:val="20"/>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dated 3 February 2010;</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Ninth Amended and Restated Memorandum and Articles of Association of the Company as adopted by special resolution passed on</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19 December 2018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1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written resolutions of the directors of the Company dated 18 June 2021 (the “</w:t>
      </w:r>
      <w:r>
        <w:rPr>
          <w:rFonts w:ascii="Arial" w:cs="Arial" w:eastAsia="Arial" w:hAnsi="Arial"/>
          <w:sz w:val="16"/>
          <w:szCs w:val="16"/>
          <w:b w:val="1"/>
          <w:bCs w:val="1"/>
          <w:color w:val="auto"/>
        </w:rPr>
        <w:t>Directors’ Resolutions</w:t>
      </w:r>
      <w:r>
        <w:rPr>
          <w:rFonts w:ascii="Arial" w:cs="Arial" w:eastAsia="Arial" w:hAnsi="Arial"/>
          <w:sz w:val="16"/>
          <w:szCs w:val="16"/>
          <w:color w:val="auto"/>
        </w:rPr>
        <w:t>”);</w:t>
      </w:r>
    </w:p>
    <w:p>
      <w:pPr>
        <w:spacing w:after="0" w:line="131" w:lineRule="exact"/>
        <w:rPr>
          <w:sz w:val="20"/>
          <w:szCs w:val="20"/>
          <w:color w:val="auto"/>
        </w:rPr>
      </w:pPr>
    </w:p>
    <w:p>
      <w:pPr>
        <w:ind w:left="424" w:right="700" w:hanging="431"/>
        <w:spacing w:after="0" w:line="282" w:lineRule="auto"/>
        <w:tabs>
          <w:tab w:leader="none" w:pos="404" w:val="left"/>
        </w:tabs>
        <w:rPr>
          <w:sz w:val="20"/>
          <w:szCs w:val="20"/>
          <w:color w:val="auto"/>
        </w:rPr>
      </w:pPr>
      <w:r>
        <w:rPr>
          <w:rFonts w:ascii="Arial" w:cs="Arial" w:eastAsia="Arial" w:hAnsi="Arial"/>
          <w:sz w:val="18"/>
          <w:szCs w:val="18"/>
          <w:color w:val="auto"/>
        </w:rPr>
        <w:t>1.4</w:t>
        <w:tab/>
        <w:t>a certificate of good standing dated 11 June 2021,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Registration Statement; and</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prospectus forming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109220</wp:posOffset>
            </wp:positionV>
            <wp:extent cx="1851660" cy="5829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851660" cy="58293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91" w:name="page92"/>
    <w:bookmarkEnd w:id="91"/>
    <w:p>
      <w:pPr>
        <w:ind w:left="424" w:hanging="424"/>
        <w:spacing w:after="0"/>
        <w:tabs>
          <w:tab w:leader="none" w:pos="42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Assumptions</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following assumptions, which we have not independently verified:</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copy documents or drafts of documents provided to us are true and complete copies of, or in the final forms of, the originals;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genuineness of all signatures and seals; and</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370"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76"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Company has been duly incorporated as an exempted company with limited liability for an unlimited duration and is validly existing and in good standing under the laws of the Cayman Islands.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is US$100,000 divided into 100,000,000 shares of a nominal or par value of US$0.001, of which</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7"/>
          <w:szCs w:val="17"/>
          <w:color w:val="auto"/>
        </w:rPr>
        <w:t>80,000,000 shares are designated as Class A ordinary shares and 20,000,000 shares shall be designated as Class B ordinary shares.</w:t>
      </w:r>
    </w:p>
    <w:p>
      <w:pPr>
        <w:spacing w:after="0" w:line="128" w:lineRule="exact"/>
        <w:rPr>
          <w:sz w:val="20"/>
          <w:szCs w:val="20"/>
          <w:color w:val="auto"/>
        </w:rPr>
      </w:pPr>
    </w:p>
    <w:p>
      <w:pPr>
        <w:ind w:left="424" w:right="80" w:hanging="431"/>
        <w:spacing w:after="0" w:line="263" w:lineRule="auto"/>
        <w:tabs>
          <w:tab w:leader="none" w:pos="404" w:val="left"/>
        </w:tabs>
        <w:rPr>
          <w:sz w:val="20"/>
          <w:szCs w:val="20"/>
          <w:color w:val="auto"/>
        </w:rPr>
      </w:pPr>
      <w:r>
        <w:rPr>
          <w:rFonts w:ascii="Arial" w:cs="Arial" w:eastAsia="Arial" w:hAnsi="Arial"/>
          <w:sz w:val="18"/>
          <w:szCs w:val="18"/>
          <w:color w:val="auto"/>
        </w:rPr>
        <w:t>3.3</w:t>
        <w:tab/>
        <w:t>The issue and allotment of the Shares pursuant to the Offering has been duly authorised and when allotted, issued and paid for as contemplated in the Registration Statement and entered in the register of members (shareholders), the Shares will be legally issued and allotted, fully paid and non-assessable.</w:t>
      </w:r>
    </w:p>
    <w:p>
      <w:pPr>
        <w:spacing w:after="0" w:line="89" w:lineRule="exact"/>
        <w:rPr>
          <w:sz w:val="20"/>
          <w:szCs w:val="20"/>
          <w:color w:val="auto"/>
        </w:rPr>
      </w:pPr>
    </w:p>
    <w:p>
      <w:pPr>
        <w:ind w:left="424" w:right="60" w:hanging="431"/>
        <w:spacing w:after="0" w:line="308" w:lineRule="auto"/>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Upon the due issuance of (a) Debt Securities, or (b) Warrants, and payment of the consideration therefor, such Debt Securities or Warrants will be validly issued and will constitute valid and binding obligations of the Company in accordance with the terms thereof.</w:t>
      </w:r>
    </w:p>
    <w:p>
      <w:pPr>
        <w:spacing w:after="0" w:line="52" w:lineRule="exact"/>
        <w:rPr>
          <w:sz w:val="20"/>
          <w:szCs w:val="20"/>
          <w:color w:val="auto"/>
        </w:rPr>
      </w:pPr>
    </w:p>
    <w:p>
      <w:pPr>
        <w:ind w:left="424" w:right="580" w:hanging="431"/>
        <w:spacing w:after="0" w:line="308" w:lineRule="auto"/>
        <w:tabs>
          <w:tab w:leader="none" w:pos="40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291"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4"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Under the Companies Act (Revised) of the Cayman Islands, the register of members of a Cayman Islands company is by statute regarded as prima facie evidence of any matters which the Companies Act (Revised) directs or authorises to be inserted therein. A third party interest in the shares in question would not appear. An entry in the register of members may yield to a court order for rectification (for example, in the event of fraud or manifest error).</w:t>
      </w:r>
    </w:p>
    <w:p>
      <w:pPr>
        <w:sectPr>
          <w:pgSz w:w="11900" w:h="16838" w:orient="portrait"/>
          <w:cols w:equalWidth="0" w:num="1">
            <w:col w:w="10984"/>
          </w:cols>
          <w:pgMar w:left="436" w:top="270" w:right="479" w:bottom="1440" w:gutter="0" w:footer="0" w:header="0"/>
        </w:sectPr>
      </w:pPr>
    </w:p>
    <w:bookmarkStart w:id="92" w:name="page93"/>
    <w:bookmarkEnd w:id="9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opinion, the phrase “non-assessable” means, with respect to Shares,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TRAVERS THORP ALBERGA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ectPr>
          <w:pgSz w:w="11900" w:h="16838" w:orient="portrait"/>
          <w:cols w:equalWidth="0" w:num="1">
            <w:col w:w="10960"/>
          </w:cols>
          <w:pgMar w:left="440" w:top="274" w:right="499" w:bottom="1440" w:gutter="0" w:footer="0" w:header="0"/>
        </w:sectPr>
      </w:pPr>
    </w:p>
    <w:bookmarkStart w:id="93" w:name="page94"/>
    <w:bookmarkEnd w:id="93"/>
    <w:tbl>
      <w:tblPr>
        <w:tblLayout w:type="fixed"/>
        <w:tblInd w:w="30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720" w:type="dxa"/>
            <w:vAlign w:val="bottom"/>
          </w:tcPr>
          <w:p>
            <w:pPr>
              <w:ind w:left="1880"/>
              <w:spacing w:after="0"/>
              <w:rPr>
                <w:sz w:val="20"/>
                <w:szCs w:val="20"/>
                <w:color w:val="auto"/>
              </w:rPr>
            </w:pPr>
            <w:r>
              <w:rPr>
                <w:rFonts w:ascii="Arial" w:cs="Arial" w:eastAsia="Arial" w:hAnsi="Arial"/>
                <w:sz w:val="18"/>
                <w:szCs w:val="18"/>
                <w:b w:val="1"/>
                <w:bCs w:val="1"/>
                <w:color w:val="auto"/>
                <w:w w:val="91"/>
              </w:rPr>
              <w:t>Exhibit 5.2</w:t>
            </w:r>
          </w:p>
        </w:tc>
        <w:tc>
          <w:tcPr>
            <w:tcW w:w="0" w:type="dxa"/>
            <w:vAlign w:val="bottom"/>
          </w:tcPr>
          <w:p>
            <w:pPr>
              <w:spacing w:after="0"/>
              <w:rPr>
                <w:sz w:val="1"/>
                <w:szCs w:val="1"/>
                <w:color w:val="auto"/>
              </w:rPr>
            </w:pPr>
          </w:p>
        </w:tc>
      </w:tr>
      <w:tr>
        <w:trPr>
          <w:trHeight w:val="405"/>
        </w:trPr>
        <w:tc>
          <w:tcPr>
            <w:tcW w:w="5240" w:type="dxa"/>
            <w:vAlign w:val="bottom"/>
          </w:tcPr>
          <w:p>
            <w:pPr>
              <w:jc w:val="center"/>
              <w:ind w:right="114"/>
              <w:spacing w:after="0"/>
              <w:rPr>
                <w:sz w:val="20"/>
                <w:szCs w:val="20"/>
                <w:color w:val="auto"/>
              </w:rPr>
            </w:pPr>
            <w:r>
              <w:rPr>
                <w:rFonts w:ascii="Arial" w:cs="Arial" w:eastAsia="Arial" w:hAnsi="Arial"/>
                <w:sz w:val="18"/>
                <w:szCs w:val="18"/>
                <w:b w:val="1"/>
                <w:bCs w:val="1"/>
                <w:color w:val="auto"/>
              </w:rPr>
              <w:t>CLEARLY GOTTLIEB STEEN &amp; HAMILTON (HONG KONG)</w:t>
            </w:r>
          </w:p>
        </w:tc>
        <w:tc>
          <w:tcPr>
            <w:tcW w:w="2720" w:type="dxa"/>
            <w:vAlign w:val="bottom"/>
          </w:tcPr>
          <w:p>
            <w:pPr>
              <w:ind w:left="180"/>
              <w:spacing w:after="0"/>
              <w:rPr>
                <w:sz w:val="20"/>
                <w:szCs w:val="20"/>
                <w:color w:val="auto"/>
              </w:rPr>
            </w:pPr>
            <w:r>
              <w:rPr>
                <w:rFonts w:ascii="Arial" w:cs="Arial" w:eastAsia="Arial" w:hAnsi="Arial"/>
                <w:sz w:val="14"/>
                <w:szCs w:val="14"/>
                <w:color w:val="auto"/>
              </w:rPr>
              <w:t>FREEMAN CHAN</w:t>
            </w:r>
          </w:p>
        </w:tc>
        <w:tc>
          <w:tcPr>
            <w:tcW w:w="0" w:type="dxa"/>
            <w:vAlign w:val="bottom"/>
          </w:tcPr>
          <w:p>
            <w:pPr>
              <w:spacing w:after="0"/>
              <w:rPr>
                <w:sz w:val="1"/>
                <w:szCs w:val="1"/>
                <w:color w:val="auto"/>
              </w:rPr>
            </w:pPr>
          </w:p>
        </w:tc>
      </w:tr>
      <w:tr>
        <w:trPr>
          <w:trHeight w:val="116"/>
        </w:trPr>
        <w:tc>
          <w:tcPr>
            <w:tcW w:w="5240" w:type="dxa"/>
            <w:vAlign w:val="bottom"/>
            <w:vMerge w:val="restart"/>
          </w:tcPr>
          <w:p>
            <w:pPr>
              <w:jc w:val="center"/>
              <w:ind w:right="134"/>
              <w:spacing w:after="0" w:line="219" w:lineRule="exact"/>
              <w:rPr>
                <w:sz w:val="20"/>
                <w:szCs w:val="20"/>
                <w:color w:val="auto"/>
              </w:rPr>
            </w:pPr>
            <w:r>
              <w:rPr>
                <w:rFonts w:ascii="PMingLiU" w:cs="PMingLiU" w:eastAsia="PMingLiU" w:hAnsi="PMingLiU"/>
                <w:sz w:val="18"/>
                <w:szCs w:val="18"/>
                <w:color w:val="auto"/>
                <w:w w:val="97"/>
              </w:rPr>
              <w:t>佳利</w:t>
            </w:r>
            <w:r>
              <w:rPr>
                <w:rFonts w:ascii="Arial" w:cs="Arial" w:eastAsia="Arial" w:hAnsi="Arial"/>
                <w:sz w:val="18"/>
                <w:szCs w:val="18"/>
                <w:b w:val="1"/>
                <w:bCs w:val="1"/>
                <w:color w:val="auto"/>
                <w:w w:val="97"/>
              </w:rPr>
              <w:t>(</w:t>
            </w:r>
            <w:r>
              <w:rPr>
                <w:rFonts w:ascii="PMingLiU" w:cs="PMingLiU" w:eastAsia="PMingLiU" w:hAnsi="PMingLiU"/>
                <w:sz w:val="18"/>
                <w:szCs w:val="18"/>
                <w:color w:val="auto"/>
                <w:w w:val="97"/>
              </w:rPr>
              <w:t>香港</w:t>
            </w:r>
            <w:r>
              <w:rPr>
                <w:rFonts w:ascii="Arial" w:cs="Arial" w:eastAsia="Arial" w:hAnsi="Arial"/>
                <w:sz w:val="18"/>
                <w:szCs w:val="18"/>
                <w:b w:val="1"/>
                <w:bCs w:val="1"/>
                <w:color w:val="auto"/>
                <w:w w:val="97"/>
              </w:rPr>
              <w:t>)</w:t>
            </w:r>
            <w:r>
              <w:rPr>
                <w:rFonts w:ascii="PMingLiU" w:cs="PMingLiU" w:eastAsia="PMingLiU" w:hAnsi="PMingLiU"/>
                <w:sz w:val="18"/>
                <w:szCs w:val="18"/>
                <w:color w:val="auto"/>
                <w:w w:val="97"/>
              </w:rPr>
              <w:t>律師事務所</w:t>
            </w:r>
          </w:p>
        </w:tc>
        <w:tc>
          <w:tcPr>
            <w:tcW w:w="2720" w:type="dxa"/>
            <w:vAlign w:val="bottom"/>
          </w:tcPr>
          <w:p>
            <w:pPr>
              <w:ind w:left="180"/>
              <w:spacing w:after="0" w:line="116" w:lineRule="exact"/>
              <w:rPr>
                <w:sz w:val="20"/>
                <w:szCs w:val="20"/>
                <w:color w:val="auto"/>
              </w:rPr>
            </w:pPr>
            <w:r>
              <w:rPr>
                <w:rFonts w:ascii="Arial" w:cs="Arial" w:eastAsia="Arial" w:hAnsi="Arial"/>
                <w:sz w:val="13"/>
                <w:szCs w:val="13"/>
                <w:color w:val="auto"/>
              </w:rPr>
              <w:t>SHUANG ZHAO</w:t>
            </w:r>
          </w:p>
        </w:tc>
        <w:tc>
          <w:tcPr>
            <w:tcW w:w="0" w:type="dxa"/>
            <w:vAlign w:val="bottom"/>
          </w:tcPr>
          <w:p>
            <w:pPr>
              <w:spacing w:after="0"/>
              <w:rPr>
                <w:sz w:val="1"/>
                <w:szCs w:val="1"/>
                <w:color w:val="auto"/>
              </w:rPr>
            </w:pPr>
          </w:p>
        </w:tc>
      </w:tr>
      <w:tr>
        <w:trPr>
          <w:trHeight w:val="144"/>
        </w:trPr>
        <w:tc>
          <w:tcPr>
            <w:tcW w:w="5240" w:type="dxa"/>
            <w:vAlign w:val="bottom"/>
            <w:vMerge w:val="continue"/>
          </w:tcPr>
          <w:p>
            <w:pPr>
              <w:spacing w:after="0"/>
              <w:rPr>
                <w:sz w:val="12"/>
                <w:szCs w:val="12"/>
                <w:color w:val="auto"/>
              </w:rPr>
            </w:pPr>
          </w:p>
        </w:tc>
        <w:tc>
          <w:tcPr>
            <w:tcW w:w="2720" w:type="dxa"/>
            <w:vAlign w:val="bottom"/>
          </w:tcPr>
          <w:p>
            <w:pPr>
              <w:ind w:left="180"/>
              <w:spacing w:after="0" w:line="145" w:lineRule="exact"/>
              <w:rPr>
                <w:sz w:val="20"/>
                <w:szCs w:val="20"/>
                <w:color w:val="auto"/>
              </w:rPr>
            </w:pPr>
            <w:r>
              <w:rPr>
                <w:rFonts w:ascii="Arial" w:cs="Arial" w:eastAsia="Arial" w:hAnsi="Arial"/>
                <w:sz w:val="14"/>
                <w:szCs w:val="14"/>
                <w:color w:val="auto"/>
              </w:rPr>
              <w:t>DENISE SHIU</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720" w:type="dxa"/>
            <w:vAlign w:val="bottom"/>
          </w:tcPr>
          <w:p>
            <w:pPr>
              <w:ind w:left="26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295"/>
        </w:trPr>
        <w:tc>
          <w:tcPr>
            <w:tcW w:w="5240" w:type="dxa"/>
            <w:vAlign w:val="bottom"/>
          </w:tcPr>
          <w:p>
            <w:pPr>
              <w:jc w:val="center"/>
              <w:ind w:right="134"/>
              <w:spacing w:after="0"/>
              <w:rPr>
                <w:sz w:val="20"/>
                <w:szCs w:val="20"/>
                <w:color w:val="auto"/>
              </w:rPr>
            </w:pPr>
            <w:r>
              <w:rPr>
                <w:rFonts w:ascii="Arial" w:cs="Arial" w:eastAsia="Arial" w:hAnsi="Arial"/>
                <w:sz w:val="18"/>
                <w:szCs w:val="18"/>
                <w:color w:val="auto"/>
                <w:w w:val="90"/>
              </w:rPr>
              <w:t>Hysan Place, 37th Floor</w:t>
            </w:r>
          </w:p>
        </w:tc>
        <w:tc>
          <w:tcPr>
            <w:tcW w:w="2720" w:type="dxa"/>
            <w:vAlign w:val="bottom"/>
            <w:vMerge w:val="restart"/>
          </w:tcPr>
          <w:p>
            <w:pPr>
              <w:ind w:left="180"/>
              <w:spacing w:after="0"/>
              <w:rPr>
                <w:sz w:val="20"/>
                <w:szCs w:val="20"/>
                <w:color w:val="auto"/>
              </w:rPr>
            </w:pPr>
            <w:r>
              <w:rPr>
                <w:rFonts w:ascii="Arial" w:cs="Arial" w:eastAsia="Arial" w:hAnsi="Arial"/>
                <w:sz w:val="14"/>
                <w:szCs w:val="14"/>
                <w:color w:val="auto"/>
              </w:rPr>
              <w:t>CHRIS CHURL-MIN LEE</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59"/>
        </w:trPr>
        <w:tc>
          <w:tcPr>
            <w:tcW w:w="5240" w:type="dxa"/>
            <w:vAlign w:val="bottom"/>
            <w:vMerge w:val="restart"/>
          </w:tcPr>
          <w:p>
            <w:pPr>
              <w:jc w:val="center"/>
              <w:ind w:right="134"/>
              <w:spacing w:after="0"/>
              <w:rPr>
                <w:sz w:val="20"/>
                <w:szCs w:val="20"/>
                <w:color w:val="auto"/>
              </w:rPr>
            </w:pPr>
            <w:r>
              <w:rPr>
                <w:rFonts w:ascii="Arial" w:cs="Arial" w:eastAsia="Arial" w:hAnsi="Arial"/>
                <w:sz w:val="18"/>
                <w:szCs w:val="18"/>
                <w:color w:val="auto"/>
                <w:w w:val="89"/>
              </w:rPr>
              <w:t>500 Hennessy Road, Causeway Bay</w:t>
            </w:r>
          </w:p>
        </w:tc>
        <w:tc>
          <w:tcPr>
            <w:tcW w:w="2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240" w:type="dxa"/>
            <w:vAlign w:val="bottom"/>
            <w:vMerge w:val="continue"/>
          </w:tcPr>
          <w:p>
            <w:pPr>
              <w:spacing w:after="0"/>
              <w:rPr>
                <w:sz w:val="13"/>
                <w:szCs w:val="13"/>
                <w:color w:val="auto"/>
              </w:rPr>
            </w:pPr>
          </w:p>
        </w:tc>
        <w:tc>
          <w:tcPr>
            <w:tcW w:w="2720" w:type="dxa"/>
            <w:vAlign w:val="bottom"/>
          </w:tcPr>
          <w:p>
            <w:pPr>
              <w:ind w:left="260"/>
              <w:spacing w:after="0" w:line="157" w:lineRule="exact"/>
              <w:rPr>
                <w:sz w:val="20"/>
                <w:szCs w:val="20"/>
                <w:color w:val="auto"/>
              </w:rPr>
            </w:pPr>
            <w:r>
              <w:rPr>
                <w:rFonts w:ascii="Arial" w:cs="Arial" w:eastAsia="Arial" w:hAnsi="Arial"/>
                <w:sz w:val="14"/>
                <w:szCs w:val="14"/>
                <w:b w:val="1"/>
                <w:bCs w:val="1"/>
                <w:color w:val="auto"/>
              </w:rPr>
              <w:t>REGISTERED FOREIGN LAWYER</w:t>
            </w:r>
          </w:p>
        </w:tc>
        <w:tc>
          <w:tcPr>
            <w:tcW w:w="0" w:type="dxa"/>
            <w:vAlign w:val="bottom"/>
          </w:tcPr>
          <w:p>
            <w:pPr>
              <w:spacing w:after="0"/>
              <w:rPr>
                <w:sz w:val="1"/>
                <w:szCs w:val="1"/>
                <w:color w:val="auto"/>
              </w:rPr>
            </w:pPr>
          </w:p>
        </w:tc>
      </w:tr>
      <w:tr>
        <w:trPr>
          <w:trHeight w:val="216"/>
        </w:trPr>
        <w:tc>
          <w:tcPr>
            <w:tcW w:w="5240" w:type="dxa"/>
            <w:vAlign w:val="bottom"/>
          </w:tcPr>
          <w:p>
            <w:pPr>
              <w:jc w:val="center"/>
              <w:ind w:right="134"/>
              <w:spacing w:after="0"/>
              <w:rPr>
                <w:sz w:val="20"/>
                <w:szCs w:val="20"/>
                <w:color w:val="auto"/>
              </w:rPr>
            </w:pPr>
            <w:r>
              <w:rPr>
                <w:rFonts w:ascii="Arial" w:cs="Arial" w:eastAsia="Arial" w:hAnsi="Arial"/>
                <w:sz w:val="18"/>
                <w:szCs w:val="18"/>
                <w:color w:val="auto"/>
                <w:w w:val="95"/>
              </w:rPr>
              <w:t>Hong Kong</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tcPr>
          <w:p>
            <w:pPr>
              <w:jc w:val="center"/>
              <w:ind w:right="134"/>
              <w:spacing w:after="0" w:line="176" w:lineRule="exact"/>
              <w:rPr>
                <w:sz w:val="20"/>
                <w:szCs w:val="20"/>
                <w:color w:val="auto"/>
              </w:rPr>
            </w:pPr>
            <w:r>
              <w:rPr>
                <w:rFonts w:ascii="Arial" w:cs="Arial" w:eastAsia="Arial" w:hAnsi="Arial"/>
                <w:sz w:val="18"/>
                <w:szCs w:val="18"/>
                <w:color w:val="auto"/>
                <w:w w:val="90"/>
              </w:rPr>
              <w:t>T: +852 2521 4122</w:t>
            </w:r>
          </w:p>
        </w:tc>
        <w:tc>
          <w:tcPr>
            <w:tcW w:w="2720" w:type="dxa"/>
            <w:vAlign w:val="bottom"/>
          </w:tcPr>
          <w:p>
            <w:pPr>
              <w:ind w:left="180"/>
              <w:spacing w:after="0"/>
              <w:rPr>
                <w:sz w:val="20"/>
                <w:szCs w:val="20"/>
                <w:color w:val="auto"/>
              </w:rPr>
            </w:pPr>
            <w:r>
              <w:rPr>
                <w:rFonts w:ascii="Arial" w:cs="Arial" w:eastAsia="Arial" w:hAnsi="Arial"/>
                <w:sz w:val="14"/>
                <w:szCs w:val="14"/>
                <w:color w:val="auto"/>
              </w:rPr>
              <w:t>ROBERT K. WILLIAMS</w:t>
            </w:r>
          </w:p>
        </w:tc>
        <w:tc>
          <w:tcPr>
            <w:tcW w:w="0" w:type="dxa"/>
            <w:vAlign w:val="bottom"/>
          </w:tcPr>
          <w:p>
            <w:pPr>
              <w:spacing w:after="0"/>
              <w:rPr>
                <w:sz w:val="1"/>
                <w:szCs w:val="1"/>
                <w:color w:val="auto"/>
              </w:rPr>
            </w:pPr>
          </w:p>
        </w:tc>
      </w:tr>
      <w:tr>
        <w:trPr>
          <w:trHeight w:val="139"/>
        </w:trPr>
        <w:tc>
          <w:tcPr>
            <w:tcW w:w="5240" w:type="dxa"/>
            <w:vAlign w:val="bottom"/>
            <w:vMerge w:val="restart"/>
          </w:tcPr>
          <w:p>
            <w:pPr>
              <w:jc w:val="center"/>
              <w:ind w:right="134"/>
              <w:spacing w:after="0"/>
              <w:rPr>
                <w:sz w:val="20"/>
                <w:szCs w:val="20"/>
                <w:color w:val="auto"/>
              </w:rPr>
            </w:pPr>
            <w:r>
              <w:rPr>
                <w:rFonts w:ascii="Arial" w:cs="Arial" w:eastAsia="Arial" w:hAnsi="Arial"/>
                <w:sz w:val="18"/>
                <w:szCs w:val="18"/>
                <w:color w:val="auto"/>
                <w:w w:val="90"/>
              </w:rPr>
              <w:t>F: +852 2845 9026</w:t>
            </w:r>
          </w:p>
        </w:tc>
        <w:tc>
          <w:tcPr>
            <w:tcW w:w="2720" w:type="dxa"/>
            <w:vAlign w:val="bottom"/>
          </w:tcPr>
          <w:p>
            <w:pPr>
              <w:ind w:left="180"/>
              <w:spacing w:after="0" w:line="139" w:lineRule="exact"/>
              <w:rPr>
                <w:sz w:val="20"/>
                <w:szCs w:val="20"/>
                <w:color w:val="auto"/>
              </w:rPr>
            </w:pPr>
            <w:r>
              <w:rPr>
                <w:rFonts w:ascii="Arial" w:cs="Arial" w:eastAsia="Arial" w:hAnsi="Arial"/>
                <w:sz w:val="14"/>
                <w:szCs w:val="14"/>
                <w:color w:val="auto"/>
              </w:rPr>
              <w:t>RAYMOND LAM</w:t>
            </w:r>
          </w:p>
        </w:tc>
        <w:tc>
          <w:tcPr>
            <w:tcW w:w="0" w:type="dxa"/>
            <w:vAlign w:val="bottom"/>
          </w:tcPr>
          <w:p>
            <w:pPr>
              <w:spacing w:after="0"/>
              <w:rPr>
                <w:sz w:val="1"/>
                <w:szCs w:val="1"/>
                <w:color w:val="auto"/>
              </w:rPr>
            </w:pPr>
          </w:p>
        </w:tc>
      </w:tr>
      <w:tr>
        <w:trPr>
          <w:trHeight w:val="131"/>
        </w:trPr>
        <w:tc>
          <w:tcPr>
            <w:tcW w:w="5240" w:type="dxa"/>
            <w:vAlign w:val="bottom"/>
            <w:vMerge w:val="continue"/>
          </w:tcPr>
          <w:p>
            <w:pPr>
              <w:spacing w:after="0"/>
              <w:rPr>
                <w:sz w:val="11"/>
                <w:szCs w:val="11"/>
                <w:color w:val="auto"/>
              </w:rPr>
            </w:pPr>
          </w:p>
        </w:tc>
        <w:tc>
          <w:tcPr>
            <w:tcW w:w="27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COUNSEL</w:t>
            </w:r>
          </w:p>
        </w:tc>
        <w:tc>
          <w:tcPr>
            <w:tcW w:w="0" w:type="dxa"/>
            <w:vAlign w:val="bottom"/>
          </w:tcPr>
          <w:p>
            <w:pPr>
              <w:spacing w:after="0"/>
              <w:rPr>
                <w:sz w:val="1"/>
                <w:szCs w:val="1"/>
                <w:color w:val="auto"/>
              </w:rPr>
            </w:pPr>
          </w:p>
        </w:tc>
      </w:tr>
      <w:tr>
        <w:trPr>
          <w:trHeight w:val="55"/>
        </w:trPr>
        <w:tc>
          <w:tcPr>
            <w:tcW w:w="524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5240" w:type="dxa"/>
            <w:vAlign w:val="bottom"/>
          </w:tcPr>
          <w:p>
            <w:pPr>
              <w:jc w:val="center"/>
              <w:ind w:right="134"/>
              <w:spacing w:after="0"/>
              <w:rPr>
                <w:sz w:val="20"/>
                <w:szCs w:val="20"/>
                <w:color w:val="auto"/>
              </w:rPr>
            </w:pPr>
            <w:r>
              <w:rPr>
                <w:rFonts w:ascii="Arial" w:cs="Arial" w:eastAsia="Arial" w:hAnsi="Arial"/>
                <w:sz w:val="18"/>
                <w:szCs w:val="18"/>
                <w:color w:val="auto"/>
                <w:w w:val="92"/>
              </w:rPr>
              <w:t>clearygottlieb.com</w:t>
            </w:r>
          </w:p>
        </w:tc>
        <w:tc>
          <w:tcPr>
            <w:tcW w:w="2720" w:type="dxa"/>
            <w:vAlign w:val="bottom"/>
          </w:tcPr>
          <w:p>
            <w:pPr>
              <w:ind w:left="180"/>
              <w:spacing w:after="0"/>
              <w:rPr>
                <w:sz w:val="20"/>
                <w:szCs w:val="20"/>
                <w:color w:val="auto"/>
              </w:rPr>
            </w:pPr>
            <w:r>
              <w:rPr>
                <w:rFonts w:ascii="Arial" w:cs="Arial" w:eastAsia="Arial" w:hAnsi="Arial"/>
                <w:sz w:val="14"/>
                <w:szCs w:val="14"/>
                <w:color w:val="auto"/>
              </w:rPr>
              <w:t>1 Admitted to practice in New York</w:t>
            </w:r>
          </w:p>
        </w:tc>
        <w:tc>
          <w:tcPr>
            <w:tcW w:w="0" w:type="dxa"/>
            <w:vAlign w:val="bottom"/>
          </w:tcPr>
          <w:p>
            <w:pPr>
              <w:spacing w:after="0"/>
              <w:rPr>
                <w:sz w:val="1"/>
                <w:szCs w:val="1"/>
                <w:color w:val="auto"/>
              </w:rPr>
            </w:pPr>
          </w:p>
        </w:tc>
      </w:tr>
      <w:tr>
        <w:trPr>
          <w:trHeight w:val="373"/>
        </w:trPr>
        <w:tc>
          <w:tcPr>
            <w:tcW w:w="5240" w:type="dxa"/>
            <w:vAlign w:val="bottom"/>
          </w:tcPr>
          <w:p>
            <w:pPr>
              <w:jc w:val="center"/>
              <w:ind w:right="134"/>
              <w:spacing w:after="0"/>
              <w:rPr>
                <w:sz w:val="20"/>
                <w:szCs w:val="20"/>
                <w:color w:val="auto"/>
              </w:rPr>
            </w:pPr>
            <w:r>
              <w:rPr>
                <w:rFonts w:ascii="Arial" w:cs="Arial" w:eastAsia="Arial" w:hAnsi="Arial"/>
                <w:sz w:val="14"/>
                <w:szCs w:val="14"/>
                <w:color w:val="auto"/>
                <w:w w:val="97"/>
              </w:rPr>
              <w:t>NEWYORK • WASHINGTON, D.C. • PARIS • BRUSSELS • LONDON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4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9"/>
              </w:rPr>
              <w:t>MOSCO • W FRANKFUT • COLOGNE • ROME • MILAN</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40" w:type="dxa"/>
            <w:vAlign w:val="bottom"/>
          </w:tcPr>
          <w:p>
            <w:pPr>
              <w:jc w:val="center"/>
              <w:ind w:right="134"/>
              <w:spacing w:after="0"/>
              <w:rPr>
                <w:sz w:val="20"/>
                <w:szCs w:val="20"/>
                <w:color w:val="auto"/>
              </w:rPr>
            </w:pPr>
            <w:r>
              <w:rPr>
                <w:rFonts w:ascii="Arial" w:cs="Arial" w:eastAsia="Arial" w:hAnsi="Arial"/>
                <w:sz w:val="14"/>
                <w:szCs w:val="14"/>
                <w:color w:val="auto"/>
                <w:w w:val="99"/>
              </w:rPr>
              <w:t>BEIJING • BUENO ÃIRES • SÃO PAULO • ABU DHABI • SEOUL</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240" w:type="dxa"/>
            <w:vAlign w:val="bottom"/>
          </w:tcPr>
          <w:p>
            <w:pPr>
              <w:jc w:val="center"/>
              <w:ind w:right="134"/>
              <w:spacing w:after="0"/>
              <w:rPr>
                <w:sz w:val="20"/>
                <w:szCs w:val="20"/>
                <w:color w:val="auto"/>
              </w:rPr>
            </w:pPr>
            <w:r>
              <w:rPr>
                <w:rFonts w:ascii="Arial" w:cs="Arial" w:eastAsia="Arial" w:hAnsi="Arial"/>
                <w:sz w:val="18"/>
                <w:szCs w:val="18"/>
                <w:color w:val="auto"/>
                <w:w w:val="92"/>
              </w:rPr>
              <w:t>D: +852 2532 3783</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jc w:val="center"/>
              <w:ind w:right="134"/>
              <w:spacing w:after="0"/>
              <w:rPr>
                <w:sz w:val="20"/>
                <w:szCs w:val="20"/>
                <w:color w:val="auto"/>
              </w:rPr>
            </w:pPr>
            <w:r>
              <w:rPr>
                <w:rFonts w:ascii="Arial" w:cs="Arial" w:eastAsia="Arial" w:hAnsi="Arial"/>
                <w:sz w:val="18"/>
                <w:szCs w:val="18"/>
                <w:color w:val="auto"/>
                <w:w w:val="87"/>
              </w:rPr>
              <w:t>szhar@cgsh.com</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June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Quarry Bay, Hong Kong S.A.R.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We have acted as special United States counsel to iClick Interactive Asia Group Limited, a Cayman Islands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United States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United States Securities Act of 1933, as amended (the “Securities Act”), of a registration statement on Form F-3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relating to the offering from time to time, as set forth in the Registration Statement, the prospectus (the “Prospectus”) contained therein and one or more supplements to the Prospectus, of (i) Class A ordinary shares, par value US$0.001 per share, of the Company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(ii) debt securities of the Company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and (iii) warrants of the Company to purchase the Ordinary Shares or the Debt Securities (the “</w:t>
      </w:r>
      <w:r>
        <w:rPr>
          <w:rFonts w:ascii="Arial" w:cs="Arial" w:eastAsia="Arial" w:hAnsi="Arial"/>
          <w:sz w:val="17"/>
          <w:szCs w:val="17"/>
          <w:u w:val="single" w:color="auto"/>
          <w:color w:val="auto"/>
        </w:rPr>
        <w:t>Warrants</w:t>
      </w:r>
      <w:r>
        <w:rPr>
          <w:rFonts w:ascii="Arial" w:cs="Arial" w:eastAsia="Arial" w:hAnsi="Arial"/>
          <w:sz w:val="17"/>
          <w:szCs w:val="17"/>
          <w:color w:val="auto"/>
        </w:rPr>
        <w:t>”). The Ordinary Shares, the Debt Securities and the Warrants are hereinafter referred to, collectively, as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Securities will be offered on a continuous or delayed basis pursuant to the provisions of Rule 415 under the Securities Act.</w:t>
      </w:r>
    </w:p>
    <w:p>
      <w:pPr>
        <w:spacing w:after="0" w:line="225"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The Debt Securities are to be issued in one or more series under an indenture (the “</w:t>
      </w:r>
      <w:r>
        <w:rPr>
          <w:rFonts w:ascii="Arial" w:cs="Arial" w:eastAsia="Arial" w:hAnsi="Arial"/>
          <w:sz w:val="17"/>
          <w:szCs w:val="17"/>
          <w:u w:val="single" w:color="auto"/>
          <w:color w:val="auto"/>
        </w:rPr>
        <w:t>Base Indenture</w:t>
      </w:r>
      <w:r>
        <w:rPr>
          <w:rFonts w:ascii="Arial" w:cs="Arial" w:eastAsia="Arial" w:hAnsi="Arial"/>
          <w:sz w:val="17"/>
          <w:szCs w:val="17"/>
          <w:color w:val="auto"/>
        </w:rPr>
        <w:t>”) to be entered into between the Company and the trustee to be named therein (the “</w:t>
      </w:r>
      <w:r>
        <w:rPr>
          <w:rFonts w:ascii="Arial" w:cs="Arial" w:eastAsia="Arial" w:hAnsi="Arial"/>
          <w:sz w:val="17"/>
          <w:szCs w:val="17"/>
          <w:u w:val="single" w:color="auto"/>
          <w:color w:val="auto"/>
        </w:rPr>
        <w:t>Trustee</w:t>
      </w:r>
      <w:r>
        <w:rPr>
          <w:rFonts w:ascii="Arial" w:cs="Arial" w:eastAsia="Arial" w:hAnsi="Arial"/>
          <w:sz w:val="17"/>
          <w:szCs w:val="17"/>
          <w:color w:val="auto"/>
        </w:rPr>
        <w:t>”), the form of which is filed as an exhibit to the Registration Statement, as such indenture may be amended or supplemented from time to time (the Base Indenture, as so amended or supplemented, the “</w:t>
      </w:r>
      <w:r>
        <w:rPr>
          <w:rFonts w:ascii="Arial" w:cs="Arial" w:eastAsia="Arial" w:hAnsi="Arial"/>
          <w:sz w:val="17"/>
          <w:szCs w:val="17"/>
          <w:u w:val="single" w:color="auto"/>
          <w:color w:val="auto"/>
        </w:rPr>
        <w:t>Indenture</w:t>
      </w:r>
      <w:r>
        <w:rPr>
          <w:rFonts w:ascii="Arial" w:cs="Arial" w:eastAsia="Arial" w:hAnsi="Arial"/>
          <w:sz w:val="17"/>
          <w:szCs w:val="17"/>
          <w:color w:val="auto"/>
        </w:rPr>
        <w: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225"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Registration Statement and the documents incorporated by reference therein;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Cleary Gottlieb Steen &amp; Hamilton (Hong Kong) is affiliated with Cleary Gottlieb Steen &amp; Hamilton LLP, a Limited Liability Partnership registered in New York.</w:t>
      </w:r>
    </w:p>
    <w:p>
      <w:pPr>
        <w:jc w:val="center"/>
        <w:spacing w:after="0"/>
        <w:rPr>
          <w:sz w:val="20"/>
          <w:szCs w:val="20"/>
          <w:color w:val="auto"/>
        </w:rPr>
      </w:pPr>
      <w:r>
        <w:rPr>
          <w:rFonts w:ascii="Arial" w:cs="Arial" w:eastAsia="Arial" w:hAnsi="Arial"/>
          <w:sz w:val="14"/>
          <w:szCs w:val="14"/>
          <w:color w:val="auto"/>
        </w:rPr>
        <w:t>Cleary Gottlieb Steen &amp; Hamilton LLP or an affiliated entity has an office in each of the cities listed above.</w:t>
      </w:r>
    </w:p>
    <w:p>
      <w:pPr>
        <w:sectPr>
          <w:pgSz w:w="11900" w:h="16838" w:orient="portrait"/>
          <w:cols w:equalWidth="0" w:num="1">
            <w:col w:w="11020"/>
          </w:cols>
          <w:pgMar w:left="440" w:top="121" w:right="439" w:bottom="1440" w:gutter="0" w:footer="0" w:header="0"/>
        </w:sectPr>
      </w:pPr>
    </w:p>
    <w:bookmarkStart w:id="94" w:name="page95"/>
    <w:bookmarkEnd w:id="9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iClick Interactive Asia Group Limited, p. 2</w:t>
      </w:r>
    </w:p>
    <w:p>
      <w:pPr>
        <w:spacing w:after="0" w:line="158" w:lineRule="exact"/>
        <w:rPr>
          <w:sz w:val="20"/>
          <w:szCs w:val="20"/>
          <w:color w:val="auto"/>
        </w:rPr>
      </w:pPr>
    </w:p>
    <w:p>
      <w:pPr>
        <w:ind w:left="824" w:hanging="384"/>
        <w:spacing w:after="0"/>
        <w:tabs>
          <w:tab w:leader="none" w:pos="8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Prospectus and the documents incorporated by reference therein; and</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form of the Base Indenture.</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 addition, we have reviewed the originals or copies certified or otherwise identified to our satisfaction of all such other documents, and we have made such investigations of law as we have deemed appropriate as a basis for the opinion expressed below.</w:t>
      </w:r>
    </w:p>
    <w:p>
      <w:pPr>
        <w:spacing w:after="0" w:line="170"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4" w:lineRule="exact"/>
        <w:rPr>
          <w:sz w:val="20"/>
          <w:szCs w:val="20"/>
          <w:color w:val="auto"/>
        </w:rPr>
      </w:pPr>
    </w:p>
    <w:p>
      <w:pPr>
        <w:ind w:left="4" w:right="260" w:firstLine="440"/>
        <w:spacing w:after="0" w:line="293" w:lineRule="auto"/>
        <w:rPr>
          <w:sz w:val="20"/>
          <w:szCs w:val="20"/>
          <w:color w:val="auto"/>
        </w:rPr>
      </w:pPr>
      <w:r>
        <w:rPr>
          <w:rFonts w:ascii="Arial" w:cs="Arial" w:eastAsia="Arial" w:hAnsi="Arial"/>
          <w:sz w:val="16"/>
          <w:szCs w:val="16"/>
          <w:color w:val="auto"/>
        </w:rPr>
        <w:t>Based on the foregoing, and subject to the further assumptions and qualifications set forth below, it is our opinion that when the Indenture has been duly authorized, executed and delivered by the Company, when the issuance, execution and delivery by the Company of the Debt Securities of a series have been duly authorized by all necessary corporate action of the Company in accordance with the provisions of the Indenture, and when such Debt Securities have been duly executed and delivered by the Company, authenticated by the Trustee and sold as described in the Registration Statement, the Prospectus and any supplement or supplements to the Prospectus relating to such Debt Securities, such Debt Securities will constitute valid, binding and enforceable obligations of the Company, entitled to the benefits of the Indenture.</w:t>
      </w:r>
    </w:p>
    <w:p>
      <w:pPr>
        <w:spacing w:after="0" w:line="16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Insofar as the foregoing opinion relates to the validity, binding effect or enforceability of any agreement or obligation of the Company, (a) we have assumed that the Company and each other party to such agreement or obligation has satisfied, or prior to the issuance of the Debt Securities, will satisfy, those legal requirements that are applicable to it to the extent necessary to make such agreement or obligation enforceable against it (except that no such assumption is made as to the Company regarding matters of the federal law of the United States of America or the law of the State of New York that in our experience normally would be applicable to general business entities with respect to such agreement or obligation), (b) we have assumed that any Debt Securities denominated in a currency other than the U.S. dollar will comply in all respects with the applicable law of the country in whose currency such Debt Securities are denominated in respect of the use of or payment in such currency, (c) we have assumed that at the time of the issuance, sale and delivery of each Debt Security, the authorization thereof by the Company will not have been modified or rescinded and there will not have occurred any change in law affecting the validity, binding effect and enforceability of such Debt Security, (d) such opinion is subject to applicable bankruptcy, insolvency and similar laws affecting creditors’ rights generally and to general principles of equity (e) we express no opinion with respect to the effect of any mandatory choice of law rules; and (f) such opinion is subject to the effect of judicial application of foreign laws or foreign governmental actions affecting creditors’ rights.</w:t>
      </w:r>
    </w:p>
    <w:p>
      <w:pPr>
        <w:spacing w:after="0" w:line="179"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In rendering the opinion expressed above, we have further assumed that (i) the Registration Statement and any amendments thereto (including post-effective amendments) will be or have been prepared and filed with the Commission describing the Debt Securities offered thereby and will comply with all applicable laws, (ii) the Registration Statement will be effective and will comply with all applicable laws at the time the Debt Securities are offered or issued as contemplated by the Registration Statement, (iii) the terms of the Debt Securities will conform to the forms thereof that will be filed as exhibits to the Registration Statement, and the terms of the Indenture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(iv) the Debt Securities will be sold and delivered to, and paid for by, the purchasers at the price specified in, and in accordance with the terms of, an agreement or agreements duly authorized, executed and delivered by the parties thereto,</w:t>
      </w:r>
    </w:p>
    <w:p>
      <w:pPr>
        <w:spacing w:after="0" w:line="1" w:lineRule="exact"/>
        <w:rPr>
          <w:sz w:val="20"/>
          <w:szCs w:val="20"/>
          <w:color w:val="auto"/>
        </w:rPr>
      </w:pPr>
    </w:p>
    <w:p>
      <w:pPr>
        <w:ind w:left="4" w:right="140" w:hanging="4"/>
        <w:spacing w:after="0" w:line="277" w:lineRule="auto"/>
        <w:tabs>
          <w:tab w:leader="none" w:pos="259"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will authorize the offering and issuance of the Debt Securities and will authorize, approve and establish the final terms and conditions thereof and will take any other appropriate additional corporate action and (vi) certificates, if required, representing the Debt Securities will be duly executed and delivered and, to the extent required by the applicable Indenture, duly authenticated and countersigned.</w:t>
      </w:r>
    </w:p>
    <w:p>
      <w:pPr>
        <w:sectPr>
          <w:pgSz w:w="11900" w:h="16838" w:orient="portrait"/>
          <w:cols w:equalWidth="0" w:num="1">
            <w:col w:w="11024"/>
          </w:cols>
          <w:pgMar w:left="436" w:top="274"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iClick Interactive Asia Group Limited, p. 3</w:t>
      </w:r>
    </w:p>
    <w:p>
      <w:pPr>
        <w:spacing w:after="0" w:line="15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addition, in rendering the opinion above, we have assumed that with respect to any Debt Security that includes any alternative or additional terms that are not specified in the forms thereof examined by us, such inclusion would not cause such Debt Security not to be valid, binding or enforceable.</w:t>
      </w:r>
    </w:p>
    <w:p>
      <w:pPr>
        <w:spacing w:after="0" w:line="1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In rendering the opinion expressed above, we have assumed that each series of Debt Securities will be issued with an original aggregate principal amount (or in the case of Debt Securities issued at original issue discount, an aggregate issue price) of US$2,500,000 or more.</w:t>
      </w:r>
    </w:p>
    <w:p>
      <w:pPr>
        <w:spacing w:after="0" w:line="146" w:lineRule="exact"/>
        <w:rPr>
          <w:sz w:val="20"/>
          <w:szCs w:val="20"/>
          <w:color w:val="auto"/>
        </w:rPr>
      </w:pPr>
    </w:p>
    <w:p>
      <w:pPr>
        <w:jc w:val="both"/>
        <w:ind w:right="60" w:firstLine="440"/>
        <w:spacing w:after="0" w:line="279"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express no opinion as to the enforceability of Section 10.16 of the Base Indenture relating to currency indemnity.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opinion is limited to the federal law of the United States of America and the law of the State of New York.</w:t>
      </w:r>
    </w:p>
    <w:p>
      <w:pPr>
        <w:sectPr>
          <w:pgSz w:w="11900" w:h="16838" w:orient="portrait"/>
          <w:cols w:equalWidth="0" w:num="1">
            <w:col w:w="10900"/>
          </w:cols>
          <w:pgMar w:left="440" w:top="274" w:right="5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iClick Interactive Asia Group Limited, p. 4</w:t>
      </w:r>
    </w:p>
    <w:p>
      <w:pPr>
        <w:spacing w:after="0" w:line="158"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We hereby consent to the use of our name in the Prospectus under the heading “Legal Matters” and in any prospectus supplement related thereto, and to the use of this opinion as a part (Exhibit 5.2) of the Registration Statement. In giving this consent,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2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Shuang Zhao, a Partner</w:t>
      </w:r>
    </w:p>
    <w:p>
      <w:pPr>
        <w:sectPr>
          <w:pgSz w:w="11900" w:h="16838" w:orient="portrait"/>
          <w:cols w:equalWidth="0" w:num="1">
            <w:col w:w="10920"/>
          </w:cols>
          <w:pgMar w:left="440" w:top="274" w:right="5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F-3 of iClick Interactive Asia Group Limited of our report dated April 21, 2021 relating to the consolidated financial statements, which appears in iClick Interactive Asia Group Limited’s Annual Report on Form 20-F for the year ended December 31, 2020. We also consent to the reference to us under the heading “Experts” in such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p>
      <w:pPr>
        <w:sectPr>
          <w:pgSz w:w="11900" w:h="16838" w:orient="portrait"/>
          <w:cols w:equalWidth="0" w:num="1">
            <w:col w:w="11020"/>
          </w:cols>
          <w:pgMar w:left="440" w:top="121"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368935</wp:posOffset>
            </wp:positionV>
            <wp:extent cx="2648585" cy="4800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648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07" w:lineRule="exact"/>
        <w:rPr>
          <w:sz w:val="20"/>
          <w:szCs w:val="20"/>
          <w:color w:val="auto"/>
        </w:rPr>
      </w:pPr>
      <w:r>
        <w:rPr>
          <w:rFonts w:ascii="SimSun" w:cs="SimSun" w:eastAsia="SimSun" w:hAnsi="SimSun"/>
          <w:sz w:val="16"/>
          <w:szCs w:val="16"/>
          <w:color w:val="auto"/>
        </w:rPr>
        <w:t>北京市朝阳区建国路</w:t>
      </w:r>
      <w:r>
        <w:rPr>
          <w:rFonts w:ascii="Arial" w:cs="Arial" w:eastAsia="Arial" w:hAnsi="Arial"/>
          <w:sz w:val="18"/>
          <w:szCs w:val="18"/>
          <w:b w:val="1"/>
          <w:bCs w:val="1"/>
          <w:color w:val="auto"/>
        </w:rPr>
        <w:t>77</w:t>
      </w:r>
      <w:r>
        <w:rPr>
          <w:rFonts w:ascii="SimSun" w:cs="SimSun" w:eastAsia="SimSun" w:hAnsi="SimSun"/>
          <w:sz w:val="16"/>
          <w:szCs w:val="16"/>
          <w:color w:val="auto"/>
          <w:highlight w:val="black"/>
        </w:rPr>
        <w:t>号华贸中心</w:t>
      </w:r>
      <w:r>
        <w:rPr>
          <w:rFonts w:ascii="Arial" w:cs="Arial" w:eastAsia="Arial" w:hAnsi="Arial"/>
          <w:sz w:val="18"/>
          <w:szCs w:val="18"/>
          <w:b w:val="1"/>
          <w:bCs w:val="1"/>
          <w:color w:val="auto"/>
        </w:rPr>
        <w:t>3</w:t>
      </w:r>
      <w:r>
        <w:rPr>
          <w:rFonts w:ascii="SimSun" w:cs="SimSun" w:eastAsia="SimSun" w:hAnsi="SimSun"/>
          <w:sz w:val="16"/>
          <w:szCs w:val="16"/>
          <w:color w:val="auto"/>
          <w:highlight w:val="black"/>
        </w:rPr>
        <w:t>号写字楼</w:t>
      </w:r>
      <w:r>
        <w:rPr>
          <w:rFonts w:ascii="Arial" w:cs="Arial" w:eastAsia="Arial" w:hAnsi="Arial"/>
          <w:sz w:val="18"/>
          <w:szCs w:val="18"/>
          <w:b w:val="1"/>
          <w:bCs w:val="1"/>
          <w:color w:val="auto"/>
        </w:rPr>
        <w:t>34</w:t>
      </w:r>
      <w:r>
        <w:rPr>
          <w:rFonts w:ascii="SimSun" w:cs="SimSun" w:eastAsia="SimSun" w:hAnsi="SimSun"/>
          <w:sz w:val="16"/>
          <w:szCs w:val="16"/>
          <w:color w:val="auto"/>
          <w:highlight w:val="black"/>
        </w:rPr>
        <w:t>层</w:t>
      </w:r>
    </w:p>
    <w:p>
      <w:pPr>
        <w:spacing w:after="0" w:line="239" w:lineRule="exact"/>
        <w:rPr>
          <w:sz w:val="20"/>
          <w:szCs w:val="20"/>
          <w:color w:val="auto"/>
        </w:rPr>
      </w:pPr>
    </w:p>
    <w:p>
      <w:pPr>
        <w:jc w:val="center"/>
        <w:ind w:right="20"/>
        <w:spacing w:after="0" w:line="207" w:lineRule="exact"/>
        <w:tabs>
          <w:tab w:leader="none" w:pos="160" w:val="left"/>
        </w:tabs>
        <w:rPr>
          <w:sz w:val="20"/>
          <w:szCs w:val="20"/>
          <w:color w:val="auto"/>
        </w:rPr>
      </w:pPr>
      <w:r>
        <w:rPr>
          <w:rFonts w:ascii="SimSun" w:cs="SimSun" w:eastAsia="SimSun" w:hAnsi="SimSun"/>
          <w:sz w:val="16"/>
          <w:szCs w:val="16"/>
          <w:color w:val="auto"/>
          <w:highlight w:val="black"/>
        </w:rPr>
        <w:t>电话：</w:t>
      </w:r>
      <w:r>
        <w:rPr>
          <w:rFonts w:ascii="Arial" w:cs="Arial" w:eastAsia="Arial" w:hAnsi="Arial"/>
          <w:sz w:val="18"/>
          <w:szCs w:val="18"/>
          <w:b w:val="1"/>
          <w:bCs w:val="1"/>
          <w:color w:val="auto"/>
        </w:rPr>
        <w:t>010 5809 1000</w:t>
      </w:r>
      <w:r>
        <w:rPr>
          <w:sz w:val="20"/>
          <w:szCs w:val="20"/>
          <w:color w:val="auto"/>
        </w:rPr>
        <w:tab/>
      </w:r>
      <w:r>
        <w:rPr>
          <w:rFonts w:ascii="SimSun" w:cs="SimSun" w:eastAsia="SimSun" w:hAnsi="SimSun"/>
          <w:sz w:val="15"/>
          <w:szCs w:val="15"/>
          <w:color w:val="auto"/>
          <w:highlight w:val="black"/>
        </w:rPr>
        <w:t>传真：</w:t>
      </w:r>
      <w:r>
        <w:rPr>
          <w:rFonts w:ascii="Arial" w:cs="Arial" w:eastAsia="Arial" w:hAnsi="Arial"/>
          <w:sz w:val="16"/>
          <w:szCs w:val="16"/>
          <w:b w:val="1"/>
          <w:bCs w:val="1"/>
          <w:color w:val="auto"/>
        </w:rPr>
        <w:t>010 5809 1000</w:t>
      </w:r>
      <w:r>
        <w:rPr>
          <w:rFonts w:ascii="SimSun" w:cs="SimSun" w:eastAsia="SimSun" w:hAnsi="SimSun"/>
          <w:sz w:val="15"/>
          <w:szCs w:val="15"/>
          <w:color w:val="auto"/>
          <w:highlight w:val="black"/>
        </w:rPr>
        <w:t xml:space="preserve">  邮编：</w:t>
      </w:r>
      <w:r>
        <w:rPr>
          <w:rFonts w:ascii="Arial" w:cs="Arial" w:eastAsia="Arial" w:hAnsi="Arial"/>
          <w:sz w:val="16"/>
          <w:szCs w:val="16"/>
          <w:b w:val="1"/>
          <w:bCs w:val="1"/>
          <w:color w:val="auto"/>
        </w:rPr>
        <w:t>100025</w:t>
      </w:r>
    </w:p>
    <w:p>
      <w:pPr>
        <w:spacing w:after="0" w:line="239" w:lineRule="exact"/>
        <w:rPr>
          <w:sz w:val="20"/>
          <w:szCs w:val="20"/>
          <w:color w:val="auto"/>
        </w:rPr>
      </w:pPr>
    </w:p>
    <w:p>
      <w:pPr>
        <w:jc w:val="center"/>
        <w:spacing w:after="0" w:line="207" w:lineRule="exact"/>
        <w:rPr>
          <w:sz w:val="20"/>
          <w:szCs w:val="20"/>
          <w:color w:val="auto"/>
        </w:rPr>
      </w:pPr>
      <w:r>
        <w:rPr>
          <w:rFonts w:ascii="SimSun" w:cs="SimSun" w:eastAsia="SimSun" w:hAnsi="SimSun"/>
          <w:sz w:val="16"/>
          <w:szCs w:val="16"/>
          <w:color w:val="auto"/>
          <w:highlight w:val="black"/>
        </w:rPr>
        <w:t>北京</w:t>
      </w:r>
      <w:r>
        <w:rPr>
          <w:rFonts w:ascii="Arial" w:cs="Arial" w:eastAsia="Arial" w:hAnsi="Arial"/>
          <w:sz w:val="18"/>
          <w:szCs w:val="18"/>
          <w:b w:val="1"/>
          <w:bCs w:val="1"/>
          <w:color w:val="auto"/>
        </w:rPr>
        <w:t xml:space="preserve"> | </w:t>
      </w:r>
      <w:r>
        <w:rPr>
          <w:rFonts w:ascii="SimSun" w:cs="SimSun" w:eastAsia="SimSun" w:hAnsi="SimSun"/>
          <w:sz w:val="16"/>
          <w:szCs w:val="16"/>
          <w:color w:val="auto"/>
          <w:highlight w:val="black"/>
        </w:rPr>
        <w:t>上海</w:t>
      </w:r>
      <w:r>
        <w:rPr>
          <w:rFonts w:ascii="Arial" w:cs="Arial" w:eastAsia="Arial" w:hAnsi="Arial"/>
          <w:sz w:val="18"/>
          <w:szCs w:val="18"/>
          <w:b w:val="1"/>
          <w:bCs w:val="1"/>
          <w:color w:val="auto"/>
        </w:rPr>
        <w:t xml:space="preserve"> | </w:t>
      </w:r>
      <w:r>
        <w:rPr>
          <w:rFonts w:ascii="SimSun" w:cs="SimSun" w:eastAsia="SimSun" w:hAnsi="SimSun"/>
          <w:sz w:val="16"/>
          <w:szCs w:val="16"/>
          <w:color w:val="auto"/>
          <w:highlight w:val="black"/>
        </w:rPr>
        <w:t>深圳</w:t>
      </w:r>
      <w:r>
        <w:rPr>
          <w:rFonts w:ascii="Arial" w:cs="Arial" w:eastAsia="Arial" w:hAnsi="Arial"/>
          <w:sz w:val="18"/>
          <w:szCs w:val="18"/>
          <w:b w:val="1"/>
          <w:bCs w:val="1"/>
          <w:color w:val="auto"/>
        </w:rPr>
        <w:t xml:space="preserve"> | </w:t>
      </w:r>
      <w:r>
        <w:rPr>
          <w:rFonts w:ascii="SimSun" w:cs="SimSun" w:eastAsia="SimSun" w:hAnsi="SimSun"/>
          <w:sz w:val="16"/>
          <w:szCs w:val="16"/>
          <w:color w:val="auto"/>
          <w:highlight w:val="black"/>
        </w:rPr>
        <w:t>成都</w:t>
      </w:r>
      <w:r>
        <w:rPr>
          <w:rFonts w:ascii="Arial" w:cs="Arial" w:eastAsia="Arial" w:hAnsi="Arial"/>
          <w:sz w:val="18"/>
          <w:szCs w:val="18"/>
          <w:b w:val="1"/>
          <w:bCs w:val="1"/>
          <w:color w:val="auto"/>
        </w:rPr>
        <w:t xml:space="preserve"> | </w:t>
      </w:r>
      <w:r>
        <w:rPr>
          <w:rFonts w:ascii="SimSun" w:cs="SimSun" w:eastAsia="SimSun" w:hAnsi="SimSun"/>
          <w:sz w:val="16"/>
          <w:szCs w:val="16"/>
          <w:color w:val="auto"/>
          <w:highlight w:val="black"/>
        </w:rPr>
        <w:t>南京</w:t>
      </w:r>
      <w:r>
        <w:rPr>
          <w:rFonts w:ascii="Arial" w:cs="Arial" w:eastAsia="Arial" w:hAnsi="Arial"/>
          <w:sz w:val="18"/>
          <w:szCs w:val="18"/>
          <w:b w:val="1"/>
          <w:bCs w:val="1"/>
          <w:color w:val="auto"/>
        </w:rPr>
        <w:t xml:space="preserve"> | </w:t>
      </w:r>
      <w:r>
        <w:rPr>
          <w:rFonts w:ascii="SimSun" w:cs="SimSun" w:eastAsia="SimSun" w:hAnsi="SimSun"/>
          <w:sz w:val="16"/>
          <w:szCs w:val="16"/>
          <w:color w:val="auto"/>
          <w:highlight w:val="black"/>
        </w:rPr>
        <w:t>香港</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hereby consent to the use of our name under the captions “Enforceability of Civil Liabilities” and “Legal Matters” in the prospectus included in the registration statement on Form F-3, originally filed by iClick Interactive Asia Group Limited on June 25, 2021, with the Securities and Exchange Commission under the Securities Act of 1933, as amended. In giving such consent, we do not thereby admit that we come within the category of persons whose consent is required under Section 7 of the Securities Act of 1933, as amended, or the regulations promulgated thereunder.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Jingtian &amp; Gongcheng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lowerLetter"/>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lowerRoman"/>
      <w:start w:val="2"/>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lowerRoman"/>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decimal"/>
      <w:start w:val="2"/>
    </w:lvl>
  </w:abstractNum>
  <w:abstractNum w:abstractNumId="30">
    <w:nsid w:val="4F4EF005"/>
    <w:multiLevelType w:val="hybridMultilevel"/>
    <w:lvl w:ilvl="0">
      <w:lvlJc w:val="left"/>
      <w:lvlText w:val="(%1)"/>
      <w:numFmt w:val="lowerLetter"/>
      <w:start w:val="1"/>
    </w:lvl>
    <w:lvl w:ilvl="1">
      <w:lvlJc w:val="left"/>
      <w:lvlText w:val="(%2)"/>
      <w:numFmt w:val="decimal"/>
      <w:start w:val="1"/>
    </w:lvl>
  </w:abstractNum>
  <w:abstractNum w:abstractNumId="31">
    <w:nsid w:val="23F9C13C"/>
    <w:multiLevelType w:val="hybridMultilevel"/>
    <w:lvl w:ilvl="0">
      <w:lvlJc w:val="left"/>
      <w:lvlText w:val="(%1)"/>
      <w:numFmt w:val="decimal"/>
      <w:start w:val="2"/>
    </w:lvl>
    <w:lvl w:ilvl="1">
      <w:lvlJc w:val="left"/>
      <w:lvlText w:val="(%2)"/>
      <w:numFmt w:val="lowerRoman"/>
      <w:start w:val="1"/>
    </w:lvl>
  </w:abstractNum>
  <w:abstractNum w:abstractNumId="32">
    <w:nsid w:val="649BB77C"/>
    <w:multiLevelType w:val="hybridMultilevel"/>
    <w:lvl w:ilvl="0">
      <w:lvlJc w:val="left"/>
      <w:lvlText w:val="%1"/>
      <w:numFmt w:val="lowerLetter"/>
      <w:start w:val="1"/>
    </w:lvl>
    <w:lvl w:ilvl="1">
      <w:lvlJc w:val="left"/>
      <w:lvlText w:val="(%2)"/>
      <w:numFmt w:val="lowerRoman"/>
      <w:start w:val="1"/>
    </w:lvl>
  </w:abstractNum>
  <w:abstractNum w:abstractNumId="33">
    <w:nsid w:val="275AC794"/>
    <w:multiLevelType w:val="hybridMultilevel"/>
    <w:lvl w:ilvl="0">
      <w:lvlJc w:val="left"/>
      <w:lvlText w:val="(%1)"/>
      <w:numFmt w:val="lowerLetter"/>
      <w:start w:val="2"/>
    </w:lvl>
    <w:lvl w:ilvl="1">
      <w:lvlJc w:val="left"/>
      <w:lvlText w:val="%2"/>
      <w:numFmt w:val="lowerRoman"/>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lowerRoman"/>
      <w:start w:val="2"/>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2"/>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7"/>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Roman"/>
      <w:start w:val="2"/>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3"/>
    </w:lvl>
  </w:abstractNum>
  <w:abstractNum w:abstractNumId="45">
    <w:nsid w:val="61574095"/>
    <w:multiLevelType w:val="hybridMultilevel"/>
    <w:lvl w:ilvl="0">
      <w:lvlJc w:val="left"/>
      <w:lvlText w:val="(%1)"/>
      <w:numFmt w:val="lowerLetter"/>
      <w:start w:val="4"/>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lvl w:ilvl="1">
      <w:lvlJc w:val="left"/>
      <w:lvlText w:val="(%2)"/>
      <w:numFmt w:val="lowerRoman"/>
      <w:start w:val="2"/>
    </w:lvl>
  </w:abstractNum>
  <w:abstractNum w:abstractNumId="50">
    <w:nsid w:val="5FF87E05"/>
    <w:multiLevelType w:val="hybridMultilevel"/>
    <w:lvl w:ilvl="0">
      <w:lvlJc w:val="left"/>
      <w:lvlText w:val="(%1)"/>
      <w:numFmt w:val="lowerLetter"/>
      <w:start w:val="5"/>
    </w:lvl>
    <w:lvl w:ilvl="1">
      <w:lvlJc w:val="left"/>
      <w:lvlText w:val="(%2)"/>
      <w:numFmt w:val="lowerRoman"/>
      <w:start w:val="1"/>
    </w:lvl>
  </w:abstractNum>
  <w:abstractNum w:abstractNumId="51">
    <w:nsid w:val="2F305DEF"/>
    <w:multiLevelType w:val="hybridMultilevel"/>
    <w:lvl w:ilvl="0">
      <w:lvlJc w:val="left"/>
      <w:lvlText w:val="(%1)"/>
      <w:numFmt w:val="lowerLetter"/>
      <w:start w:val="6"/>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2"/>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1"/>
    </w:lvl>
    <w:lvl w:ilvl="1">
      <w:lvlJc w:val="left"/>
      <w:lvlText w:val="(%2)"/>
      <w:numFmt w:val="lowerRoman"/>
      <w:start w:val="1"/>
    </w:lvl>
  </w:abstractNum>
  <w:abstractNum w:abstractNumId="57">
    <w:nsid w:val="5DB70AE5"/>
    <w:multiLevelType w:val="hybridMultilevel"/>
    <w:lvl w:ilvl="0">
      <w:lvlJc w:val="left"/>
      <w:lvlText w:val="(%1)"/>
      <w:numFmt w:val="lowerLetter"/>
      <w:start w:val="9"/>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799D0247"/>
    <w:multiLevelType w:val="hybridMultilevel"/>
    <w:lvl w:ilvl="0">
      <w:lvlJc w:val="left"/>
      <w:lvlText w:val="(%1)"/>
      <w:numFmt w:val="lowerLetter"/>
      <w:start w:val="2"/>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9"/>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bullet"/>
      <w:start w:val="1"/>
    </w:lvl>
  </w:abstractNum>
  <w:abstractNum w:abstractNumId="73">
    <w:nsid w:val="613EFDC5"/>
    <w:multiLevelType w:val="hybridMultilevel"/>
    <w:lvl w:ilvl="0">
      <w:lvlJc w:val="left"/>
      <w:lvlText w:val="2"/>
      <w:numFmt w:val="bullet"/>
      <w:start w:val="1"/>
    </w:lvl>
  </w:abstractNum>
  <w:abstractNum w:abstractNumId="74">
    <w:nsid w:val="BF72B14"/>
    <w:multiLevelType w:val="hybridMultilevel"/>
    <w:lvl w:ilvl="0">
      <w:lvlJc w:val="left"/>
      <w:lvlText w:val="3"/>
      <w:numFmt w:val="bullet"/>
      <w:start w:val="1"/>
    </w:lvl>
  </w:abstractNum>
  <w:abstractNum w:abstractNumId="75">
    <w:nsid w:val="11447B73"/>
    <w:multiLevelType w:val="hybridMultilevel"/>
    <w:lvl w:ilvl="0">
      <w:lvlJc w:val="left"/>
      <w:lvlText w:val="4"/>
      <w:numFmt w:val="bullet"/>
      <w:start w:val="1"/>
    </w:lvl>
  </w:abstractNum>
  <w:abstractNum w:abstractNumId="76">
    <w:nsid w:val="42963E5A"/>
    <w:multiLevelType w:val="hybridMultilevel"/>
    <w:lvl w:ilvl="0">
      <w:lvlJc w:val="left"/>
      <w:lvlText w:val="(%1)"/>
      <w:numFmt w:val="lowerLetter"/>
      <w:start w:val="2"/>
    </w:lvl>
  </w:abstractNum>
  <w:abstractNum w:abstractNumId="77">
    <w:nsid w:val="A0382C5"/>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jpeg"/><Relationship Id="rId127" Type="http://schemas.openxmlformats.org/officeDocument/2006/relationships/image" Target="media/image117.jpe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jpeg"/><Relationship Id="rId136" Type="http://schemas.openxmlformats.org/officeDocument/2006/relationships/image" Target="media/image126.png"/><Relationship Id="rId26" Type="http://schemas.openxmlformats.org/officeDocument/2006/relationships/hyperlink" Target="http://www.sec.gov/ix?doc=/Archives/edgar/data/1697818/000156459021019850/iclk-20f_20201231.htm" TargetMode="External"/><Relationship Id="rId67" Type="http://schemas.openxmlformats.org/officeDocument/2006/relationships/hyperlink" Target="http://www.sec.gov/Archives/edgar/data/1697818/000119312517315220/d347875dex42.htm" TargetMode="External"/><Relationship Id="rId68" Type="http://schemas.openxmlformats.org/officeDocument/2006/relationships/hyperlink" Target="http://www.sec.gov/Archives/edgar/data/1474274/000119312517358373/d471630d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2021-06-25T15:05:27Z</dcterms:created>
  <dcterms:modified xsi:type="dcterms:W3CDTF">2021-06-25T15:05:27Z</dcterms:modified>
</cp:coreProperties>
</file>