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13G/A</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3 – Exit Filing)*</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Ordinary Shares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B Ordinary Shares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G47048106</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16,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610"/>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1140" w:hanging="610"/>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7079" w:hanging="620"/>
        <w:spacing w:after="0" w:line="339"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Czerny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-11430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24" w:lineRule="exact"/>
        <w:rPr>
          <w:sz w:val="20"/>
          <w:szCs w:val="20"/>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7079" w:hanging="620"/>
        <w:spacing w:after="0" w:line="339"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Cervetto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-11430</wp:posOffset>
            </wp:positionV>
            <wp:extent cx="6497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24" w:lineRule="exact"/>
        <w:rPr>
          <w:sz w:val="20"/>
          <w:szCs w:val="20"/>
          <w:color w:val="auto"/>
        </w:rPr>
      </w:pPr>
    </w:p>
    <w:p>
      <w:pPr>
        <w:ind w:left="1000" w:hanging="620"/>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SSG Capital Partners I Side Pocket,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1000" w:right="7059" w:hanging="620"/>
        <w:spacing w:after="0" w:line="339"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-11430</wp:posOffset>
            </wp:positionV>
            <wp:extent cx="6497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24" w:lineRule="exact"/>
        <w:rPr>
          <w:sz w:val="20"/>
          <w:szCs w:val="20"/>
          <w:color w:val="auto"/>
        </w:rPr>
      </w:pPr>
    </w:p>
    <w:p>
      <w:pPr>
        <w:ind w:left="1000" w:hanging="620"/>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879" w:hanging="620"/>
        <w:spacing w:after="0" w:line="339"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-11430</wp:posOffset>
            </wp:positionV>
            <wp:extent cx="64979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24" w:lineRule="exact"/>
        <w:rPr>
          <w:sz w:val="20"/>
          <w:szCs w:val="20"/>
          <w:color w:val="auto"/>
        </w:rPr>
      </w:pPr>
    </w:p>
    <w:p>
      <w:pPr>
        <w:ind w:left="1000" w:hanging="62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819" w:hanging="620"/>
        <w:spacing w:after="0" w:line="339"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-11430</wp:posOffset>
            </wp:positionV>
            <wp:extent cx="64979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24" w:lineRule="exact"/>
        <w:rPr>
          <w:sz w:val="20"/>
          <w:szCs w:val="20"/>
          <w:color w:val="auto"/>
        </w:rPr>
      </w:pPr>
    </w:p>
    <w:p>
      <w:pPr>
        <w:ind w:left="1000" w:hanging="620"/>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679" w:hanging="620"/>
        <w:spacing w:after="0" w:line="36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 GPGP,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4979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06" w:lineRule="exact"/>
        <w:rPr>
          <w:sz w:val="20"/>
          <w:szCs w:val="20"/>
          <w:color w:val="auto"/>
        </w:rPr>
      </w:pPr>
    </w:p>
    <w:p>
      <w:pPr>
        <w:ind w:left="1000" w:hanging="620"/>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SSG Capital Partners II GPGP,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Ares SSG Capital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7079" w:hanging="620"/>
        <w:spacing w:after="0" w:line="275"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Name of Reporting Persons </w:t>
      </w:r>
      <w:r>
        <w:rPr>
          <w:rFonts w:ascii="Arial" w:cs="Arial" w:eastAsia="Arial" w:hAnsi="Arial"/>
          <w:sz w:val="17"/>
          <w:szCs w:val="17"/>
          <w:color w:val="auto"/>
        </w:rPr>
        <w:t>Wong Ching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7079" w:hanging="620"/>
        <w:spacing w:after="0" w:line="339"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Shyam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-11430</wp:posOffset>
            </wp:positionV>
            <wp:extent cx="64979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24" w:lineRule="exact"/>
        <w:rPr>
          <w:sz w:val="20"/>
          <w:szCs w:val="20"/>
          <w:color w:val="auto"/>
        </w:rPr>
      </w:pPr>
    </w:p>
    <w:p>
      <w:pPr>
        <w:ind w:left="1000" w:hanging="620"/>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83" w:lineRule="exact"/>
        <w:rPr>
          <w:sz w:val="20"/>
          <w:szCs w:val="20"/>
          <w:color w:val="auto"/>
        </w:rPr>
      </w:pPr>
    </w:p>
    <w:p>
      <w:pPr>
        <w:ind w:left="2680" w:right="6059" w:hanging="1099"/>
        <w:spacing w:after="0" w:line="275" w:lineRule="auto"/>
        <w:tabs>
          <w:tab w:leader="none" w:pos="2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Sole Voting Power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16510</wp:posOffset>
            </wp:positionV>
            <wp:extent cx="54349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7079" w:hanging="620"/>
        <w:spacing w:after="0" w:line="339"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Andreas Vourloumis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-11430</wp:posOffset>
            </wp:positionV>
            <wp:extent cx="64979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24" w:lineRule="exact"/>
        <w:rPr>
          <w:sz w:val="20"/>
          <w:szCs w:val="20"/>
          <w:color w:val="auto"/>
        </w:rPr>
      </w:pPr>
    </w:p>
    <w:p>
      <w:pPr>
        <w:ind w:left="1000" w:hanging="620"/>
        <w:spacing w:after="0"/>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48895</wp:posOffset>
            </wp:positionV>
            <wp:extent cx="57778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-164465</wp:posOffset>
            </wp:positionV>
            <wp:extent cx="57778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4979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459" w:hanging="620"/>
        <w:spacing w:after="0" w:line="275"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Indonesia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5"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4979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70" w:lineRule="exact"/>
        <w:rPr>
          <w:sz w:val="20"/>
          <w:szCs w:val="20"/>
          <w:color w:val="auto"/>
        </w:rPr>
      </w:pPr>
    </w:p>
    <w:p>
      <w:pPr>
        <w:ind w:left="1000" w:hanging="620"/>
        <w:spacing w:after="0"/>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199" w:hanging="620"/>
        <w:spacing w:after="0" w:line="275"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360" w:hanging="454"/>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iClick Interactive Asia Group Limited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360" w:hanging="454"/>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15/F, Prosperity Millennia Plaza, 663 King’s Road, Quarry Bay, Hong Kong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40005</wp:posOffset>
            </wp:positionV>
            <wp:extent cx="6266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-310515</wp:posOffset>
            </wp:positionV>
            <wp:extent cx="6266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360" w:hanging="454"/>
        <w:spacing w:after="0"/>
        <w:tabs>
          <w:tab w:leader="none" w:pos="1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This Schedule 13G/A is jointly filed by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360" w:right="6780"/>
        <w:spacing w:after="0" w:line="274" w:lineRule="auto"/>
        <w:rPr>
          <w:rFonts w:ascii="Arial" w:cs="Arial" w:eastAsia="Arial" w:hAnsi="Arial"/>
          <w:sz w:val="18"/>
          <w:szCs w:val="18"/>
          <w:color w:val="auto"/>
        </w:rPr>
      </w:pPr>
      <w:r>
        <w:rPr>
          <w:rFonts w:ascii="Arial" w:cs="Arial" w:eastAsia="Arial" w:hAnsi="Arial"/>
          <w:sz w:val="17"/>
          <w:szCs w:val="17"/>
          <w:color w:val="auto"/>
        </w:rPr>
        <w:t>Czerny Holdings Limited (“</w:t>
      </w:r>
      <w:r>
        <w:rPr>
          <w:rFonts w:ascii="Arial" w:cs="Arial" w:eastAsia="Arial" w:hAnsi="Arial"/>
          <w:sz w:val="17"/>
          <w:szCs w:val="17"/>
          <w:u w:val="single" w:color="auto"/>
          <w:color w:val="auto"/>
        </w:rPr>
        <w:t>Czerny</w:t>
      </w:r>
      <w:r>
        <w:rPr>
          <w:rFonts w:ascii="Arial" w:cs="Arial" w:eastAsia="Arial" w:hAnsi="Arial"/>
          <w:sz w:val="17"/>
          <w:szCs w:val="17"/>
          <w:color w:val="auto"/>
        </w:rPr>
        <w:t>”) Cervetto Holdings Limited (“</w:t>
      </w:r>
      <w:r>
        <w:rPr>
          <w:rFonts w:ascii="Arial" w:cs="Arial" w:eastAsia="Arial" w:hAnsi="Arial"/>
          <w:sz w:val="17"/>
          <w:szCs w:val="17"/>
          <w:u w:val="single" w:color="auto"/>
          <w:color w:val="auto"/>
        </w:rPr>
        <w:t>Cervetto</w:t>
      </w:r>
      <w:r>
        <w:rPr>
          <w:rFonts w:ascii="Arial" w:cs="Arial" w:eastAsia="Arial" w:hAnsi="Arial"/>
          <w:sz w:val="17"/>
          <w:szCs w:val="17"/>
          <w:color w:val="auto"/>
        </w:rPr>
        <w:t>”)</w:t>
      </w:r>
    </w:p>
    <w:p>
      <w:pPr>
        <w:ind w:left="1360" w:right="6000"/>
        <w:spacing w:after="0" w:line="265" w:lineRule="auto"/>
        <w:rPr>
          <w:rFonts w:ascii="Arial" w:cs="Arial" w:eastAsia="Arial" w:hAnsi="Arial"/>
          <w:sz w:val="18"/>
          <w:szCs w:val="18"/>
          <w:color w:val="auto"/>
        </w:rPr>
      </w:pPr>
      <w:r>
        <w:rPr>
          <w:rFonts w:ascii="Arial" w:cs="Arial" w:eastAsia="Arial" w:hAnsi="Arial"/>
          <w:sz w:val="17"/>
          <w:szCs w:val="17"/>
          <w:color w:val="auto"/>
        </w:rPr>
        <w:t>SSG Capital Partners I Side Pocket, L.P. (“</w:t>
      </w:r>
      <w:r>
        <w:rPr>
          <w:rFonts w:ascii="Arial" w:cs="Arial" w:eastAsia="Arial" w:hAnsi="Arial"/>
          <w:sz w:val="17"/>
          <w:szCs w:val="17"/>
          <w:u w:val="single" w:color="auto"/>
          <w:color w:val="auto"/>
        </w:rPr>
        <w:t>SSG I</w:t>
      </w:r>
      <w:r>
        <w:rPr>
          <w:rFonts w:ascii="Arial" w:cs="Arial" w:eastAsia="Arial" w:hAnsi="Arial"/>
          <w:sz w:val="17"/>
          <w:szCs w:val="17"/>
          <w:color w:val="auto"/>
        </w:rPr>
        <w:t>”) SSG Capital Partners II, L.P. (“</w:t>
      </w:r>
      <w:r>
        <w:rPr>
          <w:rFonts w:ascii="Arial" w:cs="Arial" w:eastAsia="Arial" w:hAnsi="Arial"/>
          <w:sz w:val="17"/>
          <w:szCs w:val="17"/>
          <w:u w:val="single" w:color="auto"/>
          <w:color w:val="auto"/>
        </w:rPr>
        <w:t>SSG II</w:t>
      </w:r>
      <w:r>
        <w:rPr>
          <w:rFonts w:ascii="Arial" w:cs="Arial" w:eastAsia="Arial" w:hAnsi="Arial"/>
          <w:sz w:val="17"/>
          <w:szCs w:val="17"/>
          <w:color w:val="auto"/>
        </w:rPr>
        <w:t>”)</w:t>
      </w:r>
    </w:p>
    <w:p>
      <w:pPr>
        <w:ind w:left="1360" w:right="5740"/>
        <w:spacing w:after="0" w:line="250" w:lineRule="auto"/>
        <w:rPr>
          <w:rFonts w:ascii="Arial" w:cs="Arial" w:eastAsia="Arial" w:hAnsi="Arial"/>
          <w:sz w:val="18"/>
          <w:szCs w:val="18"/>
          <w:color w:val="auto"/>
        </w:rPr>
      </w:pPr>
      <w:r>
        <w:rPr>
          <w:rFonts w:ascii="Arial" w:cs="Arial" w:eastAsia="Arial" w:hAnsi="Arial"/>
          <w:sz w:val="18"/>
          <w:szCs w:val="18"/>
          <w:color w:val="auto"/>
        </w:rPr>
        <w:t>SSG Capital Partners I GP, L.P. (“</w:t>
      </w:r>
      <w:r>
        <w:rPr>
          <w:rFonts w:ascii="Arial" w:cs="Arial" w:eastAsia="Arial" w:hAnsi="Arial"/>
          <w:sz w:val="18"/>
          <w:szCs w:val="18"/>
          <w:u w:val="single" w:color="auto"/>
          <w:color w:val="auto"/>
        </w:rPr>
        <w:t>SSG I GPLP</w:t>
      </w:r>
      <w:r>
        <w:rPr>
          <w:rFonts w:ascii="Arial" w:cs="Arial" w:eastAsia="Arial" w:hAnsi="Arial"/>
          <w:sz w:val="18"/>
          <w:szCs w:val="18"/>
          <w:color w:val="auto"/>
        </w:rPr>
        <w:t>”) SSG Capital Partners II GP, L.P. (“</w:t>
      </w:r>
      <w:r>
        <w:rPr>
          <w:rFonts w:ascii="Arial" w:cs="Arial" w:eastAsia="Arial" w:hAnsi="Arial"/>
          <w:sz w:val="18"/>
          <w:szCs w:val="18"/>
          <w:u w:val="single" w:color="auto"/>
          <w:color w:val="auto"/>
        </w:rPr>
        <w:t>SSG II GPLP</w:t>
      </w:r>
      <w:r>
        <w:rPr>
          <w:rFonts w:ascii="Arial" w:cs="Arial" w:eastAsia="Arial" w:hAnsi="Arial"/>
          <w:sz w:val="18"/>
          <w:szCs w:val="18"/>
          <w:color w:val="auto"/>
        </w:rPr>
        <w:t>”) SSG Capital Partners I GPGP, Ltd. (“</w:t>
      </w:r>
      <w:r>
        <w:rPr>
          <w:rFonts w:ascii="Arial" w:cs="Arial" w:eastAsia="Arial" w:hAnsi="Arial"/>
          <w:sz w:val="18"/>
          <w:szCs w:val="18"/>
          <w:u w:val="single" w:color="auto"/>
          <w:color w:val="auto"/>
        </w:rPr>
        <w:t>SSG I GPGP</w:t>
      </w:r>
      <w:r>
        <w:rPr>
          <w:rFonts w:ascii="Arial" w:cs="Arial" w:eastAsia="Arial" w:hAnsi="Arial"/>
          <w:sz w:val="18"/>
          <w:szCs w:val="18"/>
          <w:color w:val="auto"/>
        </w:rPr>
        <w:t>”) SSG Capital Partners II GPGP, Ltd. (“</w:t>
      </w:r>
      <w:r>
        <w:rPr>
          <w:rFonts w:ascii="Arial" w:cs="Arial" w:eastAsia="Arial" w:hAnsi="Arial"/>
          <w:sz w:val="18"/>
          <w:szCs w:val="18"/>
          <w:u w:val="single" w:color="auto"/>
          <w:color w:val="auto"/>
        </w:rPr>
        <w:t>SSG II GPGP</w:t>
      </w:r>
      <w:r>
        <w:rPr>
          <w:rFonts w:ascii="Arial" w:cs="Arial" w:eastAsia="Arial" w:hAnsi="Arial"/>
          <w:sz w:val="18"/>
          <w:szCs w:val="18"/>
          <w:color w:val="auto"/>
        </w:rPr>
        <w:t>”) Ares SSG Capital Holdings Limited (“</w:t>
      </w:r>
      <w:r>
        <w:rPr>
          <w:rFonts w:ascii="Arial" w:cs="Arial" w:eastAsia="Arial" w:hAnsi="Arial"/>
          <w:sz w:val="18"/>
          <w:szCs w:val="18"/>
          <w:u w:val="single" w:color="auto"/>
          <w:color w:val="auto"/>
        </w:rPr>
        <w:t>SSG Hold Co</w:t>
      </w:r>
      <w:r>
        <w:rPr>
          <w:rFonts w:ascii="Arial" w:cs="Arial" w:eastAsia="Arial" w:hAnsi="Arial"/>
          <w:sz w:val="18"/>
          <w:szCs w:val="18"/>
          <w:color w:val="auto"/>
        </w:rPr>
        <w:t>”) Wong Ching Him</w:t>
      </w:r>
    </w:p>
    <w:p>
      <w:pPr>
        <w:spacing w:after="0" w:line="2" w:lineRule="exact"/>
        <w:rPr>
          <w:rFonts w:ascii="Arial" w:cs="Arial" w:eastAsia="Arial" w:hAnsi="Arial"/>
          <w:sz w:val="18"/>
          <w:szCs w:val="18"/>
          <w:color w:val="auto"/>
        </w:rPr>
      </w:pPr>
    </w:p>
    <w:p>
      <w:pPr>
        <w:jc w:val="both"/>
        <w:ind w:left="1360" w:right="8180"/>
        <w:spacing w:after="0" w:line="323" w:lineRule="auto"/>
        <w:rPr>
          <w:rFonts w:ascii="Arial" w:cs="Arial" w:eastAsia="Arial" w:hAnsi="Arial"/>
          <w:sz w:val="18"/>
          <w:szCs w:val="18"/>
          <w:color w:val="auto"/>
        </w:rPr>
      </w:pPr>
      <w:r>
        <w:rPr>
          <w:rFonts w:ascii="Arial" w:cs="Arial" w:eastAsia="Arial" w:hAnsi="Arial"/>
          <w:sz w:val="16"/>
          <w:szCs w:val="16"/>
          <w:color w:val="auto"/>
        </w:rPr>
        <w:t>Shyam Maheshwari Andreas Vourloumis</w:t>
      </w:r>
    </w:p>
    <w:p>
      <w:pPr>
        <w:spacing w:after="0" w:line="138" w:lineRule="exact"/>
        <w:rPr>
          <w:rFonts w:ascii="Arial" w:cs="Arial" w:eastAsia="Arial" w:hAnsi="Arial"/>
          <w:sz w:val="18"/>
          <w:szCs w:val="18"/>
          <w:color w:val="auto"/>
        </w:rPr>
      </w:pPr>
    </w:p>
    <w:p>
      <w:pPr>
        <w:ind w:left="1360"/>
        <w:spacing w:after="0" w:line="270" w:lineRule="auto"/>
        <w:rPr>
          <w:rFonts w:ascii="Arial" w:cs="Arial" w:eastAsia="Arial" w:hAnsi="Arial"/>
          <w:sz w:val="18"/>
          <w:szCs w:val="18"/>
          <w:color w:val="auto"/>
        </w:rPr>
      </w:pPr>
      <w:r>
        <w:rPr>
          <w:rFonts w:ascii="Arial" w:cs="Arial" w:eastAsia="Arial" w:hAnsi="Arial"/>
          <w:sz w:val="17"/>
          <w:szCs w:val="17"/>
          <w:color w:val="auto"/>
        </w:rPr>
        <w:t xml:space="preserve">The Reporting Persons have entered into a Joint Filing Agreement, dated as of February 13, 2018, which is filed with this Schedule 13G/A as </w:t>
      </w:r>
      <w:r>
        <w:rPr>
          <w:rFonts w:ascii="Arial" w:cs="Arial" w:eastAsia="Arial" w:hAnsi="Arial"/>
          <w:sz w:val="17"/>
          <w:szCs w:val="17"/>
          <w:u w:val="single" w:color="auto"/>
          <w:color w:val="auto"/>
        </w:rPr>
        <w:t>Exhibit 99.1</w:t>
      </w:r>
      <w:r>
        <w:rPr>
          <w:rFonts w:ascii="Arial" w:cs="Arial" w:eastAsia="Arial" w:hAnsi="Arial"/>
          <w:sz w:val="17"/>
          <w:szCs w:val="17"/>
          <w:color w:val="auto"/>
        </w:rPr>
        <w:t xml:space="preserve"> and incorporated into this Item 2 by reference, pursuant to which the Reporting Persons have agreed to file this statement jointly in accordance with the provisions of Rule 13d-1(k)(1) under the Act. Information with respect to each Reporting Person is given solely by such Reporting Person, and no Reporting Person assumes responsibility for the accuracy or completeness of the information furnished by another Reporting Person. The Reporting Persons expressly disclaim that they have agreed to act as a group other than as described in this Schedule 13G/A. Pursuant to Rule 13d-4 of the Act, the Reporting Persons expressly declare that the filing of this statement shall not be construed as an admission that any such person is, for the purposes of Section 13(d) or Section 13(g) of the Act or otherwise, the beneficial owner of any securities covered by this Schedule 13G/A held by any other person and such beneficial ownership is expressly disclaimed.</w:t>
      </w:r>
    </w:p>
    <w:p>
      <w:pPr>
        <w:spacing w:after="0" w:line="86" w:lineRule="exact"/>
        <w:rPr>
          <w:rFonts w:ascii="Arial" w:cs="Arial" w:eastAsia="Arial" w:hAnsi="Arial"/>
          <w:sz w:val="18"/>
          <w:szCs w:val="18"/>
          <w:color w:val="auto"/>
        </w:rPr>
      </w:pPr>
    </w:p>
    <w:p>
      <w:pPr>
        <w:ind w:left="1360" w:hanging="454"/>
        <w:spacing w:after="0"/>
        <w:tabs>
          <w:tab w:leader="none" w:pos="1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360" w:right="260"/>
        <w:spacing w:after="0" w:line="260" w:lineRule="auto"/>
        <w:rPr>
          <w:rFonts w:ascii="Arial" w:cs="Arial" w:eastAsia="Arial" w:hAnsi="Arial"/>
          <w:sz w:val="18"/>
          <w:szCs w:val="18"/>
          <w:color w:val="auto"/>
        </w:rPr>
      </w:pPr>
      <w:r>
        <w:rPr>
          <w:rFonts w:ascii="Arial" w:cs="Arial" w:eastAsia="Arial" w:hAnsi="Arial"/>
          <w:sz w:val="18"/>
          <w:szCs w:val="18"/>
          <w:color w:val="auto"/>
        </w:rPr>
        <w:t>The address of the principal business office of each of Czerny and Cervetto is Vistra Corporate Services Centre, Wickhams Cay II, Road Town, Tortola, British Virgin Islands.</w:t>
      </w:r>
    </w:p>
    <w:p>
      <w:pPr>
        <w:spacing w:after="0" w:line="185" w:lineRule="exact"/>
        <w:rPr>
          <w:rFonts w:ascii="Arial" w:cs="Arial" w:eastAsia="Arial" w:hAnsi="Arial"/>
          <w:sz w:val="18"/>
          <w:szCs w:val="18"/>
          <w:color w:val="auto"/>
        </w:rPr>
      </w:pPr>
    </w:p>
    <w:p>
      <w:pPr>
        <w:ind w:left="1360" w:right="240"/>
        <w:spacing w:after="0" w:line="342" w:lineRule="auto"/>
        <w:rPr>
          <w:rFonts w:ascii="Arial" w:cs="Arial" w:eastAsia="Arial" w:hAnsi="Arial"/>
          <w:sz w:val="18"/>
          <w:szCs w:val="18"/>
          <w:color w:val="auto"/>
        </w:rPr>
      </w:pPr>
      <w:r>
        <w:rPr>
          <w:rFonts w:ascii="Arial" w:cs="Arial" w:eastAsia="Arial" w:hAnsi="Arial"/>
          <w:sz w:val="16"/>
          <w:szCs w:val="16"/>
          <w:color w:val="auto"/>
        </w:rPr>
        <w:t>The address of the principal business office of each of SSG I, SSG II, SSG I GPLP, SSG II GPLP, SSG I GPGP, SSG II GPGP, and SSG Hold Co is Cayman Corporate Centre, 27 Hospital Road, George Town, Grand Cayman KY1-9008, Cayman Islands.</w:t>
      </w:r>
    </w:p>
    <w:p>
      <w:pPr>
        <w:spacing w:after="0" w:line="123" w:lineRule="exact"/>
        <w:rPr>
          <w:rFonts w:ascii="Arial" w:cs="Arial" w:eastAsia="Arial" w:hAnsi="Arial"/>
          <w:sz w:val="18"/>
          <w:szCs w:val="18"/>
          <w:color w:val="auto"/>
        </w:rPr>
      </w:pPr>
    </w:p>
    <w:p>
      <w:pPr>
        <w:jc w:val="both"/>
        <w:ind w:left="1360" w:right="240"/>
        <w:spacing w:after="0" w:line="263" w:lineRule="auto"/>
        <w:rPr>
          <w:rFonts w:ascii="Arial" w:cs="Arial" w:eastAsia="Arial" w:hAnsi="Arial"/>
          <w:sz w:val="18"/>
          <w:szCs w:val="18"/>
          <w:color w:val="auto"/>
        </w:rPr>
      </w:pPr>
      <w:r>
        <w:rPr>
          <w:rFonts w:ascii="Arial" w:cs="Arial" w:eastAsia="Arial" w:hAnsi="Arial"/>
          <w:sz w:val="18"/>
          <w:szCs w:val="18"/>
          <w:color w:val="auto"/>
        </w:rPr>
        <w:t>The address of the principal business office of each of Wong Ching Him, Shyam Maheshwari, and Andreas Vourloumis is c/o SSG Capital Management (Hong Kong) Limited, Room 4202, 42/F, Gloucester Tower, The Landmark, 15 Queen’s Road Central,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22860</wp:posOffset>
            </wp:positionV>
            <wp:extent cx="62661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-1425575</wp:posOffset>
            </wp:positionV>
            <wp:extent cx="62661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20"/>
          </w:cols>
          <w:pgMar w:left="380" w:top="391" w:right="499" w:bottom="1440" w:gutter="0" w:footer="0" w:header="0"/>
        </w:sectPr>
      </w:pPr>
    </w:p>
    <w:bookmarkStart w:id="14" w:name="page15"/>
    <w:bookmarkEnd w:id="14"/>
    <w:p>
      <w:pPr>
        <w:ind w:left="1380" w:hanging="441"/>
        <w:spacing w:after="0"/>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Czerny and Cervetto are entities organized under the laws of the British Virgin Islands.</w:t>
      </w:r>
    </w:p>
    <w:p>
      <w:pPr>
        <w:spacing w:after="0" w:line="210" w:lineRule="exact"/>
        <w:rPr>
          <w:rFonts w:ascii="Arial" w:cs="Arial" w:eastAsia="Arial" w:hAnsi="Arial"/>
          <w:sz w:val="18"/>
          <w:szCs w:val="18"/>
          <w:color w:val="auto"/>
        </w:rPr>
      </w:pPr>
    </w:p>
    <w:p>
      <w:pPr>
        <w:ind w:left="1380" w:right="260"/>
        <w:spacing w:after="0" w:line="277" w:lineRule="auto"/>
        <w:rPr>
          <w:rFonts w:ascii="Arial" w:cs="Arial" w:eastAsia="Arial" w:hAnsi="Arial"/>
          <w:sz w:val="18"/>
          <w:szCs w:val="18"/>
          <w:color w:val="auto"/>
        </w:rPr>
      </w:pPr>
      <w:r>
        <w:rPr>
          <w:rFonts w:ascii="Arial" w:cs="Arial" w:eastAsia="Arial" w:hAnsi="Arial"/>
          <w:sz w:val="18"/>
          <w:szCs w:val="18"/>
          <w:color w:val="auto"/>
        </w:rPr>
        <w:t>SSG I, SSG II, SSG I GPLP, SSG II GPLP, SSG I GPGP, SSG II GPGP and SSG Hold Co are entities organized under the laws of the Cayman Islands.</w:t>
      </w:r>
    </w:p>
    <w:p>
      <w:pPr>
        <w:spacing w:after="0" w:line="170"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7"/>
          <w:szCs w:val="17"/>
          <w:color w:val="auto"/>
        </w:rPr>
        <w:t>Wong Ching Him, Shyam Maheshwari and Andreas Vourloumis are citizens of Hong Kong, India, and Indonesia, respectively.</w:t>
      </w:r>
    </w:p>
    <w:p>
      <w:pPr>
        <w:spacing w:after="0" w:line="142" w:lineRule="exact"/>
        <w:rPr>
          <w:rFonts w:ascii="Arial" w:cs="Arial" w:eastAsia="Arial" w:hAnsi="Arial"/>
          <w:sz w:val="18"/>
          <w:szCs w:val="18"/>
          <w:color w:val="auto"/>
        </w:rPr>
      </w:pPr>
    </w:p>
    <w:p>
      <w:pPr>
        <w:ind w:left="1380" w:hanging="441"/>
        <w:spacing w:after="0"/>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Class A Ordinary Shares, par value $0.001, and Class B Ordinary Shares, par value $0.001 (collectively, the “</w:t>
      </w:r>
      <w:r>
        <w:rPr>
          <w:rFonts w:ascii="Arial" w:cs="Arial" w:eastAsia="Arial" w:hAnsi="Arial"/>
          <w:sz w:val="18"/>
          <w:szCs w:val="18"/>
          <w:u w:val="single" w:color="auto"/>
          <w:color w:val="auto"/>
        </w:rPr>
        <w:t>Shares</w:t>
      </w:r>
      <w:r>
        <w:rPr>
          <w:rFonts w:ascii="Arial" w:cs="Arial" w:eastAsia="Arial" w:hAnsi="Arial"/>
          <w:sz w:val="18"/>
          <w:szCs w:val="18"/>
          <w:color w:val="auto"/>
        </w:rPr>
        <w:t>”) .</w:t>
      </w:r>
    </w:p>
    <w:p>
      <w:pPr>
        <w:spacing w:after="0" w:line="116" w:lineRule="exact"/>
        <w:rPr>
          <w:rFonts w:ascii="Arial" w:cs="Arial" w:eastAsia="Arial" w:hAnsi="Arial"/>
          <w:sz w:val="18"/>
          <w:szCs w:val="18"/>
          <w:color w:val="auto"/>
        </w:rPr>
      </w:pPr>
    </w:p>
    <w:p>
      <w:pPr>
        <w:ind w:left="1380" w:right="8700" w:hanging="441"/>
        <w:spacing w:after="0" w:line="342" w:lineRule="auto"/>
        <w:tabs>
          <w:tab w:leader="none" w:pos="1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CUSIP Number: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-14605</wp:posOffset>
            </wp:positionV>
            <wp:extent cx="62922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-366395</wp:posOffset>
            </wp:positionV>
            <wp:extent cx="62922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-717550</wp:posOffset>
            </wp:positionV>
            <wp:extent cx="62922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16"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380" w:hanging="441"/>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w:t>
      </w:r>
    </w:p>
    <w:p>
      <w:pPr>
        <w:spacing w:after="0" w:line="117" w:lineRule="exact"/>
        <w:rPr>
          <w:rFonts w:ascii="Arial" w:cs="Arial" w:eastAsia="Arial" w:hAnsi="Arial"/>
          <w:sz w:val="18"/>
          <w:szCs w:val="18"/>
          <w:color w:val="auto"/>
        </w:rPr>
      </w:pPr>
    </w:p>
    <w:p>
      <w:pPr>
        <w:ind w:left="1380" w:hanging="441"/>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w:t>
      </w:r>
    </w:p>
    <w:p>
      <w:pPr>
        <w:spacing w:after="0" w:line="117" w:lineRule="exact"/>
        <w:rPr>
          <w:rFonts w:ascii="Arial" w:cs="Arial" w:eastAsia="Arial" w:hAnsi="Arial"/>
          <w:sz w:val="18"/>
          <w:szCs w:val="18"/>
          <w:color w:val="auto"/>
        </w:rPr>
      </w:pPr>
    </w:p>
    <w:p>
      <w:pPr>
        <w:ind w:left="1380" w:hanging="441"/>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w:t>
      </w:r>
    </w:p>
    <w:p>
      <w:pPr>
        <w:spacing w:after="0" w:line="117" w:lineRule="exact"/>
        <w:rPr>
          <w:rFonts w:ascii="Arial" w:cs="Arial" w:eastAsia="Arial" w:hAnsi="Arial"/>
          <w:sz w:val="18"/>
          <w:szCs w:val="18"/>
          <w:color w:val="auto"/>
        </w:rPr>
      </w:pPr>
    </w:p>
    <w:p>
      <w:pPr>
        <w:ind w:left="1380" w:hanging="441"/>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w:t>
      </w:r>
    </w:p>
    <w:p>
      <w:pPr>
        <w:spacing w:after="0" w:line="117" w:lineRule="exact"/>
        <w:rPr>
          <w:rFonts w:ascii="Arial" w:cs="Arial" w:eastAsia="Arial" w:hAnsi="Arial"/>
          <w:sz w:val="18"/>
          <w:szCs w:val="18"/>
          <w:color w:val="auto"/>
        </w:rPr>
      </w:pPr>
    </w:p>
    <w:p>
      <w:pPr>
        <w:ind w:left="1380" w:hanging="441"/>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117" w:lineRule="exact"/>
        <w:rPr>
          <w:rFonts w:ascii="Arial" w:cs="Arial" w:eastAsia="Arial" w:hAnsi="Arial"/>
          <w:sz w:val="18"/>
          <w:szCs w:val="18"/>
          <w:color w:val="auto"/>
        </w:rPr>
      </w:pPr>
    </w:p>
    <w:p>
      <w:pPr>
        <w:ind w:left="1380" w:hanging="441"/>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1380" w:hanging="441"/>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117" w:lineRule="exact"/>
        <w:rPr>
          <w:rFonts w:ascii="Arial" w:cs="Arial" w:eastAsia="Arial" w:hAnsi="Arial"/>
          <w:sz w:val="18"/>
          <w:szCs w:val="18"/>
          <w:color w:val="auto"/>
        </w:rPr>
      </w:pPr>
    </w:p>
    <w:p>
      <w:pPr>
        <w:ind w:left="1380" w:hanging="441"/>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117" w:lineRule="exact"/>
        <w:rPr>
          <w:rFonts w:ascii="Arial" w:cs="Arial" w:eastAsia="Arial" w:hAnsi="Arial"/>
          <w:sz w:val="18"/>
          <w:szCs w:val="18"/>
          <w:color w:val="auto"/>
        </w:rPr>
      </w:pPr>
    </w:p>
    <w:p>
      <w:pPr>
        <w:ind w:left="1900" w:right="140" w:hanging="961"/>
        <w:spacing w:after="0" w:line="277" w:lineRule="auto"/>
        <w:tabs>
          <w:tab w:leader="none" w:pos="13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62" w:lineRule="exact"/>
        <w:rPr>
          <w:rFonts w:ascii="Arial" w:cs="Arial" w:eastAsia="Arial" w:hAnsi="Arial"/>
          <w:sz w:val="18"/>
          <w:szCs w:val="18"/>
          <w:color w:val="auto"/>
        </w:rPr>
      </w:pPr>
    </w:p>
    <w:p>
      <w:pPr>
        <w:ind w:left="1380" w:hanging="441"/>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vMerge w:val="restart"/>
          </w:tcPr>
          <w:p>
            <w:pPr>
              <w:ind w:left="940"/>
              <w:spacing w:after="0"/>
              <w:rPr>
                <w:sz w:val="20"/>
                <w:szCs w:val="20"/>
                <w:color w:val="auto"/>
              </w:rPr>
            </w:pPr>
            <w:r>
              <w:rPr>
                <w:rFonts w:ascii="Arial" w:cs="Arial" w:eastAsia="Arial" w:hAnsi="Arial"/>
                <w:sz w:val="18"/>
                <w:szCs w:val="18"/>
                <w:color w:val="auto"/>
              </w:rPr>
              <w:t>(k)   o</w:t>
            </w:r>
          </w:p>
        </w:tc>
        <w:tc>
          <w:tcPr>
            <w:tcW w:w="9600" w:type="dxa"/>
            <w:vAlign w:val="bottom"/>
            <w:gridSpan w:val="3"/>
          </w:tcPr>
          <w:p>
            <w:pPr>
              <w:ind w:left="220"/>
              <w:spacing w:after="0"/>
              <w:rPr>
                <w:sz w:val="20"/>
                <w:szCs w:val="20"/>
                <w:color w:val="auto"/>
              </w:rPr>
            </w:pPr>
            <w:r>
              <w:rPr>
                <w:rFonts w:ascii="Arial" w:cs="Arial" w:eastAsia="Arial" w:hAnsi="Arial"/>
                <w:sz w:val="18"/>
                <w:szCs w:val="18"/>
                <w:color w:val="auto"/>
              </w:rPr>
              <w:t>Group, in accordance with § 240.13d–1(b)(1)(ii)(K). If filing as a non-U.S. institution in accordance with</w:t>
            </w:r>
          </w:p>
        </w:tc>
        <w:tc>
          <w:tcPr>
            <w:tcW w:w="0" w:type="dxa"/>
            <w:vAlign w:val="bottom"/>
          </w:tcPr>
          <w:p>
            <w:pPr>
              <w:spacing w:after="0"/>
              <w:rPr>
                <w:sz w:val="1"/>
                <w:szCs w:val="1"/>
                <w:color w:val="auto"/>
              </w:rPr>
            </w:pPr>
          </w:p>
        </w:tc>
      </w:tr>
      <w:tr>
        <w:trPr>
          <w:trHeight w:val="122"/>
        </w:trPr>
        <w:tc>
          <w:tcPr>
            <w:tcW w:w="1680" w:type="dxa"/>
            <w:vAlign w:val="bottom"/>
            <w:vMerge w:val="continue"/>
          </w:tcPr>
          <w:p>
            <w:pPr>
              <w:spacing w:after="0"/>
              <w:rPr>
                <w:sz w:val="10"/>
                <w:szCs w:val="10"/>
                <w:color w:val="auto"/>
              </w:rPr>
            </w:pPr>
          </w:p>
        </w:tc>
        <w:tc>
          <w:tcPr>
            <w:tcW w:w="9600" w:type="dxa"/>
            <w:vAlign w:val="bottom"/>
            <w:gridSpan w:val="3"/>
            <w:vMerge w:val="restart"/>
          </w:tcPr>
          <w:p>
            <w:pPr>
              <w:ind w:left="220"/>
              <w:spacing w:after="0" w:line="190" w:lineRule="exact"/>
              <w:rPr>
                <w:sz w:val="20"/>
                <w:szCs w:val="20"/>
                <w:color w:val="auto"/>
              </w:rPr>
            </w:pPr>
            <w:r>
              <w:rPr>
                <w:rFonts w:ascii="Arial" w:cs="Arial" w:eastAsia="Arial" w:hAnsi="Arial"/>
                <w:sz w:val="18"/>
                <w:szCs w:val="18"/>
                <w:color w:val="auto"/>
              </w:rPr>
              <w:t>§ 240.13d–1(b)(1)(ii)(J), please specify the type of institution:</w:t>
            </w: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96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7"/>
        </w:trPr>
        <w:tc>
          <w:tcPr>
            <w:tcW w:w="1680" w:type="dxa"/>
            <w:vAlign w:val="bottom"/>
          </w:tcPr>
          <w:p>
            <w:pPr>
              <w:spacing w:after="0"/>
              <w:rPr>
                <w:sz w:val="24"/>
                <w:szCs w:val="24"/>
                <w:color w:val="auto"/>
              </w:rPr>
            </w:pPr>
          </w:p>
        </w:tc>
        <w:tc>
          <w:tcPr>
            <w:tcW w:w="468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162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8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95" w:right="299" w:bottom="1440" w:gutter="0" w:footer="0" w:header="0"/>
        </w:sectPr>
      </w:pPr>
    </w:p>
    <w:bookmarkStart w:id="15" w:name="page16"/>
    <w:bookmarkEnd w:id="15"/>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480" w:hanging="390"/>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480"/>
        <w:spacing w:after="0" w:line="260" w:lineRule="auto"/>
        <w:rPr>
          <w:rFonts w:ascii="Arial" w:cs="Arial" w:eastAsia="Arial" w:hAnsi="Arial"/>
          <w:sz w:val="18"/>
          <w:szCs w:val="18"/>
          <w:color w:val="auto"/>
        </w:rPr>
      </w:pPr>
      <w:r>
        <w:rPr>
          <w:rFonts w:ascii="Arial" w:cs="Arial" w:eastAsia="Arial" w:hAnsi="Arial"/>
          <w:sz w:val="18"/>
          <w:szCs w:val="18"/>
          <w:color w:val="auto"/>
        </w:rPr>
        <w:t>The Reporting Persons no longer beneficially own more than five percent of the Issuer’s Shares as of June 15, 2020. The Reporting Persons ceased to beneficially own any of the Issuer’s Shares as of November 17, 2020.</w:t>
      </w:r>
    </w:p>
    <w:p>
      <w:pPr>
        <w:spacing w:after="0" w:line="90" w:lineRule="exact"/>
        <w:rPr>
          <w:rFonts w:ascii="Arial" w:cs="Arial" w:eastAsia="Arial" w:hAnsi="Arial"/>
          <w:sz w:val="18"/>
          <w:szCs w:val="18"/>
          <w:color w:val="auto"/>
        </w:rPr>
      </w:pPr>
    </w:p>
    <w:p>
      <w:pPr>
        <w:ind w:left="1480" w:right="8320" w:hanging="395"/>
        <w:spacing w:after="0" w:line="277"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75" w:lineRule="exact"/>
        <w:rPr>
          <w:rFonts w:ascii="Arial" w:cs="Arial" w:eastAsia="Arial" w:hAnsi="Arial"/>
          <w:sz w:val="18"/>
          <w:szCs w:val="18"/>
          <w:color w:val="auto"/>
        </w:rPr>
      </w:pPr>
    </w:p>
    <w:p>
      <w:pPr>
        <w:ind w:left="1480" w:hanging="390"/>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48895</wp:posOffset>
            </wp:positionV>
            <wp:extent cx="61976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-164465</wp:posOffset>
            </wp:positionV>
            <wp:extent cx="61976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-516255</wp:posOffset>
            </wp:positionV>
            <wp:extent cx="61976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111" w:lineRule="exact"/>
        <w:rPr>
          <w:sz w:val="20"/>
          <w:szCs w:val="20"/>
          <w:color w:val="auto"/>
        </w:rPr>
      </w:pPr>
    </w:p>
    <w:p>
      <w:pPr>
        <w:ind w:left="2060" w:right="6140" w:hanging="449"/>
        <w:spacing w:after="0" w:line="277" w:lineRule="auto"/>
        <w:tabs>
          <w:tab w:leader="none" w:pos="2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14605</wp:posOffset>
            </wp:positionV>
            <wp:extent cx="58464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56" w:lineRule="exact"/>
        <w:rPr>
          <w:sz w:val="20"/>
          <w:szCs w:val="20"/>
          <w:color w:val="auto"/>
        </w:rPr>
      </w:pPr>
    </w:p>
    <w:p>
      <w:pPr>
        <w:ind w:left="2060" w:right="5960" w:hanging="474"/>
        <w:spacing w:after="0" w:line="277" w:lineRule="auto"/>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14605</wp:posOffset>
            </wp:positionV>
            <wp:extent cx="58464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56" w:lineRule="exact"/>
        <w:rPr>
          <w:sz w:val="20"/>
          <w:szCs w:val="20"/>
          <w:color w:val="auto"/>
        </w:rPr>
      </w:pPr>
    </w:p>
    <w:p>
      <w:pPr>
        <w:ind w:left="2060" w:right="5240" w:hanging="499"/>
        <w:spacing w:after="0" w:line="277" w:lineRule="auto"/>
        <w:tabs>
          <w:tab w:leader="none" w:pos="2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75" w:lineRule="exact"/>
        <w:rPr>
          <w:rFonts w:ascii="Arial" w:cs="Arial" w:eastAsia="Arial" w:hAnsi="Arial"/>
          <w:sz w:val="18"/>
          <w:szCs w:val="18"/>
          <w:color w:val="auto"/>
        </w:rPr>
      </w:pPr>
    </w:p>
    <w:p>
      <w:pPr>
        <w:ind w:left="2020" w:right="5060" w:hanging="454"/>
        <w:spacing w:after="0" w:line="277" w:lineRule="auto"/>
        <w:tabs>
          <w:tab w:leader="none" w:pos="2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14605</wp:posOffset>
            </wp:positionV>
            <wp:extent cx="58464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-336550</wp:posOffset>
            </wp:positionV>
            <wp:extent cx="58464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20" w:right="6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80"/>
          </w:cols>
          <w:pgMar w:left="380" w:top="391" w:right="539" w:bottom="1440" w:gutter="0" w:footer="0" w:header="0"/>
        </w:sectPr>
      </w:pPr>
    </w:p>
    <w:bookmarkStart w:id="16" w:name="page17"/>
    <w:bookmarkEnd w:id="16"/>
    <w:p>
      <w:pPr>
        <w:ind w:left="6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60" w:right="4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Czerny Holdings Limited</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Viswanand Nursimloo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Viswanand Nursimloo</w:t>
      </w:r>
    </w:p>
    <w:p>
      <w:pPr>
        <w:spacing w:after="0" w:line="2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Czerny Holdings Limited</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Viswanand Nursimloo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Viswanand Nursimloo</w:t>
      </w:r>
    </w:p>
    <w:p>
      <w:pPr>
        <w:spacing w:after="0" w:line="2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 Side Pocket,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 GPGP, Ltd,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Nigel David Stead</w:t>
      </w:r>
    </w:p>
    <w:p>
      <w:pPr>
        <w:spacing w:after="0" w:line="2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II,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II, GPGP, Ltd,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Nigel David Stead</w:t>
      </w:r>
    </w:p>
    <w:p>
      <w:pPr>
        <w:spacing w:after="0" w:line="2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 GPGP, Ltd,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Nigel David Stead</w:t>
      </w:r>
    </w:p>
    <w:p>
      <w:pPr>
        <w:spacing w:after="0" w:line="2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91"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SSG Capital Partners II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II, GPGP, Ltd,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Nigel David Stead</w:t>
      </w:r>
    </w:p>
    <w:p>
      <w:pPr>
        <w:spacing w:after="0" w:line="2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 GPGP, Ltd.</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Nigel David Stead</w:t>
      </w:r>
    </w:p>
    <w:p>
      <w:pPr>
        <w:spacing w:after="0" w:line="2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II GPGP, Ltd.</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Nigel David Stead</w:t>
      </w:r>
    </w:p>
    <w:p>
      <w:pPr>
        <w:spacing w:after="0" w:line="2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Ares SSG Capital Holdings Limited</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Wong Ching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Wong Ching Him</w:t>
      </w:r>
    </w:p>
    <w:p>
      <w:pPr>
        <w:spacing w:after="0" w:line="2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Wong Ching Him</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Wong Ching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Wong Ching Him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Shyam Maheshwari</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Shyam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Shyam Maheshwari</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Andreas Vourloumis</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Andreas Vourloumis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514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Name:</w:t>
        <w:tab/>
        <w:t>Andreas Vourloumis</w:t>
      </w: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8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80" w:type="dxa"/>
            <w:vAlign w:val="bottom"/>
            <w:tcBorders>
              <w:top w:val="single" w:sz="8" w:color="auto"/>
            </w:tcBorders>
          </w:tcPr>
          <w:p>
            <w:pPr>
              <w:jc w:val="right"/>
              <w:ind w:right="239"/>
              <w:spacing w:after="0" w:line="195" w:lineRule="exact"/>
              <w:rPr>
                <w:sz w:val="20"/>
                <w:szCs w:val="20"/>
                <w:color w:val="auto"/>
              </w:rPr>
            </w:pPr>
            <w:r>
              <w:rPr>
                <w:rFonts w:ascii="Arial" w:cs="Arial" w:eastAsia="Arial" w:hAnsi="Arial"/>
                <w:sz w:val="18"/>
                <w:szCs w:val="18"/>
                <w:b w:val="1"/>
                <w:bCs w:val="1"/>
                <w:color w:val="auto"/>
              </w:rPr>
              <w:t>99.1*</w:t>
            </w:r>
          </w:p>
        </w:tc>
        <w:tc>
          <w:tcPr>
            <w:tcW w:w="280" w:type="dxa"/>
            <w:vAlign w:val="bottom"/>
          </w:tcPr>
          <w:p>
            <w:pPr>
              <w:spacing w:after="0"/>
              <w:rPr>
                <w:sz w:val="16"/>
                <w:szCs w:val="16"/>
                <w:color w:val="auto"/>
              </w:rPr>
            </w:pPr>
          </w:p>
        </w:tc>
        <w:tc>
          <w:tcPr>
            <w:tcW w:w="9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Joint Filing Agreement, dated February 13, 2018, by and among Czerny Holdings Limited, Cervetto Holdings Limited, SSG Capital</w:t>
            </w: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89"/>
              </w:rPr>
              <w:t>Partners I Side Pocket, L.P., SSG Capital Partners II, L.P., SSG Capital Partners I GP, L.P., SSG Capital Partners II GP, L.P., SSG Capital</w:t>
            </w: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1"/>
              </w:rPr>
              <w:t>Partners I GPGP, Ltd. SSG Capital Partners II GPGP, Ltd., Ares SSG Capital Holdings Limited, Wong Ching Him, Shyam Maheshwari,</w:t>
            </w:r>
          </w:p>
        </w:tc>
      </w:tr>
      <w:tr>
        <w:trPr>
          <w:trHeight w:val="230"/>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and Andreas Vourloumis.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*Previously filed as Exhibit 99.1 to Schedule 13G on February 21, 2018 by Czerny Holdings Limited, Cervetto Holdings Limited, SSG Capital Partners I Side Pocket, L.P., SSG Capital Partners II, L.P., SSG Capital Partners I GP, L.P., SSG Capital Partners II GP, L.P., SSG Capital Partners I GPGP, Ltd. SSG Capital Partners II GPGP, Ltd., Ares SSG Capital Holdings Limited, Wong Ching Him, Shyam Maheshwari, and Andreas Vourloumis.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o"/>
      <w:numFmt w:val="bullet"/>
      <w:start w:val="1"/>
    </w:lvl>
  </w:abstractNum>
  <w:abstractNum w:abstractNumId="1">
    <w:nsid w:val="70A64E2A"/>
    <w:multiLevelType w:val="hybridMultilevel"/>
    <w:lvl w:ilvl="0">
      <w:lvlJc w:val="left"/>
      <w:lvlText w:val="1"/>
      <w:numFmt w:val="bullet"/>
      <w:start w:val="1"/>
    </w:lvl>
  </w:abstractNum>
  <w:abstractNum w:abstractNumId="2">
    <w:nsid w:val="6A2342EC"/>
    <w:multiLevelType w:val="hybridMultilevel"/>
    <w:lvl w:ilvl="0">
      <w:lvlJc w:val="left"/>
      <w:lvlText w:val="2"/>
      <w:numFmt w:val="bullet"/>
      <w:start w:val="1"/>
    </w:lvl>
    <w:lvl w:ilvl="1">
      <w:lvlJc w:val="left"/>
      <w:lvlText w:val="(%2)"/>
      <w:numFmt w:val="lowerLetter"/>
      <w:start w:val="1"/>
    </w:lvl>
  </w:abstractNum>
  <w:abstractNum w:abstractNumId="3">
    <w:nsid w:val="2A487CB0"/>
    <w:multiLevelType w:val="hybridMultilevel"/>
    <w:lvl w:ilvl="0">
      <w:lvlJc w:val="left"/>
      <w:lvlText w:val="3"/>
      <w:numFmt w:val="bullet"/>
      <w:start w:val="1"/>
    </w:lvl>
  </w:abstractNum>
  <w:abstractNum w:abstractNumId="4">
    <w:nsid w:val="1D4ED43B"/>
    <w:multiLevelType w:val="hybridMultilevel"/>
    <w:lvl w:ilvl="0">
      <w:lvlJc w:val="left"/>
      <w:lvlText w:val="4"/>
      <w:numFmt w:val="bullet"/>
      <w:start w:val="1"/>
    </w:lvl>
  </w:abstractNum>
  <w:abstractNum w:abstractNumId="5">
    <w:nsid w:val="725A06FB"/>
    <w:multiLevelType w:val="hybridMultilevel"/>
    <w:lvl w:ilvl="0">
      <w:lvlJc w:val="left"/>
      <w:lvlText w:val="9"/>
      <w:numFmt w:val="bullet"/>
      <w:start w:val="1"/>
    </w:lvl>
  </w:abstractNum>
  <w:abstractNum w:abstractNumId="6">
    <w:nsid w:val="2CD89A32"/>
    <w:multiLevelType w:val="hybridMultilevel"/>
    <w:lvl w:ilvl="0">
      <w:lvlJc w:val="left"/>
      <w:lvlText w:val="%1"/>
      <w:numFmt w:val="decimal"/>
      <w:start w:val="10"/>
    </w:lvl>
  </w:abstractNum>
  <w:abstractNum w:abstractNumId="7">
    <w:nsid w:val="57E4CCAF"/>
    <w:multiLevelType w:val="hybridMultilevel"/>
    <w:lvl w:ilvl="0">
      <w:lvlJc w:val="left"/>
      <w:lvlText w:val="1"/>
      <w:numFmt w:val="bullet"/>
      <w:start w:val="1"/>
    </w:lvl>
  </w:abstractNum>
  <w:abstractNum w:abstractNumId="8">
    <w:nsid w:val="7A6D8D3C"/>
    <w:multiLevelType w:val="hybridMultilevel"/>
    <w:lvl w:ilvl="0">
      <w:lvlJc w:val="left"/>
      <w:lvlText w:val="2"/>
      <w:numFmt w:val="bullet"/>
      <w:start w:val="1"/>
    </w:lvl>
    <w:lvl w:ilvl="1">
      <w:lvlJc w:val="left"/>
      <w:lvlText w:val="(%2)"/>
      <w:numFmt w:val="lowerLetter"/>
      <w:start w:val="1"/>
    </w:lvl>
  </w:abstractNum>
  <w:abstractNum w:abstractNumId="9">
    <w:nsid w:val="4B588F54"/>
    <w:multiLevelType w:val="hybridMultilevel"/>
    <w:lvl w:ilvl="0">
      <w:lvlJc w:val="left"/>
      <w:lvlText w:val="3"/>
      <w:numFmt w:val="bullet"/>
      <w:start w:val="1"/>
    </w:lvl>
  </w:abstractNum>
  <w:abstractNum w:abstractNumId="10">
    <w:nsid w:val="542289EC"/>
    <w:multiLevelType w:val="hybridMultilevel"/>
    <w:lvl w:ilvl="0">
      <w:lvlJc w:val="left"/>
      <w:lvlText w:val="4"/>
      <w:numFmt w:val="bullet"/>
      <w:start w:val="1"/>
    </w:lvl>
  </w:abstractNum>
  <w:abstractNum w:abstractNumId="11">
    <w:nsid w:val="6DE91B18"/>
    <w:multiLevelType w:val="hybridMultilevel"/>
    <w:lvl w:ilvl="0">
      <w:lvlJc w:val="left"/>
      <w:lvlText w:val="9"/>
      <w:numFmt w:val="bullet"/>
      <w:start w:val="1"/>
    </w:lvl>
  </w:abstractNum>
  <w:abstractNum w:abstractNumId="12">
    <w:nsid w:val="38437FDB"/>
    <w:multiLevelType w:val="hybridMultilevel"/>
    <w:lvl w:ilvl="0">
      <w:lvlJc w:val="left"/>
      <w:lvlText w:val="%1"/>
      <w:numFmt w:val="decimal"/>
      <w:start w:val="10"/>
    </w:lvl>
  </w:abstractNum>
  <w:abstractNum w:abstractNumId="13">
    <w:nsid w:val="7644A45C"/>
    <w:multiLevelType w:val="hybridMultilevel"/>
    <w:lvl w:ilvl="0">
      <w:lvlJc w:val="left"/>
      <w:lvlText w:val="1"/>
      <w:numFmt w:val="bullet"/>
      <w:start w:val="1"/>
    </w:lvl>
  </w:abstractNum>
  <w:abstractNum w:abstractNumId="14">
    <w:nsid w:val="32FFF902"/>
    <w:multiLevelType w:val="hybridMultilevel"/>
    <w:lvl w:ilvl="0">
      <w:lvlJc w:val="left"/>
      <w:lvlText w:val="2"/>
      <w:numFmt w:val="bullet"/>
      <w:start w:val="1"/>
    </w:lvl>
    <w:lvl w:ilvl="1">
      <w:lvlJc w:val="left"/>
      <w:lvlText w:val="(%2)"/>
      <w:numFmt w:val="lowerLetter"/>
      <w:start w:val="1"/>
    </w:lvl>
  </w:abstractNum>
  <w:abstractNum w:abstractNumId="15">
    <w:nsid w:val="684A481A"/>
    <w:multiLevelType w:val="hybridMultilevel"/>
    <w:lvl w:ilvl="0">
      <w:lvlJc w:val="left"/>
      <w:lvlText w:val="3"/>
      <w:numFmt w:val="bullet"/>
      <w:start w:val="1"/>
    </w:lvl>
  </w:abstractNum>
  <w:abstractNum w:abstractNumId="16">
    <w:nsid w:val="579478FE"/>
    <w:multiLevelType w:val="hybridMultilevel"/>
    <w:lvl w:ilvl="0">
      <w:lvlJc w:val="left"/>
      <w:lvlText w:val="4"/>
      <w:numFmt w:val="bullet"/>
      <w:start w:val="1"/>
    </w:lvl>
  </w:abstractNum>
  <w:abstractNum w:abstractNumId="17">
    <w:nsid w:val="749ABB43"/>
    <w:multiLevelType w:val="hybridMultilevel"/>
    <w:lvl w:ilvl="0">
      <w:lvlJc w:val="left"/>
      <w:lvlText w:val="9"/>
      <w:numFmt w:val="bullet"/>
      <w:start w:val="1"/>
    </w:lvl>
  </w:abstractNum>
  <w:abstractNum w:abstractNumId="18">
    <w:nsid w:val="3DC240FB"/>
    <w:multiLevelType w:val="hybridMultilevel"/>
    <w:lvl w:ilvl="0">
      <w:lvlJc w:val="left"/>
      <w:lvlText w:val="%1"/>
      <w:numFmt w:val="decimal"/>
      <w:start w:val="10"/>
    </w:lvl>
  </w:abstractNum>
  <w:abstractNum w:abstractNumId="19">
    <w:nsid w:val="1BA026FA"/>
    <w:multiLevelType w:val="hybridMultilevel"/>
    <w:lvl w:ilvl="0">
      <w:lvlJc w:val="left"/>
      <w:lvlText w:val="1"/>
      <w:numFmt w:val="bullet"/>
      <w:start w:val="1"/>
    </w:lvl>
  </w:abstractNum>
  <w:abstractNum w:abstractNumId="20">
    <w:nsid w:val="79A1DEAA"/>
    <w:multiLevelType w:val="hybridMultilevel"/>
    <w:lvl w:ilvl="0">
      <w:lvlJc w:val="left"/>
      <w:lvlText w:val="2"/>
      <w:numFmt w:val="bullet"/>
      <w:start w:val="1"/>
    </w:lvl>
    <w:lvl w:ilvl="1">
      <w:lvlJc w:val="left"/>
      <w:lvlText w:val="(%2)"/>
      <w:numFmt w:val="lowerLetter"/>
      <w:start w:val="1"/>
    </w:lvl>
  </w:abstractNum>
  <w:abstractNum w:abstractNumId="21">
    <w:nsid w:val="75C6C33A"/>
    <w:multiLevelType w:val="hybridMultilevel"/>
    <w:lvl w:ilvl="0">
      <w:lvlJc w:val="left"/>
      <w:lvlText w:val="3"/>
      <w:numFmt w:val="bullet"/>
      <w:start w:val="1"/>
    </w:lvl>
  </w:abstractNum>
  <w:abstractNum w:abstractNumId="22">
    <w:nsid w:val="12E685FB"/>
    <w:multiLevelType w:val="hybridMultilevel"/>
    <w:lvl w:ilvl="0">
      <w:lvlJc w:val="left"/>
      <w:lvlText w:val="4"/>
      <w:numFmt w:val="bullet"/>
      <w:start w:val="1"/>
    </w:lvl>
  </w:abstractNum>
  <w:abstractNum w:abstractNumId="23">
    <w:nsid w:val="70C6A529"/>
    <w:multiLevelType w:val="hybridMultilevel"/>
    <w:lvl w:ilvl="0">
      <w:lvlJc w:val="left"/>
      <w:lvlText w:val="9"/>
      <w:numFmt w:val="bullet"/>
      <w:start w:val="1"/>
    </w:lvl>
  </w:abstractNum>
  <w:abstractNum w:abstractNumId="24">
    <w:nsid w:val="520EEDD1"/>
    <w:multiLevelType w:val="hybridMultilevel"/>
    <w:lvl w:ilvl="0">
      <w:lvlJc w:val="left"/>
      <w:lvlText w:val="%1"/>
      <w:numFmt w:val="decimal"/>
      <w:start w:val="10"/>
    </w:lvl>
  </w:abstractNum>
  <w:abstractNum w:abstractNumId="25">
    <w:nsid w:val="374A3FE6"/>
    <w:multiLevelType w:val="hybridMultilevel"/>
    <w:lvl w:ilvl="0">
      <w:lvlJc w:val="left"/>
      <w:lvlText w:val="1"/>
      <w:numFmt w:val="bullet"/>
      <w:start w:val="1"/>
    </w:lvl>
  </w:abstractNum>
  <w:abstractNum w:abstractNumId="26">
    <w:nsid w:val="4F4EF005"/>
    <w:multiLevelType w:val="hybridMultilevel"/>
    <w:lvl w:ilvl="0">
      <w:lvlJc w:val="left"/>
      <w:lvlText w:val="2"/>
      <w:numFmt w:val="bullet"/>
      <w:start w:val="1"/>
    </w:lvl>
    <w:lvl w:ilvl="1">
      <w:lvlJc w:val="left"/>
      <w:lvlText w:val="(%2)"/>
      <w:numFmt w:val="lowerLetter"/>
      <w:start w:val="1"/>
    </w:lvl>
  </w:abstractNum>
  <w:abstractNum w:abstractNumId="27">
    <w:nsid w:val="23F9C13C"/>
    <w:multiLevelType w:val="hybridMultilevel"/>
    <w:lvl w:ilvl="0">
      <w:lvlJc w:val="left"/>
      <w:lvlText w:val="3"/>
      <w:numFmt w:val="bullet"/>
      <w:start w:val="1"/>
    </w:lvl>
  </w:abstractNum>
  <w:abstractNum w:abstractNumId="28">
    <w:nsid w:val="649BB77C"/>
    <w:multiLevelType w:val="hybridMultilevel"/>
    <w:lvl w:ilvl="0">
      <w:lvlJc w:val="left"/>
      <w:lvlText w:val="4"/>
      <w:numFmt w:val="bullet"/>
      <w:start w:val="1"/>
    </w:lvl>
  </w:abstractNum>
  <w:abstractNum w:abstractNumId="29">
    <w:nsid w:val="275AC794"/>
    <w:multiLevelType w:val="hybridMultilevel"/>
    <w:lvl w:ilvl="0">
      <w:lvlJc w:val="left"/>
      <w:lvlText w:val="9"/>
      <w:numFmt w:val="bullet"/>
      <w:start w:val="1"/>
    </w:lvl>
  </w:abstractNum>
  <w:abstractNum w:abstractNumId="30">
    <w:nsid w:val="39386575"/>
    <w:multiLevelType w:val="hybridMultilevel"/>
    <w:lvl w:ilvl="0">
      <w:lvlJc w:val="left"/>
      <w:lvlText w:val="%1"/>
      <w:numFmt w:val="decimal"/>
      <w:start w:val="10"/>
    </w:lvl>
  </w:abstractNum>
  <w:abstractNum w:abstractNumId="31">
    <w:nsid w:val="1CF10FD8"/>
    <w:multiLevelType w:val="hybridMultilevel"/>
    <w:lvl w:ilvl="0">
      <w:lvlJc w:val="left"/>
      <w:lvlText w:val="1"/>
      <w:numFmt w:val="bullet"/>
      <w:start w:val="1"/>
    </w:lvl>
  </w:abstractNum>
  <w:abstractNum w:abstractNumId="32">
    <w:nsid w:val="180115BE"/>
    <w:multiLevelType w:val="hybridMultilevel"/>
    <w:lvl w:ilvl="0">
      <w:lvlJc w:val="left"/>
      <w:lvlText w:val="2"/>
      <w:numFmt w:val="bullet"/>
      <w:start w:val="1"/>
    </w:lvl>
    <w:lvl w:ilvl="1">
      <w:lvlJc w:val="left"/>
      <w:lvlText w:val="(%2)"/>
      <w:numFmt w:val="lowerLetter"/>
      <w:start w:val="1"/>
    </w:lvl>
  </w:abstractNum>
  <w:abstractNum w:abstractNumId="33">
    <w:nsid w:val="235BA861"/>
    <w:multiLevelType w:val="hybridMultilevel"/>
    <w:lvl w:ilvl="0">
      <w:lvlJc w:val="left"/>
      <w:lvlText w:val="3"/>
      <w:numFmt w:val="bullet"/>
      <w:start w:val="1"/>
    </w:lvl>
  </w:abstractNum>
  <w:abstractNum w:abstractNumId="34">
    <w:nsid w:val="47398C89"/>
    <w:multiLevelType w:val="hybridMultilevel"/>
    <w:lvl w:ilvl="0">
      <w:lvlJc w:val="left"/>
      <w:lvlText w:val="4"/>
      <w:numFmt w:val="bullet"/>
      <w:start w:val="1"/>
    </w:lvl>
  </w:abstractNum>
  <w:abstractNum w:abstractNumId="35">
    <w:nsid w:val="354FE9F9"/>
    <w:multiLevelType w:val="hybridMultilevel"/>
    <w:lvl w:ilvl="0">
      <w:lvlJc w:val="left"/>
      <w:lvlText w:val="9"/>
      <w:numFmt w:val="bullet"/>
      <w:start w:val="1"/>
    </w:lvl>
  </w:abstractNum>
  <w:abstractNum w:abstractNumId="36">
    <w:nsid w:val="15B5AF5C"/>
    <w:multiLevelType w:val="hybridMultilevel"/>
    <w:lvl w:ilvl="0">
      <w:lvlJc w:val="left"/>
      <w:lvlText w:val="%1"/>
      <w:numFmt w:val="decimal"/>
      <w:start w:val="10"/>
    </w:lvl>
  </w:abstractNum>
  <w:abstractNum w:abstractNumId="37">
    <w:nsid w:val="741226BB"/>
    <w:multiLevelType w:val="hybridMultilevel"/>
    <w:lvl w:ilvl="0">
      <w:lvlJc w:val="left"/>
      <w:lvlText w:val="1"/>
      <w:numFmt w:val="bullet"/>
      <w:start w:val="1"/>
    </w:lvl>
  </w:abstractNum>
  <w:abstractNum w:abstractNumId="38">
    <w:nsid w:val="D34B6A8"/>
    <w:multiLevelType w:val="hybridMultilevel"/>
    <w:lvl w:ilvl="0">
      <w:lvlJc w:val="left"/>
      <w:lvlText w:val="2"/>
      <w:numFmt w:val="bullet"/>
      <w:start w:val="1"/>
    </w:lvl>
    <w:lvl w:ilvl="1">
      <w:lvlJc w:val="left"/>
      <w:lvlText w:val="(%2)"/>
      <w:numFmt w:val="lowerLetter"/>
      <w:start w:val="1"/>
    </w:lvl>
  </w:abstractNum>
  <w:abstractNum w:abstractNumId="39">
    <w:nsid w:val="10233C99"/>
    <w:multiLevelType w:val="hybridMultilevel"/>
    <w:lvl w:ilvl="0">
      <w:lvlJc w:val="left"/>
      <w:lvlText w:val="3"/>
      <w:numFmt w:val="bullet"/>
      <w:start w:val="1"/>
    </w:lvl>
  </w:abstractNum>
  <w:abstractNum w:abstractNumId="40">
    <w:nsid w:val="3F6AB60F"/>
    <w:multiLevelType w:val="hybridMultilevel"/>
    <w:lvl w:ilvl="0">
      <w:lvlJc w:val="left"/>
      <w:lvlText w:val="4"/>
      <w:numFmt w:val="bullet"/>
      <w:start w:val="1"/>
    </w:lvl>
  </w:abstractNum>
  <w:abstractNum w:abstractNumId="41">
    <w:nsid w:val="61574095"/>
    <w:multiLevelType w:val="hybridMultilevel"/>
    <w:lvl w:ilvl="0">
      <w:lvlJc w:val="left"/>
      <w:lvlText w:val="9"/>
      <w:numFmt w:val="bullet"/>
      <w:start w:val="1"/>
    </w:lvl>
  </w:abstractNum>
  <w:abstractNum w:abstractNumId="42">
    <w:nsid w:val="7E0C57B1"/>
    <w:multiLevelType w:val="hybridMultilevel"/>
    <w:lvl w:ilvl="0">
      <w:lvlJc w:val="left"/>
      <w:lvlText w:val="%1"/>
      <w:numFmt w:val="decimal"/>
      <w:start w:val="10"/>
    </w:lvl>
  </w:abstractNum>
  <w:abstractNum w:abstractNumId="43">
    <w:nsid w:val="77AE35EB"/>
    <w:multiLevelType w:val="hybridMultilevel"/>
    <w:lvl w:ilvl="0">
      <w:lvlJc w:val="left"/>
      <w:lvlText w:val="1"/>
      <w:numFmt w:val="bullet"/>
      <w:start w:val="1"/>
    </w:lvl>
  </w:abstractNum>
  <w:abstractNum w:abstractNumId="44">
    <w:nsid w:val="579BE4F1"/>
    <w:multiLevelType w:val="hybridMultilevel"/>
    <w:lvl w:ilvl="0">
      <w:lvlJc w:val="left"/>
      <w:lvlText w:val="2"/>
      <w:numFmt w:val="bullet"/>
      <w:start w:val="1"/>
    </w:lvl>
    <w:lvl w:ilvl="1">
      <w:lvlJc w:val="left"/>
      <w:lvlText w:val="(%2)"/>
      <w:numFmt w:val="lowerLetter"/>
      <w:start w:val="1"/>
    </w:lvl>
  </w:abstractNum>
  <w:abstractNum w:abstractNumId="45">
    <w:nsid w:val="310C50B3"/>
    <w:multiLevelType w:val="hybridMultilevel"/>
    <w:lvl w:ilvl="0">
      <w:lvlJc w:val="left"/>
      <w:lvlText w:val="3"/>
      <w:numFmt w:val="bullet"/>
      <w:start w:val="1"/>
    </w:lvl>
  </w:abstractNum>
  <w:abstractNum w:abstractNumId="46">
    <w:nsid w:val="5FF87E05"/>
    <w:multiLevelType w:val="hybridMultilevel"/>
    <w:lvl w:ilvl="0">
      <w:lvlJc w:val="left"/>
      <w:lvlText w:val="4"/>
      <w:numFmt w:val="bullet"/>
      <w:start w:val="1"/>
    </w:lvl>
  </w:abstractNum>
  <w:abstractNum w:abstractNumId="47">
    <w:nsid w:val="2F305DEF"/>
    <w:multiLevelType w:val="hybridMultilevel"/>
    <w:lvl w:ilvl="0">
      <w:lvlJc w:val="left"/>
      <w:lvlText w:val="9"/>
      <w:numFmt w:val="bullet"/>
      <w:start w:val="1"/>
    </w:lvl>
  </w:abstractNum>
  <w:abstractNum w:abstractNumId="48">
    <w:nsid w:val="25A70BF7"/>
    <w:multiLevelType w:val="hybridMultilevel"/>
    <w:lvl w:ilvl="0">
      <w:lvlJc w:val="left"/>
      <w:lvlText w:val="%1"/>
      <w:numFmt w:val="decimal"/>
      <w:start w:val="10"/>
    </w:lvl>
  </w:abstractNum>
  <w:abstractNum w:abstractNumId="49">
    <w:nsid w:val="1DBABF00"/>
    <w:multiLevelType w:val="hybridMultilevel"/>
    <w:lvl w:ilvl="0">
      <w:lvlJc w:val="left"/>
      <w:lvlText w:val="1"/>
      <w:numFmt w:val="bullet"/>
      <w:start w:val="1"/>
    </w:lvl>
  </w:abstractNum>
  <w:abstractNum w:abstractNumId="50">
    <w:nsid w:val="4AD084E9"/>
    <w:multiLevelType w:val="hybridMultilevel"/>
    <w:lvl w:ilvl="0">
      <w:lvlJc w:val="left"/>
      <w:lvlText w:val="2"/>
      <w:numFmt w:val="bullet"/>
      <w:start w:val="1"/>
    </w:lvl>
    <w:lvl w:ilvl="1">
      <w:lvlJc w:val="left"/>
      <w:lvlText w:val="(%2)"/>
      <w:numFmt w:val="lowerLetter"/>
      <w:start w:val="1"/>
    </w:lvl>
  </w:abstractNum>
  <w:abstractNum w:abstractNumId="51">
    <w:nsid w:val="1F48EAA1"/>
    <w:multiLevelType w:val="hybridMultilevel"/>
    <w:lvl w:ilvl="0">
      <w:lvlJc w:val="left"/>
      <w:lvlText w:val="3"/>
      <w:numFmt w:val="bullet"/>
      <w:start w:val="1"/>
    </w:lvl>
  </w:abstractNum>
  <w:abstractNum w:abstractNumId="52">
    <w:nsid w:val="1381823A"/>
    <w:multiLevelType w:val="hybridMultilevel"/>
    <w:lvl w:ilvl="0">
      <w:lvlJc w:val="left"/>
      <w:lvlText w:val="4"/>
      <w:numFmt w:val="bullet"/>
      <w:start w:val="1"/>
    </w:lvl>
  </w:abstractNum>
  <w:abstractNum w:abstractNumId="53">
    <w:nsid w:val="5DB70AE5"/>
    <w:multiLevelType w:val="hybridMultilevel"/>
    <w:lvl w:ilvl="0">
      <w:lvlJc w:val="left"/>
      <w:lvlText w:val="9"/>
      <w:numFmt w:val="bullet"/>
      <w:start w:val="1"/>
    </w:lvl>
  </w:abstractNum>
  <w:abstractNum w:abstractNumId="54">
    <w:nsid w:val="100F8FCA"/>
    <w:multiLevelType w:val="hybridMultilevel"/>
    <w:lvl w:ilvl="0">
      <w:lvlJc w:val="left"/>
      <w:lvlText w:val="%1"/>
      <w:numFmt w:val="decimal"/>
      <w:start w:val="10"/>
    </w:lvl>
  </w:abstractNum>
  <w:abstractNum w:abstractNumId="55">
    <w:nsid w:val="6590700B"/>
    <w:multiLevelType w:val="hybridMultilevel"/>
    <w:lvl w:ilvl="0">
      <w:lvlJc w:val="left"/>
      <w:lvlText w:val="1"/>
      <w:numFmt w:val="bullet"/>
      <w:start w:val="1"/>
    </w:lvl>
  </w:abstractNum>
  <w:abstractNum w:abstractNumId="56">
    <w:nsid w:val="15014ACB"/>
    <w:multiLevelType w:val="hybridMultilevel"/>
    <w:lvl w:ilvl="0">
      <w:lvlJc w:val="left"/>
      <w:lvlText w:val="2"/>
      <w:numFmt w:val="bullet"/>
      <w:start w:val="1"/>
    </w:lvl>
    <w:lvl w:ilvl="1">
      <w:lvlJc w:val="left"/>
      <w:lvlText w:val="(%2)"/>
      <w:numFmt w:val="lowerLetter"/>
      <w:start w:val="1"/>
    </w:lvl>
  </w:abstractNum>
  <w:abstractNum w:abstractNumId="57">
    <w:nsid w:val="5F5E7FD0"/>
    <w:multiLevelType w:val="hybridMultilevel"/>
    <w:lvl w:ilvl="0">
      <w:lvlJc w:val="left"/>
      <w:lvlText w:val="3"/>
      <w:numFmt w:val="bullet"/>
      <w:start w:val="1"/>
    </w:lvl>
  </w:abstractNum>
  <w:abstractNum w:abstractNumId="58">
    <w:nsid w:val="98A3148"/>
    <w:multiLevelType w:val="hybridMultilevel"/>
    <w:lvl w:ilvl="0">
      <w:lvlJc w:val="left"/>
      <w:lvlText w:val="4"/>
      <w:numFmt w:val="bullet"/>
      <w:start w:val="1"/>
    </w:lvl>
  </w:abstractNum>
  <w:abstractNum w:abstractNumId="59">
    <w:nsid w:val="799D0247"/>
    <w:multiLevelType w:val="hybridMultilevel"/>
    <w:lvl w:ilvl="0">
      <w:lvlJc w:val="left"/>
      <w:lvlText w:val="9"/>
      <w:numFmt w:val="bullet"/>
      <w:start w:val="1"/>
    </w:lvl>
  </w:abstractNum>
  <w:abstractNum w:abstractNumId="60">
    <w:nsid w:val="6B94764"/>
    <w:multiLevelType w:val="hybridMultilevel"/>
    <w:lvl w:ilvl="0">
      <w:lvlJc w:val="left"/>
      <w:lvlText w:val="%1"/>
      <w:numFmt w:val="decimal"/>
      <w:start w:val="10"/>
    </w:lvl>
  </w:abstractNum>
  <w:abstractNum w:abstractNumId="61">
    <w:nsid w:val="42C296BD"/>
    <w:multiLevelType w:val="hybridMultilevel"/>
    <w:lvl w:ilvl="0">
      <w:lvlJc w:val="left"/>
      <w:lvlText w:val="1"/>
      <w:numFmt w:val="bullet"/>
      <w:start w:val="1"/>
    </w:lvl>
  </w:abstractNum>
  <w:abstractNum w:abstractNumId="62">
    <w:nsid w:val="168E121F"/>
    <w:multiLevelType w:val="hybridMultilevel"/>
    <w:lvl w:ilvl="0">
      <w:lvlJc w:val="left"/>
      <w:lvlText w:val="2"/>
      <w:numFmt w:val="bullet"/>
      <w:start w:val="1"/>
    </w:lvl>
    <w:lvl w:ilvl="1">
      <w:lvlJc w:val="left"/>
      <w:lvlText w:val="(%2)"/>
      <w:numFmt w:val="lowerLetter"/>
      <w:start w:val="1"/>
    </w:lvl>
  </w:abstractNum>
  <w:abstractNum w:abstractNumId="63">
    <w:nsid w:val="1EBA5D23"/>
    <w:multiLevelType w:val="hybridMultilevel"/>
    <w:lvl w:ilvl="0">
      <w:lvlJc w:val="left"/>
      <w:lvlText w:val="3"/>
      <w:numFmt w:val="bullet"/>
      <w:start w:val="1"/>
    </w:lvl>
  </w:abstractNum>
  <w:abstractNum w:abstractNumId="64">
    <w:nsid w:val="661E3F1E"/>
    <w:multiLevelType w:val="hybridMultilevel"/>
    <w:lvl w:ilvl="0">
      <w:lvlJc w:val="left"/>
      <w:lvlText w:val="4"/>
      <w:numFmt w:val="bullet"/>
      <w:start w:val="1"/>
    </w:lvl>
  </w:abstractNum>
  <w:abstractNum w:abstractNumId="65">
    <w:nsid w:val="5DC79EA8"/>
    <w:multiLevelType w:val="hybridMultilevel"/>
    <w:lvl w:ilvl="0">
      <w:lvlJc w:val="left"/>
      <w:lvlText w:val="5"/>
      <w:numFmt w:val="bullet"/>
      <w:start w:val="1"/>
    </w:lvl>
  </w:abstractNum>
  <w:abstractNum w:abstractNumId="66">
    <w:nsid w:val="540A471C"/>
    <w:multiLevelType w:val="hybridMultilevel"/>
    <w:lvl w:ilvl="0">
      <w:lvlJc w:val="left"/>
      <w:lvlText w:val="9"/>
      <w:numFmt w:val="bullet"/>
      <w:start w:val="1"/>
    </w:lvl>
  </w:abstractNum>
  <w:abstractNum w:abstractNumId="67">
    <w:nsid w:val="7BD3EE7B"/>
    <w:multiLevelType w:val="hybridMultilevel"/>
    <w:lvl w:ilvl="0">
      <w:lvlJc w:val="left"/>
      <w:lvlText w:val="%1"/>
      <w:numFmt w:val="decimal"/>
      <w:start w:val="10"/>
    </w:lvl>
  </w:abstractNum>
  <w:abstractNum w:abstractNumId="68">
    <w:nsid w:val="51D9C564"/>
    <w:multiLevelType w:val="hybridMultilevel"/>
    <w:lvl w:ilvl="0">
      <w:lvlJc w:val="left"/>
      <w:lvlText w:val="1"/>
      <w:numFmt w:val="bullet"/>
      <w:start w:val="1"/>
    </w:lvl>
  </w:abstractNum>
  <w:abstractNum w:abstractNumId="69">
    <w:nsid w:val="613EFDC5"/>
    <w:multiLevelType w:val="hybridMultilevel"/>
    <w:lvl w:ilvl="0">
      <w:lvlJc w:val="left"/>
      <w:lvlText w:val="2"/>
      <w:numFmt w:val="bullet"/>
      <w:start w:val="1"/>
    </w:lvl>
    <w:lvl w:ilvl="1">
      <w:lvlJc w:val="left"/>
      <w:lvlText w:val="(%2)"/>
      <w:numFmt w:val="lowerLetter"/>
      <w:start w:val="1"/>
    </w:lvl>
  </w:abstractNum>
  <w:abstractNum w:abstractNumId="70">
    <w:nsid w:val="BF72B14"/>
    <w:multiLevelType w:val="hybridMultilevel"/>
    <w:lvl w:ilvl="0">
      <w:lvlJc w:val="left"/>
      <w:lvlText w:val="3"/>
      <w:numFmt w:val="bullet"/>
      <w:start w:val="1"/>
    </w:lvl>
  </w:abstractNum>
  <w:abstractNum w:abstractNumId="71">
    <w:nsid w:val="11447B73"/>
    <w:multiLevelType w:val="hybridMultilevel"/>
    <w:lvl w:ilvl="0">
      <w:lvlJc w:val="left"/>
      <w:lvlText w:val="4"/>
      <w:numFmt w:val="bullet"/>
      <w:start w:val="1"/>
    </w:lvl>
  </w:abstractNum>
  <w:abstractNum w:abstractNumId="72">
    <w:nsid w:val="42963E5A"/>
    <w:multiLevelType w:val="hybridMultilevel"/>
    <w:lvl w:ilvl="0">
      <w:lvlJc w:val="left"/>
      <w:lvlText w:val="9"/>
      <w:numFmt w:val="bullet"/>
      <w:start w:val="1"/>
    </w:lvl>
  </w:abstractNum>
  <w:abstractNum w:abstractNumId="73">
    <w:nsid w:val="A0382C5"/>
    <w:multiLevelType w:val="hybridMultilevel"/>
    <w:lvl w:ilvl="0">
      <w:lvlJc w:val="left"/>
      <w:lvlText w:val="%1"/>
      <w:numFmt w:val="decimal"/>
      <w:start w:val="10"/>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lowerLetter"/>
      <w:start w:val="3"/>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lowerRoman"/>
      <w:start w:val="1"/>
    </w:lvl>
  </w:abstractNum>
  <w:abstractNum w:abstractNumId="80">
    <w:nsid w:val="6A5EE64"/>
    <w:multiLevelType w:val="hybridMultilevel"/>
    <w:lvl w:ilvl="0">
      <w:lvlJc w:val="left"/>
      <w:lvlText w:val="(%1)"/>
      <w:numFmt w:val="lowerRoman"/>
      <w:start w:val="2"/>
    </w:lvl>
  </w:abstractNum>
  <w:abstractNum w:abstractNumId="81">
    <w:nsid w:val="1433062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2020-12-16T14:52:27Z</dcterms:created>
  <dcterms:modified xsi:type="dcterms:W3CDTF">2020-12-16T14:52:27Z</dcterms:modified>
</cp:coreProperties>
</file>