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SEC FILE NUMBER: 001-38313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NUMBER: 45113Y203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tbl>
      <w:tblPr>
        <w:tblLayout w:type="fixed"/>
        <w:tblInd w:w="100" w:type="dxa"/>
        <w:tblCellMar>
          <w:top w:w="0" w:type="dxa"/>
          <w:left w:w="0" w:type="dxa"/>
          <w:bottom w:w="0" w:type="dxa"/>
          <w:right w:w="0" w:type="dxa"/>
        </w:tblCellMar>
      </w:tblPr>
      <w:tr>
        <w:trPr>
          <w:trHeight w:val="297"/>
        </w:trPr>
        <w:tc>
          <w:tcPr>
            <w:tcW w:w="1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120" w:type="dxa"/>
            <w:vAlign w:val="bottom"/>
            <w:gridSpan w:val="2"/>
          </w:tcPr>
          <w:p>
            <w:pPr>
              <w:jc w:val="center"/>
              <w:ind w:right="1320"/>
              <w:spacing w:after="0"/>
              <w:rPr>
                <w:sz w:val="20"/>
                <w:szCs w:val="20"/>
                <w:color w:val="auto"/>
              </w:rPr>
            </w:pPr>
            <w:r>
              <w:rPr>
                <w:rFonts w:ascii="Times New Roman" w:cs="Times New Roman" w:eastAsia="Times New Roman" w:hAnsi="Times New Roman"/>
                <w:sz w:val="25"/>
                <w:szCs w:val="25"/>
                <w:b w:val="1"/>
                <w:bCs w:val="1"/>
                <w:color w:val="auto"/>
                <w:w w:val="98"/>
              </w:rPr>
              <w:t>UNITED STATES</w:t>
            </w:r>
          </w:p>
        </w:tc>
      </w:tr>
      <w:tr>
        <w:trPr>
          <w:trHeight w:val="304"/>
        </w:trPr>
        <w:tc>
          <w:tcPr>
            <w:tcW w:w="1560" w:type="dxa"/>
            <w:vAlign w:val="bottom"/>
          </w:tcPr>
          <w:p>
            <w:pPr>
              <w:spacing w:after="0"/>
              <w:rPr>
                <w:sz w:val="24"/>
                <w:szCs w:val="24"/>
                <w:color w:val="auto"/>
              </w:rPr>
            </w:pPr>
          </w:p>
        </w:tc>
        <w:tc>
          <w:tcPr>
            <w:tcW w:w="6680" w:type="dxa"/>
            <w:vAlign w:val="bottom"/>
            <w:gridSpan w:val="3"/>
          </w:tcPr>
          <w:p>
            <w:pPr>
              <w:jc w:val="center"/>
              <w:ind w:left="1166"/>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tc>
      </w:tr>
      <w:tr>
        <w:trPr>
          <w:trHeight w:val="238"/>
        </w:trPr>
        <w:tc>
          <w:tcPr>
            <w:tcW w:w="15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12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r>
      <w:tr>
        <w:trPr>
          <w:trHeight w:val="216"/>
        </w:trPr>
        <w:tc>
          <w:tcPr>
            <w:tcW w:w="15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320" w:type="dxa"/>
            <w:vAlign w:val="bottom"/>
          </w:tcPr>
          <w:p>
            <w:pPr>
              <w:spacing w:after="0"/>
              <w:rPr>
                <w:sz w:val="18"/>
                <w:szCs w:val="18"/>
                <w:color w:val="auto"/>
              </w:rPr>
            </w:pPr>
          </w:p>
        </w:tc>
      </w:tr>
      <w:tr>
        <w:trPr>
          <w:trHeight w:val="528"/>
        </w:trPr>
        <w:tc>
          <w:tcPr>
            <w:tcW w:w="1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120" w:type="dxa"/>
            <w:vAlign w:val="bottom"/>
            <w:gridSpan w:val="2"/>
          </w:tcPr>
          <w:p>
            <w:pPr>
              <w:jc w:val="center"/>
              <w:ind w:right="1320"/>
              <w:spacing w:after="0"/>
              <w:rPr>
                <w:sz w:val="20"/>
                <w:szCs w:val="20"/>
                <w:color w:val="auto"/>
              </w:rPr>
            </w:pPr>
            <w:r>
              <w:rPr>
                <w:rFonts w:ascii="Times New Roman" w:cs="Times New Roman" w:eastAsia="Times New Roman" w:hAnsi="Times New Roman"/>
                <w:sz w:val="25"/>
                <w:szCs w:val="25"/>
                <w:b w:val="1"/>
                <w:bCs w:val="1"/>
                <w:color w:val="auto"/>
              </w:rPr>
              <w:t>FORM 12b-25</w:t>
            </w:r>
          </w:p>
        </w:tc>
      </w:tr>
      <w:tr>
        <w:trPr>
          <w:trHeight w:val="208"/>
        </w:trPr>
        <w:tc>
          <w:tcPr>
            <w:tcW w:w="15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320" w:type="dxa"/>
            <w:vAlign w:val="bottom"/>
          </w:tcPr>
          <w:p>
            <w:pPr>
              <w:spacing w:after="0"/>
              <w:rPr>
                <w:sz w:val="18"/>
                <w:szCs w:val="18"/>
                <w:color w:val="auto"/>
              </w:rPr>
            </w:pPr>
          </w:p>
        </w:tc>
      </w:tr>
      <w:tr>
        <w:trPr>
          <w:trHeight w:val="453"/>
        </w:trPr>
        <w:tc>
          <w:tcPr>
            <w:tcW w:w="1560" w:type="dxa"/>
            <w:vAlign w:val="bottom"/>
          </w:tcPr>
          <w:p>
            <w:pPr>
              <w:spacing w:after="0"/>
              <w:rPr>
                <w:sz w:val="24"/>
                <w:szCs w:val="24"/>
                <w:color w:val="auto"/>
              </w:rPr>
            </w:pPr>
          </w:p>
        </w:tc>
        <w:tc>
          <w:tcPr>
            <w:tcW w:w="6680" w:type="dxa"/>
            <w:vAlign w:val="bottom"/>
            <w:gridSpan w:val="3"/>
          </w:tcPr>
          <w:p>
            <w:pPr>
              <w:jc w:val="center"/>
              <w:ind w:left="1146"/>
              <w:spacing w:after="0"/>
              <w:rPr>
                <w:sz w:val="20"/>
                <w:szCs w:val="20"/>
                <w:color w:val="auto"/>
              </w:rPr>
            </w:pPr>
            <w:r>
              <w:rPr>
                <w:rFonts w:ascii="Times New Roman" w:cs="Times New Roman" w:eastAsia="Times New Roman" w:hAnsi="Times New Roman"/>
                <w:sz w:val="18"/>
                <w:szCs w:val="18"/>
                <w:b w:val="1"/>
                <w:bCs w:val="1"/>
                <w:color w:val="auto"/>
                <w:w w:val="98"/>
              </w:rPr>
              <w:t>NOTIFICATION OF LATE FILING</w:t>
            </w:r>
          </w:p>
        </w:tc>
      </w:tr>
      <w:tr>
        <w:trPr>
          <w:trHeight w:val="378"/>
        </w:trPr>
        <w:tc>
          <w:tcPr>
            <w:tcW w:w="1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(Check One )</w:t>
            </w:r>
          </w:p>
        </w:tc>
        <w:tc>
          <w:tcPr>
            <w:tcW w:w="6680" w:type="dxa"/>
            <w:vAlign w:val="bottom"/>
            <w:gridSpan w:val="3"/>
          </w:tcPr>
          <w:p>
            <w:pPr>
              <w:ind w:left="6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10-Q</w:t>
            </w:r>
          </w:p>
        </w:tc>
      </w:tr>
      <w:tr>
        <w:trPr>
          <w:trHeight w:val="303"/>
        </w:trPr>
        <w:tc>
          <w:tcPr>
            <w:tcW w:w="1560" w:type="dxa"/>
            <w:vAlign w:val="bottom"/>
          </w:tcPr>
          <w:p>
            <w:pPr>
              <w:spacing w:after="0"/>
              <w:rPr>
                <w:sz w:val="24"/>
                <w:szCs w:val="24"/>
                <w:color w:val="auto"/>
              </w:rPr>
            </w:pPr>
          </w:p>
        </w:tc>
        <w:tc>
          <w:tcPr>
            <w:tcW w:w="6680" w:type="dxa"/>
            <w:vAlign w:val="bottom"/>
            <w:gridSpan w:val="3"/>
          </w:tcPr>
          <w:p>
            <w:pPr>
              <w:ind w:left="6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10-D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N-CSR</w:t>
            </w:r>
          </w:p>
        </w:tc>
      </w:tr>
      <w:tr>
        <w:trPr>
          <w:trHeight w:val="399"/>
        </w:trPr>
        <w:tc>
          <w:tcPr>
            <w:tcW w:w="1560" w:type="dxa"/>
            <w:vAlign w:val="bottom"/>
          </w:tcPr>
          <w:p>
            <w:pPr>
              <w:spacing w:after="0"/>
              <w:rPr>
                <w:sz w:val="24"/>
                <w:szCs w:val="24"/>
                <w:color w:val="auto"/>
              </w:rPr>
            </w:pPr>
          </w:p>
        </w:tc>
        <w:tc>
          <w:tcPr>
            <w:tcW w:w="66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For Period Ended: December 31, 2023</w:t>
            </w:r>
          </w:p>
        </w:tc>
      </w:tr>
      <w:tr>
        <w:trPr>
          <w:trHeight w:val="378"/>
        </w:trPr>
        <w:tc>
          <w:tcPr>
            <w:tcW w:w="1560" w:type="dxa"/>
            <w:vAlign w:val="bottom"/>
          </w:tcPr>
          <w:p>
            <w:pPr>
              <w:spacing w:after="0"/>
              <w:rPr>
                <w:sz w:val="24"/>
                <w:szCs w:val="24"/>
                <w:color w:val="auto"/>
              </w:rPr>
            </w:pPr>
          </w:p>
        </w:tc>
        <w:tc>
          <w:tcPr>
            <w:tcW w:w="6680" w:type="dxa"/>
            <w:vAlign w:val="bottom"/>
            <w:gridSpan w:val="3"/>
          </w:tcPr>
          <w:p>
            <w:pPr>
              <w:ind w:left="6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Transition Report on Form 10-K</w:t>
            </w:r>
          </w:p>
        </w:tc>
      </w:tr>
      <w:tr>
        <w:trPr>
          <w:trHeight w:val="216"/>
        </w:trPr>
        <w:tc>
          <w:tcPr>
            <w:tcW w:w="1560" w:type="dxa"/>
            <w:vAlign w:val="bottom"/>
          </w:tcPr>
          <w:p>
            <w:pPr>
              <w:spacing w:after="0"/>
              <w:rPr>
                <w:sz w:val="18"/>
                <w:szCs w:val="18"/>
                <w:color w:val="auto"/>
              </w:rPr>
            </w:pPr>
          </w:p>
        </w:tc>
        <w:tc>
          <w:tcPr>
            <w:tcW w:w="6680" w:type="dxa"/>
            <w:vAlign w:val="bottom"/>
            <w:gridSpan w:val="3"/>
          </w:tcPr>
          <w:p>
            <w:pPr>
              <w:ind w:left="6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Transition Report on Form 20-F</w:t>
            </w:r>
          </w:p>
        </w:tc>
      </w:tr>
      <w:tr>
        <w:trPr>
          <w:trHeight w:val="216"/>
        </w:trPr>
        <w:tc>
          <w:tcPr>
            <w:tcW w:w="1560" w:type="dxa"/>
            <w:vAlign w:val="bottom"/>
          </w:tcPr>
          <w:p>
            <w:pPr>
              <w:spacing w:after="0"/>
              <w:rPr>
                <w:sz w:val="18"/>
                <w:szCs w:val="18"/>
                <w:color w:val="auto"/>
              </w:rPr>
            </w:pPr>
          </w:p>
        </w:tc>
        <w:tc>
          <w:tcPr>
            <w:tcW w:w="6680" w:type="dxa"/>
            <w:vAlign w:val="bottom"/>
            <w:gridSpan w:val="3"/>
          </w:tcPr>
          <w:p>
            <w:pPr>
              <w:ind w:left="6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Transition Report on Form 11-K</w:t>
            </w:r>
          </w:p>
        </w:tc>
      </w:tr>
      <w:tr>
        <w:trPr>
          <w:trHeight w:val="252"/>
        </w:trPr>
        <w:tc>
          <w:tcPr>
            <w:tcW w:w="1560" w:type="dxa"/>
            <w:vAlign w:val="bottom"/>
          </w:tcPr>
          <w:p>
            <w:pPr>
              <w:spacing w:after="0"/>
              <w:rPr>
                <w:sz w:val="21"/>
                <w:szCs w:val="21"/>
                <w:color w:val="auto"/>
              </w:rPr>
            </w:pPr>
          </w:p>
        </w:tc>
        <w:tc>
          <w:tcPr>
            <w:tcW w:w="6680" w:type="dxa"/>
            <w:vAlign w:val="bottom"/>
            <w:gridSpan w:val="3"/>
          </w:tcPr>
          <w:p>
            <w:pPr>
              <w:ind w:left="6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Transition Report on Form 10-Q</w:t>
            </w:r>
          </w:p>
        </w:tc>
      </w:tr>
      <w:tr>
        <w:trPr>
          <w:trHeight w:val="234"/>
        </w:trPr>
        <w:tc>
          <w:tcPr>
            <w:tcW w:w="1560" w:type="dxa"/>
            <w:vAlign w:val="bottom"/>
          </w:tcPr>
          <w:p>
            <w:pPr>
              <w:spacing w:after="0"/>
              <w:rPr>
                <w:sz w:val="20"/>
                <w:szCs w:val="20"/>
                <w:color w:val="auto"/>
              </w:rPr>
            </w:pPr>
          </w:p>
        </w:tc>
        <w:tc>
          <w:tcPr>
            <w:tcW w:w="66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For the Transition Period Ended:</w:t>
            </w:r>
          </w:p>
        </w:tc>
      </w:tr>
    </w:tbl>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iClick Interactive Asia Group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15/F, Prosperity Millennia Plaza, 663 King’s Road, Quarry Bay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Hong Kong S.A.R., 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ind w:left="760" w:right="160"/>
        <w:spacing w:after="0" w:line="276" w:lineRule="auto"/>
        <w:rPr>
          <w:sz w:val="20"/>
          <w:szCs w:val="20"/>
          <w:color w:val="auto"/>
        </w:rPr>
      </w:pPr>
      <w:r>
        <w:rPr>
          <w:rFonts w:ascii="Times New Roman" w:cs="Times New Roman" w:eastAsia="Times New Roman" w:hAnsi="Times New Roman"/>
          <w:sz w:val="17"/>
          <w:szCs w:val="17"/>
          <w:color w:val="auto"/>
        </w:rPr>
        <w:t>(a)           The reason described in reasonable detail in Part III of this form could not be eliminated without unreasonable effort or expense; (b)          The subject annual report, semi-annual report, transition report on Form 10-K, Form 20-F, Form 11-K, Form N-CEN or Form N- CSR,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-273050</wp:posOffset>
            </wp:positionV>
            <wp:extent cx="8255" cy="8229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2960"/>
                    </a:xfrm>
                    <a:prstGeom prst="rect">
                      <a:avLst/>
                    </a:prstGeom>
                    <a:noFill/>
                  </pic:spPr>
                </pic:pic>
              </a:graphicData>
            </a:graphic>
          </wp:anchor>
        </w:drawing>
      </w:r>
    </w:p>
    <w:p>
      <w:pPr>
        <w:ind w:left="1400" w:right="120" w:hanging="1190"/>
        <w:spacing w:after="0" w:line="200" w:lineRule="auto"/>
        <w:tabs>
          <w:tab w:leader="none" w:pos="140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           The accountant’s statement or other exhibit required by Rule 12b-25(c) has been attached if applicable.</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SEC 1344 (06-19) Persons who are to respond to the collection of information contained in this form are not required to respond unless the form displays a currently valid OMB control number.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 extra Sheets if Needed)</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announced on April 26, 2024, iClick Interactive Asia Group Limited (the “Company”) (acting upon the recommendation of the Special Committee) exercised the right to terminate the previously announced agreement and plan of merger, dated as of November 24, 2023 (the “Merger Agreement”), by and among the Company, TSH Investment Holding Limited and TSH Merger Sub Limited. As a result of the termination of the Merger Agreement, the proposed merger will not be completed and the Company will continue to be required to file periodic reports with the SEC or otherwise subject to the reporting obligations under the U.S. federal securities laws. The Company needs additional time to complete its annual report on Form 20-F for the fiscal year ended December 31, 2023 (the “FY2023 Form 20-F”) and will not be able to file its FY2023 Form 20-F by the prescribed filing deadline.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Josephine Ngai</w:t>
            </w:r>
          </w:p>
        </w:tc>
        <w:tc>
          <w:tcPr>
            <w:tcW w:w="352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852</w:t>
            </w:r>
          </w:p>
        </w:tc>
        <w:tc>
          <w:tcPr>
            <w:tcW w:w="4200" w:type="dxa"/>
            <w:vAlign w:val="bottom"/>
            <w:tcBorders>
              <w:bottom w:val="single" w:sz="8" w:color="auto"/>
            </w:tcBorders>
          </w:tcPr>
          <w:p>
            <w:pPr>
              <w:jc w:val="right"/>
              <w:ind w:right="1590"/>
              <w:spacing w:after="0"/>
              <w:rPr>
                <w:sz w:val="20"/>
                <w:szCs w:val="20"/>
                <w:color w:val="auto"/>
              </w:rPr>
            </w:pPr>
            <w:r>
              <w:rPr>
                <w:rFonts w:ascii="Times New Roman" w:cs="Times New Roman" w:eastAsia="Times New Roman" w:hAnsi="Times New Roman"/>
                <w:sz w:val="18"/>
                <w:szCs w:val="18"/>
                <w:b w:val="1"/>
                <w:bCs w:val="1"/>
                <w:color w:val="auto"/>
              </w:rPr>
              <w:t>3700 9000</w:t>
            </w:r>
          </w:p>
        </w:tc>
      </w:tr>
      <w:tr>
        <w:trPr>
          <w:trHeight w:val="232"/>
        </w:trPr>
        <w:tc>
          <w:tcPr>
            <w:tcW w:w="35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(Name)</w:t>
            </w:r>
          </w:p>
        </w:tc>
        <w:tc>
          <w:tcPr>
            <w:tcW w:w="35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(Area Code)</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(Telephone Number)</w:t>
            </w:r>
          </w:p>
        </w:tc>
      </w:tr>
    </w:tbl>
    <w:p>
      <w:pPr>
        <w:spacing w:after="0" w:line="175" w:lineRule="exact"/>
        <w:rPr>
          <w:sz w:val="20"/>
          <w:szCs w:val="20"/>
          <w:color w:val="auto"/>
        </w:rPr>
      </w:pPr>
    </w:p>
    <w:p>
      <w:pPr>
        <w:ind w:left="660" w:right="160" w:hanging="652"/>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35" w:lineRule="exact"/>
        <w:rPr>
          <w:rFonts w:ascii="Times New Roman" w:cs="Times New Roman" w:eastAsia="Times New Roman" w:hAnsi="Times New Roman"/>
          <w:sz w:val="18"/>
          <w:szCs w:val="18"/>
          <w:color w:val="auto"/>
        </w:rPr>
      </w:pPr>
    </w:p>
    <w:p>
      <w:pPr>
        <w:ind w:left="860" w:hanging="204"/>
        <w:spacing w:after="0" w:line="207" w:lineRule="exact"/>
        <w:tabs>
          <w:tab w:leader="none" w:pos="86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5" w:lineRule="exact"/>
        <w:rPr>
          <w:rFonts w:ascii="MS PGothic" w:cs="MS PGothic" w:eastAsia="MS PGothic" w:hAnsi="MS PGothic"/>
          <w:sz w:val="18"/>
          <w:szCs w:val="18"/>
          <w:color w:val="auto"/>
        </w:rPr>
      </w:pPr>
    </w:p>
    <w:p>
      <w:pPr>
        <w:ind w:left="660" w:right="260" w:hanging="652"/>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20" w:lineRule="exact"/>
        <w:rPr>
          <w:rFonts w:ascii="Times New Roman" w:cs="Times New Roman" w:eastAsia="Times New Roman" w:hAnsi="Times New Roman"/>
          <w:sz w:val="18"/>
          <w:szCs w:val="18"/>
          <w:color w:val="auto"/>
        </w:rPr>
      </w:pPr>
    </w:p>
    <w:p>
      <w:pPr>
        <w:ind w:left="860" w:hanging="204"/>
        <w:spacing w:after="0" w:line="207" w:lineRule="exact"/>
        <w:tabs>
          <w:tab w:leader="none" w:pos="86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anticipates that there will be significant changes in its results of operations for FY2023 from the last fiscal year. In 2022, the Company recorded an impairment of goodwill and intangible assets of US$80.1 million and US$49.8 million, respectively, as disclosed in the Company’s annual report on Form 20-F for the fiscal year ended December 31, 2022 filed with the SEC on May 11, 2023 (the “FY2022 Form 20-F”). In 2023, the Company does not anticipate to make any impairment of goodwill as goodwill was fully impaired as of December 31, 2022. The Company also anticipates that there is no material impairment of intangible assets in 2023.</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cash and cash equivalents, time deposits and restricted cash of no more than US$80 million. Total undrawn facilities available for draw-down, net of bank deposits that needed to be pledged as restricted cash upon utilization of the facilities as of December 31, 2023 were no more than US$6 million.</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above financial data included in Part IV is based on the Company’s currently available information and is subject to change upon finalization of its financial statements in connection with the filing of the FY2023 Form 20-F. The Company’s reported material weaknesses from the FY2022 Form 20-F remain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notification contains forward-looking statements made under the “safe harbor” provisions of the U.S. Private Securities Litigation Reform Act of 1995. These forward-looking statements can be identified by terminology such as “will,” “expects,” “anticipates,” “future,” “intends,” “plans,” “believes,” “estimates,” “confident” and words of similar meaning. Statements that are not historical or current facts, including statements about beliefs and expectations, are forward-looking statements that involve factors, risks and uncertainties that could cause actual results to differ materially from those in the forward-looking statements. Such factors and risks include, but not limited to the following: the Company’s fluctuations in growth; its success in its strategic shift away from Marketing Solutions to focus on Enterprise Solutions; its success in implementing its SaaS + X business model;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favorable contractual terms; market competition;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the ongoing impact of the COVID-19 pandemic on the Company’s business and financial performance; fluctuations in foreign exchange rates;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notification is as of the date of this notification, and the Company undertakes no obligation to update any forward-looking statement, except as required under applicable law.</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 w:name="page4"/>
    <w:bookmarkEnd w:id="3"/>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31"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Charter)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280"/>
      </w:cols>
      <w:pgMar w:left="320" w:top="90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2024-04-30T08:09:32Z</dcterms:created>
  <dcterms:modified xsi:type="dcterms:W3CDTF">2024-04-30T08:09:32Z</dcterms:modified>
</cp:coreProperties>
</file>