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6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 the month of August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7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368" w:right="8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Wing Hong Sammy Hsieh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2018</w:t>
      </w:r>
    </w:p>
    <w:p>
      <w:pPr>
        <w:sectPr>
          <w:pgSz w:w="11900" w:h="16838" w:orient="portrait"/>
          <w:cols w:equalWidth="0" w:num="1">
            <w:col w:w="11420"/>
          </w:cols>
          <w:pgMar w:left="240" w:top="270"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0" w:type="dxa"/>
            <w:vAlign w:val="bottom"/>
          </w:tcPr>
          <w:p>
            <w:pPr>
              <w:spacing w:after="0"/>
              <w:rPr>
                <w:sz w:val="14"/>
                <w:szCs w:val="14"/>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1"/>
              </w:rPr>
              <w:t>Press Release</w:t>
            </w:r>
          </w:p>
        </w:tc>
      </w:tr>
    </w:tbl>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Reports Second Quarter 2018 Unaudited Financial Results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Hong Kong, August 23, 2018 (GLOBE NEWSWIRE) — iClick Interactive Asia Group Limited (“iClick” or the “Company”) (NASDAQ: ICLK), a leading independent online marketing and data technology platform in China, today announced its unaudited financial results for the second quarter ended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and Operational Highlights: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5280" w:type="dxa"/>
            <w:vAlign w:val="bottom"/>
            <w:gridSpan w:val="3"/>
          </w:tcPr>
          <w:p>
            <w:pPr>
              <w:jc w:val="center"/>
              <w:ind w:left="2136"/>
              <w:spacing w:after="0"/>
              <w:rPr>
                <w:sz w:val="20"/>
                <w:szCs w:val="20"/>
                <w:color w:val="auto"/>
              </w:rPr>
            </w:pPr>
            <w:r>
              <w:rPr>
                <w:rFonts w:ascii="Arial" w:cs="Arial" w:eastAsia="Arial" w:hAnsi="Arial"/>
                <w:sz w:val="14"/>
                <w:szCs w:val="14"/>
                <w:color w:val="auto"/>
                <w:w w:val="92"/>
              </w:rPr>
              <w:t>Three Months Ended June 30,</w:t>
            </w:r>
          </w:p>
        </w:tc>
      </w:tr>
      <w:tr>
        <w:trPr>
          <w:trHeight w:val="149"/>
        </w:trPr>
        <w:tc>
          <w:tcPr>
            <w:tcW w:w="6140" w:type="dxa"/>
            <w:vAlign w:val="bottom"/>
          </w:tcPr>
          <w:p>
            <w:pPr>
              <w:spacing w:after="0"/>
              <w:rPr>
                <w:sz w:val="12"/>
                <w:szCs w:val="12"/>
                <w:color w:val="auto"/>
              </w:rPr>
            </w:pPr>
          </w:p>
        </w:tc>
        <w:tc>
          <w:tcPr>
            <w:tcW w:w="3320" w:type="dxa"/>
            <w:vAlign w:val="bottom"/>
          </w:tcPr>
          <w:p>
            <w:pPr>
              <w:jc w:val="center"/>
              <w:ind w:left="2196"/>
              <w:spacing w:after="0" w:line="149" w:lineRule="exact"/>
              <w:rPr>
                <w:sz w:val="20"/>
                <w:szCs w:val="20"/>
                <w:color w:val="auto"/>
              </w:rPr>
            </w:pPr>
            <w:r>
              <w:rPr>
                <w:rFonts w:ascii="Arial" w:cs="Arial" w:eastAsia="Arial" w:hAnsi="Arial"/>
                <w:sz w:val="14"/>
                <w:szCs w:val="14"/>
                <w:color w:val="auto"/>
                <w:w w:val="89"/>
              </w:rPr>
              <w:t>2017</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020" w:type="dxa"/>
            <w:vAlign w:val="bottom"/>
          </w:tcPr>
          <w:p>
            <w:pPr>
              <w:spacing w:after="0"/>
              <w:rPr>
                <w:sz w:val="12"/>
                <w:szCs w:val="12"/>
                <w:color w:val="auto"/>
              </w:rPr>
            </w:pPr>
          </w:p>
        </w:tc>
      </w:tr>
      <w:tr>
        <w:trPr>
          <w:trHeight w:val="149"/>
        </w:trPr>
        <w:tc>
          <w:tcPr>
            <w:tcW w:w="6140" w:type="dxa"/>
            <w:vAlign w:val="bottom"/>
          </w:tcPr>
          <w:p>
            <w:pPr>
              <w:spacing w:after="0"/>
              <w:rPr>
                <w:sz w:val="12"/>
                <w:szCs w:val="12"/>
                <w:color w:val="auto"/>
              </w:rPr>
            </w:pPr>
          </w:p>
        </w:tc>
        <w:tc>
          <w:tcPr>
            <w:tcW w:w="3320" w:type="dxa"/>
            <w:vAlign w:val="bottom"/>
          </w:tcPr>
          <w:p>
            <w:pPr>
              <w:jc w:val="center"/>
              <w:ind w:left="2196"/>
              <w:spacing w:after="0" w:line="149" w:lineRule="exact"/>
              <w:rPr>
                <w:sz w:val="20"/>
                <w:szCs w:val="20"/>
                <w:color w:val="auto"/>
              </w:rPr>
            </w:pPr>
            <w:r>
              <w:rPr>
                <w:rFonts w:ascii="Arial" w:cs="Arial" w:eastAsia="Arial" w:hAnsi="Arial"/>
                <w:sz w:val="14"/>
                <w:szCs w:val="14"/>
                <w:color w:val="auto"/>
                <w:w w:val="94"/>
              </w:rPr>
              <w:t>(US$ in</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8"/>
              </w:rPr>
              <w:t>(US$ in</w:t>
            </w:r>
          </w:p>
        </w:tc>
        <w:tc>
          <w:tcPr>
            <w:tcW w:w="102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Percentage</w:t>
            </w:r>
          </w:p>
        </w:tc>
      </w:tr>
      <w:tr>
        <w:trPr>
          <w:trHeight w:val="149"/>
        </w:trPr>
        <w:tc>
          <w:tcPr>
            <w:tcW w:w="6140" w:type="dxa"/>
            <w:vAlign w:val="bottom"/>
          </w:tcPr>
          <w:p>
            <w:pPr>
              <w:spacing w:after="0"/>
              <w:rPr>
                <w:sz w:val="12"/>
                <w:szCs w:val="12"/>
                <w:color w:val="auto"/>
              </w:rPr>
            </w:pPr>
          </w:p>
        </w:tc>
        <w:tc>
          <w:tcPr>
            <w:tcW w:w="3320" w:type="dxa"/>
            <w:vAlign w:val="bottom"/>
          </w:tcPr>
          <w:p>
            <w:pPr>
              <w:jc w:val="center"/>
              <w:ind w:left="2196"/>
              <w:spacing w:after="0" w:line="149" w:lineRule="exact"/>
              <w:rPr>
                <w:sz w:val="20"/>
                <w:szCs w:val="20"/>
                <w:color w:val="auto"/>
              </w:rPr>
            </w:pPr>
            <w:r>
              <w:rPr>
                <w:rFonts w:ascii="Arial" w:cs="Arial" w:eastAsia="Arial" w:hAnsi="Arial"/>
                <w:sz w:val="14"/>
                <w:szCs w:val="14"/>
                <w:color w:val="auto"/>
                <w:w w:val="92"/>
              </w:rPr>
              <w:t>thousands)</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9"/>
              </w:rPr>
              <w:t>thousands)</w:t>
            </w:r>
          </w:p>
        </w:tc>
        <w:tc>
          <w:tcPr>
            <w:tcW w:w="1020" w:type="dxa"/>
            <w:vAlign w:val="bottom"/>
          </w:tcPr>
          <w:p>
            <w:pPr>
              <w:jc w:val="right"/>
              <w:ind w:right="294"/>
              <w:spacing w:after="0" w:line="149" w:lineRule="exact"/>
              <w:rPr>
                <w:sz w:val="20"/>
                <w:szCs w:val="20"/>
                <w:color w:val="auto"/>
              </w:rPr>
            </w:pPr>
            <w:r>
              <w:rPr>
                <w:rFonts w:ascii="Arial" w:cs="Arial" w:eastAsia="Arial" w:hAnsi="Arial"/>
                <w:sz w:val="14"/>
                <w:szCs w:val="14"/>
                <w:color w:val="auto"/>
              </w:rPr>
              <w:t>change</w:t>
            </w:r>
          </w:p>
        </w:tc>
      </w:tr>
      <w:tr>
        <w:trPr>
          <w:trHeight w:val="167"/>
        </w:trPr>
        <w:tc>
          <w:tcPr>
            <w:tcW w:w="6140" w:type="dxa"/>
            <w:vAlign w:val="bottom"/>
          </w:tcPr>
          <w:p>
            <w:pPr>
              <w:spacing w:after="0"/>
              <w:rPr>
                <w:sz w:val="14"/>
                <w:szCs w:val="14"/>
                <w:color w:val="auto"/>
              </w:rPr>
            </w:pPr>
          </w:p>
        </w:tc>
        <w:tc>
          <w:tcPr>
            <w:tcW w:w="4260" w:type="dxa"/>
            <w:vAlign w:val="bottom"/>
            <w:gridSpan w:val="2"/>
          </w:tcPr>
          <w:p>
            <w:pPr>
              <w:jc w:val="right"/>
              <w:ind w:right="534"/>
              <w:spacing w:after="0"/>
              <w:rPr>
                <w:sz w:val="20"/>
                <w:szCs w:val="20"/>
                <w:color w:val="auto"/>
              </w:rPr>
            </w:pPr>
            <w:r>
              <w:rPr>
                <w:rFonts w:ascii="Arial" w:cs="Arial" w:eastAsia="Arial" w:hAnsi="Arial"/>
                <w:sz w:val="14"/>
                <w:szCs w:val="14"/>
                <w:i w:val="1"/>
                <w:iCs w:val="1"/>
                <w:color w:val="auto"/>
              </w:rPr>
              <w:t>(Unaudited)</w:t>
            </w:r>
          </w:p>
        </w:tc>
        <w:tc>
          <w:tcPr>
            <w:tcW w:w="1020" w:type="dxa"/>
            <w:vAlign w:val="bottom"/>
          </w:tcPr>
          <w:p>
            <w:pPr>
              <w:spacing w:after="0"/>
              <w:rPr>
                <w:sz w:val="14"/>
                <w:szCs w:val="14"/>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3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revenues</w:t>
            </w:r>
          </w:p>
        </w:tc>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revenues from mobile audience solutions</w:t>
            </w:r>
          </w:p>
        </w:tc>
        <w:tc>
          <w:tcPr>
            <w:tcW w:w="3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24,092</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37,812</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w:t>
            </w: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Net revenues from other solutions</w:t>
            </w:r>
          </w:p>
        </w:tc>
        <w:tc>
          <w:tcPr>
            <w:tcW w:w="3320" w:type="dxa"/>
            <w:vAlign w:val="bottom"/>
          </w:tcPr>
          <w:p>
            <w:pPr>
              <w:jc w:val="right"/>
              <w:ind w:right="116"/>
              <w:spacing w:after="0"/>
              <w:rPr>
                <w:sz w:val="20"/>
                <w:szCs w:val="20"/>
                <w:color w:val="auto"/>
              </w:rPr>
            </w:pPr>
            <w:r>
              <w:rPr>
                <w:rFonts w:ascii="Arial" w:cs="Arial" w:eastAsia="Arial" w:hAnsi="Arial"/>
                <w:sz w:val="18"/>
                <w:szCs w:val="18"/>
                <w:color w:val="auto"/>
              </w:rPr>
              <w:t>5,765</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4,885</w:t>
            </w: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3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29,857</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42,697</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3320" w:type="dxa"/>
            <w:vAlign w:val="bottom"/>
          </w:tcPr>
          <w:p>
            <w:pPr>
              <w:jc w:val="right"/>
              <w:ind w:right="116"/>
              <w:spacing w:after="0"/>
              <w:rPr>
                <w:sz w:val="20"/>
                <w:szCs w:val="20"/>
                <w:color w:val="auto"/>
              </w:rPr>
            </w:pPr>
            <w:r>
              <w:rPr>
                <w:rFonts w:ascii="Arial" w:cs="Arial" w:eastAsia="Arial" w:hAnsi="Arial"/>
                <w:sz w:val="18"/>
                <w:szCs w:val="18"/>
                <w:color w:val="auto"/>
              </w:rPr>
              <w:t>30</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851</w:t>
            </w:r>
          </w:p>
        </w:tc>
        <w:tc>
          <w:tcPr>
            <w:tcW w:w="10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3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(2,123)</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(1,138)</w:t>
            </w:r>
          </w:p>
        </w:tc>
        <w:tc>
          <w:tcPr>
            <w:tcW w:w="10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Diluted adjusted net loss per ADS</w:t>
            </w:r>
            <w:r>
              <w:rPr>
                <w:rFonts w:ascii="Arial" w:cs="Arial" w:eastAsia="Arial" w:hAnsi="Arial"/>
                <w:sz w:val="15"/>
                <w:szCs w:val="15"/>
                <w:color w:val="auto"/>
              </w:rPr>
              <w:t>1</w:t>
            </w:r>
          </w:p>
        </w:tc>
        <w:tc>
          <w:tcPr>
            <w:tcW w:w="3320" w:type="dxa"/>
            <w:vAlign w:val="bottom"/>
          </w:tcPr>
          <w:p>
            <w:pPr>
              <w:jc w:val="right"/>
              <w:ind w:right="56"/>
              <w:spacing w:after="0"/>
              <w:rPr>
                <w:sz w:val="20"/>
                <w:szCs w:val="20"/>
                <w:color w:val="auto"/>
              </w:rPr>
            </w:pPr>
            <w:r>
              <w:rPr>
                <w:rFonts w:ascii="Arial" w:cs="Arial" w:eastAsia="Arial" w:hAnsi="Arial"/>
                <w:sz w:val="18"/>
                <w:szCs w:val="18"/>
                <w:color w:val="auto"/>
              </w:rPr>
              <w:t>(0.10)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(0.02)</w:t>
            </w:r>
          </w:p>
        </w:tc>
        <w:tc>
          <w:tcPr>
            <w:tcW w:w="10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3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Gross billing</w:t>
            </w:r>
          </w:p>
        </w:tc>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billing from mobile audience solutions</w:t>
            </w:r>
          </w:p>
        </w:tc>
        <w:tc>
          <w:tcPr>
            <w:tcW w:w="3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38,038</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88,898</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133.7%</w:t>
            </w: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Gross billing from other solutions</w:t>
            </w:r>
          </w:p>
        </w:tc>
        <w:tc>
          <w:tcPr>
            <w:tcW w:w="3320" w:type="dxa"/>
            <w:vAlign w:val="bottom"/>
          </w:tcPr>
          <w:p>
            <w:pPr>
              <w:jc w:val="right"/>
              <w:ind w:right="116"/>
              <w:spacing w:after="0"/>
              <w:rPr>
                <w:sz w:val="20"/>
                <w:szCs w:val="20"/>
                <w:color w:val="auto"/>
              </w:rPr>
            </w:pPr>
            <w:r>
              <w:rPr>
                <w:rFonts w:ascii="Arial" w:cs="Arial" w:eastAsia="Arial" w:hAnsi="Arial"/>
                <w:sz w:val="18"/>
                <w:szCs w:val="18"/>
                <w:color w:val="auto"/>
              </w:rPr>
              <w:t>18,503</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16,491</w:t>
            </w: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gross billing</w:t>
            </w:r>
          </w:p>
        </w:tc>
        <w:tc>
          <w:tcPr>
            <w:tcW w:w="3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56,541</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105,389</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r>
    </w:tbl>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pleased to announce another quarter of strong growth and encouraging development with historical record highs in many key financial and operational metrics. During the second quarter of 2018, total gross billing and net revenues reached new highs of $105.4 million and $42.7 million and achieved solid organic growth by increasing 86.4% and 43.0%, respectively from the second quarter of 2017,” said Mr. Sammy Hsieh, Chief Executive Officer and Co-Founder of iClick. “During the second quarter, our mobile audience solutions continued robust growth momentum with gross billing and net revenues realizing 133.7% and 56.9% year-over-year growth. More excitingly, with our efficient operational management, our adjusted EBITDA increased significantly to $0.85 million from $0.03 million for the same period last year. As a result, our adjusted net loss was further narrowed during the quarter. In addition, we have announced engagements with Ctrip and Bilibili to further enrich our audience profiles, and we remained active in our international expansion by engaging with MezzoMedia, a leading digital marketing company in Korea, which set the foundation for the opening of our new Korean Office. We have also been promoting our newly launched Business Intelligence solutions to clients in industries including retail, online education, and real estate. These achievements reaffirmed our confidence in driving efficient growth for the second half of 2018 as we continue the extension of our sophisticated data technology and expand collaboration with our existing and new clients,” Mr. Hsieh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62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2018 Financial and Operational Updates:</w:t>
      </w:r>
    </w:p>
    <w:p>
      <w:pPr>
        <w:spacing w:after="0" w:line="117"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for the second quarter of 2018 increased by 43.0% to US$42.7 million from US$29.9 million in the second quarter of 2017, primarily as a</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an increase in net revenues from mobile audience solutions and partially offset by a decrease in net revenues from other solutions.</w:t>
      </w:r>
    </w:p>
    <w:p>
      <w:pPr>
        <w:spacing w:after="0" w:line="14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 xml:space="preserve">Net revenues from mobile audience solutions </w:t>
      </w:r>
      <w:r>
        <w:rPr>
          <w:rFonts w:ascii="Arial" w:cs="Arial" w:eastAsia="Arial" w:hAnsi="Arial"/>
          <w:sz w:val="17"/>
          <w:szCs w:val="17"/>
          <w:color w:val="auto"/>
        </w:rPr>
        <w:t>for the second quarter of 2018 increased by 56.9% to US$37.8 million from US$24.1 million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2017, primarily as a result of the strategic focus shifting to capture more market demand in mobile audience solutions.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Net revenues from other solutions </w:t>
      </w:r>
      <w:r>
        <w:rPr>
          <w:rFonts w:ascii="Arial" w:cs="Arial" w:eastAsia="Arial" w:hAnsi="Arial"/>
          <w:sz w:val="18"/>
          <w:szCs w:val="18"/>
          <w:color w:val="auto"/>
        </w:rPr>
        <w:t>for the second quarter of 2018 decreased by 15.3% to US$4.9 million from US$5.8 million in the second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the continued strategic shift away from other solutions.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second quarter of 2018 increased by 42.6% to US$9.9 million from US$7.0 million in the second quarter of 2017, primarily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gross profit from mobile audience solutions.</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increased by 20.5% to US$11.1 million for the second quarter of 2018 from US$9.2 million for the second quarter of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was primarily due to increased marketing activities and use of professional services after the Company’s IPO.</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for the second quarter of 2018 was US$1.2 million, decreased by 48.2% from US$2.2 million during the second quarter of 2017,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above.</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totaled US$2.6 million for the second quarter of 2018, decreasing from US$10.2 million for the second quarter of 2017. Net loss attributable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shareholders per diluted ADS was US$0.05, compared with US$0.40 in the second quarter of 2017.</w:t>
      </w:r>
    </w:p>
    <w:p>
      <w:pPr>
        <w:spacing w:after="0" w:line="54"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b w:val="1"/>
          <w:bCs w:val="1"/>
          <w:color w:val="auto"/>
        </w:rPr>
        <w:t>Gross billing</w:t>
      </w:r>
      <w:r>
        <w:rPr>
          <w:rFonts w:ascii="Arial" w:cs="Arial" w:eastAsia="Arial" w:hAnsi="Arial"/>
          <w:sz w:val="15"/>
          <w:szCs w:val="15"/>
          <w:color w:val="auto"/>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US$105.4 million during the second quarter of 2018, an increase of 86.4% from the second quarter of 2017, primarily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growth in mobile audience solutions. Gross billing from mobile audience solutions was US$88.9 million during the second quarter of 2018, an increase of 133.7% from the second quarter of 2017, as a result of clients generating larger mobile marketing spend. Gross billing from other solutions was US$16.5 million during the second quarter of 2018, a decrease of 10.9% from the second quarter of 2017, primarily as a result of the strategic focus shifting to mobile audience solutions.</w:t>
      </w:r>
    </w:p>
    <w:p>
      <w:pPr>
        <w:spacing w:after="0" w:line="184"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second quarter of 2018 was US$0.85 million, compared with US$0.03 million during the second quarter of 2017, primarily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a substantial increase of the gross profit. For a reconciliation of the Company’s adjusted EBITDA to net loss, its most comparable GAAP measure, please refer to “Unaudited Reconciliations of GAAP and Non-GAAP Results.”</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Adjusted net loss </w:t>
      </w:r>
      <w:r>
        <w:rPr>
          <w:rFonts w:ascii="Arial" w:cs="Arial" w:eastAsia="Arial" w:hAnsi="Arial"/>
          <w:sz w:val="18"/>
          <w:szCs w:val="18"/>
          <w:color w:val="auto"/>
        </w:rPr>
        <w:t>for the second quarter of 2018 attributable to the Company’s shareholders, which excludes share-based compensation expenses,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loss on derivative liabilities, and other losses/(gains), decreased to US$1.1 million from US$2.1 million in the second quarter of 2017. For a reconciliation of the Company’s adjusted net loss to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ectPr>
          <w:pgSz w:w="11900" w:h="16838" w:orient="portrait"/>
          <w:cols w:equalWidth="0" w:num="1">
            <w:col w:w="11400"/>
          </w:cols>
          <w:pgMar w:left="240" w:top="270" w:right="259" w:bottom="144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June 30, 2018, the Company’s cash and cash equivalents amounted to US$26.1 million, compared with US$19.4 million cash and cash equivalents and US$25.0 million time deposit as of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the information available as of the date of this press release, the Company provides the following outlook:</w:t>
      </w:r>
    </w:p>
    <w:p>
      <w:pPr>
        <w:spacing w:after="0" w:line="131" w:lineRule="exact"/>
        <w:rPr>
          <w:sz w:val="20"/>
          <w:szCs w:val="20"/>
          <w:color w:val="auto"/>
        </w:rPr>
      </w:pPr>
    </w:p>
    <w:p>
      <w:pPr>
        <w:ind w:left="2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revenues are estimated to be between US$175 million and US$180 million for the full year 2018, representing a growth between 39.7% to 43.7% from the full year 2017.</w:t>
      </w:r>
    </w:p>
    <w:p>
      <w:pPr>
        <w:spacing w:after="0" w:line="75" w:lineRule="exact"/>
        <w:rPr>
          <w:rFonts w:ascii="Arial" w:cs="Arial" w:eastAsia="Arial" w:hAnsi="Arial"/>
          <w:sz w:val="18"/>
          <w:szCs w:val="18"/>
          <w:color w:val="auto"/>
        </w:rPr>
      </w:pPr>
    </w:p>
    <w:p>
      <w:pPr>
        <w:ind w:left="220" w:right="1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billing is estimated to be between US$380 million and US$420 million for the full year 2018, representing a growth between 53.1% to 69.2% from the full year 2017.</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above outlook is based on the current market conditions and reflects the Company’s preliminary estimates of market and operating conditions, and customer demand, which are all subject to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management will host an earnings conference call at 8:00 AM U.S. Eastern Time on August 23, 2018 (8:00 PM Beijing/Hong Kong time on August 23,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United States:</w:t>
            </w:r>
          </w:p>
        </w:tc>
        <w:tc>
          <w:tcPr>
            <w:tcW w:w="1520" w:type="dxa"/>
            <w:vAlign w:val="bottom"/>
          </w:tcPr>
          <w:p>
            <w:pPr>
              <w:ind w:left="260"/>
              <w:spacing w:after="0"/>
              <w:rPr>
                <w:sz w:val="20"/>
                <w:szCs w:val="20"/>
                <w:color w:val="auto"/>
              </w:rPr>
            </w:pPr>
            <w:r>
              <w:rPr>
                <w:rFonts w:ascii="Arial" w:cs="Arial" w:eastAsia="Arial" w:hAnsi="Arial"/>
                <w:sz w:val="18"/>
                <w:szCs w:val="18"/>
                <w:color w:val="auto"/>
                <w:w w:val="89"/>
              </w:rPr>
              <w:t>+1-845-675-0437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ind w:left="260"/>
              <w:spacing w:after="0"/>
              <w:rPr>
                <w:sz w:val="20"/>
                <w:szCs w:val="20"/>
                <w:color w:val="auto"/>
              </w:rPr>
            </w:pPr>
            <w:r>
              <w:rPr>
                <w:rFonts w:ascii="Arial" w:cs="Arial" w:eastAsia="Arial" w:hAnsi="Arial"/>
                <w:sz w:val="18"/>
                <w:szCs w:val="18"/>
                <w:color w:val="auto"/>
              </w:rPr>
              <w:t>+65-6713-5090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Hong Kong:</w:t>
            </w:r>
          </w:p>
        </w:tc>
        <w:tc>
          <w:tcPr>
            <w:tcW w:w="1520" w:type="dxa"/>
            <w:vAlign w:val="bottom"/>
          </w:tcPr>
          <w:p>
            <w:pPr>
              <w:ind w:left="260"/>
              <w:spacing w:after="0"/>
              <w:rPr>
                <w:sz w:val="20"/>
                <w:szCs w:val="20"/>
                <w:color w:val="auto"/>
              </w:rPr>
            </w:pPr>
            <w:r>
              <w:rPr>
                <w:rFonts w:ascii="Arial" w:cs="Arial" w:eastAsia="Arial" w:hAnsi="Arial"/>
                <w:sz w:val="18"/>
                <w:szCs w:val="18"/>
                <w:color w:val="auto"/>
                <w:w w:val="93"/>
              </w:rPr>
              <w:t>+852-3018-6771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China:</w:t>
            </w:r>
          </w:p>
        </w:tc>
        <w:tc>
          <w:tcPr>
            <w:tcW w:w="1520" w:type="dxa"/>
            <w:vAlign w:val="bottom"/>
          </w:tcPr>
          <w:p>
            <w:pPr>
              <w:ind w:left="260"/>
              <w:spacing w:after="0"/>
              <w:rPr>
                <w:sz w:val="20"/>
                <w:szCs w:val="20"/>
                <w:color w:val="auto"/>
              </w:rPr>
            </w:pPr>
            <w:r>
              <w:rPr>
                <w:rFonts w:ascii="Arial" w:cs="Arial" w:eastAsia="Arial" w:hAnsi="Arial"/>
                <w:sz w:val="18"/>
                <w:szCs w:val="18"/>
                <w:color w:val="auto"/>
              </w:rPr>
              <w:t>400-620-8038</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Conference ID:</w:t>
            </w:r>
          </w:p>
        </w:tc>
        <w:tc>
          <w:tcPr>
            <w:tcW w:w="1520" w:type="dxa"/>
            <w:vAlign w:val="bottom"/>
          </w:tcPr>
          <w:p>
            <w:pPr>
              <w:ind w:left="260"/>
              <w:spacing w:after="0"/>
              <w:rPr>
                <w:sz w:val="20"/>
                <w:szCs w:val="20"/>
                <w:color w:val="auto"/>
              </w:rPr>
            </w:pPr>
            <w:r>
              <w:rPr>
                <w:rFonts w:ascii="Arial" w:cs="Arial" w:eastAsia="Arial" w:hAnsi="Arial"/>
                <w:sz w:val="18"/>
                <w:szCs w:val="18"/>
                <w:color w:val="auto"/>
              </w:rPr>
              <w:t>2783225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5 minutes before the scheduled start time and ask to be connected to the call for “iClick Interactive.”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http://ir.i-click.com</w:t>
      </w:r>
      <w:r>
        <w:rPr>
          <w:rFonts w:ascii="Arial" w:cs="Arial" w:eastAsia="Arial" w:hAnsi="Arial"/>
          <w:sz w:val="17"/>
          <w:szCs w:val="17"/>
          <w:color w:val="auto"/>
        </w:rPr>
        <w:t>.</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replay of the conference call will be accessible approximately one hour after the conclusion of the live call until August 30, 2018, by dialling the following telephone numbers: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+1-855-452-5696</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+61-2-8199-0299</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Hong Kong:</w:t>
            </w:r>
          </w:p>
        </w:tc>
        <w:tc>
          <w:tcPr>
            <w:tcW w:w="1540" w:type="dxa"/>
            <w:vAlign w:val="bottom"/>
          </w:tcPr>
          <w:p>
            <w:pPr>
              <w:ind w:left="280"/>
              <w:spacing w:after="0"/>
              <w:rPr>
                <w:sz w:val="20"/>
                <w:szCs w:val="20"/>
                <w:color w:val="auto"/>
              </w:rPr>
            </w:pPr>
            <w:r>
              <w:rPr>
                <w:rFonts w:ascii="Arial" w:cs="Arial" w:eastAsia="Arial" w:hAnsi="Arial"/>
                <w:sz w:val="18"/>
                <w:szCs w:val="18"/>
                <w:color w:val="auto"/>
              </w:rPr>
              <w:t>800-963-117</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China:</w:t>
            </w:r>
          </w:p>
        </w:tc>
        <w:tc>
          <w:tcPr>
            <w:tcW w:w="1540" w:type="dxa"/>
            <w:vAlign w:val="bottom"/>
          </w:tcPr>
          <w:p>
            <w:pPr>
              <w:ind w:left="280"/>
              <w:spacing w:after="0"/>
              <w:rPr>
                <w:sz w:val="20"/>
                <w:szCs w:val="20"/>
                <w:color w:val="auto"/>
              </w:rPr>
            </w:pPr>
            <w:r>
              <w:rPr>
                <w:rFonts w:ascii="Arial" w:cs="Arial" w:eastAsia="Arial" w:hAnsi="Arial"/>
                <w:sz w:val="18"/>
                <w:szCs w:val="18"/>
                <w:color w:val="auto"/>
              </w:rPr>
              <w:t>400-632-2162</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Replay Access Code:</w:t>
            </w:r>
          </w:p>
        </w:tc>
        <w:tc>
          <w:tcPr>
            <w:tcW w:w="1540" w:type="dxa"/>
            <w:vAlign w:val="bottom"/>
          </w:tcPr>
          <w:p>
            <w:pPr>
              <w:ind w:left="280"/>
              <w:spacing w:after="0"/>
              <w:rPr>
                <w:sz w:val="20"/>
                <w:szCs w:val="20"/>
                <w:color w:val="auto"/>
              </w:rPr>
            </w:pPr>
            <w:r>
              <w:rPr>
                <w:rFonts w:ascii="Arial" w:cs="Arial" w:eastAsia="Arial" w:hAnsi="Arial"/>
                <w:sz w:val="18"/>
                <w:szCs w:val="18"/>
                <w:color w:val="auto"/>
              </w:rPr>
              <w:t>2783225</w:t>
            </w:r>
          </w:p>
        </w:tc>
      </w:tr>
    </w:tbl>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iClick Interactive Asia Group Limited</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iClick Interactive Asia Group Limited (NASDAQ:ICLK)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currently operating in nine locations worldwide including Asia and London.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http://ir.i-click.com.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 making purposes.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Preliminary Unaudited Financial Information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unaudited financial information set out in this press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ectPr>
          <w:pgSz w:w="11900" w:h="16838" w:orient="portrait"/>
          <w:cols w:equalWidth="0" w:num="1">
            <w:col w:w="11360"/>
          </w:cols>
          <w:pgMar w:left="240" w:top="27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(10) 5730-6200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ectPr>
          <w:pgSz w:w="11900" w:h="16838" w:orient="portrait"/>
          <w:cols w:equalWidth="0" w:num="1">
            <w:col w:w="11380"/>
          </w:cols>
          <w:pgMar w:left="240" w:top="27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color w:val="auto"/>
              </w:rPr>
              <w:t>Three Months Ended</w:t>
            </w:r>
          </w:p>
        </w:tc>
        <w:tc>
          <w:tcPr>
            <w:tcW w:w="2060" w:type="dxa"/>
            <w:vAlign w:val="bottom"/>
            <w:gridSpan w:val="4"/>
          </w:tcPr>
          <w:p>
            <w:pPr>
              <w:jc w:val="right"/>
              <w:ind w:right="5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160" w:type="dxa"/>
            <w:vAlign w:val="bottom"/>
            <w:gridSpan w:val="5"/>
          </w:tcPr>
          <w:p>
            <w:pPr>
              <w:jc w:val="right"/>
              <w:ind w:right="940"/>
              <w:spacing w:after="0"/>
              <w:rPr>
                <w:sz w:val="20"/>
                <w:szCs w:val="20"/>
                <w:color w:val="auto"/>
              </w:rPr>
            </w:pPr>
            <w:r>
              <w:rPr>
                <w:rFonts w:ascii="Arial" w:cs="Arial" w:eastAsia="Arial" w:hAnsi="Arial"/>
                <w:sz w:val="14"/>
                <w:szCs w:val="14"/>
                <w:color w:val="auto"/>
              </w:rPr>
              <w:t>June 30,</w:t>
            </w:r>
          </w:p>
        </w:tc>
        <w:tc>
          <w:tcPr>
            <w:tcW w:w="2060" w:type="dxa"/>
            <w:vAlign w:val="bottom"/>
            <w:gridSpan w:val="4"/>
          </w:tcPr>
          <w:p>
            <w:pPr>
              <w:jc w:val="right"/>
              <w:ind w:right="84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3</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(22,904)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(32,785)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(42,431)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(5,588)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(6,276)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(12,205)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(2,135)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(11,069)</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(19,948)</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(2,233)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(141)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loss on derivative liabilities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(7,297)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(14,727)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(9,631)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tax expenses</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(610)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(22,245)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w w:val="99"/>
              </w:rPr>
              <w:t>Net loss attributable to iClick Interactive Asia Group Limited’s ordinary shareholders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(23,488)</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(22,245)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(22,416)</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ADS attributable to iClick Interactive Asia Group Limited</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Basic</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(0.40)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27,242,644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52,167,588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27,233,382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52,158,106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Diluted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27,242,644</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52,167,588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27,233,382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52,158,106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right="4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On January 1, 2018, the Company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rPr>
              <w:t>As of</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Time deposit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Accounts receivable, net of allowance for doubtful receivables of US$1,478 and US$1,476 as of December 31, 2017 and June 30,</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 respectively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40,798</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Rebates receivable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37,784</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117,868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10,600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59,155</w:t>
            </w: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Accounts payable (including accounts payable of the consolidated variable interest entity (“VIE”) and its subsidiary without</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US$29 as of December 31, 2017 and June 30, 2018, respectively)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tcPr>
          <w:p>
            <w:pPr>
              <w:spacing w:after="0" w:line="201" w:lineRule="exact"/>
              <w:rPr>
                <w:sz w:val="20"/>
                <w:szCs w:val="20"/>
                <w:color w:val="auto"/>
              </w:rPr>
            </w:pPr>
            <w:r>
              <w:rPr>
                <w:rFonts w:ascii="Arial" w:cs="Arial" w:eastAsia="Arial" w:hAnsi="Arial"/>
                <w:sz w:val="18"/>
                <w:szCs w:val="18"/>
                <w:color w:val="auto"/>
                <w:w w:val="97"/>
              </w:rPr>
              <w:t>Deferred revenue (including deferred revenue of the consolidated VIE and its subsidiary without recourse to the Company of</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US$5,986 and US$2,767 as of December 31, 2017 and June 30, 2018, respectively)</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33,037</w:t>
            </w:r>
          </w:p>
        </w:tc>
        <w:tc>
          <w:tcPr>
            <w:tcW w:w="2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26,492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Accrued liabilities and other current liabilities (including accrued liabilities and other current liabilities of the consolidated VIE</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and its subsidiary without recourse to the Company of US$804 and US$374 as of December 31, 2017 and June 30, 2018,</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16,129</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Bank borrowings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10,486</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liability</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3,159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As of</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December 31,</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60" w:type="dxa"/>
            <w:vAlign w:val="bottom"/>
          </w:tcPr>
          <w:p>
            <w:pPr>
              <w:ind w:left="340"/>
              <w:spacing w:after="0" w:line="201" w:lineRule="exact"/>
              <w:rPr>
                <w:sz w:val="20"/>
                <w:szCs w:val="20"/>
                <w:color w:val="auto"/>
              </w:rPr>
            </w:pPr>
            <w:r>
              <w:rPr>
                <w:rFonts w:ascii="Arial" w:cs="Arial" w:eastAsia="Arial" w:hAnsi="Arial"/>
                <w:sz w:val="18"/>
                <w:szCs w:val="18"/>
                <w:color w:val="auto"/>
                <w:w w:val="92"/>
              </w:rPr>
              <w:t>Ordinary shares – Class A (US$0.001 par value; 80,000,000 shares authorized as of December 31, 2017 and June 30, 2018,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520"/>
              <w:spacing w:after="0"/>
              <w:rPr>
                <w:sz w:val="20"/>
                <w:szCs w:val="20"/>
                <w:color w:val="auto"/>
              </w:rPr>
            </w:pPr>
            <w:r>
              <w:rPr>
                <w:rFonts w:ascii="Arial" w:cs="Arial" w:eastAsia="Arial" w:hAnsi="Arial"/>
                <w:sz w:val="18"/>
                <w:szCs w:val="18"/>
                <w:color w:val="auto"/>
                <w:w w:val="95"/>
              </w:rPr>
              <w:t>respectively; 21,238,825 and 21,327,628 shares issued and outstanding as of December 31, 2017 and June 30, 2018,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Ordinary shares – Class B (US$0.001 par value; 20,000,000 shares authorized as of December 31, 2017 and June 30, 2018,</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respectively; 4,820,608 shares issued and outstanding as of December 31, 2017 and June 30, 2018, respectively)</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8"/>
              </w:rPr>
              <w:t>Treasury shares (2,123,382 shares and 2,034,579 shares as of December 31, 2017 and June 30, 2018, respectively)</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(2,093)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274,294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Statutory reserves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losses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(149,004)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80" w:type="dxa"/>
            <w:vAlign w:val="bottom"/>
            <w:gridSpan w:val="2"/>
            <w:vMerge w:val="continue"/>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expenses, (iv) share-based compensation, (v) fair value loss on derivative liabilities, and (vi) other (gains)/ losses,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loss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4"/>
                <w:szCs w:val="14"/>
                <w:color w:val="auto"/>
                <w:w w:val="97"/>
              </w:rPr>
              <w:t>Three Months Ended</w:t>
            </w:r>
          </w:p>
        </w:tc>
        <w:tc>
          <w:tcPr>
            <w:tcW w:w="1480" w:type="dxa"/>
            <w:vAlign w:val="bottom"/>
            <w:gridSpan w:val="4"/>
          </w:tcPr>
          <w:p>
            <w:pPr>
              <w:jc w:val="right"/>
              <w:ind w:right="260"/>
              <w:spacing w:after="0"/>
              <w:rPr>
                <w:sz w:val="20"/>
                <w:szCs w:val="20"/>
                <w:color w:val="auto"/>
              </w:rPr>
            </w:pPr>
            <w:r>
              <w:rPr>
                <w:rFonts w:ascii="Arial" w:cs="Arial" w:eastAsia="Arial" w:hAnsi="Arial"/>
                <w:sz w:val="14"/>
                <w:szCs w:val="14"/>
                <w:color w:val="auto"/>
              </w:rPr>
              <w:t>Six Months Ended</w:t>
            </w:r>
          </w:p>
        </w:tc>
      </w:tr>
      <w:tr>
        <w:trPr>
          <w:trHeight w:val="149"/>
        </w:trPr>
        <w:tc>
          <w:tcPr>
            <w:tcW w:w="8360" w:type="dxa"/>
            <w:vAlign w:val="bottom"/>
          </w:tcPr>
          <w:p>
            <w:pPr>
              <w:spacing w:after="0"/>
              <w:rPr>
                <w:sz w:val="12"/>
                <w:szCs w:val="12"/>
                <w:color w:val="auto"/>
              </w:rPr>
            </w:pPr>
          </w:p>
        </w:tc>
        <w:tc>
          <w:tcPr>
            <w:tcW w:w="1580" w:type="dxa"/>
            <w:vAlign w:val="bottom"/>
            <w:gridSpan w:val="4"/>
          </w:tcPr>
          <w:p>
            <w:pPr>
              <w:jc w:val="right"/>
              <w:ind w:right="660"/>
              <w:spacing w:after="0" w:line="149" w:lineRule="exact"/>
              <w:rPr>
                <w:sz w:val="20"/>
                <w:szCs w:val="20"/>
                <w:color w:val="auto"/>
              </w:rPr>
            </w:pPr>
            <w:r>
              <w:rPr>
                <w:rFonts w:ascii="Arial" w:cs="Arial" w:eastAsia="Arial" w:hAnsi="Arial"/>
                <w:sz w:val="14"/>
                <w:szCs w:val="14"/>
                <w:color w:val="auto"/>
              </w:rPr>
              <w:t>June 30,</w:t>
            </w:r>
          </w:p>
        </w:tc>
        <w:tc>
          <w:tcPr>
            <w:tcW w:w="148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June 30,</w:t>
            </w:r>
          </w:p>
        </w:tc>
      </w:tr>
      <w:tr>
        <w:trPr>
          <w:trHeight w:val="167"/>
        </w:trPr>
        <w:tc>
          <w:tcPr>
            <w:tcW w:w="836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(Unaudited)</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(10,241)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(2,606)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(22,245)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(2,718)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 / (less):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2,834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Income tax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7"/>
        </w:trPr>
        <w:tc>
          <w:tcPr>
            <w:tcW w:w="8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(18,524)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Add / (less):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7,297</w:t>
            </w:r>
          </w:p>
        </w:tc>
        <w:tc>
          <w:tcPr>
            <w:tcW w:w="2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14,727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 losses, net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w:t>
            </w: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57"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net loss represents net loss before (i) share-based compensation, (ii) fair value loss on derivative liabilities, and (iii) other (gains)/losses,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 to net loss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4"/>
                <w:szCs w:val="14"/>
                <w:color w:val="auto"/>
                <w:w w:val="99"/>
              </w:rPr>
              <w:t>Three Months Ended</w:t>
            </w:r>
          </w:p>
        </w:tc>
        <w:tc>
          <w:tcPr>
            <w:tcW w:w="220" w:type="dxa"/>
            <w:vAlign w:val="bottom"/>
          </w:tcPr>
          <w:p>
            <w:pPr>
              <w:spacing w:after="0"/>
              <w:rPr>
                <w:sz w:val="14"/>
                <w:szCs w:val="14"/>
                <w:color w:val="auto"/>
              </w:rPr>
            </w:pPr>
          </w:p>
        </w:tc>
        <w:tc>
          <w:tcPr>
            <w:tcW w:w="1560" w:type="dxa"/>
            <w:vAlign w:val="bottom"/>
            <w:gridSpan w:val="7"/>
          </w:tcPr>
          <w:p>
            <w:pPr>
              <w:ind w:left="1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jc w:val="right"/>
              <w:ind w:right="60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(Unaudited)</w:t>
            </w: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(10,241)</w:t>
            </w: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(2,606)</w:t>
            </w: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(22,245)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Add / (less):</w:t>
            </w: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724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14,727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Other (gains)/ losses, net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net loss</w:t>
            </w: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w:t>
            </w: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(1,138)</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(5,602)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0"/>
        </w:trPr>
        <w:tc>
          <w:tcPr>
            <w:tcW w:w="7640" w:type="dxa"/>
            <w:vAlign w:val="bottom"/>
            <w:gridSpan w:val="4"/>
            <w:vMerge w:val="restart"/>
          </w:tcPr>
          <w:p>
            <w:pPr>
              <w:jc w:val="right"/>
              <w:ind w:right="500"/>
              <w:spacing w:after="0"/>
              <w:rPr>
                <w:sz w:val="20"/>
                <w:szCs w:val="20"/>
                <w:color w:val="auto"/>
              </w:rPr>
            </w:pPr>
            <w:r>
              <w:rPr>
                <w:rFonts w:ascii="Arial" w:cs="Arial" w:eastAsia="Arial" w:hAnsi="Arial"/>
                <w:sz w:val="18"/>
                <w:szCs w:val="18"/>
                <w:color w:val="auto"/>
                <w:w w:val="90"/>
              </w:rPr>
              <w:t>The basic and diluted adjusted net loss per ADS for the periods indicated are calculated as follows: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right"/>
              <w:ind w:right="6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40" w:type="dxa"/>
            <w:vAlign w:val="bottom"/>
            <w:gridSpan w:val="5"/>
          </w:tcPr>
          <w:p>
            <w:pPr>
              <w:jc w:val="right"/>
              <w:ind w:right="880"/>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ind w:left="20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1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(Unaudited)</w:t>
            </w: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(2,123)</w:t>
            </w:r>
          </w:p>
        </w:tc>
        <w:tc>
          <w:tcPr>
            <w:tcW w:w="9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(5,602)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(6,845)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w w:val="98"/>
              </w:rPr>
              <w:t>Denominator for basic and diluted net loss per ADS - weighted average ADS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27,242,644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52,167,588</w:t>
            </w:r>
          </w:p>
        </w:tc>
        <w:tc>
          <w:tcPr>
            <w:tcW w:w="1260" w:type="dxa"/>
            <w:vAlign w:val="bottom"/>
            <w:gridSpan w:val="6"/>
          </w:tcPr>
          <w:p>
            <w:pPr>
              <w:jc w:val="right"/>
              <w:ind w:right="180"/>
              <w:spacing w:after="0"/>
              <w:rPr>
                <w:sz w:val="20"/>
                <w:szCs w:val="20"/>
                <w:color w:val="auto"/>
              </w:rPr>
            </w:pPr>
            <w:r>
              <w:rPr>
                <w:rFonts w:ascii="Arial" w:cs="Arial" w:eastAsia="Arial" w:hAnsi="Arial"/>
                <w:sz w:val="18"/>
                <w:szCs w:val="18"/>
                <w:color w:val="auto"/>
              </w:rPr>
              <w:t>27,233,382</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52,158,106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loss per ADS</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9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460"/>
              <w:spacing w:after="0"/>
              <w:rPr>
                <w:sz w:val="20"/>
                <w:szCs w:val="20"/>
                <w:color w:val="auto"/>
              </w:rPr>
            </w:pPr>
            <w:r>
              <w:rPr>
                <w:rFonts w:ascii="Arial" w:cs="Arial" w:eastAsia="Arial" w:hAnsi="Arial"/>
                <w:sz w:val="18"/>
                <w:szCs w:val="18"/>
                <w:color w:val="auto"/>
              </w:rPr>
              <w:t>Diluted adjusted net loss per ADS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2019-12-08T15:35:51Z</dcterms:created>
  <dcterms:modified xsi:type="dcterms:W3CDTF">2019-12-08T15:35:51Z</dcterms:modified>
</cp:coreProperties>
</file>