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165100</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8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SCHEDULE 13G/A</w:t>
      </w:r>
    </w:p>
    <w:p>
      <w:pPr>
        <w:spacing w:after="0" w:line="233"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156210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81"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iClick Interactive Asia Group Limited</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(Name of Issuer)</w:t>
      </w:r>
    </w:p>
    <w:p>
      <w:pPr>
        <w:spacing w:after="0" w:line="201"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Class A ordinary shares, par value of $0.001 per share</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(Title of Class of Securities)</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G47048 106</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(CUSIP Number)</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December 31, 2019</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3"/>
          <w:szCs w:val="13"/>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157480</wp:posOffset>
            </wp:positionV>
            <wp:extent cx="1758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21" w:lineRule="exact"/>
        <w:rPr>
          <w:sz w:val="24"/>
          <w:szCs w:val="24"/>
          <w:color w:val="auto"/>
        </w:rPr>
      </w:pPr>
    </w:p>
    <w:p>
      <w:pPr>
        <w:ind w:left="1180" w:hanging="254"/>
        <w:spacing w:after="0"/>
        <w:tabs>
          <w:tab w:leader="none" w:pos="11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w:t>
      </w:r>
    </w:p>
    <w:p>
      <w:pPr>
        <w:spacing w:after="0" w:line="234" w:lineRule="exact"/>
        <w:rPr>
          <w:rFonts w:ascii="MS PGothic" w:cs="MS PGothic" w:eastAsia="MS PGothic" w:hAnsi="MS PGothic"/>
          <w:sz w:val="16"/>
          <w:szCs w:val="16"/>
          <w:color w:val="auto"/>
        </w:rPr>
      </w:pPr>
    </w:p>
    <w:p>
      <w:pPr>
        <w:ind w:left="1180" w:hanging="254"/>
        <w:spacing w:after="0"/>
        <w:tabs>
          <w:tab w:leader="none" w:pos="11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w:t>
      </w:r>
    </w:p>
    <w:p>
      <w:pPr>
        <w:spacing w:after="0" w:line="235" w:lineRule="exact"/>
        <w:rPr>
          <w:sz w:val="24"/>
          <w:szCs w:val="24"/>
          <w:color w:val="auto"/>
        </w:rPr>
      </w:pPr>
    </w:p>
    <w:p>
      <w:pPr>
        <w:ind w:left="1180" w:hanging="254"/>
        <w:spacing w:after="0"/>
        <w:tabs>
          <w:tab w:leader="none" w:pos="11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Rule 13d-1(d)</w:t>
      </w:r>
    </w:p>
    <w:p>
      <w:pPr>
        <w:spacing w:after="0" w:line="235" w:lineRule="exact"/>
        <w:rPr>
          <w:sz w:val="24"/>
          <w:szCs w:val="24"/>
          <w:color w:val="auto"/>
        </w:rPr>
      </w:pPr>
    </w:p>
    <w:p>
      <w:pPr>
        <w:ind w:left="460" w:hanging="422"/>
        <w:spacing w:after="0" w:line="260"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8" w:lineRule="exact"/>
        <w:rPr>
          <w:sz w:val="24"/>
          <w:szCs w:val="24"/>
          <w:color w:val="auto"/>
        </w:rPr>
      </w:pPr>
    </w:p>
    <w:p>
      <w:pPr>
        <w:ind w:right="340"/>
        <w:spacing w:after="0" w:line="258" w:lineRule="auto"/>
        <w:rPr>
          <w:sz w:val="20"/>
          <w:szCs w:val="20"/>
          <w:color w:val="auto"/>
        </w:rPr>
      </w:pPr>
      <w:r>
        <w:rPr>
          <w:rFonts w:ascii="Arial" w:cs="Arial" w:eastAsia="Arial" w:hAnsi="Arial"/>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742315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72" w:right="379" w:bottom="1440" w:gutter="0" w:footer="0" w:header="0"/>
        </w:sectPr>
      </w:pPr>
    </w:p>
    <w:bookmarkStart w:id="1" w:name="page2"/>
    <w:bookmarkEnd w:id="1"/>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200660</wp:posOffset>
            </wp:positionH>
            <wp:positionV relativeFrom="page">
              <wp:posOffset>363220</wp:posOffset>
            </wp:positionV>
            <wp:extent cx="7178040" cy="4613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4613910"/>
                    </a:xfrm>
                    <a:prstGeom prst="rect">
                      <a:avLst/>
                    </a:prstGeom>
                    <a:noFill/>
                  </pic:spPr>
                </pic:pic>
              </a:graphicData>
            </a:graphic>
          </wp:anchor>
        </w:drawing>
        <w:t>Names of Reporting Persons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Blue Focus International Limited</w:t>
      </w:r>
    </w:p>
    <w:p>
      <w:pPr>
        <w:spacing w:after="0" w:line="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11" w:lineRule="exact"/>
        <w:rPr>
          <w:sz w:val="20"/>
          <w:szCs w:val="20"/>
          <w:color w:val="auto"/>
        </w:rPr>
      </w:pPr>
    </w:p>
    <w:p>
      <w:pPr>
        <w:ind w:left="500"/>
        <w:spacing w:after="0" w:line="184" w:lineRule="exact"/>
        <w:tabs>
          <w:tab w:leader="none" w:pos="1140" w:val="left"/>
        </w:tabs>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(b) </w:t>
      </w:r>
      <w:r>
        <w:rPr>
          <w:rFonts w:ascii="MS PGothic" w:cs="MS PGothic" w:eastAsia="MS PGothic" w:hAnsi="MS PGothic"/>
          <w:sz w:val="15"/>
          <w:szCs w:val="15"/>
          <w:color w:val="auto"/>
        </w:rPr>
        <w:t>☐</w:t>
      </w:r>
    </w:p>
    <w:p>
      <w:pPr>
        <w:spacing w:after="0" w:line="24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9"/>
          <w:szCs w:val="19"/>
          <w:color w:val="auto"/>
        </w:rPr>
        <w:t>Hong Kong</w:t>
      </w:r>
    </w:p>
    <w:p>
      <w:pPr>
        <w:spacing w:after="0" w:line="17" w:lineRule="exact"/>
        <w:rPr>
          <w:sz w:val="20"/>
          <w:szCs w:val="20"/>
          <w:color w:val="auto"/>
        </w:rPr>
      </w:pPr>
    </w:p>
    <w:p>
      <w:pPr>
        <w:ind w:left="1540" w:hanging="465"/>
        <w:spacing w:after="0"/>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00" w:type="dxa"/>
            <w:vAlign w:val="bottom"/>
          </w:tcPr>
          <w:p>
            <w:pPr>
              <w:jc w:val="center"/>
              <w:spacing w:after="0"/>
              <w:rPr>
                <w:sz w:val="20"/>
                <w:szCs w:val="20"/>
                <w:color w:val="auto"/>
              </w:rPr>
            </w:pPr>
            <w:r>
              <w:rPr>
                <w:rFonts w:ascii="Arial" w:cs="Arial" w:eastAsia="Arial" w:hAnsi="Arial"/>
                <w:sz w:val="16"/>
                <w:szCs w:val="16"/>
                <w:color w:val="auto"/>
                <w:w w:val="99"/>
              </w:rPr>
              <w:t>Number of</w:t>
            </w:r>
          </w:p>
        </w:tc>
        <w:tc>
          <w:tcPr>
            <w:tcW w:w="300" w:type="dxa"/>
            <w:vAlign w:val="bottom"/>
          </w:tcPr>
          <w:p>
            <w:pPr>
              <w:spacing w:after="0"/>
              <w:rPr>
                <w:sz w:val="19"/>
                <w:szCs w:val="19"/>
                <w:color w:val="auto"/>
              </w:rPr>
            </w:pPr>
          </w:p>
        </w:tc>
        <w:tc>
          <w:tcPr>
            <w:tcW w:w="9940" w:type="dxa"/>
            <w:vAlign w:val="bottom"/>
          </w:tcPr>
          <w:p>
            <w:pPr>
              <w:ind w:left="2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52"/>
        </w:trPr>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98"/>
              </w:rPr>
              <w:t>Shares</w:t>
            </w:r>
          </w:p>
        </w:tc>
        <w:tc>
          <w:tcPr>
            <w:tcW w:w="300" w:type="dxa"/>
            <w:vAlign w:val="bottom"/>
            <w:tcBorders>
              <w:bottom w:val="single" w:sz="8" w:color="auto"/>
            </w:tcBorders>
          </w:tcPr>
          <w:p>
            <w:pPr>
              <w:spacing w:after="0"/>
              <w:rPr>
                <w:sz w:val="4"/>
                <w:szCs w:val="4"/>
                <w:color w:val="auto"/>
              </w:rPr>
            </w:pPr>
          </w:p>
        </w:tc>
        <w:tc>
          <w:tcPr>
            <w:tcW w:w="9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000" w:type="dxa"/>
            <w:vAlign w:val="bottom"/>
            <w:vMerge w:val="continue"/>
          </w:tcPr>
          <w:p>
            <w:pPr>
              <w:spacing w:after="0"/>
              <w:rPr>
                <w:sz w:val="10"/>
                <w:szCs w:val="10"/>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6</w:t>
            </w:r>
          </w:p>
        </w:tc>
        <w:tc>
          <w:tcPr>
            <w:tcW w:w="9940" w:type="dxa"/>
            <w:vAlign w:val="bottom"/>
            <w:vMerge w:val="restart"/>
          </w:tcPr>
          <w:p>
            <w:pPr>
              <w:ind w:left="2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89"/>
        </w:trPr>
        <w:tc>
          <w:tcPr>
            <w:tcW w:w="10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300" w:type="dxa"/>
            <w:vAlign w:val="bottom"/>
            <w:vMerge w:val="continue"/>
          </w:tcPr>
          <w:p>
            <w:pPr>
              <w:spacing w:after="0"/>
              <w:rPr>
                <w:sz w:val="16"/>
                <w:szCs w:val="16"/>
                <w:color w:val="auto"/>
              </w:rPr>
            </w:pP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jc w:val="center"/>
              <w:spacing w:after="0"/>
              <w:rPr>
                <w:sz w:val="20"/>
                <w:szCs w:val="20"/>
                <w:color w:val="auto"/>
              </w:rPr>
            </w:pPr>
            <w:r>
              <w:rPr>
                <w:rFonts w:ascii="Arial" w:cs="Arial" w:eastAsia="Arial" w:hAnsi="Arial"/>
                <w:sz w:val="16"/>
                <w:szCs w:val="16"/>
                <w:color w:val="auto"/>
              </w:rPr>
              <w:t>Owned by</w:t>
            </w:r>
          </w:p>
        </w:tc>
        <w:tc>
          <w:tcPr>
            <w:tcW w:w="300" w:type="dxa"/>
            <w:vAlign w:val="bottom"/>
          </w:tcPr>
          <w:p>
            <w:pPr>
              <w:spacing w:after="0"/>
              <w:rPr>
                <w:sz w:val="16"/>
                <w:szCs w:val="16"/>
                <w:color w:val="auto"/>
              </w:rPr>
            </w:pPr>
          </w:p>
        </w:tc>
        <w:tc>
          <w:tcPr>
            <w:tcW w:w="9940" w:type="dxa"/>
            <w:vAlign w:val="bottom"/>
            <w:vMerge w:val="restart"/>
          </w:tcPr>
          <w:p>
            <w:pPr>
              <w:ind w:left="200"/>
              <w:spacing w:after="0"/>
              <w:rPr>
                <w:sz w:val="20"/>
                <w:szCs w:val="20"/>
                <w:color w:val="auto"/>
              </w:rPr>
            </w:pPr>
            <w:r>
              <w:rPr>
                <w:rFonts w:ascii="Arial" w:cs="Arial" w:eastAsia="Arial" w:hAnsi="Arial"/>
                <w:sz w:val="20"/>
                <w:szCs w:val="20"/>
                <w:color w:val="auto"/>
              </w:rPr>
              <w:t>2,454,088 ordinary shares. See Item 4.</w:t>
            </w:r>
          </w:p>
        </w:tc>
        <w:tc>
          <w:tcPr>
            <w:tcW w:w="0" w:type="dxa"/>
            <w:vAlign w:val="bottom"/>
          </w:tcPr>
          <w:p>
            <w:pPr>
              <w:spacing w:after="0"/>
              <w:rPr>
                <w:sz w:val="1"/>
                <w:szCs w:val="1"/>
                <w:color w:val="auto"/>
              </w:rPr>
            </w:pPr>
          </w:p>
        </w:tc>
      </w:tr>
      <w:tr>
        <w:trPr>
          <w:trHeight w:val="194"/>
        </w:trPr>
        <w:tc>
          <w:tcPr>
            <w:tcW w:w="1000" w:type="dxa"/>
            <w:vAlign w:val="bottom"/>
          </w:tcPr>
          <w:p>
            <w:pPr>
              <w:jc w:val="center"/>
              <w:spacing w:after="0"/>
              <w:rPr>
                <w:sz w:val="20"/>
                <w:szCs w:val="20"/>
                <w:color w:val="auto"/>
              </w:rPr>
            </w:pPr>
            <w:r>
              <w:rPr>
                <w:rFonts w:ascii="Arial" w:cs="Arial" w:eastAsia="Arial" w:hAnsi="Arial"/>
                <w:sz w:val="16"/>
                <w:szCs w:val="16"/>
                <w:color w:val="auto"/>
              </w:rPr>
              <w:t>Each</w:t>
            </w:r>
          </w:p>
        </w:tc>
        <w:tc>
          <w:tcPr>
            <w:tcW w:w="300" w:type="dxa"/>
            <w:vAlign w:val="bottom"/>
            <w:tcBorders>
              <w:bottom w:val="single" w:sz="8" w:color="auto"/>
            </w:tcBorders>
          </w:tcPr>
          <w:p>
            <w:pPr>
              <w:spacing w:after="0"/>
              <w:rPr>
                <w:sz w:val="16"/>
                <w:szCs w:val="16"/>
                <w:color w:val="auto"/>
              </w:rPr>
            </w:pPr>
          </w:p>
        </w:tc>
        <w:tc>
          <w:tcPr>
            <w:tcW w:w="9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000" w:type="dxa"/>
            <w:vAlign w:val="bottom"/>
          </w:tcPr>
          <w:p>
            <w:pPr>
              <w:jc w:val="center"/>
              <w:spacing w:after="0" w:line="164" w:lineRule="exact"/>
              <w:rPr>
                <w:sz w:val="20"/>
                <w:szCs w:val="20"/>
                <w:color w:val="auto"/>
              </w:rPr>
            </w:pPr>
            <w:r>
              <w:rPr>
                <w:rFonts w:ascii="Arial" w:cs="Arial" w:eastAsia="Arial" w:hAnsi="Arial"/>
                <w:sz w:val="16"/>
                <w:szCs w:val="16"/>
                <w:color w:val="auto"/>
              </w:rPr>
              <w:t>Reporting</w:t>
            </w:r>
          </w:p>
        </w:tc>
        <w:tc>
          <w:tcPr>
            <w:tcW w:w="300" w:type="dxa"/>
            <w:vAlign w:val="bottom"/>
          </w:tcPr>
          <w:p>
            <w:pPr>
              <w:jc w:val="right"/>
              <w:ind w:right="99"/>
              <w:spacing w:after="0" w:line="164" w:lineRule="exact"/>
              <w:rPr>
                <w:sz w:val="20"/>
                <w:szCs w:val="20"/>
                <w:color w:val="auto"/>
              </w:rPr>
            </w:pPr>
            <w:r>
              <w:rPr>
                <w:rFonts w:ascii="Arial" w:cs="Arial" w:eastAsia="Arial" w:hAnsi="Arial"/>
                <w:sz w:val="16"/>
                <w:szCs w:val="16"/>
                <w:color w:val="auto"/>
              </w:rPr>
              <w:t>7</w:t>
            </w:r>
          </w:p>
        </w:tc>
        <w:tc>
          <w:tcPr>
            <w:tcW w:w="9940" w:type="dxa"/>
            <w:vAlign w:val="bottom"/>
          </w:tcPr>
          <w:p>
            <w:pPr>
              <w:ind w:left="200"/>
              <w:spacing w:after="0" w:line="164" w:lineRule="exact"/>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95"/>
        </w:trPr>
        <w:tc>
          <w:tcPr>
            <w:tcW w:w="1000" w:type="dxa"/>
            <w:vAlign w:val="bottom"/>
          </w:tcPr>
          <w:p>
            <w:pPr>
              <w:jc w:val="center"/>
              <w:spacing w:after="0"/>
              <w:rPr>
                <w:sz w:val="20"/>
                <w:szCs w:val="20"/>
                <w:color w:val="auto"/>
              </w:rPr>
            </w:pPr>
            <w:r>
              <w:rPr>
                <w:rFonts w:ascii="Arial" w:cs="Arial" w:eastAsia="Arial" w:hAnsi="Arial"/>
                <w:sz w:val="16"/>
                <w:szCs w:val="16"/>
                <w:color w:val="auto"/>
              </w:rPr>
              <w:t>Person With:</w:t>
            </w:r>
          </w:p>
        </w:tc>
        <w:tc>
          <w:tcPr>
            <w:tcW w:w="30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0</w:t>
      </w:r>
    </w:p>
    <w:p>
      <w:pPr>
        <w:spacing w:after="0" w:line="5" w:lineRule="exact"/>
        <w:rPr>
          <w:sz w:val="20"/>
          <w:szCs w:val="20"/>
          <w:color w:val="auto"/>
        </w:rPr>
      </w:pPr>
    </w:p>
    <w:p>
      <w:pPr>
        <w:ind w:left="1540" w:hanging="465"/>
        <w:spacing w:after="0"/>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16"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2,454,088 ordinary shares. See Item 4.</w:t>
      </w:r>
    </w:p>
    <w:p>
      <w:pPr>
        <w:spacing w:after="0" w:line="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2,454,088 ordinary shares. See Item 4.</w:t>
      </w:r>
    </w:p>
    <w:p>
      <w:pPr>
        <w:spacing w:after="0" w:line="1" w:lineRule="exact"/>
        <w:rPr>
          <w:sz w:val="20"/>
          <w:szCs w:val="20"/>
          <w:color w:val="auto"/>
        </w:rPr>
      </w:pPr>
    </w:p>
    <w:p>
      <w:pPr>
        <w:ind w:left="500" w:hanging="492"/>
        <w:spacing w:after="0" w:line="184" w:lineRule="exact"/>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238" w:lineRule="exact"/>
        <w:rPr>
          <w:rFonts w:ascii="Arial" w:cs="Arial" w:eastAsia="Arial" w:hAnsi="Arial"/>
          <w:sz w:val="16"/>
          <w:szCs w:val="16"/>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Percent of Class Represented by Amount in Row (9)</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8.6%. See Item 4.</w:t>
      </w:r>
    </w:p>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Type of Reporting Person</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57785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40" w:top="587" w:right="279" w:bottom="1440" w:gutter="0" w:footer="0" w:header="0"/>
        </w:sectPr>
      </w:pPr>
    </w:p>
    <w:bookmarkStart w:id="2" w:name="page3"/>
    <w:bookmarkEnd w:id="2"/>
    <w:p>
      <w:pPr>
        <w:ind w:left="500" w:hanging="492"/>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200660</wp:posOffset>
            </wp:positionH>
            <wp:positionV relativeFrom="page">
              <wp:posOffset>363220</wp:posOffset>
            </wp:positionV>
            <wp:extent cx="7178040" cy="45707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4570730"/>
                    </a:xfrm>
                    <a:prstGeom prst="rect">
                      <a:avLst/>
                    </a:prstGeom>
                    <a:noFill/>
                  </pic:spPr>
                </pic:pic>
              </a:graphicData>
            </a:graphic>
          </wp:anchor>
        </w:drawing>
        <w:t>Names of Reporting Persons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9"/>
          <w:szCs w:val="19"/>
          <w:color w:val="auto"/>
        </w:rPr>
        <w:t>BlueFocus Intelligent Communication Group Co., Ltd.</w:t>
      </w:r>
    </w:p>
    <w:p>
      <w:pPr>
        <w:spacing w:after="0" w:line="1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11" w:lineRule="exact"/>
        <w:rPr>
          <w:sz w:val="20"/>
          <w:szCs w:val="20"/>
          <w:color w:val="auto"/>
        </w:rPr>
      </w:pPr>
    </w:p>
    <w:p>
      <w:pPr>
        <w:ind w:left="500"/>
        <w:spacing w:after="0" w:line="184" w:lineRule="exact"/>
        <w:tabs>
          <w:tab w:leader="none" w:pos="1140" w:val="left"/>
        </w:tabs>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(b) </w:t>
      </w:r>
      <w:r>
        <w:rPr>
          <w:rFonts w:ascii="MS PGothic" w:cs="MS PGothic" w:eastAsia="MS PGothic" w:hAnsi="MS PGothic"/>
          <w:sz w:val="15"/>
          <w:szCs w:val="15"/>
          <w:color w:val="auto"/>
        </w:rPr>
        <w:t>☐</w:t>
      </w:r>
    </w:p>
    <w:p>
      <w:pPr>
        <w:spacing w:after="0" w:line="24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21"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Citizenship or Place of Organization</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People’s Republic of China</w:t>
      </w:r>
    </w:p>
    <w:p>
      <w:pPr>
        <w:sectPr>
          <w:pgSz w:w="11900" w:h="16838" w:orient="portrait"/>
          <w:cols w:equalWidth="0" w:num="1">
            <w:col w:w="10119"/>
          </w:cols>
          <w:pgMar w:left="340" w:top="587" w:right="1440" w:bottom="1440" w:gutter="0" w:footer="0" w:header="0"/>
        </w:sectPr>
      </w:pP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6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Number of</w:t>
      </w:r>
    </w:p>
    <w:p>
      <w:pPr>
        <w:jc w:val="both"/>
        <w:ind w:left="260"/>
        <w:spacing w:after="0" w:line="184" w:lineRule="auto"/>
        <w:tabs>
          <w:tab w:leader="none" w:pos="1060" w:val="left"/>
        </w:tabs>
        <w:rPr>
          <w:sz w:val="20"/>
          <w:szCs w:val="20"/>
          <w:color w:val="auto"/>
        </w:rPr>
      </w:pPr>
      <w:r>
        <w:rPr>
          <w:rFonts w:ascii="Arial" w:cs="Arial" w:eastAsia="Arial" w:hAnsi="Arial"/>
          <w:sz w:val="13"/>
          <w:szCs w:val="13"/>
          <w:color w:val="auto"/>
        </w:rPr>
        <w:t>Shares</w:t>
      </w:r>
      <w:r>
        <w:rPr>
          <w:sz w:val="20"/>
          <w:szCs w:val="20"/>
          <w:color w:val="auto"/>
        </w:rPr>
        <w:tab/>
      </w:r>
      <w:r>
        <w:rPr>
          <w:rFonts w:ascii="Arial" w:cs="Arial" w:eastAsia="Arial" w:hAnsi="Arial"/>
          <w:sz w:val="22"/>
          <w:szCs w:val="22"/>
          <w:color w:val="auto"/>
          <w:vertAlign w:val="subscript"/>
        </w:rPr>
        <w:t>6</w:t>
      </w:r>
    </w:p>
    <w:p>
      <w:pPr>
        <w:ind w:left="100"/>
        <w:spacing w:after="0"/>
        <w:rPr>
          <w:sz w:val="20"/>
          <w:szCs w:val="20"/>
          <w:color w:val="auto"/>
        </w:rPr>
      </w:pPr>
      <w:r>
        <w:rPr>
          <w:rFonts w:ascii="Arial" w:cs="Arial" w:eastAsia="Arial" w:hAnsi="Arial"/>
          <w:sz w:val="16"/>
          <w:szCs w:val="16"/>
          <w:color w:val="auto"/>
        </w:rPr>
        <w:t>Beneficially</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Owned by</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Each</w:t>
      </w:r>
    </w:p>
    <w:p>
      <w:pPr>
        <w:spacing w:after="0" w:line="5" w:lineRule="exact"/>
        <w:rPr>
          <w:sz w:val="20"/>
          <w:szCs w:val="20"/>
          <w:color w:val="auto"/>
        </w:rPr>
      </w:pPr>
    </w:p>
    <w:p>
      <w:pPr>
        <w:jc w:val="both"/>
        <w:ind w:left="160"/>
        <w:spacing w:after="0"/>
        <w:tabs>
          <w:tab w:leader="none" w:pos="1060" w:val="left"/>
        </w:tabs>
        <w:rPr>
          <w:sz w:val="20"/>
          <w:szCs w:val="20"/>
          <w:color w:val="auto"/>
        </w:rPr>
      </w:pPr>
      <w:r>
        <w:rPr>
          <w:rFonts w:ascii="Arial" w:cs="Arial" w:eastAsia="Arial" w:hAnsi="Arial"/>
          <w:sz w:val="16"/>
          <w:szCs w:val="16"/>
          <w:color w:val="auto"/>
        </w:rPr>
        <w:t>Reporting</w:t>
        <w:tab/>
        <w:t>7</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Person With:</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Sole Voting Power</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Shared Voting Power</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2,454,088 ordinary shares. See Item 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2,454,088 ordinary shares. See Item 4.</w:t>
      </w:r>
    </w:p>
    <w:p>
      <w:pPr>
        <w:spacing w:after="0" w:line="17" w:lineRule="exact"/>
        <w:rPr>
          <w:sz w:val="20"/>
          <w:szCs w:val="20"/>
          <w:color w:val="auto"/>
        </w:rPr>
      </w:pPr>
    </w:p>
    <w:p>
      <w:pPr>
        <w:sectPr>
          <w:pgSz w:w="11900" w:h="16838" w:orient="portrait"/>
          <w:cols w:equalWidth="0" w:num="2">
            <w:col w:w="1160" w:space="380"/>
            <w:col w:w="8579"/>
          </w:cols>
          <w:pgMar w:left="340" w:top="587" w:right="1440" w:bottom="1440" w:gutter="0" w:footer="0" w:header="0"/>
          <w:type w:val="continuous"/>
        </w:sect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2,454,088 ordinary shares. See Item 4.</w:t>
      </w:r>
    </w:p>
    <w:p>
      <w:pPr>
        <w:spacing w:after="0" w:line="1" w:lineRule="exact"/>
        <w:rPr>
          <w:sz w:val="20"/>
          <w:szCs w:val="20"/>
          <w:color w:val="auto"/>
        </w:rPr>
      </w:pPr>
    </w:p>
    <w:p>
      <w:pPr>
        <w:ind w:left="500" w:hanging="492"/>
        <w:spacing w:after="0" w:line="184" w:lineRule="exact"/>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238" w:lineRule="exact"/>
        <w:rPr>
          <w:rFonts w:ascii="Arial" w:cs="Arial" w:eastAsia="Arial" w:hAnsi="Arial"/>
          <w:sz w:val="16"/>
          <w:szCs w:val="16"/>
          <w:color w:val="auto"/>
        </w:rPr>
      </w:pPr>
    </w:p>
    <w:p>
      <w:pPr>
        <w:ind w:left="500" w:hanging="492"/>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Percent of Class Represented by Amount in Row (9)</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8.6%. See Item 4.</w:t>
      </w:r>
    </w:p>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Type of Reporting Person</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20"/>
          <w:szCs w:val="20"/>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445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57785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19"/>
          </w:cols>
          <w:pgMar w:left="340" w:top="587"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220" w:type="dxa"/>
            <w:vAlign w:val="bottom"/>
          </w:tcPr>
          <w:p>
            <w:pPr>
              <w:spacing w:after="0"/>
              <w:rPr>
                <w:sz w:val="14"/>
                <w:szCs w:val="14"/>
                <w:color w:val="auto"/>
              </w:rPr>
            </w:pPr>
          </w:p>
        </w:tc>
        <w:tc>
          <w:tcPr>
            <w:tcW w:w="7700" w:type="dxa"/>
            <w:vAlign w:val="bottom"/>
            <w:gridSpan w:val="8"/>
          </w:tcPr>
          <w:p>
            <w:pPr>
              <w:spacing w:after="0"/>
              <w:rPr>
                <w:sz w:val="20"/>
                <w:szCs w:val="20"/>
                <w:color w:val="auto"/>
              </w:rPr>
            </w:pPr>
            <w:r>
              <w:rPr>
                <w:rFonts w:ascii="Arial" w:cs="Arial" w:eastAsia="Arial" w:hAnsi="Arial"/>
                <w:sz w:val="14"/>
                <w:szCs w:val="14"/>
                <w:b w:val="1"/>
                <w:bCs w:val="1"/>
                <w:color w:val="auto"/>
              </w:rPr>
              <w:t>Name of Issuer:</w:t>
            </w: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9"/>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00" w:type="dxa"/>
            <w:vAlign w:val="bottom"/>
            <w:gridSpan w:val="8"/>
          </w:tcPr>
          <w:p>
            <w:pPr>
              <w:ind w:left="20"/>
              <w:spacing w:after="0"/>
              <w:rPr>
                <w:sz w:val="20"/>
                <w:szCs w:val="20"/>
                <w:color w:val="auto"/>
              </w:rPr>
            </w:pPr>
            <w:r>
              <w:rPr>
                <w:rFonts w:ascii="Arial" w:cs="Arial" w:eastAsia="Arial" w:hAnsi="Arial"/>
                <w:sz w:val="14"/>
                <w:szCs w:val="14"/>
                <w:color w:val="auto"/>
              </w:rPr>
              <w:t>iClick Interactive Asia Group Limited (the “Issuer”)</w:t>
            </w:r>
          </w:p>
        </w:tc>
      </w:tr>
      <w:tr>
        <w:trPr>
          <w:trHeight w:val="269"/>
        </w:trPr>
        <w:tc>
          <w:tcPr>
            <w:tcW w:w="86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220" w:type="dxa"/>
            <w:vAlign w:val="bottom"/>
          </w:tcPr>
          <w:p>
            <w:pPr>
              <w:spacing w:after="0"/>
              <w:rPr>
                <w:sz w:val="23"/>
                <w:szCs w:val="23"/>
                <w:color w:val="auto"/>
              </w:rPr>
            </w:pPr>
          </w:p>
        </w:tc>
        <w:tc>
          <w:tcPr>
            <w:tcW w:w="7700" w:type="dxa"/>
            <w:vAlign w:val="bottom"/>
            <w:gridSpan w:val="8"/>
          </w:tcPr>
          <w:p>
            <w:pPr>
              <w:spacing w:after="0"/>
              <w:rPr>
                <w:sz w:val="20"/>
                <w:szCs w:val="20"/>
                <w:color w:val="auto"/>
              </w:rPr>
            </w:pPr>
            <w:r>
              <w:rPr>
                <w:rFonts w:ascii="Arial" w:cs="Arial" w:eastAsia="Arial" w:hAnsi="Arial"/>
                <w:sz w:val="14"/>
                <w:szCs w:val="14"/>
                <w:b w:val="1"/>
                <w:bCs w:val="1"/>
                <w:color w:val="auto"/>
              </w:rPr>
              <w:t>Address of Issuer’s Principal Executive Offices:</w:t>
            </w:r>
          </w:p>
        </w:tc>
      </w:tr>
      <w:tr>
        <w:trPr>
          <w:trHeight w:val="309"/>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color w:val="auto"/>
              </w:rPr>
              <w:t>15/F, Prosperity Millennia Plaza</w:t>
            </w:r>
          </w:p>
        </w:tc>
        <w:tc>
          <w:tcPr>
            <w:tcW w:w="4460" w:type="dxa"/>
            <w:vAlign w:val="bottom"/>
            <w:gridSpan w:val="3"/>
          </w:tcPr>
          <w:p>
            <w:pPr>
              <w:spacing w:after="0"/>
              <w:rPr>
                <w:sz w:val="24"/>
                <w:szCs w:val="24"/>
                <w:color w:val="auto"/>
              </w:rPr>
            </w:pPr>
          </w:p>
        </w:tc>
      </w:tr>
      <w:tr>
        <w:trPr>
          <w:trHeight w:val="162"/>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700" w:type="dxa"/>
            <w:vAlign w:val="bottom"/>
            <w:gridSpan w:val="8"/>
          </w:tcPr>
          <w:p>
            <w:pPr>
              <w:ind w:left="20"/>
              <w:spacing w:after="0"/>
              <w:rPr>
                <w:sz w:val="20"/>
                <w:szCs w:val="20"/>
                <w:color w:val="auto"/>
              </w:rPr>
            </w:pPr>
            <w:r>
              <w:rPr>
                <w:rFonts w:ascii="Arial" w:cs="Arial" w:eastAsia="Arial" w:hAnsi="Arial"/>
                <w:sz w:val="14"/>
                <w:szCs w:val="14"/>
                <w:color w:val="auto"/>
              </w:rPr>
              <w:t>663 King’s Road, Quarry Bay</w:t>
            </w:r>
          </w:p>
        </w:tc>
      </w:tr>
      <w:tr>
        <w:trPr>
          <w:trHeight w:val="172"/>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700" w:type="dxa"/>
            <w:vAlign w:val="bottom"/>
            <w:gridSpan w:val="8"/>
          </w:tcPr>
          <w:p>
            <w:pPr>
              <w:ind w:left="20"/>
              <w:spacing w:after="0"/>
              <w:rPr>
                <w:sz w:val="20"/>
                <w:szCs w:val="20"/>
                <w:color w:val="auto"/>
              </w:rPr>
            </w:pPr>
            <w:r>
              <w:rPr>
                <w:rFonts w:ascii="Arial" w:cs="Arial" w:eastAsia="Arial" w:hAnsi="Arial"/>
                <w:sz w:val="14"/>
                <w:szCs w:val="14"/>
                <w:color w:val="auto"/>
              </w:rPr>
              <w:t>Hong Kong S.A.R.</w:t>
            </w:r>
          </w:p>
        </w:tc>
      </w:tr>
      <w:tr>
        <w:trPr>
          <w:trHeight w:val="282"/>
        </w:trPr>
        <w:tc>
          <w:tcPr>
            <w:tcW w:w="860" w:type="dxa"/>
            <w:vAlign w:val="bottom"/>
          </w:tcPr>
          <w:p>
            <w:pPr>
              <w:spacing w:after="0"/>
              <w:rPr>
                <w:sz w:val="20"/>
                <w:szCs w:val="20"/>
                <w:color w:val="auto"/>
              </w:rPr>
            </w:pPr>
            <w:r>
              <w:rPr>
                <w:rFonts w:ascii="Arial" w:cs="Arial" w:eastAsia="Arial" w:hAnsi="Arial"/>
                <w:sz w:val="14"/>
                <w:szCs w:val="14"/>
                <w:b w:val="1"/>
                <w:bCs w:val="1"/>
                <w:color w:val="auto"/>
              </w:rPr>
              <w:t>Item 2(a).</w:t>
            </w:r>
          </w:p>
        </w:tc>
        <w:tc>
          <w:tcPr>
            <w:tcW w:w="220" w:type="dxa"/>
            <w:vAlign w:val="bottom"/>
          </w:tcPr>
          <w:p>
            <w:pPr>
              <w:spacing w:after="0"/>
              <w:rPr>
                <w:sz w:val="24"/>
                <w:szCs w:val="24"/>
                <w:color w:val="auto"/>
              </w:rPr>
            </w:pPr>
          </w:p>
        </w:tc>
        <w:tc>
          <w:tcPr>
            <w:tcW w:w="7700" w:type="dxa"/>
            <w:vAlign w:val="bottom"/>
            <w:gridSpan w:val="8"/>
          </w:tcPr>
          <w:p>
            <w:pPr>
              <w:spacing w:after="0"/>
              <w:rPr>
                <w:sz w:val="20"/>
                <w:szCs w:val="20"/>
                <w:color w:val="auto"/>
              </w:rPr>
            </w:pPr>
            <w:r>
              <w:rPr>
                <w:rFonts w:ascii="Arial" w:cs="Arial" w:eastAsia="Arial" w:hAnsi="Arial"/>
                <w:sz w:val="14"/>
                <w:szCs w:val="14"/>
                <w:b w:val="1"/>
                <w:bCs w:val="1"/>
                <w:color w:val="auto"/>
              </w:rPr>
              <w:t>Name of Person Filing:</w:t>
            </w: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9"/>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00" w:type="dxa"/>
            <w:vAlign w:val="bottom"/>
            <w:gridSpan w:val="8"/>
          </w:tcPr>
          <w:p>
            <w:pPr>
              <w:ind w:left="20"/>
              <w:spacing w:after="0"/>
              <w:rPr>
                <w:sz w:val="20"/>
                <w:szCs w:val="20"/>
                <w:color w:val="auto"/>
              </w:rPr>
            </w:pPr>
            <w:r>
              <w:rPr>
                <w:rFonts w:ascii="Arial" w:cs="Arial" w:eastAsia="Arial" w:hAnsi="Arial"/>
                <w:sz w:val="14"/>
                <w:szCs w:val="14"/>
                <w:color w:val="auto"/>
              </w:rPr>
              <w:t>Blue Focus International Limited</w:t>
            </w:r>
          </w:p>
        </w:tc>
      </w:tr>
      <w:tr>
        <w:trPr>
          <w:trHeight w:val="172"/>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700" w:type="dxa"/>
            <w:vAlign w:val="bottom"/>
            <w:gridSpan w:val="8"/>
          </w:tcPr>
          <w:p>
            <w:pPr>
              <w:ind w:left="20"/>
              <w:spacing w:after="0"/>
              <w:rPr>
                <w:sz w:val="20"/>
                <w:szCs w:val="20"/>
                <w:color w:val="auto"/>
              </w:rPr>
            </w:pPr>
            <w:r>
              <w:rPr>
                <w:rFonts w:ascii="Arial" w:cs="Arial" w:eastAsia="Arial" w:hAnsi="Arial"/>
                <w:sz w:val="14"/>
                <w:szCs w:val="14"/>
                <w:color w:val="auto"/>
              </w:rPr>
              <w:t>BlueFocus Intelligent Communication Group Co., Ltd.</w:t>
            </w:r>
          </w:p>
        </w:tc>
      </w:tr>
      <w:tr>
        <w:trPr>
          <w:trHeight w:val="282"/>
        </w:trPr>
        <w:tc>
          <w:tcPr>
            <w:tcW w:w="860" w:type="dxa"/>
            <w:vAlign w:val="bottom"/>
          </w:tcPr>
          <w:p>
            <w:pPr>
              <w:spacing w:after="0"/>
              <w:rPr>
                <w:sz w:val="20"/>
                <w:szCs w:val="20"/>
                <w:color w:val="auto"/>
              </w:rPr>
            </w:pPr>
            <w:r>
              <w:rPr>
                <w:rFonts w:ascii="Arial" w:cs="Arial" w:eastAsia="Arial" w:hAnsi="Arial"/>
                <w:sz w:val="14"/>
                <w:szCs w:val="14"/>
                <w:b w:val="1"/>
                <w:bCs w:val="1"/>
                <w:color w:val="auto"/>
              </w:rPr>
              <w:t>Item 2(b).</w:t>
            </w:r>
          </w:p>
        </w:tc>
        <w:tc>
          <w:tcPr>
            <w:tcW w:w="220" w:type="dxa"/>
            <w:vAlign w:val="bottom"/>
          </w:tcPr>
          <w:p>
            <w:pPr>
              <w:spacing w:after="0"/>
              <w:rPr>
                <w:sz w:val="24"/>
                <w:szCs w:val="24"/>
                <w:color w:val="auto"/>
              </w:rPr>
            </w:pPr>
          </w:p>
        </w:tc>
        <w:tc>
          <w:tcPr>
            <w:tcW w:w="7700" w:type="dxa"/>
            <w:vAlign w:val="bottom"/>
            <w:gridSpan w:val="8"/>
          </w:tcPr>
          <w:p>
            <w:pPr>
              <w:spacing w:after="0"/>
              <w:rPr>
                <w:sz w:val="20"/>
                <w:szCs w:val="20"/>
                <w:color w:val="auto"/>
              </w:rPr>
            </w:pPr>
            <w:r>
              <w:rPr>
                <w:rFonts w:ascii="Arial" w:cs="Arial" w:eastAsia="Arial" w:hAnsi="Arial"/>
                <w:sz w:val="14"/>
                <w:szCs w:val="14"/>
                <w:b w:val="1"/>
                <w:bCs w:val="1"/>
                <w:color w:val="auto"/>
              </w:rPr>
              <w:t>Address of Principal Business Office, or, if none, Residence:</w:t>
            </w:r>
          </w:p>
        </w:tc>
      </w:tr>
      <w:tr>
        <w:trPr>
          <w:trHeight w:val="309"/>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Borders>
              <w:top w:val="single" w:sz="8" w:color="auto"/>
            </w:tcBorders>
            <w:gridSpan w:val="6"/>
          </w:tcPr>
          <w:p>
            <w:pPr>
              <w:ind w:left="20"/>
              <w:spacing w:after="0"/>
              <w:rPr>
                <w:sz w:val="20"/>
                <w:szCs w:val="20"/>
                <w:color w:val="auto"/>
              </w:rPr>
            </w:pPr>
            <w:r>
              <w:rPr>
                <w:rFonts w:ascii="Arial" w:cs="Arial" w:eastAsia="Arial" w:hAnsi="Arial"/>
                <w:sz w:val="14"/>
                <w:szCs w:val="14"/>
                <w:color w:val="auto"/>
              </w:rPr>
              <w:t>Blue Focus International Limited</w:t>
            </w:r>
          </w:p>
        </w:tc>
        <w:tc>
          <w:tcPr>
            <w:tcW w:w="3600" w:type="dxa"/>
            <w:vAlign w:val="bottom"/>
            <w:gridSpan w:val="2"/>
          </w:tcPr>
          <w:p>
            <w:pPr>
              <w:spacing w:after="0"/>
              <w:rPr>
                <w:sz w:val="24"/>
                <w:szCs w:val="24"/>
                <w:color w:val="auto"/>
              </w:rPr>
            </w:pPr>
          </w:p>
        </w:tc>
      </w:tr>
      <w:tr>
        <w:trPr>
          <w:trHeight w:val="172"/>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700" w:type="dxa"/>
            <w:vAlign w:val="bottom"/>
            <w:gridSpan w:val="8"/>
          </w:tcPr>
          <w:p>
            <w:pPr>
              <w:ind w:left="20"/>
              <w:spacing w:after="0"/>
              <w:rPr>
                <w:sz w:val="20"/>
                <w:szCs w:val="20"/>
                <w:color w:val="auto"/>
              </w:rPr>
            </w:pPr>
            <w:r>
              <w:rPr>
                <w:rFonts w:ascii="Arial" w:cs="Arial" w:eastAsia="Arial" w:hAnsi="Arial"/>
                <w:sz w:val="14"/>
                <w:szCs w:val="14"/>
                <w:color w:val="auto"/>
              </w:rPr>
              <w:t>Unit 07, 19th Floor, Kodak House II, 39 Healthy Street East, North Point, Hong Kong</w:t>
            </w:r>
          </w:p>
        </w:tc>
      </w:tr>
      <w:tr>
        <w:trPr>
          <w:trHeight w:val="287"/>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00" w:type="dxa"/>
            <w:vAlign w:val="bottom"/>
            <w:gridSpan w:val="8"/>
          </w:tcPr>
          <w:p>
            <w:pPr>
              <w:ind w:left="20"/>
              <w:spacing w:after="0"/>
              <w:rPr>
                <w:sz w:val="20"/>
                <w:szCs w:val="20"/>
                <w:color w:val="auto"/>
              </w:rPr>
            </w:pPr>
            <w:r>
              <w:rPr>
                <w:rFonts w:ascii="Arial" w:cs="Arial" w:eastAsia="Arial" w:hAnsi="Arial"/>
                <w:sz w:val="14"/>
                <w:szCs w:val="14"/>
                <w:color w:val="auto"/>
              </w:rPr>
              <w:t>BlueFocus Intelligent Communication Group Co., Ltd.</w:t>
            </w:r>
          </w:p>
        </w:tc>
      </w:tr>
      <w:tr>
        <w:trPr>
          <w:trHeight w:val="172"/>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700" w:type="dxa"/>
            <w:vAlign w:val="bottom"/>
            <w:gridSpan w:val="8"/>
          </w:tcPr>
          <w:p>
            <w:pPr>
              <w:ind w:left="20"/>
              <w:spacing w:after="0"/>
              <w:rPr>
                <w:sz w:val="20"/>
                <w:szCs w:val="20"/>
                <w:color w:val="auto"/>
              </w:rPr>
            </w:pPr>
            <w:r>
              <w:rPr>
                <w:rFonts w:ascii="Arial" w:cs="Arial" w:eastAsia="Arial" w:hAnsi="Arial"/>
                <w:sz w:val="14"/>
                <w:szCs w:val="14"/>
                <w:color w:val="auto"/>
              </w:rPr>
              <w:t>Bldg. C9-C Universal Creative Park, 9 Jiuxianqiao North Rd, Chaoyang District, Beijing 100015, China</w:t>
            </w:r>
          </w:p>
        </w:tc>
      </w:tr>
      <w:tr>
        <w:trPr>
          <w:trHeight w:val="282"/>
        </w:trPr>
        <w:tc>
          <w:tcPr>
            <w:tcW w:w="860" w:type="dxa"/>
            <w:vAlign w:val="bottom"/>
          </w:tcPr>
          <w:p>
            <w:pPr>
              <w:spacing w:after="0"/>
              <w:rPr>
                <w:sz w:val="20"/>
                <w:szCs w:val="20"/>
                <w:color w:val="auto"/>
              </w:rPr>
            </w:pPr>
            <w:r>
              <w:rPr>
                <w:rFonts w:ascii="Arial" w:cs="Arial" w:eastAsia="Arial" w:hAnsi="Arial"/>
                <w:sz w:val="14"/>
                <w:szCs w:val="14"/>
                <w:b w:val="1"/>
                <w:bCs w:val="1"/>
                <w:color w:val="auto"/>
              </w:rPr>
              <w:t>Item 2(c).</w:t>
            </w:r>
          </w:p>
        </w:tc>
        <w:tc>
          <w:tcPr>
            <w:tcW w:w="220" w:type="dxa"/>
            <w:vAlign w:val="bottom"/>
          </w:tcPr>
          <w:p>
            <w:pPr>
              <w:spacing w:after="0"/>
              <w:rPr>
                <w:sz w:val="24"/>
                <w:szCs w:val="24"/>
                <w:color w:val="auto"/>
              </w:rPr>
            </w:pPr>
          </w:p>
        </w:tc>
        <w:tc>
          <w:tcPr>
            <w:tcW w:w="7700" w:type="dxa"/>
            <w:vAlign w:val="bottom"/>
            <w:gridSpan w:val="8"/>
          </w:tcPr>
          <w:p>
            <w:pPr>
              <w:spacing w:after="0"/>
              <w:rPr>
                <w:sz w:val="20"/>
                <w:szCs w:val="20"/>
                <w:color w:val="auto"/>
              </w:rPr>
            </w:pPr>
            <w:r>
              <w:rPr>
                <w:rFonts w:ascii="Arial" w:cs="Arial" w:eastAsia="Arial" w:hAnsi="Arial"/>
                <w:sz w:val="14"/>
                <w:szCs w:val="14"/>
                <w:b w:val="1"/>
                <w:bCs w:val="1"/>
                <w:color w:val="auto"/>
              </w:rPr>
              <w:t>Citizenship:</w:t>
            </w: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Borders>
              <w:left w:val="single" w:sz="8" w:color="auto"/>
            </w:tcBorders>
            <w:gridSpan w:val="3"/>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9"/>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00" w:type="dxa"/>
            <w:vAlign w:val="bottom"/>
            <w:gridSpan w:val="8"/>
          </w:tcPr>
          <w:p>
            <w:pPr>
              <w:ind w:left="20"/>
              <w:spacing w:after="0"/>
              <w:rPr>
                <w:sz w:val="20"/>
                <w:szCs w:val="20"/>
                <w:color w:val="auto"/>
              </w:rPr>
            </w:pPr>
            <w:r>
              <w:rPr>
                <w:rFonts w:ascii="Arial" w:cs="Arial" w:eastAsia="Arial" w:hAnsi="Arial"/>
                <w:sz w:val="14"/>
                <w:szCs w:val="14"/>
                <w:color w:val="auto"/>
              </w:rPr>
              <w:t>Blue Focus International Limited — Hong Kong S.A.R.</w:t>
            </w:r>
          </w:p>
        </w:tc>
      </w:tr>
      <w:tr>
        <w:trPr>
          <w:trHeight w:val="172"/>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700" w:type="dxa"/>
            <w:vAlign w:val="bottom"/>
            <w:gridSpan w:val="8"/>
          </w:tcPr>
          <w:p>
            <w:pPr>
              <w:ind w:left="20"/>
              <w:spacing w:after="0"/>
              <w:rPr>
                <w:sz w:val="20"/>
                <w:szCs w:val="20"/>
                <w:color w:val="auto"/>
              </w:rPr>
            </w:pPr>
            <w:r>
              <w:rPr>
                <w:rFonts w:ascii="Arial" w:cs="Arial" w:eastAsia="Arial" w:hAnsi="Arial"/>
                <w:sz w:val="14"/>
                <w:szCs w:val="14"/>
                <w:color w:val="auto"/>
              </w:rPr>
              <w:t>BlueFocus Intelligent Communication Group Co., Ltd. — People’s Republic of China</w:t>
            </w:r>
          </w:p>
        </w:tc>
      </w:tr>
      <w:tr>
        <w:trPr>
          <w:trHeight w:val="282"/>
        </w:trPr>
        <w:tc>
          <w:tcPr>
            <w:tcW w:w="860" w:type="dxa"/>
            <w:vAlign w:val="bottom"/>
          </w:tcPr>
          <w:p>
            <w:pPr>
              <w:spacing w:after="0"/>
              <w:rPr>
                <w:sz w:val="20"/>
                <w:szCs w:val="20"/>
                <w:color w:val="auto"/>
              </w:rPr>
            </w:pPr>
            <w:r>
              <w:rPr>
                <w:rFonts w:ascii="Arial" w:cs="Arial" w:eastAsia="Arial" w:hAnsi="Arial"/>
                <w:sz w:val="14"/>
                <w:szCs w:val="14"/>
                <w:b w:val="1"/>
                <w:bCs w:val="1"/>
                <w:color w:val="auto"/>
              </w:rPr>
              <w:t>Item 2(d).</w:t>
            </w:r>
          </w:p>
        </w:tc>
        <w:tc>
          <w:tcPr>
            <w:tcW w:w="220" w:type="dxa"/>
            <w:vAlign w:val="bottom"/>
          </w:tcPr>
          <w:p>
            <w:pPr>
              <w:spacing w:after="0"/>
              <w:rPr>
                <w:sz w:val="24"/>
                <w:szCs w:val="24"/>
                <w:color w:val="auto"/>
              </w:rPr>
            </w:pPr>
          </w:p>
        </w:tc>
        <w:tc>
          <w:tcPr>
            <w:tcW w:w="7700" w:type="dxa"/>
            <w:vAlign w:val="bottom"/>
            <w:gridSpan w:val="8"/>
          </w:tcPr>
          <w:p>
            <w:pPr>
              <w:spacing w:after="0"/>
              <w:rPr>
                <w:sz w:val="20"/>
                <w:szCs w:val="20"/>
                <w:color w:val="auto"/>
              </w:rPr>
            </w:pPr>
            <w:r>
              <w:rPr>
                <w:rFonts w:ascii="Arial" w:cs="Arial" w:eastAsia="Arial" w:hAnsi="Arial"/>
                <w:sz w:val="14"/>
                <w:szCs w:val="14"/>
                <w:b w:val="1"/>
                <w:bCs w:val="1"/>
                <w:color w:val="auto"/>
              </w:rPr>
              <w:t>Title of Class of Securities:</w:t>
            </w: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Borders>
              <w:left w:val="single" w:sz="8" w:color="auto"/>
            </w:tcBorders>
            <w:gridSpan w:val="3"/>
            <w:shd w:val="clear" w:color="auto" w:fill="000000"/>
          </w:tcPr>
          <w:p>
            <w:pPr>
              <w:spacing w:after="0" w:line="20" w:lineRule="exact"/>
              <w:rPr>
                <w:sz w:val="1"/>
                <w:szCs w:val="1"/>
                <w:color w:val="auto"/>
              </w:rPr>
            </w:pPr>
          </w:p>
        </w:tc>
        <w:tc>
          <w:tcPr>
            <w:tcW w:w="5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9"/>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00" w:type="dxa"/>
            <w:vAlign w:val="bottom"/>
            <w:gridSpan w:val="8"/>
          </w:tcPr>
          <w:p>
            <w:pPr>
              <w:ind w:left="20"/>
              <w:spacing w:after="0"/>
              <w:rPr>
                <w:sz w:val="20"/>
                <w:szCs w:val="20"/>
                <w:color w:val="auto"/>
              </w:rPr>
            </w:pPr>
            <w:r>
              <w:rPr>
                <w:rFonts w:ascii="Arial" w:cs="Arial" w:eastAsia="Arial" w:hAnsi="Arial"/>
                <w:sz w:val="14"/>
                <w:szCs w:val="14"/>
                <w:color w:val="auto"/>
              </w:rPr>
              <w:t>Class A ordinary shares, par value of $0.001 per share (the “Class A Ordinary Shares”)</w:t>
            </w:r>
          </w:p>
        </w:tc>
      </w:tr>
      <w:tr>
        <w:trPr>
          <w:trHeight w:val="269"/>
        </w:trPr>
        <w:tc>
          <w:tcPr>
            <w:tcW w:w="860" w:type="dxa"/>
            <w:vAlign w:val="bottom"/>
          </w:tcPr>
          <w:p>
            <w:pPr>
              <w:spacing w:after="0"/>
              <w:rPr>
                <w:sz w:val="20"/>
                <w:szCs w:val="20"/>
                <w:color w:val="auto"/>
              </w:rPr>
            </w:pPr>
            <w:r>
              <w:rPr>
                <w:rFonts w:ascii="Arial" w:cs="Arial" w:eastAsia="Arial" w:hAnsi="Arial"/>
                <w:sz w:val="14"/>
                <w:szCs w:val="14"/>
                <w:b w:val="1"/>
                <w:bCs w:val="1"/>
                <w:color w:val="auto"/>
              </w:rPr>
              <w:t>Item 2(e).</w:t>
            </w:r>
          </w:p>
        </w:tc>
        <w:tc>
          <w:tcPr>
            <w:tcW w:w="220" w:type="dxa"/>
            <w:vAlign w:val="bottom"/>
          </w:tcPr>
          <w:p>
            <w:pPr>
              <w:spacing w:after="0"/>
              <w:rPr>
                <w:sz w:val="23"/>
                <w:szCs w:val="23"/>
                <w:color w:val="auto"/>
              </w:rPr>
            </w:pPr>
          </w:p>
        </w:tc>
        <w:tc>
          <w:tcPr>
            <w:tcW w:w="7700" w:type="dxa"/>
            <w:vAlign w:val="bottom"/>
            <w:gridSpan w:val="8"/>
          </w:tcPr>
          <w:p>
            <w:pPr>
              <w:spacing w:after="0"/>
              <w:rPr>
                <w:sz w:val="20"/>
                <w:szCs w:val="20"/>
                <w:color w:val="auto"/>
              </w:rPr>
            </w:pPr>
            <w:r>
              <w:rPr>
                <w:rFonts w:ascii="Arial" w:cs="Arial" w:eastAsia="Arial" w:hAnsi="Arial"/>
                <w:sz w:val="14"/>
                <w:szCs w:val="14"/>
                <w:b w:val="1"/>
                <w:bCs w:val="1"/>
                <w:color w:val="auto"/>
              </w:rPr>
              <w:t>CUSIP No.:</w:t>
            </w: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9"/>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00" w:type="dxa"/>
            <w:vAlign w:val="bottom"/>
            <w:gridSpan w:val="8"/>
          </w:tcPr>
          <w:p>
            <w:pPr>
              <w:ind w:left="20"/>
              <w:spacing w:after="0"/>
              <w:rPr>
                <w:sz w:val="20"/>
                <w:szCs w:val="20"/>
                <w:color w:val="auto"/>
              </w:rPr>
            </w:pPr>
            <w:r>
              <w:rPr>
                <w:rFonts w:ascii="Arial" w:cs="Arial" w:eastAsia="Arial" w:hAnsi="Arial"/>
                <w:sz w:val="14"/>
                <w:szCs w:val="14"/>
                <w:color w:val="auto"/>
              </w:rPr>
              <w:t>G47048 106</w:t>
            </w:r>
          </w:p>
        </w:tc>
      </w:tr>
      <w:tr>
        <w:trPr>
          <w:trHeight w:val="282"/>
        </w:trPr>
        <w:tc>
          <w:tcPr>
            <w:tcW w:w="86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220" w:type="dxa"/>
            <w:vAlign w:val="bottom"/>
          </w:tcPr>
          <w:p>
            <w:pPr>
              <w:spacing w:after="0"/>
              <w:rPr>
                <w:sz w:val="24"/>
                <w:szCs w:val="24"/>
                <w:color w:val="auto"/>
              </w:rPr>
            </w:pPr>
          </w:p>
        </w:tc>
        <w:tc>
          <w:tcPr>
            <w:tcW w:w="7700" w:type="dxa"/>
            <w:vAlign w:val="bottom"/>
            <w:gridSpan w:val="8"/>
          </w:tcPr>
          <w:p>
            <w:pPr>
              <w:spacing w:after="0"/>
              <w:rPr>
                <w:sz w:val="20"/>
                <w:szCs w:val="20"/>
                <w:color w:val="auto"/>
              </w:rPr>
            </w:pPr>
            <w:r>
              <w:rPr>
                <w:rFonts w:ascii="Arial" w:cs="Arial" w:eastAsia="Arial" w:hAnsi="Arial"/>
                <w:sz w:val="14"/>
                <w:szCs w:val="14"/>
                <w:b w:val="1"/>
                <w:bCs w:val="1"/>
                <w:color w:val="auto"/>
              </w:rPr>
              <w:t>If this statement is filed pursuant to §§ 240.13d-1(b), or 240.13d -2(b) or (c), check whether the persons filing is a:</w:t>
            </w:r>
          </w:p>
        </w:tc>
      </w:tr>
      <w:tr>
        <w:trPr>
          <w:trHeight w:val="319"/>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60" w:type="dxa"/>
            <w:vAlign w:val="bottom"/>
            <w:tcBorders>
              <w:top w:val="single" w:sz="8" w:color="auto"/>
            </w:tcBorders>
            <w:gridSpan w:val="7"/>
          </w:tcPr>
          <w:p>
            <w:pPr>
              <w:ind w:left="20"/>
              <w:spacing w:after="0"/>
              <w:rPr>
                <w:sz w:val="20"/>
                <w:szCs w:val="20"/>
                <w:color w:val="auto"/>
              </w:rPr>
            </w:pPr>
            <w:r>
              <w:rPr>
                <w:rFonts w:ascii="Arial" w:cs="Arial" w:eastAsia="Arial" w:hAnsi="Arial"/>
                <w:sz w:val="14"/>
                <w:szCs w:val="14"/>
                <w:color w:val="auto"/>
              </w:rPr>
              <w:t>Not applicable</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56" w:right="1440"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u w:val="single" w:color="auto"/>
          <w:color w:val="auto"/>
        </w:rPr>
        <w:t>Ownership</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The following information with respect to the ownership of the Class A Ordinary Shares by each of the reporting persons is provided as of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S Sole Power to</w:t>
            </w:r>
          </w:p>
        </w:tc>
        <w:tc>
          <w:tcPr>
            <w:tcW w:w="14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Shared Power</w:t>
            </w:r>
          </w:p>
        </w:tc>
      </w:tr>
      <w:tr>
        <w:trPr>
          <w:trHeight w:val="135"/>
        </w:trPr>
        <w:tc>
          <w:tcPr>
            <w:tcW w:w="11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3"/>
              </w:rPr>
              <w:t>Amount</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Sole Power to</w:t>
            </w:r>
          </w:p>
        </w:tc>
        <w:tc>
          <w:tcPr>
            <w:tcW w:w="14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Shared Power</w:t>
            </w: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Dispose or to</w:t>
            </w: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to Dispose or to</w:t>
            </w:r>
          </w:p>
        </w:tc>
      </w:tr>
      <w:tr>
        <w:trPr>
          <w:trHeight w:val="135"/>
        </w:trPr>
        <w:tc>
          <w:tcPr>
            <w:tcW w:w="11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Beneficially</w:t>
            </w: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Percent of</w:t>
            </w:r>
          </w:p>
        </w:tc>
        <w:tc>
          <w:tcPr>
            <w:tcW w:w="12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Vote or Direct</w:t>
            </w: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to Vote or to</w:t>
            </w:r>
          </w:p>
        </w:tc>
        <w:tc>
          <w:tcPr>
            <w:tcW w:w="13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Direct the</w:t>
            </w: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Direct the</w:t>
            </w:r>
          </w:p>
        </w:tc>
      </w:tr>
      <w:tr>
        <w:trPr>
          <w:trHeight w:val="144"/>
        </w:trPr>
        <w:tc>
          <w:tcPr>
            <w:tcW w:w="39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Reporting Person:</w:t>
            </w:r>
          </w:p>
        </w:tc>
        <w:tc>
          <w:tcPr>
            <w:tcW w:w="114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Owned:</w:t>
            </w:r>
          </w:p>
        </w:tc>
        <w:tc>
          <w:tcPr>
            <w:tcW w:w="9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7"/>
              </w:rPr>
              <w:t>Class:</w:t>
            </w:r>
            <w:r>
              <w:rPr>
                <w:rFonts w:ascii="Arial" w:cs="Arial" w:eastAsia="Arial" w:hAnsi="Arial"/>
                <w:sz w:val="10"/>
                <w:szCs w:val="10"/>
                <w:b w:val="1"/>
                <w:bCs w:val="1"/>
                <w:color w:val="auto"/>
                <w:w w:val="97"/>
              </w:rPr>
              <w:t>(1)</w:t>
            </w:r>
          </w:p>
        </w:tc>
        <w:tc>
          <w:tcPr>
            <w:tcW w:w="12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the Vote:</w:t>
            </w:r>
          </w:p>
        </w:tc>
        <w:tc>
          <w:tcPr>
            <w:tcW w:w="14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5"/>
              </w:rPr>
              <w:t>Direct the Vote:</w:t>
            </w:r>
          </w:p>
        </w:tc>
        <w:tc>
          <w:tcPr>
            <w:tcW w:w="13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6"/>
              </w:rPr>
              <w:t>Disposition of:</w:t>
            </w:r>
          </w:p>
        </w:tc>
        <w:tc>
          <w:tcPr>
            <w:tcW w:w="14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6"/>
              </w:rPr>
              <w:t>Disposition of:</w:t>
            </w:r>
          </w:p>
        </w:tc>
      </w:tr>
      <w:tr>
        <w:trPr>
          <w:trHeight w:val="27"/>
        </w:trPr>
        <w:tc>
          <w:tcPr>
            <w:tcW w:w="1100" w:type="dxa"/>
            <w:vAlign w:val="bottom"/>
            <w:shd w:val="clear" w:color="auto" w:fill="000000"/>
          </w:tcPr>
          <w:p>
            <w:pPr>
              <w:spacing w:after="0"/>
              <w:rPr>
                <w:sz w:val="2"/>
                <w:szCs w:val="2"/>
                <w:color w:val="auto"/>
              </w:rPr>
            </w:pPr>
          </w:p>
        </w:tc>
        <w:tc>
          <w:tcPr>
            <w:tcW w:w="2820" w:type="dxa"/>
            <w:vAlign w:val="bottom"/>
            <w:shd w:val="clear" w:color="auto" w:fill="9CC2E5"/>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9CC2E5"/>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9CC2E5"/>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9CC2E5"/>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9CC2E5"/>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9CC2E5"/>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9CC2E5"/>
          </w:tcPr>
          <w:p>
            <w:pPr>
              <w:spacing w:after="0"/>
              <w:rPr>
                <w:sz w:val="2"/>
                <w:szCs w:val="2"/>
                <w:color w:val="auto"/>
              </w:rPr>
            </w:pPr>
          </w:p>
        </w:tc>
      </w:tr>
      <w:tr>
        <w:trPr>
          <w:trHeight w:val="189"/>
        </w:trPr>
        <w:tc>
          <w:tcPr>
            <w:tcW w:w="3920" w:type="dxa"/>
            <w:vAlign w:val="bottom"/>
            <w:gridSpan w:val="2"/>
            <w:shd w:val="clear" w:color="auto" w:fill="9CC2E5"/>
          </w:tcPr>
          <w:p>
            <w:pPr>
              <w:spacing w:after="0"/>
              <w:rPr>
                <w:sz w:val="20"/>
                <w:szCs w:val="20"/>
                <w:color w:val="auto"/>
              </w:rPr>
            </w:pPr>
            <w:r>
              <w:rPr>
                <w:rFonts w:ascii="Arial" w:cs="Arial" w:eastAsia="Arial" w:hAnsi="Arial"/>
                <w:sz w:val="14"/>
                <w:szCs w:val="14"/>
                <w:color w:val="auto"/>
              </w:rPr>
              <w:t>Blue Focus International Limited</w:t>
            </w:r>
          </w:p>
        </w:tc>
        <w:tc>
          <w:tcPr>
            <w:tcW w:w="1140" w:type="dxa"/>
            <w:vAlign w:val="bottom"/>
            <w:gridSpan w:val="2"/>
            <w:shd w:val="clear" w:color="auto" w:fill="9CC2E5"/>
          </w:tcPr>
          <w:p>
            <w:pPr>
              <w:ind w:left="220"/>
              <w:spacing w:after="0" w:line="189" w:lineRule="exact"/>
              <w:rPr>
                <w:sz w:val="20"/>
                <w:szCs w:val="20"/>
                <w:color w:val="auto"/>
              </w:rPr>
            </w:pPr>
            <w:r>
              <w:rPr>
                <w:rFonts w:ascii="Arial" w:cs="Arial" w:eastAsia="Arial" w:hAnsi="Arial"/>
                <w:sz w:val="12"/>
                <w:szCs w:val="12"/>
                <w:color w:val="auto"/>
              </w:rPr>
              <w:t>2,454,088</w:t>
            </w:r>
            <w:r>
              <w:rPr>
                <w:rFonts w:ascii="Arial" w:cs="Arial" w:eastAsia="Arial" w:hAnsi="Arial"/>
                <w:sz w:val="21"/>
                <w:szCs w:val="21"/>
                <w:color w:val="auto"/>
                <w:vertAlign w:val="superscript"/>
              </w:rPr>
              <w:t>(2)</w:t>
            </w:r>
          </w:p>
        </w:tc>
        <w:tc>
          <w:tcPr>
            <w:tcW w:w="820" w:type="dxa"/>
            <w:vAlign w:val="bottom"/>
            <w:shd w:val="clear" w:color="auto" w:fill="9CC2E5"/>
          </w:tcPr>
          <w:p>
            <w:pPr>
              <w:jc w:val="center"/>
              <w:spacing w:after="0"/>
              <w:rPr>
                <w:sz w:val="20"/>
                <w:szCs w:val="20"/>
                <w:color w:val="auto"/>
              </w:rPr>
            </w:pPr>
            <w:r>
              <w:rPr>
                <w:rFonts w:ascii="Arial" w:cs="Arial" w:eastAsia="Arial" w:hAnsi="Arial"/>
                <w:sz w:val="14"/>
                <w:szCs w:val="14"/>
                <w:color w:val="auto"/>
              </w:rPr>
              <w:t>8.6%</w:t>
            </w:r>
          </w:p>
        </w:tc>
        <w:tc>
          <w:tcPr>
            <w:tcW w:w="120" w:type="dxa"/>
            <w:vAlign w:val="bottom"/>
            <w:shd w:val="clear" w:color="auto" w:fill="9CC2E5"/>
          </w:tcPr>
          <w:p>
            <w:pPr>
              <w:spacing w:after="0"/>
              <w:rPr>
                <w:sz w:val="16"/>
                <w:szCs w:val="16"/>
                <w:color w:val="auto"/>
              </w:rPr>
            </w:pPr>
          </w:p>
        </w:tc>
        <w:tc>
          <w:tcPr>
            <w:tcW w:w="1080" w:type="dxa"/>
            <w:vAlign w:val="bottom"/>
            <w:shd w:val="clear" w:color="auto" w:fill="9CC2E5"/>
          </w:tcPr>
          <w:p>
            <w:pPr>
              <w:jc w:val="center"/>
              <w:spacing w:after="0"/>
              <w:rPr>
                <w:sz w:val="20"/>
                <w:szCs w:val="20"/>
                <w:color w:val="auto"/>
              </w:rPr>
            </w:pPr>
            <w:r>
              <w:rPr>
                <w:rFonts w:ascii="Arial" w:cs="Arial" w:eastAsia="Arial" w:hAnsi="Arial"/>
                <w:sz w:val="14"/>
                <w:szCs w:val="14"/>
                <w:color w:val="auto"/>
              </w:rPr>
              <w:t>0</w:t>
            </w:r>
          </w:p>
        </w:tc>
        <w:tc>
          <w:tcPr>
            <w:tcW w:w="140" w:type="dxa"/>
            <w:vAlign w:val="bottom"/>
            <w:shd w:val="clear" w:color="auto" w:fill="9CC2E5"/>
          </w:tcPr>
          <w:p>
            <w:pPr>
              <w:spacing w:after="0"/>
              <w:rPr>
                <w:sz w:val="16"/>
                <w:szCs w:val="16"/>
                <w:color w:val="auto"/>
              </w:rPr>
            </w:pPr>
          </w:p>
        </w:tc>
        <w:tc>
          <w:tcPr>
            <w:tcW w:w="1440" w:type="dxa"/>
            <w:vAlign w:val="bottom"/>
            <w:gridSpan w:val="2"/>
            <w:shd w:val="clear" w:color="auto" w:fill="9CC2E5"/>
          </w:tcPr>
          <w:p>
            <w:pPr>
              <w:jc w:val="right"/>
              <w:ind w:right="120"/>
              <w:spacing w:after="0" w:line="189" w:lineRule="exact"/>
              <w:rPr>
                <w:sz w:val="20"/>
                <w:szCs w:val="20"/>
                <w:color w:val="auto"/>
              </w:rPr>
            </w:pPr>
            <w:r>
              <w:rPr>
                <w:rFonts w:ascii="Arial" w:cs="Arial" w:eastAsia="Arial" w:hAnsi="Arial"/>
                <w:sz w:val="12"/>
                <w:szCs w:val="12"/>
                <w:color w:val="auto"/>
              </w:rPr>
              <w:t>2,454,088</w:t>
            </w:r>
            <w:r>
              <w:rPr>
                <w:rFonts w:ascii="Arial" w:cs="Arial" w:eastAsia="Arial" w:hAnsi="Arial"/>
                <w:sz w:val="21"/>
                <w:szCs w:val="21"/>
                <w:color w:val="auto"/>
                <w:vertAlign w:val="superscript"/>
              </w:rPr>
              <w:t>(2)</w:t>
            </w:r>
          </w:p>
        </w:tc>
        <w:tc>
          <w:tcPr>
            <w:tcW w:w="1220" w:type="dxa"/>
            <w:vAlign w:val="bottom"/>
            <w:shd w:val="clear" w:color="auto" w:fill="9CC2E5"/>
          </w:tcPr>
          <w:p>
            <w:pPr>
              <w:jc w:val="center"/>
              <w:spacing w:after="0"/>
              <w:rPr>
                <w:sz w:val="20"/>
                <w:szCs w:val="20"/>
                <w:color w:val="auto"/>
              </w:rPr>
            </w:pPr>
            <w:r>
              <w:rPr>
                <w:rFonts w:ascii="Arial" w:cs="Arial" w:eastAsia="Arial" w:hAnsi="Arial"/>
                <w:sz w:val="14"/>
                <w:szCs w:val="14"/>
                <w:color w:val="auto"/>
              </w:rPr>
              <w:t>0</w:t>
            </w:r>
          </w:p>
        </w:tc>
        <w:tc>
          <w:tcPr>
            <w:tcW w:w="120" w:type="dxa"/>
            <w:vAlign w:val="bottom"/>
            <w:shd w:val="clear" w:color="auto" w:fill="9CC2E5"/>
          </w:tcPr>
          <w:p>
            <w:pPr>
              <w:spacing w:after="0"/>
              <w:rPr>
                <w:sz w:val="16"/>
                <w:szCs w:val="16"/>
                <w:color w:val="auto"/>
              </w:rPr>
            </w:pPr>
          </w:p>
        </w:tc>
        <w:tc>
          <w:tcPr>
            <w:tcW w:w="1420" w:type="dxa"/>
            <w:vAlign w:val="bottom"/>
            <w:gridSpan w:val="2"/>
            <w:shd w:val="clear" w:color="auto" w:fill="9CC2E5"/>
          </w:tcPr>
          <w:p>
            <w:pPr>
              <w:jc w:val="right"/>
              <w:ind w:right="40"/>
              <w:spacing w:after="0" w:line="189" w:lineRule="exact"/>
              <w:rPr>
                <w:sz w:val="20"/>
                <w:szCs w:val="20"/>
                <w:color w:val="auto"/>
              </w:rPr>
            </w:pPr>
            <w:r>
              <w:rPr>
                <w:rFonts w:ascii="Arial" w:cs="Arial" w:eastAsia="Arial" w:hAnsi="Arial"/>
                <w:sz w:val="12"/>
                <w:szCs w:val="12"/>
                <w:color w:val="auto"/>
              </w:rPr>
              <w:t>2,454,088</w:t>
            </w:r>
            <w:r>
              <w:rPr>
                <w:rFonts w:ascii="Arial" w:cs="Arial" w:eastAsia="Arial" w:hAnsi="Arial"/>
                <w:sz w:val="21"/>
                <w:szCs w:val="21"/>
                <w:color w:val="auto"/>
                <w:vertAlign w:val="superscript"/>
              </w:rPr>
              <w:t>(2)</w:t>
            </w:r>
          </w:p>
        </w:tc>
      </w:tr>
      <w:tr>
        <w:trPr>
          <w:trHeight w:val="372"/>
        </w:trPr>
        <w:tc>
          <w:tcPr>
            <w:tcW w:w="3920" w:type="dxa"/>
            <w:vAlign w:val="bottom"/>
            <w:gridSpan w:val="2"/>
          </w:tcPr>
          <w:p>
            <w:pPr>
              <w:spacing w:after="0"/>
              <w:rPr>
                <w:sz w:val="20"/>
                <w:szCs w:val="20"/>
                <w:color w:val="auto"/>
              </w:rPr>
            </w:pPr>
            <w:r>
              <w:rPr>
                <w:rFonts w:ascii="Arial" w:cs="Arial" w:eastAsia="Arial" w:hAnsi="Arial"/>
                <w:sz w:val="14"/>
                <w:szCs w:val="14"/>
                <w:color w:val="auto"/>
              </w:rPr>
              <w:t>BlueFocus Intelligent Communication Group Co., Ltd.</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2,454,088</w:t>
            </w:r>
            <w:r>
              <w:rPr>
                <w:rFonts w:ascii="Arial" w:cs="Arial" w:eastAsia="Arial" w:hAnsi="Arial"/>
                <w:sz w:val="28"/>
                <w:szCs w:val="28"/>
                <w:color w:val="auto"/>
                <w:vertAlign w:val="superscript"/>
              </w:rPr>
              <w:t>(2)</w:t>
            </w:r>
          </w:p>
        </w:tc>
        <w:tc>
          <w:tcPr>
            <w:tcW w:w="820" w:type="dxa"/>
            <w:vAlign w:val="bottom"/>
          </w:tcPr>
          <w:p>
            <w:pPr>
              <w:jc w:val="center"/>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color w:val="auto"/>
              </w:rPr>
              <w:t>2,454,088</w:t>
            </w:r>
            <w:r>
              <w:rPr>
                <w:rFonts w:ascii="Arial" w:cs="Arial" w:eastAsia="Arial" w:hAnsi="Arial"/>
                <w:sz w:val="28"/>
                <w:szCs w:val="28"/>
                <w:color w:val="auto"/>
                <w:vertAlign w:val="superscript"/>
              </w:rPr>
              <w:t>(2)</w:t>
            </w:r>
          </w:p>
        </w:tc>
        <w:tc>
          <w:tcPr>
            <w:tcW w:w="1220" w:type="dxa"/>
            <w:vAlign w:val="bottom"/>
          </w:tcPr>
          <w:p>
            <w:pPr>
              <w:jc w:val="center"/>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4"/>
                <w:szCs w:val="24"/>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2,454,088</w:t>
            </w:r>
            <w:r>
              <w:rPr>
                <w:rFonts w:ascii="Arial" w:cs="Arial" w:eastAsia="Arial" w:hAnsi="Arial"/>
                <w:sz w:val="28"/>
                <w:szCs w:val="28"/>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9175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4" w:lineRule="exact"/>
        <w:rPr>
          <w:sz w:val="20"/>
          <w:szCs w:val="20"/>
          <w:color w:val="auto"/>
        </w:rPr>
      </w:pPr>
    </w:p>
    <w:p>
      <w:pPr>
        <w:ind w:left="500" w:right="60" w:hanging="492"/>
        <w:spacing w:after="0" w:line="241"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percentages set forth in this Schedule 13G are calculated based upon an aggregate of 28,584,491 ordinary shares, comprised of 23,763,883 Class A Ordinary Shares and 4,820,608 Class B Ordinary Shares, outstanding as of September 30, 2019, as reported in the Issuer’s Form 6-K filed with the Securities and Exchange Commission (the “SEC”) on November 27, 2019</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2,454,088 Class A Ordinary Shares held by Blue Focus International Limited, which is wholly owned by BlueFocus Intelligent Communication Group Co., Ltd..</w:t>
      </w: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4"/>
          <w:szCs w:val="14"/>
          <w:b w:val="1"/>
          <w:bCs w:val="1"/>
          <w:u w:val="single" w:color="auto"/>
          <w:color w:val="auto"/>
        </w:rPr>
        <w:t>Ownership of Five Percent or Less of a Class</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4"/>
          <w:szCs w:val="14"/>
          <w:b w:val="1"/>
          <w:bCs w:val="1"/>
          <w:u w:val="single" w:color="auto"/>
          <w:color w:val="auto"/>
        </w:rPr>
        <w:t>Ownership of More than Five Percent on Behalf of Another Person</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4"/>
          <w:szCs w:val="14"/>
          <w:color w:val="auto"/>
        </w:rPr>
        <w:t>Not applicable</w:t>
      </w:r>
    </w:p>
    <w:p>
      <w:pPr>
        <w:spacing w:after="0" w:line="11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u w:val="single" w:color="auto"/>
          <w:color w:val="auto"/>
        </w:rPr>
        <w:t>Identification and Classification of the Subsidiary Which Acquired the Security Being Reported on By the Parent Holding Company or Control Person</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4"/>
          <w:szCs w:val="14"/>
          <w:b w:val="1"/>
          <w:bCs w:val="1"/>
          <w:u w:val="single" w:color="auto"/>
          <w:color w:val="auto"/>
        </w:rPr>
        <w:t>Identification and Classification of Members of the Group</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4"/>
          <w:szCs w:val="14"/>
          <w:b w:val="1"/>
          <w:bCs w:val="1"/>
          <w:u w:val="single" w:color="auto"/>
          <w:color w:val="auto"/>
        </w:rPr>
        <w:t>Notice of Dissolution of Group</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4"/>
          <w:szCs w:val="14"/>
          <w:color w:val="auto"/>
        </w:rPr>
        <w:t>Not applicable</w:t>
      </w:r>
    </w:p>
    <w:p>
      <w:pPr>
        <w:spacing w:after="0" w:line="11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4"/>
          <w:szCs w:val="14"/>
          <w:b w:val="1"/>
          <w:bCs w:val="1"/>
          <w:u w:val="single" w:color="auto"/>
          <w:color w:val="auto"/>
        </w:rPr>
        <w:t>Certifications</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SIGNATURE</w:t>
      </w:r>
    </w:p>
    <w:p>
      <w:pPr>
        <w:spacing w:after="0" w:line="214" w:lineRule="exact"/>
        <w:rPr>
          <w:sz w:val="20"/>
          <w:szCs w:val="20"/>
          <w:color w:val="auto"/>
        </w:rPr>
      </w:pPr>
    </w:p>
    <w:p>
      <w:pPr>
        <w:ind w:left="1000" w:right="120"/>
        <w:spacing w:after="0" w:line="260" w:lineRule="auto"/>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20"/>
                <w:szCs w:val="20"/>
                <w:color w:val="auto"/>
              </w:rPr>
            </w:pPr>
            <w:r>
              <w:rPr>
                <w:rFonts w:ascii="Arial" w:cs="Arial" w:eastAsia="Arial" w:hAnsi="Arial"/>
                <w:sz w:val="16"/>
                <w:szCs w:val="16"/>
                <w:color w:val="auto"/>
              </w:rPr>
              <w:t>Dated: 13 February 2020</w:t>
            </w:r>
          </w:p>
        </w:tc>
        <w:tc>
          <w:tcPr>
            <w:tcW w:w="1800" w:type="dxa"/>
            <w:vAlign w:val="bottom"/>
          </w:tcPr>
          <w:p>
            <w:pPr>
              <w:spacing w:after="0"/>
              <w:rPr>
                <w:sz w:val="16"/>
                <w:szCs w:val="16"/>
                <w:color w:val="auto"/>
              </w:rPr>
            </w:pPr>
          </w:p>
        </w:tc>
        <w:tc>
          <w:tcPr>
            <w:tcW w:w="4560" w:type="dxa"/>
            <w:vAlign w:val="bottom"/>
          </w:tcPr>
          <w:p>
            <w:pPr>
              <w:spacing w:after="0"/>
              <w:rPr>
                <w:sz w:val="16"/>
                <w:szCs w:val="16"/>
                <w:color w:val="auto"/>
              </w:rPr>
            </w:pPr>
          </w:p>
        </w:tc>
      </w:tr>
      <w:tr>
        <w:trPr>
          <w:trHeight w:val="405"/>
        </w:trPr>
        <w:tc>
          <w:tcPr>
            <w:tcW w:w="5060" w:type="dxa"/>
            <w:vAlign w:val="bottom"/>
          </w:tcPr>
          <w:p>
            <w:pPr>
              <w:spacing w:after="0"/>
              <w:rPr>
                <w:sz w:val="20"/>
                <w:szCs w:val="20"/>
                <w:color w:val="auto"/>
              </w:rPr>
            </w:pPr>
            <w:r>
              <w:rPr>
                <w:rFonts w:ascii="Arial" w:cs="Arial" w:eastAsia="Arial" w:hAnsi="Arial"/>
                <w:sz w:val="16"/>
                <w:szCs w:val="16"/>
                <w:color w:val="auto"/>
              </w:rPr>
              <w:t>Blue Focus International Limited</w:t>
            </w:r>
          </w:p>
        </w:tc>
        <w:tc>
          <w:tcPr>
            <w:tcW w:w="1800" w:type="dxa"/>
            <w:vAlign w:val="bottom"/>
          </w:tcPr>
          <w:p>
            <w:pPr>
              <w:ind w:left="1220"/>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Jian Xiong</w:t>
            </w:r>
          </w:p>
        </w:tc>
      </w:tr>
      <w:tr>
        <w:trPr>
          <w:trHeight w:val="196"/>
        </w:trPr>
        <w:tc>
          <w:tcPr>
            <w:tcW w:w="5060" w:type="dxa"/>
            <w:vAlign w:val="bottom"/>
          </w:tcPr>
          <w:p>
            <w:pPr>
              <w:spacing w:after="0"/>
              <w:rPr>
                <w:sz w:val="17"/>
                <w:szCs w:val="17"/>
                <w:color w:val="auto"/>
              </w:rPr>
            </w:pPr>
          </w:p>
        </w:tc>
        <w:tc>
          <w:tcPr>
            <w:tcW w:w="1800" w:type="dxa"/>
            <w:vAlign w:val="bottom"/>
          </w:tcPr>
          <w:p>
            <w:pPr>
              <w:ind w:left="1220"/>
              <w:spacing w:after="0"/>
              <w:rPr>
                <w:sz w:val="20"/>
                <w:szCs w:val="20"/>
                <w:color w:val="auto"/>
              </w:rPr>
            </w:pPr>
            <w:r>
              <w:rPr>
                <w:rFonts w:ascii="Arial" w:cs="Arial" w:eastAsia="Arial" w:hAnsi="Arial"/>
                <w:sz w:val="16"/>
                <w:szCs w:val="16"/>
                <w:color w:val="auto"/>
              </w:rPr>
              <w:t>Name:</w:t>
            </w:r>
          </w:p>
        </w:tc>
        <w:tc>
          <w:tcPr>
            <w:tcW w:w="4560" w:type="dxa"/>
            <w:vAlign w:val="bottom"/>
          </w:tcPr>
          <w:p>
            <w:pPr>
              <w:spacing w:after="0"/>
              <w:rPr>
                <w:sz w:val="20"/>
                <w:szCs w:val="20"/>
                <w:color w:val="auto"/>
              </w:rPr>
            </w:pPr>
            <w:r>
              <w:rPr>
                <w:rFonts w:ascii="Arial" w:cs="Arial" w:eastAsia="Arial" w:hAnsi="Arial"/>
                <w:sz w:val="16"/>
                <w:szCs w:val="16"/>
                <w:color w:val="auto"/>
              </w:rPr>
              <w:t>Jian Xiong</w:t>
            </w:r>
          </w:p>
        </w:tc>
      </w:tr>
      <w:tr>
        <w:trPr>
          <w:trHeight w:val="203"/>
        </w:trPr>
        <w:tc>
          <w:tcPr>
            <w:tcW w:w="5060" w:type="dxa"/>
            <w:vAlign w:val="bottom"/>
          </w:tcPr>
          <w:p>
            <w:pPr>
              <w:spacing w:after="0"/>
              <w:rPr>
                <w:sz w:val="17"/>
                <w:szCs w:val="17"/>
                <w:color w:val="auto"/>
              </w:rPr>
            </w:pPr>
          </w:p>
        </w:tc>
        <w:tc>
          <w:tcPr>
            <w:tcW w:w="1800" w:type="dxa"/>
            <w:vAlign w:val="bottom"/>
          </w:tcPr>
          <w:p>
            <w:pPr>
              <w:ind w:left="1220"/>
              <w:spacing w:after="0"/>
              <w:rPr>
                <w:sz w:val="20"/>
                <w:szCs w:val="20"/>
                <w:color w:val="auto"/>
              </w:rPr>
            </w:pPr>
            <w:r>
              <w:rPr>
                <w:rFonts w:ascii="Arial" w:cs="Arial" w:eastAsia="Arial" w:hAnsi="Arial"/>
                <w:sz w:val="16"/>
                <w:szCs w:val="16"/>
                <w:color w:val="auto"/>
              </w:rPr>
              <w:t>Title:</w:t>
            </w:r>
          </w:p>
        </w:tc>
        <w:tc>
          <w:tcPr>
            <w:tcW w:w="4560" w:type="dxa"/>
            <w:vAlign w:val="bottom"/>
          </w:tcPr>
          <w:p>
            <w:pPr>
              <w:spacing w:after="0"/>
              <w:rPr>
                <w:sz w:val="20"/>
                <w:szCs w:val="20"/>
                <w:color w:val="auto"/>
              </w:rPr>
            </w:pPr>
            <w:r>
              <w:rPr>
                <w:rFonts w:ascii="Arial" w:cs="Arial" w:eastAsia="Arial" w:hAnsi="Arial"/>
                <w:sz w:val="16"/>
                <w:szCs w:val="16"/>
                <w:color w:val="auto"/>
              </w:rPr>
              <w:t>Director</w:t>
            </w:r>
          </w:p>
        </w:tc>
      </w:tr>
      <w:tr>
        <w:trPr>
          <w:trHeight w:val="411"/>
        </w:trPr>
        <w:tc>
          <w:tcPr>
            <w:tcW w:w="5060" w:type="dxa"/>
            <w:vAlign w:val="bottom"/>
          </w:tcPr>
          <w:p>
            <w:pPr>
              <w:spacing w:after="0"/>
              <w:rPr>
                <w:sz w:val="20"/>
                <w:szCs w:val="20"/>
                <w:color w:val="auto"/>
              </w:rPr>
            </w:pPr>
            <w:r>
              <w:rPr>
                <w:rFonts w:ascii="Arial" w:cs="Arial" w:eastAsia="Arial" w:hAnsi="Arial"/>
                <w:sz w:val="16"/>
                <w:szCs w:val="16"/>
                <w:color w:val="auto"/>
              </w:rPr>
              <w:t>BlueFocus Intelligent Communication Group Co., Ltd.</w:t>
            </w:r>
          </w:p>
        </w:tc>
        <w:tc>
          <w:tcPr>
            <w:tcW w:w="1800" w:type="dxa"/>
            <w:vAlign w:val="bottom"/>
          </w:tcPr>
          <w:p>
            <w:pPr>
              <w:ind w:left="1220"/>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Jian Xiong</w:t>
            </w:r>
          </w:p>
        </w:tc>
      </w:tr>
      <w:tr>
        <w:trPr>
          <w:trHeight w:val="190"/>
        </w:trPr>
        <w:tc>
          <w:tcPr>
            <w:tcW w:w="5060" w:type="dxa"/>
            <w:vAlign w:val="bottom"/>
          </w:tcPr>
          <w:p>
            <w:pPr>
              <w:spacing w:after="0"/>
              <w:rPr>
                <w:sz w:val="16"/>
                <w:szCs w:val="16"/>
                <w:color w:val="auto"/>
              </w:rPr>
            </w:pPr>
          </w:p>
        </w:tc>
        <w:tc>
          <w:tcPr>
            <w:tcW w:w="1800" w:type="dxa"/>
            <w:vAlign w:val="bottom"/>
          </w:tcPr>
          <w:p>
            <w:pPr>
              <w:ind w:left="1220"/>
              <w:spacing w:after="0"/>
              <w:rPr>
                <w:sz w:val="20"/>
                <w:szCs w:val="20"/>
                <w:color w:val="auto"/>
              </w:rPr>
            </w:pPr>
            <w:r>
              <w:rPr>
                <w:rFonts w:ascii="Arial" w:cs="Arial" w:eastAsia="Arial" w:hAnsi="Arial"/>
                <w:sz w:val="16"/>
                <w:szCs w:val="16"/>
                <w:color w:val="auto"/>
              </w:rPr>
              <w:t>Name:</w:t>
            </w:r>
          </w:p>
        </w:tc>
        <w:tc>
          <w:tcPr>
            <w:tcW w:w="4560" w:type="dxa"/>
            <w:vAlign w:val="bottom"/>
          </w:tcPr>
          <w:p>
            <w:pPr>
              <w:spacing w:after="0"/>
              <w:rPr>
                <w:sz w:val="20"/>
                <w:szCs w:val="20"/>
                <w:color w:val="auto"/>
              </w:rPr>
            </w:pPr>
            <w:r>
              <w:rPr>
                <w:rFonts w:ascii="Arial" w:cs="Arial" w:eastAsia="Arial" w:hAnsi="Arial"/>
                <w:sz w:val="16"/>
                <w:szCs w:val="16"/>
                <w:color w:val="auto"/>
              </w:rPr>
              <w:t>Jian Xiong</w:t>
            </w:r>
          </w:p>
        </w:tc>
      </w:tr>
      <w:tr>
        <w:trPr>
          <w:trHeight w:val="203"/>
        </w:trPr>
        <w:tc>
          <w:tcPr>
            <w:tcW w:w="5060" w:type="dxa"/>
            <w:vAlign w:val="bottom"/>
          </w:tcPr>
          <w:p>
            <w:pPr>
              <w:spacing w:after="0"/>
              <w:rPr>
                <w:sz w:val="17"/>
                <w:szCs w:val="17"/>
                <w:color w:val="auto"/>
              </w:rPr>
            </w:pPr>
          </w:p>
        </w:tc>
        <w:tc>
          <w:tcPr>
            <w:tcW w:w="1800" w:type="dxa"/>
            <w:vAlign w:val="bottom"/>
          </w:tcPr>
          <w:p>
            <w:pPr>
              <w:ind w:left="1220"/>
              <w:spacing w:after="0"/>
              <w:rPr>
                <w:sz w:val="20"/>
                <w:szCs w:val="20"/>
                <w:color w:val="auto"/>
              </w:rPr>
            </w:pPr>
            <w:r>
              <w:rPr>
                <w:rFonts w:ascii="Arial" w:cs="Arial" w:eastAsia="Arial" w:hAnsi="Arial"/>
                <w:sz w:val="16"/>
                <w:szCs w:val="16"/>
                <w:color w:val="auto"/>
              </w:rPr>
              <w:t>Title:</w:t>
            </w:r>
          </w:p>
        </w:tc>
        <w:tc>
          <w:tcPr>
            <w:tcW w:w="4560" w:type="dxa"/>
            <w:vAlign w:val="bottom"/>
          </w:tcPr>
          <w:p>
            <w:pPr>
              <w:spacing w:after="0"/>
              <w:rPr>
                <w:sz w:val="20"/>
                <w:szCs w:val="20"/>
                <w:color w:val="auto"/>
              </w:rPr>
            </w:pPr>
            <w:r>
              <w:rPr>
                <w:rFonts w:ascii="Arial" w:cs="Arial" w:eastAsia="Arial" w:hAnsi="Arial"/>
                <w:sz w:val="16"/>
                <w:szCs w:val="16"/>
                <w:color w:val="auto"/>
              </w:rPr>
              <w:t>Vice Chairman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 w:name="page7"/>
    <w:bookmarkEnd w:id="6"/>
    <w:p>
      <w:pPr>
        <w:jc w:val="right"/>
        <w:ind w:right="3799"/>
        <w:spacing w:after="0"/>
        <w:rPr>
          <w:sz w:val="20"/>
          <w:szCs w:val="20"/>
          <w:color w:val="auto"/>
        </w:rPr>
      </w:pPr>
      <w:r>
        <w:rPr>
          <w:rFonts w:ascii="Arial" w:cs="Arial" w:eastAsia="Arial" w:hAnsi="Arial"/>
          <w:sz w:val="16"/>
          <w:szCs w:val="16"/>
          <w:b w:val="1"/>
          <w:bCs w:val="1"/>
          <w:color w:val="auto"/>
        </w:rPr>
        <w:t>LIST OF EXHIBITS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Exhibit 99.1 — Joint Filing Agreement</w:t>
      </w:r>
    </w:p>
    <w:p>
      <w:pPr>
        <w:spacing w:after="0" w:line="34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219"/>
          </w:cols>
          <w:pgMar w:left="240" w:top="351"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99.1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JOINT FILING AGREEMENT</w:t>
      </w:r>
    </w:p>
    <w:p>
      <w:pPr>
        <w:spacing w:after="0" w:line="214" w:lineRule="exact"/>
        <w:rPr>
          <w:sz w:val="20"/>
          <w:szCs w:val="20"/>
          <w:color w:val="auto"/>
        </w:rPr>
      </w:pPr>
    </w:p>
    <w:p>
      <w:pPr>
        <w:jc w:val="both"/>
        <w:ind w:right="20" w:firstLine="910"/>
        <w:spacing w:after="0" w:line="250" w:lineRule="auto"/>
        <w:rPr>
          <w:sz w:val="20"/>
          <w:szCs w:val="20"/>
          <w:color w:val="auto"/>
        </w:rPr>
      </w:pPr>
      <w:r>
        <w:rPr>
          <w:rFonts w:ascii="Arial" w:cs="Arial" w:eastAsia="Arial" w:hAnsi="Arial"/>
          <w:sz w:val="16"/>
          <w:szCs w:val="16"/>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WITNESS WHEREOF, the undersigned hereby execute this Agreement as of 13 February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20"/>
                <w:szCs w:val="20"/>
                <w:color w:val="auto"/>
              </w:rPr>
            </w:pPr>
            <w:r>
              <w:rPr>
                <w:rFonts w:ascii="Arial" w:cs="Arial" w:eastAsia="Arial" w:hAnsi="Arial"/>
                <w:sz w:val="16"/>
                <w:szCs w:val="16"/>
                <w:color w:val="auto"/>
              </w:rPr>
              <w:t>Blue Focus International Limited</w:t>
            </w:r>
          </w:p>
        </w:tc>
        <w:tc>
          <w:tcPr>
            <w:tcW w:w="1800" w:type="dxa"/>
            <w:vAlign w:val="bottom"/>
          </w:tcPr>
          <w:p>
            <w:pPr>
              <w:ind w:left="1220"/>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Jian Xiong</w:t>
            </w:r>
          </w:p>
        </w:tc>
      </w:tr>
      <w:tr>
        <w:trPr>
          <w:trHeight w:val="196"/>
        </w:trPr>
        <w:tc>
          <w:tcPr>
            <w:tcW w:w="5060" w:type="dxa"/>
            <w:vAlign w:val="bottom"/>
          </w:tcPr>
          <w:p>
            <w:pPr>
              <w:spacing w:after="0"/>
              <w:rPr>
                <w:sz w:val="17"/>
                <w:szCs w:val="17"/>
                <w:color w:val="auto"/>
              </w:rPr>
            </w:pPr>
          </w:p>
        </w:tc>
        <w:tc>
          <w:tcPr>
            <w:tcW w:w="1800" w:type="dxa"/>
            <w:vAlign w:val="bottom"/>
          </w:tcPr>
          <w:p>
            <w:pPr>
              <w:ind w:left="1220"/>
              <w:spacing w:after="0"/>
              <w:rPr>
                <w:sz w:val="20"/>
                <w:szCs w:val="20"/>
                <w:color w:val="auto"/>
              </w:rPr>
            </w:pPr>
            <w:r>
              <w:rPr>
                <w:rFonts w:ascii="Arial" w:cs="Arial" w:eastAsia="Arial" w:hAnsi="Arial"/>
                <w:sz w:val="16"/>
                <w:szCs w:val="16"/>
                <w:color w:val="auto"/>
              </w:rPr>
              <w:t>Name:</w:t>
            </w:r>
          </w:p>
        </w:tc>
        <w:tc>
          <w:tcPr>
            <w:tcW w:w="4560" w:type="dxa"/>
            <w:vAlign w:val="bottom"/>
          </w:tcPr>
          <w:p>
            <w:pPr>
              <w:spacing w:after="0"/>
              <w:rPr>
                <w:sz w:val="20"/>
                <w:szCs w:val="20"/>
                <w:color w:val="auto"/>
              </w:rPr>
            </w:pPr>
            <w:r>
              <w:rPr>
                <w:rFonts w:ascii="Arial" w:cs="Arial" w:eastAsia="Arial" w:hAnsi="Arial"/>
                <w:sz w:val="16"/>
                <w:szCs w:val="16"/>
                <w:color w:val="auto"/>
              </w:rPr>
              <w:t>Jian Xiong</w:t>
            </w:r>
          </w:p>
        </w:tc>
      </w:tr>
      <w:tr>
        <w:trPr>
          <w:trHeight w:val="203"/>
        </w:trPr>
        <w:tc>
          <w:tcPr>
            <w:tcW w:w="5060" w:type="dxa"/>
            <w:vAlign w:val="bottom"/>
          </w:tcPr>
          <w:p>
            <w:pPr>
              <w:spacing w:after="0"/>
              <w:rPr>
                <w:sz w:val="17"/>
                <w:szCs w:val="17"/>
                <w:color w:val="auto"/>
              </w:rPr>
            </w:pPr>
          </w:p>
        </w:tc>
        <w:tc>
          <w:tcPr>
            <w:tcW w:w="1800" w:type="dxa"/>
            <w:vAlign w:val="bottom"/>
          </w:tcPr>
          <w:p>
            <w:pPr>
              <w:ind w:left="1220"/>
              <w:spacing w:after="0"/>
              <w:rPr>
                <w:sz w:val="20"/>
                <w:szCs w:val="20"/>
                <w:color w:val="auto"/>
              </w:rPr>
            </w:pPr>
            <w:r>
              <w:rPr>
                <w:rFonts w:ascii="Arial" w:cs="Arial" w:eastAsia="Arial" w:hAnsi="Arial"/>
                <w:sz w:val="16"/>
                <w:szCs w:val="16"/>
                <w:color w:val="auto"/>
              </w:rPr>
              <w:t>Title:</w:t>
            </w:r>
          </w:p>
        </w:tc>
        <w:tc>
          <w:tcPr>
            <w:tcW w:w="4560" w:type="dxa"/>
            <w:vAlign w:val="bottom"/>
          </w:tcPr>
          <w:p>
            <w:pPr>
              <w:spacing w:after="0"/>
              <w:rPr>
                <w:sz w:val="20"/>
                <w:szCs w:val="20"/>
                <w:color w:val="auto"/>
              </w:rPr>
            </w:pPr>
            <w:r>
              <w:rPr>
                <w:rFonts w:ascii="Arial" w:cs="Arial" w:eastAsia="Arial" w:hAnsi="Arial"/>
                <w:sz w:val="16"/>
                <w:szCs w:val="16"/>
                <w:color w:val="auto"/>
              </w:rPr>
              <w:t>Director</w:t>
            </w:r>
          </w:p>
        </w:tc>
      </w:tr>
      <w:tr>
        <w:trPr>
          <w:trHeight w:val="411"/>
        </w:trPr>
        <w:tc>
          <w:tcPr>
            <w:tcW w:w="5060" w:type="dxa"/>
            <w:vAlign w:val="bottom"/>
          </w:tcPr>
          <w:p>
            <w:pPr>
              <w:spacing w:after="0"/>
              <w:rPr>
                <w:sz w:val="20"/>
                <w:szCs w:val="20"/>
                <w:color w:val="auto"/>
              </w:rPr>
            </w:pPr>
            <w:r>
              <w:rPr>
                <w:rFonts w:ascii="Arial" w:cs="Arial" w:eastAsia="Arial" w:hAnsi="Arial"/>
                <w:sz w:val="16"/>
                <w:szCs w:val="16"/>
                <w:color w:val="auto"/>
              </w:rPr>
              <w:t>BlueFocus Intelligent Communication Group Co., Ltd.</w:t>
            </w:r>
          </w:p>
        </w:tc>
        <w:tc>
          <w:tcPr>
            <w:tcW w:w="1800" w:type="dxa"/>
            <w:vAlign w:val="bottom"/>
          </w:tcPr>
          <w:p>
            <w:pPr>
              <w:ind w:left="1220"/>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Jian Xiong</w:t>
            </w:r>
          </w:p>
        </w:tc>
      </w:tr>
      <w:tr>
        <w:trPr>
          <w:trHeight w:val="190"/>
        </w:trPr>
        <w:tc>
          <w:tcPr>
            <w:tcW w:w="5060" w:type="dxa"/>
            <w:vAlign w:val="bottom"/>
          </w:tcPr>
          <w:p>
            <w:pPr>
              <w:spacing w:after="0"/>
              <w:rPr>
                <w:sz w:val="16"/>
                <w:szCs w:val="16"/>
                <w:color w:val="auto"/>
              </w:rPr>
            </w:pPr>
          </w:p>
        </w:tc>
        <w:tc>
          <w:tcPr>
            <w:tcW w:w="1800" w:type="dxa"/>
            <w:vAlign w:val="bottom"/>
          </w:tcPr>
          <w:p>
            <w:pPr>
              <w:ind w:left="1220"/>
              <w:spacing w:after="0"/>
              <w:rPr>
                <w:sz w:val="20"/>
                <w:szCs w:val="20"/>
                <w:color w:val="auto"/>
              </w:rPr>
            </w:pPr>
            <w:r>
              <w:rPr>
                <w:rFonts w:ascii="Arial" w:cs="Arial" w:eastAsia="Arial" w:hAnsi="Arial"/>
                <w:sz w:val="16"/>
                <w:szCs w:val="16"/>
                <w:color w:val="auto"/>
              </w:rPr>
              <w:t>Name:</w:t>
            </w:r>
          </w:p>
        </w:tc>
        <w:tc>
          <w:tcPr>
            <w:tcW w:w="4560" w:type="dxa"/>
            <w:vAlign w:val="bottom"/>
          </w:tcPr>
          <w:p>
            <w:pPr>
              <w:spacing w:after="0"/>
              <w:rPr>
                <w:sz w:val="20"/>
                <w:szCs w:val="20"/>
                <w:color w:val="auto"/>
              </w:rPr>
            </w:pPr>
            <w:r>
              <w:rPr>
                <w:rFonts w:ascii="Arial" w:cs="Arial" w:eastAsia="Arial" w:hAnsi="Arial"/>
                <w:sz w:val="16"/>
                <w:szCs w:val="16"/>
                <w:color w:val="auto"/>
              </w:rPr>
              <w:t>Jian Xiong</w:t>
            </w:r>
          </w:p>
        </w:tc>
      </w:tr>
      <w:tr>
        <w:trPr>
          <w:trHeight w:val="203"/>
        </w:trPr>
        <w:tc>
          <w:tcPr>
            <w:tcW w:w="5060" w:type="dxa"/>
            <w:vAlign w:val="bottom"/>
          </w:tcPr>
          <w:p>
            <w:pPr>
              <w:spacing w:after="0"/>
              <w:rPr>
                <w:sz w:val="17"/>
                <w:szCs w:val="17"/>
                <w:color w:val="auto"/>
              </w:rPr>
            </w:pPr>
          </w:p>
        </w:tc>
        <w:tc>
          <w:tcPr>
            <w:tcW w:w="1800" w:type="dxa"/>
            <w:vAlign w:val="bottom"/>
          </w:tcPr>
          <w:p>
            <w:pPr>
              <w:ind w:left="1220"/>
              <w:spacing w:after="0"/>
              <w:rPr>
                <w:sz w:val="20"/>
                <w:szCs w:val="20"/>
                <w:color w:val="auto"/>
              </w:rPr>
            </w:pPr>
            <w:r>
              <w:rPr>
                <w:rFonts w:ascii="Arial" w:cs="Arial" w:eastAsia="Arial" w:hAnsi="Arial"/>
                <w:sz w:val="16"/>
                <w:szCs w:val="16"/>
                <w:color w:val="auto"/>
              </w:rPr>
              <w:t>Title:</w:t>
            </w:r>
          </w:p>
        </w:tc>
        <w:tc>
          <w:tcPr>
            <w:tcW w:w="4560" w:type="dxa"/>
            <w:vAlign w:val="bottom"/>
          </w:tcPr>
          <w:p>
            <w:pPr>
              <w:spacing w:after="0"/>
              <w:rPr>
                <w:sz w:val="20"/>
                <w:szCs w:val="20"/>
                <w:color w:val="auto"/>
              </w:rPr>
            </w:pPr>
            <w:r>
              <w:rPr>
                <w:rFonts w:ascii="Arial" w:cs="Arial" w:eastAsia="Arial" w:hAnsi="Arial"/>
                <w:sz w:val="16"/>
                <w:szCs w:val="16"/>
                <w:color w:val="auto"/>
              </w:rPr>
              <w:t>Vice Chairman and Director</w:t>
            </w:r>
          </w:p>
        </w:tc>
      </w:tr>
    </w:tbl>
    <w:p>
      <w:pPr>
        <w:spacing w:after="0" w:line="1" w:lineRule="exact"/>
        <w:rPr>
          <w:sz w:val="20"/>
          <w:szCs w:val="20"/>
          <w:color w:val="auto"/>
        </w:rPr>
      </w:pPr>
    </w:p>
    <w:sectPr>
      <w:pgSz w:w="11900" w:h="16838" w:orient="portrait"/>
      <w:cols w:equalWidth="0" w:num="1">
        <w:col w:w="11420"/>
      </w:cols>
      <w:pgMar w:left="240" w:top="3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3"/>
      <w:numFmt w:val="bullet"/>
      <w:start w:val="1"/>
    </w:lvl>
  </w:abstractNum>
  <w:abstractNum w:abstractNumId="5">
    <w:nsid w:val="1190CDE7"/>
    <w:multiLevelType w:val="hybridMultilevel"/>
    <w:lvl w:ilvl="0">
      <w:lvlJc w:val="left"/>
      <w:lvlText w:val="4"/>
      <w:numFmt w:val="bullet"/>
      <w:start w:val="1"/>
    </w:lvl>
  </w:abstractNum>
  <w:abstractNum w:abstractNumId="6">
    <w:nsid w:val="66EF438D"/>
    <w:multiLevelType w:val="hybridMultilevel"/>
    <w:lvl w:ilvl="0">
      <w:lvlJc w:val="left"/>
      <w:lvlText w:val="5"/>
      <w:numFmt w:val="bullet"/>
      <w:start w:val="1"/>
    </w:lvl>
  </w:abstractNum>
  <w:abstractNum w:abstractNumId="7">
    <w:nsid w:val="140E0F76"/>
    <w:multiLevelType w:val="hybridMultilevel"/>
    <w:lvl w:ilvl="0">
      <w:lvlJc w:val="left"/>
      <w:lvlText w:val="8"/>
      <w:numFmt w:val="bullet"/>
      <w:start w:val="1"/>
    </w:lvl>
  </w:abstractNum>
  <w:abstractNum w:abstractNumId="8">
    <w:nsid w:val="3352255A"/>
    <w:multiLevelType w:val="hybridMultilevel"/>
    <w:lvl w:ilvl="0">
      <w:lvlJc w:val="left"/>
      <w:lvlText w:val="9"/>
      <w:numFmt w:val="bullet"/>
      <w:start w:val="1"/>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1"/>
      <w:numFmt w:val="bullet"/>
      <w:start w:val="1"/>
    </w:lvl>
  </w:abstractNum>
  <w:abstractNum w:abstractNumId="11">
    <w:nsid w:val="7FDCC233"/>
    <w:multiLevelType w:val="hybridMultilevel"/>
    <w:lvl w:ilvl="0">
      <w:lvlJc w:val="left"/>
      <w:lvlText w:val="2"/>
      <w:numFmt w:val="bullet"/>
      <w:start w:val="1"/>
    </w:lvl>
  </w:abstractNum>
  <w:abstractNum w:abstractNumId="12">
    <w:nsid w:val="1BEFD79F"/>
    <w:multiLevelType w:val="hybridMultilevel"/>
    <w:lvl w:ilvl="0">
      <w:lvlJc w:val="left"/>
      <w:lvlText w:val="3"/>
      <w:numFmt w:val="bullet"/>
      <w:start w:val="1"/>
    </w:lvl>
  </w:abstractNum>
  <w:abstractNum w:abstractNumId="13">
    <w:nsid w:val="41A7C4C9"/>
    <w:multiLevelType w:val="hybridMultilevel"/>
    <w:lvl w:ilvl="0">
      <w:lvlJc w:val="left"/>
      <w:lvlText w:val="4"/>
      <w:numFmt w:val="bullet"/>
      <w:start w:val="1"/>
    </w:lvl>
  </w:abstractNum>
  <w:abstractNum w:abstractNumId="14">
    <w:nsid w:val="6B68079A"/>
    <w:multiLevelType w:val="hybridMultilevel"/>
    <w:lvl w:ilvl="0">
      <w:lvlJc w:val="left"/>
      <w:lvlText w:val="9"/>
      <w:numFmt w:val="bullet"/>
      <w:start w:val="1"/>
    </w:lvl>
  </w:abstractNum>
  <w:abstractNum w:abstractNumId="15">
    <w:nsid w:val="4E6AFB66"/>
    <w:multiLevelType w:val="hybridMultilevel"/>
    <w:lvl w:ilvl="0">
      <w:lvlJc w:val="left"/>
      <w:lvlText w:val="%1"/>
      <w:numFmt w:val="decimal"/>
      <w:start w:val="10"/>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2020-02-13T11:50:08Z</dcterms:created>
  <dcterms:modified xsi:type="dcterms:W3CDTF">2020-02-13T11:50:08Z</dcterms:modified>
</cp:coreProperties>
</file>