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May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20" w:type="dxa"/>
            <w:vAlign w:val="bottom"/>
          </w:tcPr>
          <w:p>
            <w:pPr>
              <w:jc w:val="center"/>
              <w:ind w:right="21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912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tcPr>
          <w:p>
            <w:pPr>
              <w:spacing w:after="0"/>
              <w:rPr>
                <w:sz w:val="24"/>
                <w:szCs w:val="24"/>
                <w:color w:val="auto"/>
              </w:rPr>
            </w:pPr>
          </w:p>
        </w:tc>
      </w:tr>
      <w:tr>
        <w:trPr>
          <w:trHeight w:val="411"/>
        </w:trPr>
        <w:tc>
          <w:tcPr>
            <w:tcW w:w="2080" w:type="dxa"/>
            <w:vAlign w:val="bottom"/>
          </w:tcPr>
          <w:p>
            <w:pPr>
              <w:spacing w:after="0"/>
              <w:rPr>
                <w:sz w:val="20"/>
                <w:szCs w:val="20"/>
                <w:color w:val="auto"/>
              </w:rPr>
            </w:pPr>
            <w:r>
              <w:rPr>
                <w:rFonts w:ascii="Arial" w:cs="Arial" w:eastAsia="Arial" w:hAnsi="Arial"/>
                <w:sz w:val="18"/>
                <w:szCs w:val="18"/>
                <w:color w:val="auto"/>
              </w:rPr>
              <w:t>99.1</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Press release - Appointment of Two New Directors</w:t>
            </w:r>
          </w:p>
        </w:tc>
        <w:tc>
          <w:tcPr>
            <w:tcW w:w="40" w:type="dxa"/>
            <w:vAlign w:val="bottom"/>
          </w:tcPr>
          <w:p>
            <w:pPr>
              <w:spacing w:after="0"/>
              <w:rPr>
                <w:sz w:val="24"/>
                <w:szCs w:val="24"/>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99.2</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Press release - First Quarter 2019 Financial Results</w:t>
            </w:r>
          </w:p>
        </w:tc>
        <w:tc>
          <w:tcPr>
            <w:tcW w:w="4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934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80" w:type="dxa"/>
            <w:vAlign w:val="bottom"/>
          </w:tcPr>
          <w:p>
            <w:pPr>
              <w:ind w:left="57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80" w:type="dxa"/>
            <w:vAlign w:val="bottom"/>
          </w:tcPr>
          <w:p>
            <w:pPr>
              <w:ind w:left="57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80" w:type="dxa"/>
            <w:vAlign w:val="bottom"/>
          </w:tcPr>
          <w:p>
            <w:pPr>
              <w:ind w:left="57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May 30, 2019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iClick Interactive Asia Group Limited Announces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New Members to its Board of Directors</w:t>
      </w:r>
    </w:p>
    <w:p>
      <w:pPr>
        <w:spacing w:after="0" w:line="207"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Hong Kong, May 29, 2019 </w:t>
      </w:r>
      <w:r>
        <w:rPr>
          <w:rFonts w:ascii="Arial" w:cs="Arial" w:eastAsia="Arial" w:hAnsi="Arial"/>
          <w:sz w:val="18"/>
          <w:szCs w:val="18"/>
          <w:color w:val="auto"/>
        </w:rPr>
        <w:t>— iClick Interactive Asia Group Limited (“iClick” or “the Company”) (NASDAQ: ICLK), an independent online marketing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data solutions provider in China, today announced the appointment of two new members to its board of directors, who will officially take up their roles on July 1, 2019.</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two new directors are Lub Bun Chong and Terence Li. Mr. Chong will also join the Company’s audit committee while Mr. Li will continue to serve the Company as Chief Financial Officer.</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Mr. Chong is currently a partner of C Consultancy Limited, a Hong Kong-based corporate and financial advisory firm which specializes in the advertising, digital and media sectors of China and Southeast Asia. Lub Bun is the author of “Managing a Chinese Partner” (published by Palgrave Macmillan) and a contributor of China articles to reputable publications. Prior to founding C Consultancy, he was the Chief Financial Officer and the Director of Mergers and Acquisitions of Clear Media (00100.HK), and the Chief Financial Officer of Focus Media (002027.SZ). Lub Bun previously worked at PricewaterhouseCoopers in China, Hong Kong and Singapore during the 1990s.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Terence Li, who joined iClick in 2018, was previously a Vice President with iClick’s Series A investor, Sumitomo Corporation Equity Asia. Terence served on the iClick’s board between 2009 and 2013 representing Sumitomo Corporation Equity Asia. Terence has served as Chief Financial Officer of the Company since January 1, 2019.</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Sammy Hsieh, Co-founder and CEO of iClick said, “I welcome Lub Bun and Terence to our board. Their industry experience and professional networks will bring significant value to iClick’s overall business growth and the development of its marketing solutions business. Lub Bun’s relevant industry experience in particular will be strategically important to our business development in Southeast Asia.”</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iClick today also announced Ricky Ng’s departure from the Company’s board of directors, effective May 28, 2019. His departure was not due to any disagreement with the company. “Ricky has played an important role in the early development of iClick’s business. The board wishes him success in his future endeavors,” said Hsieh.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iClick Interactive Asia Group Limited (NASDAQ:ICLK) is an independent online marketing and enterprise data solutions provider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and is currently operating in nine locations worldwide including Asia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For investor inquiries, please contact:</w:t>
            </w:r>
          </w:p>
        </w:tc>
        <w:tc>
          <w:tcPr>
            <w:tcW w:w="7440" w:type="dxa"/>
            <w:vAlign w:val="bottom"/>
          </w:tcPr>
          <w:p>
            <w:pPr>
              <w:spacing w:after="0"/>
              <w:rPr>
                <w:sz w:val="20"/>
                <w:szCs w:val="20"/>
                <w:color w:val="auto"/>
              </w:rPr>
            </w:pPr>
          </w:p>
        </w:tc>
      </w:tr>
      <w:tr>
        <w:trPr>
          <w:trHeight w:val="414"/>
        </w:trPr>
        <w:tc>
          <w:tcPr>
            <w:tcW w:w="4020" w:type="dxa"/>
            <w:vAlign w:val="bottom"/>
            <w:gridSpan w:val="3"/>
          </w:tcPr>
          <w:p>
            <w:pPr>
              <w:ind w:left="140"/>
              <w:spacing w:after="0"/>
              <w:rPr>
                <w:sz w:val="20"/>
                <w:szCs w:val="20"/>
                <w:color w:val="auto"/>
              </w:rPr>
            </w:pPr>
            <w:r>
              <w:rPr>
                <w:rFonts w:ascii="Arial" w:cs="Arial" w:eastAsia="Arial" w:hAnsi="Arial"/>
                <w:sz w:val="18"/>
                <w:szCs w:val="18"/>
                <w:b w:val="1"/>
                <w:bCs w:val="1"/>
                <w:color w:val="auto"/>
              </w:rPr>
              <w:t>In China:</w:t>
            </w:r>
          </w:p>
        </w:tc>
        <w:tc>
          <w:tcPr>
            <w:tcW w:w="7440" w:type="dxa"/>
            <w:vAlign w:val="bottom"/>
          </w:tcPr>
          <w:p>
            <w:pPr>
              <w:ind w:left="42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020" w:type="dxa"/>
            <w:vAlign w:val="bottom"/>
            <w:gridSpan w:val="3"/>
          </w:tcPr>
          <w:p>
            <w:pPr>
              <w:ind w:left="140"/>
              <w:spacing w:after="0"/>
              <w:rPr>
                <w:sz w:val="20"/>
                <w:szCs w:val="20"/>
                <w:color w:val="auto"/>
              </w:rPr>
            </w:pPr>
            <w:r>
              <w:rPr>
                <w:rFonts w:ascii="Arial" w:cs="Arial" w:eastAsia="Arial" w:hAnsi="Arial"/>
                <w:sz w:val="18"/>
                <w:szCs w:val="18"/>
                <w:b w:val="1"/>
                <w:bCs w:val="1"/>
                <w:color w:val="auto"/>
              </w:rPr>
              <w:t>iClick Interactive Asia Group Limited</w:t>
            </w:r>
          </w:p>
        </w:tc>
        <w:tc>
          <w:tcPr>
            <w:tcW w:w="7440" w:type="dxa"/>
            <w:vAlign w:val="bottom"/>
          </w:tcPr>
          <w:p>
            <w:pPr>
              <w:ind w:left="420"/>
              <w:spacing w:after="0"/>
              <w:rPr>
                <w:sz w:val="20"/>
                <w:szCs w:val="20"/>
                <w:color w:val="auto"/>
              </w:rPr>
            </w:pPr>
            <w:r>
              <w:rPr>
                <w:rFonts w:ascii="Arial" w:cs="Arial" w:eastAsia="Arial" w:hAnsi="Arial"/>
                <w:sz w:val="18"/>
                <w:szCs w:val="18"/>
                <w:b w:val="1"/>
                <w:bCs w:val="1"/>
                <w:color w:val="auto"/>
              </w:rPr>
              <w:t>PondelWilkinson Inc.</w:t>
            </w:r>
          </w:p>
        </w:tc>
      </w:tr>
      <w:tr>
        <w:trPr>
          <w:trHeight w:val="216"/>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Lisa Li</w:t>
            </w:r>
          </w:p>
        </w:tc>
        <w:tc>
          <w:tcPr>
            <w:tcW w:w="7440" w:type="dxa"/>
            <w:vAlign w:val="bottom"/>
          </w:tcPr>
          <w:p>
            <w:pPr>
              <w:ind w:left="420"/>
              <w:spacing w:after="0"/>
              <w:rPr>
                <w:sz w:val="20"/>
                <w:szCs w:val="20"/>
                <w:color w:val="auto"/>
              </w:rPr>
            </w:pPr>
            <w:r>
              <w:rPr>
                <w:rFonts w:ascii="Arial" w:cs="Arial" w:eastAsia="Arial" w:hAnsi="Arial"/>
                <w:sz w:val="18"/>
                <w:szCs w:val="18"/>
                <w:color w:val="auto"/>
              </w:rPr>
              <w:t>Evan Pondel/Laurie Berman</w:t>
            </w:r>
          </w:p>
        </w:tc>
      </w:tr>
      <w:tr>
        <w:trPr>
          <w:trHeight w:val="216"/>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Phone: +852-3700-9065</w:t>
            </w:r>
          </w:p>
        </w:tc>
        <w:tc>
          <w:tcPr>
            <w:tcW w:w="7440" w:type="dxa"/>
            <w:vAlign w:val="bottom"/>
          </w:tcPr>
          <w:p>
            <w:pPr>
              <w:ind w:left="420"/>
              <w:spacing w:after="0"/>
              <w:rPr>
                <w:sz w:val="20"/>
                <w:szCs w:val="20"/>
                <w:color w:val="auto"/>
              </w:rPr>
            </w:pPr>
            <w:r>
              <w:rPr>
                <w:rFonts w:ascii="Arial" w:cs="Arial" w:eastAsia="Arial" w:hAnsi="Arial"/>
                <w:sz w:val="18"/>
                <w:szCs w:val="18"/>
                <w:color w:val="auto"/>
              </w:rPr>
              <w:t>Tel: +1-310-279-5980</w:t>
            </w:r>
          </w:p>
        </w:tc>
      </w:tr>
      <w:tr>
        <w:trPr>
          <w:trHeight w:val="230"/>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E-mail: ir@i-click.com</w:t>
            </w:r>
          </w:p>
        </w:tc>
        <w:tc>
          <w:tcPr>
            <w:tcW w:w="7440" w:type="dxa"/>
            <w:vAlign w:val="bottom"/>
          </w:tcPr>
          <w:p>
            <w:pPr>
              <w:ind w:left="420"/>
              <w:spacing w:after="0"/>
              <w:rPr>
                <w:sz w:val="20"/>
                <w:szCs w:val="20"/>
                <w:color w:val="auto"/>
              </w:rPr>
            </w:pPr>
            <w:r>
              <w:rPr>
                <w:rFonts w:ascii="Arial" w:cs="Arial" w:eastAsia="Arial" w:hAnsi="Arial"/>
                <w:sz w:val="18"/>
                <w:szCs w:val="18"/>
                <w:color w:val="auto"/>
              </w:rPr>
              <w:t>E-mail: iclk@pondel.com</w:t>
            </w:r>
          </w:p>
        </w:tc>
      </w:tr>
      <w:tr>
        <w:trPr>
          <w:trHeight w:val="432"/>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For media inquiries, please contact:</w:t>
            </w:r>
          </w:p>
        </w:tc>
        <w:tc>
          <w:tcPr>
            <w:tcW w:w="7440" w:type="dxa"/>
            <w:vAlign w:val="bottom"/>
          </w:tcPr>
          <w:p>
            <w:pPr>
              <w:spacing w:after="0"/>
              <w:rPr>
                <w:sz w:val="24"/>
                <w:szCs w:val="24"/>
                <w:color w:val="auto"/>
              </w:rPr>
            </w:pPr>
          </w:p>
        </w:tc>
      </w:tr>
      <w:tr>
        <w:trPr>
          <w:trHeight w:val="418"/>
        </w:trPr>
        <w:tc>
          <w:tcPr>
            <w:tcW w:w="4020" w:type="dxa"/>
            <w:vAlign w:val="bottom"/>
            <w:gridSpan w:val="3"/>
          </w:tcPr>
          <w:p>
            <w:pPr>
              <w:ind w:left="140"/>
              <w:spacing w:after="0"/>
              <w:rPr>
                <w:sz w:val="20"/>
                <w:szCs w:val="20"/>
                <w:color w:val="auto"/>
              </w:rPr>
            </w:pPr>
            <w:r>
              <w:rPr>
                <w:rFonts w:ascii="Arial" w:cs="Arial" w:eastAsia="Arial" w:hAnsi="Arial"/>
                <w:sz w:val="18"/>
                <w:szCs w:val="18"/>
                <w:b w:val="1"/>
                <w:bCs w:val="1"/>
                <w:color w:val="auto"/>
              </w:rPr>
              <w:t>iClick Interactive Asia Group Limited</w:t>
            </w:r>
          </w:p>
        </w:tc>
        <w:tc>
          <w:tcPr>
            <w:tcW w:w="7440" w:type="dxa"/>
            <w:vAlign w:val="bottom"/>
          </w:tcPr>
          <w:p>
            <w:pPr>
              <w:spacing w:after="0"/>
              <w:rPr>
                <w:sz w:val="24"/>
                <w:szCs w:val="24"/>
                <w:color w:val="auto"/>
              </w:rPr>
            </w:pPr>
          </w:p>
        </w:tc>
      </w:tr>
      <w:tr>
        <w:trPr>
          <w:trHeight w:val="216"/>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Vivian Fu</w:t>
            </w:r>
          </w:p>
        </w:tc>
        <w:tc>
          <w:tcPr>
            <w:tcW w:w="7440" w:type="dxa"/>
            <w:vAlign w:val="bottom"/>
          </w:tcPr>
          <w:p>
            <w:pPr>
              <w:spacing w:after="0"/>
              <w:rPr>
                <w:sz w:val="18"/>
                <w:szCs w:val="18"/>
                <w:color w:val="auto"/>
              </w:rPr>
            </w:pPr>
          </w:p>
        </w:tc>
      </w:tr>
      <w:tr>
        <w:trPr>
          <w:trHeight w:val="216"/>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Phone: +852-3700-9110</w:t>
            </w:r>
          </w:p>
        </w:tc>
        <w:tc>
          <w:tcPr>
            <w:tcW w:w="7440" w:type="dxa"/>
            <w:vAlign w:val="bottom"/>
          </w:tcPr>
          <w:p>
            <w:pPr>
              <w:spacing w:after="0"/>
              <w:rPr>
                <w:sz w:val="18"/>
                <w:szCs w:val="18"/>
                <w:color w:val="auto"/>
              </w:rPr>
            </w:pPr>
          </w:p>
        </w:tc>
      </w:tr>
      <w:tr>
        <w:trPr>
          <w:trHeight w:val="190"/>
        </w:trPr>
        <w:tc>
          <w:tcPr>
            <w:tcW w:w="402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Email: press@i-click.com</w:t>
            </w:r>
          </w:p>
        </w:tc>
        <w:tc>
          <w:tcPr>
            <w:tcW w:w="74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38"/>
        </w:trPr>
        <w:tc>
          <w:tcPr>
            <w:tcW w:w="4020" w:type="dxa"/>
            <w:vAlign w:val="bottom"/>
            <w:gridSpan w:val="3"/>
          </w:tcPr>
          <w:p>
            <w:pPr>
              <w:ind w:left="140"/>
              <w:spacing w:after="0"/>
              <w:rPr>
                <w:sz w:val="20"/>
                <w:szCs w:val="20"/>
                <w:color w:val="auto"/>
              </w:rPr>
            </w:pPr>
            <w:r>
              <w:rPr>
                <w:rFonts w:ascii="Arial" w:cs="Arial" w:eastAsia="Arial" w:hAnsi="Arial"/>
                <w:sz w:val="18"/>
                <w:szCs w:val="18"/>
                <w:b w:val="1"/>
                <w:bCs w:val="1"/>
                <w:color w:val="auto"/>
              </w:rPr>
              <w:t>Paradigm Consulting</w:t>
            </w:r>
          </w:p>
        </w:tc>
        <w:tc>
          <w:tcPr>
            <w:tcW w:w="7440" w:type="dxa"/>
            <w:vAlign w:val="bottom"/>
          </w:tcPr>
          <w:p>
            <w:pPr>
              <w:spacing w:after="0"/>
              <w:rPr>
                <w:sz w:val="24"/>
                <w:szCs w:val="24"/>
                <w:color w:val="auto"/>
              </w:rPr>
            </w:pPr>
          </w:p>
        </w:tc>
      </w:tr>
      <w:tr>
        <w:trPr>
          <w:trHeight w:val="216"/>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Helen Lam / Tim Nicholls</w:t>
            </w:r>
          </w:p>
        </w:tc>
        <w:tc>
          <w:tcPr>
            <w:tcW w:w="7440" w:type="dxa"/>
            <w:vAlign w:val="bottom"/>
          </w:tcPr>
          <w:p>
            <w:pPr>
              <w:spacing w:after="0"/>
              <w:rPr>
                <w:sz w:val="18"/>
                <w:szCs w:val="18"/>
                <w:color w:val="auto"/>
              </w:rPr>
            </w:pPr>
          </w:p>
        </w:tc>
      </w:tr>
      <w:tr>
        <w:trPr>
          <w:trHeight w:val="216"/>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Phone: (852) 2251 9082 / (852) 2251 9081</w:t>
            </w:r>
          </w:p>
        </w:tc>
        <w:tc>
          <w:tcPr>
            <w:tcW w:w="7440" w:type="dxa"/>
            <w:vAlign w:val="bottom"/>
          </w:tcPr>
          <w:p>
            <w:pPr>
              <w:spacing w:after="0"/>
              <w:rPr>
                <w:sz w:val="18"/>
                <w:szCs w:val="18"/>
                <w:color w:val="auto"/>
              </w:rPr>
            </w:pPr>
          </w:p>
        </w:tc>
      </w:tr>
      <w:tr>
        <w:trPr>
          <w:trHeight w:val="216"/>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Email: helen.lam@paradigmconsulting.com.hk/</w:t>
            </w:r>
          </w:p>
        </w:tc>
        <w:tc>
          <w:tcPr>
            <w:tcW w:w="7440" w:type="dxa"/>
            <w:vAlign w:val="bottom"/>
          </w:tcPr>
          <w:p>
            <w:pPr>
              <w:spacing w:after="0"/>
              <w:rPr>
                <w:sz w:val="18"/>
                <w:szCs w:val="18"/>
                <w:color w:val="auto"/>
              </w:rPr>
            </w:pPr>
          </w:p>
        </w:tc>
      </w:tr>
      <w:tr>
        <w:trPr>
          <w:trHeight w:val="230"/>
        </w:trPr>
        <w:tc>
          <w:tcPr>
            <w:tcW w:w="4020" w:type="dxa"/>
            <w:vAlign w:val="bottom"/>
            <w:gridSpan w:val="3"/>
          </w:tcPr>
          <w:p>
            <w:pPr>
              <w:ind w:left="140"/>
              <w:spacing w:after="0"/>
              <w:rPr>
                <w:sz w:val="20"/>
                <w:szCs w:val="20"/>
                <w:color w:val="auto"/>
              </w:rPr>
            </w:pPr>
            <w:r>
              <w:rPr>
                <w:rFonts w:ascii="Arial" w:cs="Arial" w:eastAsia="Arial" w:hAnsi="Arial"/>
                <w:sz w:val="18"/>
                <w:szCs w:val="18"/>
                <w:color w:val="auto"/>
              </w:rPr>
              <w:t>tim.nicholls@paradigmconsulting.com.hk</w:t>
            </w:r>
          </w:p>
        </w:tc>
        <w:tc>
          <w:tcPr>
            <w:tcW w:w="74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40" w:type="dxa"/>
            <w:vAlign w:val="bottom"/>
          </w:tcPr>
          <w:p>
            <w:pPr>
              <w:ind w:left="1520"/>
              <w:spacing w:after="0"/>
              <w:rPr>
                <w:sz w:val="20"/>
                <w:szCs w:val="20"/>
                <w:color w:val="auto"/>
              </w:rPr>
            </w:pPr>
            <w:r>
              <w:rPr>
                <w:rFonts w:ascii="Arial" w:cs="Arial" w:eastAsia="Arial" w:hAnsi="Arial"/>
                <w:sz w:val="18"/>
                <w:szCs w:val="18"/>
                <w:color w:val="auto"/>
              </w:rPr>
              <w:t># # #</w:t>
            </w:r>
          </w:p>
        </w:tc>
      </w:tr>
      <w:tr>
        <w:trPr>
          <w:trHeight w:val="348"/>
        </w:trPr>
        <w:tc>
          <w:tcPr>
            <w:tcW w:w="6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2019 First-Quarter Unaudited 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Robust Start and Significant Progress in Enterprise Solutions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Another Quarter of Record High Gross Profit —</w:t>
      </w:r>
    </w:p>
    <w:p>
      <w:pPr>
        <w:spacing w:after="0" w:line="20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Hong Kong, May 29, 2019 </w:t>
      </w:r>
      <w:r>
        <w:rPr>
          <w:rFonts w:ascii="Arial" w:cs="Arial" w:eastAsia="Arial" w:hAnsi="Arial"/>
          <w:sz w:val="18"/>
          <w:szCs w:val="18"/>
          <w:color w:val="auto"/>
        </w:rPr>
        <w:t>— iClick Interactive Asia Group Limited (“iClick”) (NASDAQ: ICLK), an independent online marketing and enterprise data</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provider in China, today announced unaudited financial results for the first quarter ended March 31, 2019.</w:t>
      </w:r>
    </w:p>
    <w:p>
      <w:pPr>
        <w:spacing w:after="0" w:line="15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in thousands)</w:t>
            </w:r>
          </w:p>
        </w:tc>
        <w:tc>
          <w:tcPr>
            <w:tcW w:w="3440" w:type="dxa"/>
            <w:vAlign w:val="bottom"/>
            <w:tcBorders>
              <w:bottom w:val="single" w:sz="8" w:color="auto"/>
            </w:tcBorders>
            <w:gridSpan w:val="5"/>
          </w:tcPr>
          <w:p>
            <w:pPr>
              <w:jc w:val="center"/>
              <w:ind w:left="1094"/>
              <w:spacing w:after="0"/>
              <w:rPr>
                <w:sz w:val="20"/>
                <w:szCs w:val="20"/>
                <w:color w:val="auto"/>
              </w:rPr>
            </w:pPr>
            <w:r>
              <w:rPr>
                <w:rFonts w:ascii="Arial" w:cs="Arial" w:eastAsia="Arial" w:hAnsi="Arial"/>
                <w:sz w:val="14"/>
                <w:szCs w:val="14"/>
                <w:b w:val="1"/>
                <w:bCs w:val="1"/>
                <w:color w:val="auto"/>
                <w:w w:val="95"/>
              </w:rPr>
              <w:t>Three Months Ended March 31,</w:t>
            </w: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gridSpan w:val="2"/>
            <w:vMerge w:val="continue"/>
          </w:tcPr>
          <w:p>
            <w:pPr>
              <w:spacing w:after="0"/>
              <w:rPr>
                <w:sz w:val="10"/>
                <w:szCs w:val="10"/>
                <w:color w:val="auto"/>
              </w:rPr>
            </w:pPr>
          </w:p>
        </w:tc>
        <w:tc>
          <w:tcPr>
            <w:tcW w:w="13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0"/>
                <w:szCs w:val="10"/>
                <w:color w:val="auto"/>
              </w:rPr>
            </w:pPr>
          </w:p>
        </w:tc>
        <w:tc>
          <w:tcPr>
            <w:tcW w:w="13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solutions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37,759</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35,229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Enterprise solutions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1,459</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39,218</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35,229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12,390</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8,123</w:t>
            </w: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216" w:lineRule="exact"/>
              <w:rPr>
                <w:sz w:val="20"/>
                <w:szCs w:val="20"/>
                <w:color w:val="auto"/>
              </w:rPr>
            </w:pPr>
            <w:r>
              <w:rPr>
                <w:rFonts w:ascii="Arial" w:cs="Arial" w:eastAsia="Arial" w:hAnsi="Arial"/>
                <w:sz w:val="18"/>
                <w:szCs w:val="18"/>
                <w:color w:val="auto"/>
              </w:rPr>
              <w:t>Adjusted net loss</w:t>
            </w:r>
            <w:r>
              <w:rPr>
                <w:rFonts w:ascii="Arial" w:cs="Arial" w:eastAsia="Arial" w:hAnsi="Arial"/>
                <w:sz w:val="23"/>
                <w:szCs w:val="23"/>
                <w:color w:val="auto"/>
                <w:vertAlign w:val="superscript"/>
              </w:rPr>
              <w:t>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(1,248)</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(1,418)</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Diluted adjusted net loss per ADS</w:t>
            </w:r>
            <w:r>
              <w:rPr>
                <w:rFonts w:ascii="Arial" w:cs="Arial" w:eastAsia="Arial" w:hAnsi="Arial"/>
                <w:sz w:val="23"/>
                <w:szCs w:val="23"/>
                <w:color w:val="auto"/>
                <w:vertAlign w:val="superscript"/>
              </w:rPr>
              <w:t>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Operating Metrics: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billing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96,285</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91,892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we reported record-high gross profit and substantial growth in adjusted EBITDA on a solid revenue increase,” said Sammy Hsieh, Chief Executive Officer and Co-Founder of iClick. “As we celebrate our 10th anniversary year, we continue to make progress toward achieving our long-term goal of transforming iClick into a CRM and Marketing Cloud Platform that provides a fully-integrated solution to help our clients address their sales and marketing challenges in China.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recently announced two milestone agreements that further advance the development of our CRM and Marketing Cloud platform,” Hsieh said. “In the Enterprise Solutions business, we signed a strategic partnership agreement with BTG WELINK, the online retail services arm of Beijing Tourism Group, one of the top ten tourism service groups in China, and Tencent, to unleash the potential of smart retail by establishing a new customer relationship management system.</w:t>
      </w:r>
    </w:p>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the Marketing Solutions business, we recently announced to form a joint venture with VGI Global Media in Thailand that will add more diversity to iClick’s geographic reach in a high-growth region. We believe both agreements will help contribute to our future growth and profitability,” Hsieh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3" w:lineRule="exact"/>
        <w:rPr>
          <w:sz w:val="20"/>
          <w:szCs w:val="20"/>
          <w:color w:val="auto"/>
        </w:rPr>
      </w:pPr>
    </w:p>
    <w:p>
      <w:pPr>
        <w:ind w:left="180" w:right="20" w:hanging="172"/>
        <w:spacing w:after="0" w:line="227" w:lineRule="auto"/>
        <w:tabs>
          <w:tab w:leader="none" w:pos="171"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First Quarter 2019 Results:</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first quarter of 2019 grew to US$39.2 million, up 11% from US$35.2 million for the same period last year, attributable to contributions from</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marketing solutions and the Company’s new enterprise solutions, partially offset by depreciation of the Renminbi against the US dollar by 7% compared with the first quarter of 2018. On a currency-neutral basis, the revenue increased 19% at US$41.8 million for the first quarter of 2019 compared with the same period last year.</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Revenue from marketing solutions </w:t>
      </w:r>
      <w:r>
        <w:rPr>
          <w:rFonts w:ascii="Arial" w:cs="Arial" w:eastAsia="Arial" w:hAnsi="Arial"/>
          <w:sz w:val="18"/>
          <w:szCs w:val="18"/>
          <w:color w:val="auto"/>
        </w:rPr>
        <w:t>grew to US$37.8 million for the first quarter of 2019, up 7% from US$35.2 million for the first quarter of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result of growing market demand from marketers. On a currency-neutral basis, the revenue increased 15% at US$40.4 million for the first quarter of 2019 compared with the same period last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from Enterprise solutions </w:t>
      </w:r>
      <w:r>
        <w:rPr>
          <w:rFonts w:ascii="Arial" w:cs="Arial" w:eastAsia="Arial" w:hAnsi="Arial"/>
          <w:sz w:val="18"/>
          <w:szCs w:val="18"/>
          <w:color w:val="auto"/>
        </w:rPr>
        <w:t>was US$1.5 million for the first quarter of 2019.</w:t>
      </w:r>
    </w:p>
    <w:p>
      <w:pPr>
        <w:spacing w:after="0" w:line="22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for the quarter ended March 31, 2019 increased 53% to US$12.4 million, compared with US$8.1 million for the quarter ended March 31, 2018,</w:t>
      </w:r>
      <w:r>
        <w:rPr>
          <w:rFonts w:ascii="Arial" w:cs="Arial" w:eastAsia="Arial" w:hAnsi="Arial"/>
          <w:sz w:val="16"/>
          <w:szCs w:val="16"/>
          <w:b w:val="1"/>
          <w:bCs w:val="1"/>
          <w:color w:val="auto"/>
        </w:rPr>
        <w:t xml:space="preserve"> </w:t>
      </w:r>
      <w:r>
        <w:rPr>
          <w:rFonts w:ascii="Arial" w:cs="Arial" w:eastAsia="Arial" w:hAnsi="Arial"/>
          <w:sz w:val="16"/>
          <w:szCs w:val="16"/>
          <w:color w:val="auto"/>
        </w:rPr>
        <w:t>mainly due to improvements in gross profit margin from the Company’s marketing solutions, and contribution from higher margin enterprise solutions.</w:t>
      </w:r>
    </w:p>
    <w:p>
      <w:pPr>
        <w:spacing w:after="0" w:line="116" w:lineRule="exact"/>
        <w:rPr>
          <w:sz w:val="20"/>
          <w:szCs w:val="20"/>
          <w:color w:val="auto"/>
        </w:rPr>
      </w:pPr>
    </w:p>
    <w:p>
      <w:pPr>
        <w:ind w:right="760"/>
        <w:spacing w:after="0" w:line="347" w:lineRule="auto"/>
        <w:rPr>
          <w:sz w:val="20"/>
          <w:szCs w:val="20"/>
          <w:color w:val="auto"/>
        </w:rPr>
      </w:pPr>
      <w:r>
        <w:rPr>
          <w:rFonts w:ascii="Arial" w:cs="Arial" w:eastAsia="Arial" w:hAnsi="Arial"/>
          <w:sz w:val="16"/>
          <w:szCs w:val="16"/>
          <w:b w:val="1"/>
          <w:bCs w:val="1"/>
          <w:color w:val="auto"/>
        </w:rPr>
        <w:t xml:space="preserve">Total operating expenses </w:t>
      </w:r>
      <w:r>
        <w:rPr>
          <w:rFonts w:ascii="Arial" w:cs="Arial" w:eastAsia="Arial" w:hAnsi="Arial"/>
          <w:sz w:val="16"/>
          <w:szCs w:val="16"/>
          <w:color w:val="auto"/>
        </w:rPr>
        <w:t>were US$14.6 million for the first quarter of 2019, compared with US$9.9 million for the first quarter of 2018,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the expenses incurred for new business development, increase in marketing activities and higher incentives for sales personnel.</w:t>
      </w:r>
    </w:p>
    <w:p>
      <w:pPr>
        <w:spacing w:after="0" w:line="11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was US$2.2 million for the first quarter of 2019, compared with an operating loss of US$1.7 million for the prior-year period,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higher expenses incurred for new business development.</w:t>
      </w:r>
    </w:p>
    <w:p>
      <w:pPr>
        <w:spacing w:after="0" w:line="162"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totalled US$2.5 million for the 2019 first quarter, compared with US$112,000 for the 2018 first quarter, as a result of the decrease of exchange gain</w:t>
      </w:r>
      <w:r>
        <w:rPr>
          <w:rFonts w:ascii="Arial" w:cs="Arial" w:eastAsia="Arial" w:hAnsi="Arial"/>
          <w:sz w:val="16"/>
          <w:szCs w:val="16"/>
          <w:b w:val="1"/>
          <w:bCs w:val="1"/>
          <w:color w:val="auto"/>
        </w:rPr>
        <w:t xml:space="preserve"> </w:t>
      </w:r>
      <w:r>
        <w:rPr>
          <w:rFonts w:ascii="Arial" w:cs="Arial" w:eastAsia="Arial" w:hAnsi="Arial"/>
          <w:sz w:val="16"/>
          <w:szCs w:val="16"/>
          <w:color w:val="auto"/>
        </w:rPr>
        <w:t>of US$1.9 million compared with the first quarter of 2018, and the fair value losses on convertible notes of US$1.0 million in the first quarter of 2019.</w:t>
      </w:r>
    </w:p>
    <w:p>
      <w:pPr>
        <w:spacing w:after="0" w:line="1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loss attributable to the Company’s shareholders per basic and diluted ADS was US$0.0379, compared with a net loss per basic and diluted ADS of US$0.0021 for the first quarter of 2018.</w:t>
      </w:r>
    </w:p>
    <w:p>
      <w:pPr>
        <w:spacing w:after="0" w:line="1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the first quarter of 2019 improved to US$538,000, compared with US$409,000 for the first quarter of 2018, resulting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gross profit. For a reconciliation of the Company’s adjusted EBITDA to net loss, its most comparable GAAP measure, please refer to “Unaudited Reconciliations of GAAP and Non-GAAP Results.”</w:t>
      </w:r>
    </w:p>
    <w:p>
      <w:pPr>
        <w:spacing w:after="0" w:line="176"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Adjusted net loss </w:t>
      </w:r>
      <w:r>
        <w:rPr>
          <w:rFonts w:ascii="Arial" w:cs="Arial" w:eastAsia="Arial" w:hAnsi="Arial"/>
          <w:sz w:val="16"/>
          <w:szCs w:val="16"/>
          <w:color w:val="auto"/>
        </w:rPr>
        <w:t>attributable to the Company’s shareholders, which excludes share-based compensation expenses, fair value losses on convertible notes,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gains, for the 2019 first quarter reduced to US$1.2 million, compared with US$1.4 million for the 2018 first quarter. For a reconciliation of the Company’s adjusted net loss to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spacing w:after="0" w:line="235" w:lineRule="auto"/>
        <w:rPr>
          <w:sz w:val="20"/>
          <w:szCs w:val="20"/>
          <w:color w:val="auto"/>
        </w:rPr>
      </w:pPr>
      <w:r>
        <w:rPr>
          <w:rFonts w:ascii="Arial" w:cs="Arial" w:eastAsia="Arial" w:hAnsi="Arial"/>
          <w:sz w:val="18"/>
          <w:szCs w:val="18"/>
          <w:b w:val="1"/>
          <w:bCs w:val="1"/>
          <w:color w:val="auto"/>
        </w:rPr>
        <w:t>Gross billing</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grew to US$96.3 million for the first quarter ended March 31, 2019, up from US$91.9 million last year. It is primarily as a result of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demand, partially offset by depreciation of the Renminbi against the US dollar by 7% compared with a year ago. The gross billing increased 12% on a currency-neutral basis at US$102.5 million for the first quarter of 2019 compared with a year ago.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Company had cash and equivalents of US$44.7 million, compared with $39.8 million as of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information available as of the date of this press release, iClick provided the following outlook for the second quarter of 2019 and the following outlook for the 2019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2019:</w:t>
      </w:r>
    </w:p>
    <w:p>
      <w:pPr>
        <w:spacing w:after="0" w:line="225"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is estimated to be between US$46 million and US$50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margin is estimated to be between 26% and 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Full Year 2019:</w:t>
      </w:r>
    </w:p>
    <w:p>
      <w:pPr>
        <w:spacing w:after="0" w:line="225"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is estimated to be between US$200 million and US$220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is estimated to be between 28% and 30%.</w:t>
      </w:r>
    </w:p>
    <w:p>
      <w:pPr>
        <w:spacing w:after="0" w:line="21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 will host an earnings conference call at 8:00 AM U.S. Eastern Time on May 29, 2019 (8:00 PM Beijing/Hong Kong time on May 29, 2019). A live and archived webcast of the conference call will be available on iClick’s investor relations website at </w:t>
      </w:r>
      <w:r>
        <w:rPr>
          <w:rFonts w:ascii="Arial" w:cs="Arial" w:eastAsia="Arial" w:hAnsi="Arial"/>
          <w:sz w:val="18"/>
          <w:szCs w:val="18"/>
          <w:u w:val="single" w:color="auto"/>
          <w:color w:val="auto"/>
        </w:rPr>
        <w:t>http://ir.i-click.com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conference call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United States:</w:t>
            </w:r>
          </w:p>
        </w:tc>
        <w:tc>
          <w:tcPr>
            <w:tcW w:w="2420" w:type="dxa"/>
            <w:vAlign w:val="bottom"/>
          </w:tcPr>
          <w:p>
            <w:pPr>
              <w:ind w:left="1160"/>
              <w:spacing w:after="0"/>
              <w:rPr>
                <w:sz w:val="20"/>
                <w:szCs w:val="20"/>
                <w:color w:val="auto"/>
              </w:rPr>
            </w:pPr>
            <w:r>
              <w:rPr>
                <w:rFonts w:ascii="Arial" w:cs="Arial" w:eastAsia="Arial" w:hAnsi="Arial"/>
                <w:sz w:val="18"/>
                <w:szCs w:val="18"/>
                <w:color w:val="auto"/>
                <w:w w:val="89"/>
              </w:rPr>
              <w:t>+1-845-675-0437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International:</w:t>
            </w:r>
          </w:p>
        </w:tc>
        <w:tc>
          <w:tcPr>
            <w:tcW w:w="2420" w:type="dxa"/>
            <w:vAlign w:val="bottom"/>
          </w:tcPr>
          <w:p>
            <w:pPr>
              <w:ind w:left="1160"/>
              <w:spacing w:after="0"/>
              <w:rPr>
                <w:sz w:val="20"/>
                <w:szCs w:val="20"/>
                <w:color w:val="auto"/>
              </w:rPr>
            </w:pPr>
            <w:r>
              <w:rPr>
                <w:rFonts w:ascii="Arial" w:cs="Arial" w:eastAsia="Arial" w:hAnsi="Arial"/>
                <w:sz w:val="18"/>
                <w:szCs w:val="18"/>
                <w:color w:val="auto"/>
              </w:rPr>
              <w:t>+65-6713-5090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Hong Kong:</w:t>
            </w:r>
          </w:p>
        </w:tc>
        <w:tc>
          <w:tcPr>
            <w:tcW w:w="2420" w:type="dxa"/>
            <w:vAlign w:val="bottom"/>
          </w:tcPr>
          <w:p>
            <w:pPr>
              <w:ind w:left="1160"/>
              <w:spacing w:after="0"/>
              <w:rPr>
                <w:sz w:val="20"/>
                <w:szCs w:val="20"/>
                <w:color w:val="auto"/>
              </w:rPr>
            </w:pPr>
            <w:r>
              <w:rPr>
                <w:rFonts w:ascii="Arial" w:cs="Arial" w:eastAsia="Arial" w:hAnsi="Arial"/>
                <w:sz w:val="18"/>
                <w:szCs w:val="18"/>
                <w:color w:val="auto"/>
                <w:w w:val="93"/>
              </w:rPr>
              <w:t>+852-3018-6771</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China:</w:t>
            </w:r>
          </w:p>
        </w:tc>
        <w:tc>
          <w:tcPr>
            <w:tcW w:w="2420" w:type="dxa"/>
            <w:vAlign w:val="bottom"/>
          </w:tcPr>
          <w:p>
            <w:pPr>
              <w:ind w:left="1160"/>
              <w:spacing w:after="0"/>
              <w:rPr>
                <w:sz w:val="20"/>
                <w:szCs w:val="20"/>
                <w:color w:val="auto"/>
              </w:rPr>
            </w:pPr>
            <w:r>
              <w:rPr>
                <w:rFonts w:ascii="Arial" w:cs="Arial" w:eastAsia="Arial" w:hAnsi="Arial"/>
                <w:sz w:val="18"/>
                <w:szCs w:val="18"/>
                <w:color w:val="auto"/>
              </w:rPr>
              <w:t>400-620-8038</w:t>
            </w:r>
          </w:p>
        </w:tc>
      </w:tr>
      <w:tr>
        <w:trPr>
          <w:trHeight w:val="432"/>
        </w:trPr>
        <w:tc>
          <w:tcPr>
            <w:tcW w:w="2280" w:type="dxa"/>
            <w:vAlign w:val="bottom"/>
          </w:tcPr>
          <w:p>
            <w:pPr>
              <w:spacing w:after="0"/>
              <w:rPr>
                <w:sz w:val="20"/>
                <w:szCs w:val="20"/>
                <w:color w:val="auto"/>
              </w:rPr>
            </w:pPr>
            <w:r>
              <w:rPr>
                <w:rFonts w:ascii="Arial" w:cs="Arial" w:eastAsia="Arial" w:hAnsi="Arial"/>
                <w:sz w:val="18"/>
                <w:szCs w:val="18"/>
                <w:color w:val="auto"/>
              </w:rPr>
              <w:t>Conference ID:</w:t>
            </w:r>
          </w:p>
        </w:tc>
        <w:tc>
          <w:tcPr>
            <w:tcW w:w="2420" w:type="dxa"/>
            <w:vAlign w:val="bottom"/>
          </w:tcPr>
          <w:p>
            <w:pPr>
              <w:ind w:left="1160"/>
              <w:spacing w:after="0"/>
              <w:rPr>
                <w:sz w:val="20"/>
                <w:szCs w:val="20"/>
                <w:color w:val="auto"/>
              </w:rPr>
            </w:pPr>
            <w:r>
              <w:rPr>
                <w:rFonts w:ascii="Arial" w:cs="Arial" w:eastAsia="Arial" w:hAnsi="Arial"/>
                <w:sz w:val="18"/>
                <w:szCs w:val="18"/>
                <w:color w:val="auto"/>
              </w:rPr>
              <w:t>9067006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replay of the conference call will be accessible by phone two hours after the conclusion of the live call at the following numbers until June 6,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United States:</w:t>
            </w:r>
          </w:p>
        </w:tc>
        <w:tc>
          <w:tcPr>
            <w:tcW w:w="2200" w:type="dxa"/>
            <w:vAlign w:val="bottom"/>
          </w:tcPr>
          <w:p>
            <w:pPr>
              <w:ind w:left="940"/>
              <w:spacing w:after="0"/>
              <w:rPr>
                <w:sz w:val="20"/>
                <w:szCs w:val="20"/>
                <w:color w:val="auto"/>
              </w:rPr>
            </w:pPr>
            <w:r>
              <w:rPr>
                <w:rFonts w:ascii="Arial" w:cs="Arial" w:eastAsia="Arial" w:hAnsi="Arial"/>
                <w:sz w:val="18"/>
                <w:szCs w:val="18"/>
                <w:color w:val="auto"/>
                <w:w w:val="89"/>
              </w:rPr>
              <w:t>+1-855-452-5696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International:</w:t>
            </w:r>
          </w:p>
        </w:tc>
        <w:tc>
          <w:tcPr>
            <w:tcW w:w="2200" w:type="dxa"/>
            <w:vAlign w:val="bottom"/>
          </w:tcPr>
          <w:p>
            <w:pPr>
              <w:ind w:left="940"/>
              <w:spacing w:after="0"/>
              <w:rPr>
                <w:sz w:val="20"/>
                <w:szCs w:val="20"/>
                <w:color w:val="auto"/>
              </w:rPr>
            </w:pPr>
            <w:r>
              <w:rPr>
                <w:rFonts w:ascii="Arial" w:cs="Arial" w:eastAsia="Arial" w:hAnsi="Arial"/>
                <w:sz w:val="18"/>
                <w:szCs w:val="18"/>
                <w:color w:val="auto"/>
                <w:w w:val="89"/>
              </w:rPr>
              <w:t>+61-2-8199-0299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Hong Kong:</w:t>
            </w:r>
          </w:p>
        </w:tc>
        <w:tc>
          <w:tcPr>
            <w:tcW w:w="2200" w:type="dxa"/>
            <w:vAlign w:val="bottom"/>
          </w:tcPr>
          <w:p>
            <w:pPr>
              <w:ind w:left="940"/>
              <w:spacing w:after="0"/>
              <w:rPr>
                <w:sz w:val="20"/>
                <w:szCs w:val="20"/>
                <w:color w:val="auto"/>
              </w:rPr>
            </w:pPr>
            <w:r>
              <w:rPr>
                <w:rFonts w:ascii="Arial" w:cs="Arial" w:eastAsia="Arial" w:hAnsi="Arial"/>
                <w:sz w:val="18"/>
                <w:szCs w:val="18"/>
                <w:color w:val="auto"/>
              </w:rPr>
              <w:t>800-963-117</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China:</w:t>
            </w:r>
          </w:p>
        </w:tc>
        <w:tc>
          <w:tcPr>
            <w:tcW w:w="2200" w:type="dxa"/>
            <w:vAlign w:val="bottom"/>
          </w:tcPr>
          <w:p>
            <w:pPr>
              <w:ind w:left="940"/>
              <w:spacing w:after="0"/>
              <w:rPr>
                <w:sz w:val="20"/>
                <w:szCs w:val="20"/>
                <w:color w:val="auto"/>
              </w:rPr>
            </w:pPr>
            <w:r>
              <w:rPr>
                <w:rFonts w:ascii="Arial" w:cs="Arial" w:eastAsia="Arial" w:hAnsi="Arial"/>
                <w:sz w:val="18"/>
                <w:szCs w:val="18"/>
                <w:color w:val="auto"/>
              </w:rPr>
              <w:t>400-632-2162</w:t>
            </w:r>
          </w:p>
        </w:tc>
      </w:tr>
      <w:tr>
        <w:trPr>
          <w:trHeight w:val="432"/>
        </w:trPr>
        <w:tc>
          <w:tcPr>
            <w:tcW w:w="2500" w:type="dxa"/>
            <w:vAlign w:val="bottom"/>
          </w:tcPr>
          <w:p>
            <w:pPr>
              <w:spacing w:after="0"/>
              <w:rPr>
                <w:sz w:val="20"/>
                <w:szCs w:val="20"/>
                <w:color w:val="auto"/>
              </w:rPr>
            </w:pPr>
            <w:r>
              <w:rPr>
                <w:rFonts w:ascii="Arial" w:cs="Arial" w:eastAsia="Arial" w:hAnsi="Arial"/>
                <w:sz w:val="18"/>
                <w:szCs w:val="18"/>
                <w:color w:val="auto"/>
              </w:rPr>
              <w:t>Replay Access Code:</w:t>
            </w:r>
          </w:p>
        </w:tc>
        <w:tc>
          <w:tcPr>
            <w:tcW w:w="2200" w:type="dxa"/>
            <w:vAlign w:val="bottom"/>
          </w:tcPr>
          <w:p>
            <w:pPr>
              <w:ind w:left="940"/>
              <w:spacing w:after="0"/>
              <w:rPr>
                <w:sz w:val="20"/>
                <w:szCs w:val="20"/>
                <w:color w:val="auto"/>
              </w:rPr>
            </w:pPr>
            <w:r>
              <w:rPr>
                <w:rFonts w:ascii="Arial" w:cs="Arial" w:eastAsia="Arial" w:hAnsi="Arial"/>
                <w:sz w:val="18"/>
                <w:szCs w:val="18"/>
                <w:color w:val="auto"/>
              </w:rPr>
              <w:t>9067006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iClick Interactive Asia Group Limited (NASDAQ:ICLK) is an independent online marketing and enterprise data solutions provider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and is currently operating in nine locations worldwide including Asia and Europe.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uses adjusted EBITDA, adjusted net loss, and diluted adjusted net loss per ADS, each a non-GAAP financial measure, in evaluating the Company’s operating results and for financial and operational decision-making purposes.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88"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7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currency-neutral revenue and gross billing are calculated using actual exchange rates in use during the comparative prior year period to enhance the visibility of the underlying business trends excluding the impact of translation arising from foreign currency exchange rate fluctuations. These non-GAAP financial measures were presented with the most directly comparable GAAP financial measures together for facilitating a more comprehensive understanding of operating performance between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Preliminary Unaudited Financial Information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unaudited financial information set out in this press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For investor inquiries, please contact:</w:t>
            </w:r>
          </w:p>
        </w:tc>
        <w:tc>
          <w:tcPr>
            <w:tcW w:w="7580" w:type="dxa"/>
            <w:vAlign w:val="bottom"/>
          </w:tcPr>
          <w:p>
            <w:pPr>
              <w:spacing w:after="0"/>
              <w:rPr>
                <w:sz w:val="20"/>
                <w:szCs w:val="20"/>
                <w:color w:val="auto"/>
              </w:rPr>
            </w:pPr>
          </w:p>
        </w:tc>
      </w:tr>
      <w:tr>
        <w:trPr>
          <w:trHeight w:val="414"/>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In China:</w:t>
            </w:r>
          </w:p>
        </w:tc>
        <w:tc>
          <w:tcPr>
            <w:tcW w:w="7580" w:type="dxa"/>
            <w:vAlign w:val="bottom"/>
          </w:tcPr>
          <w:p>
            <w:pPr>
              <w:ind w:left="78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7580" w:type="dxa"/>
            <w:vAlign w:val="bottom"/>
          </w:tcPr>
          <w:p>
            <w:pPr>
              <w:ind w:left="780"/>
              <w:spacing w:after="0"/>
              <w:rPr>
                <w:sz w:val="20"/>
                <w:szCs w:val="20"/>
                <w:color w:val="auto"/>
              </w:rPr>
            </w:pPr>
            <w:r>
              <w:rPr>
                <w:rFonts w:ascii="Arial" w:cs="Arial" w:eastAsia="Arial" w:hAnsi="Arial"/>
                <w:sz w:val="18"/>
                <w:szCs w:val="18"/>
                <w:b w:val="1"/>
                <w:bCs w:val="1"/>
                <w:color w:val="auto"/>
              </w:rPr>
              <w:t>PondelWilkinson Inc.</w:t>
            </w: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Lisa Li</w:t>
            </w:r>
          </w:p>
        </w:tc>
        <w:tc>
          <w:tcPr>
            <w:tcW w:w="7580" w:type="dxa"/>
            <w:vAlign w:val="bottom"/>
          </w:tcPr>
          <w:p>
            <w:pPr>
              <w:ind w:left="780"/>
              <w:spacing w:after="0"/>
              <w:rPr>
                <w:sz w:val="20"/>
                <w:szCs w:val="20"/>
                <w:color w:val="auto"/>
              </w:rPr>
            </w:pPr>
            <w:r>
              <w:rPr>
                <w:rFonts w:ascii="Arial" w:cs="Arial" w:eastAsia="Arial" w:hAnsi="Arial"/>
                <w:sz w:val="18"/>
                <w:szCs w:val="18"/>
                <w:color w:val="auto"/>
              </w:rPr>
              <w:t>Evan Pondel/Laurie Berman</w:t>
            </w: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Phone: +852-3700-9065</w:t>
            </w:r>
          </w:p>
        </w:tc>
        <w:tc>
          <w:tcPr>
            <w:tcW w:w="7580" w:type="dxa"/>
            <w:vAlign w:val="bottom"/>
          </w:tcPr>
          <w:p>
            <w:pPr>
              <w:ind w:left="780"/>
              <w:spacing w:after="0"/>
              <w:rPr>
                <w:sz w:val="20"/>
                <w:szCs w:val="20"/>
                <w:color w:val="auto"/>
              </w:rPr>
            </w:pPr>
            <w:r>
              <w:rPr>
                <w:rFonts w:ascii="Arial" w:cs="Arial" w:eastAsia="Arial" w:hAnsi="Arial"/>
                <w:sz w:val="18"/>
                <w:szCs w:val="18"/>
                <w:color w:val="auto"/>
              </w:rPr>
              <w:t>Tel: +1-310-279-5980</w:t>
            </w: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E-mail: ir@i-click.com</w:t>
            </w:r>
          </w:p>
        </w:tc>
        <w:tc>
          <w:tcPr>
            <w:tcW w:w="7580" w:type="dxa"/>
            <w:vAlign w:val="bottom"/>
          </w:tcPr>
          <w:p>
            <w:pPr>
              <w:ind w:left="780"/>
              <w:spacing w:after="0"/>
              <w:rPr>
                <w:sz w:val="20"/>
                <w:szCs w:val="20"/>
                <w:color w:val="auto"/>
              </w:rPr>
            </w:pPr>
            <w:r>
              <w:rPr>
                <w:rFonts w:ascii="Arial" w:cs="Arial" w:eastAsia="Arial" w:hAnsi="Arial"/>
                <w:sz w:val="18"/>
                <w:szCs w:val="18"/>
                <w:color w:val="auto"/>
              </w:rPr>
              <w:t>E-mail: iclk@pondel.com</w:t>
            </w:r>
          </w:p>
        </w:tc>
      </w:tr>
      <w:tr>
        <w:trPr>
          <w:trHeight w:val="432"/>
        </w:trPr>
        <w:tc>
          <w:tcPr>
            <w:tcW w:w="3880" w:type="dxa"/>
            <w:vAlign w:val="bottom"/>
          </w:tcPr>
          <w:p>
            <w:pPr>
              <w:spacing w:after="0"/>
              <w:rPr>
                <w:sz w:val="20"/>
                <w:szCs w:val="20"/>
                <w:color w:val="auto"/>
              </w:rPr>
            </w:pPr>
            <w:r>
              <w:rPr>
                <w:rFonts w:ascii="Arial" w:cs="Arial" w:eastAsia="Arial" w:hAnsi="Arial"/>
                <w:sz w:val="18"/>
                <w:szCs w:val="18"/>
                <w:b w:val="1"/>
                <w:bCs w:val="1"/>
                <w:color w:val="auto"/>
              </w:rPr>
              <w:t>For media inquiries, please contact:</w:t>
            </w:r>
          </w:p>
        </w:tc>
        <w:tc>
          <w:tcPr>
            <w:tcW w:w="7580" w:type="dxa"/>
            <w:vAlign w:val="bottom"/>
          </w:tcPr>
          <w:p>
            <w:pPr>
              <w:spacing w:after="0"/>
              <w:rPr>
                <w:sz w:val="24"/>
                <w:szCs w:val="24"/>
                <w:color w:val="auto"/>
              </w:rPr>
            </w:pPr>
          </w:p>
        </w:tc>
      </w:tr>
      <w:tr>
        <w:trPr>
          <w:trHeight w:val="418"/>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7580" w:type="dxa"/>
            <w:vAlign w:val="bottom"/>
          </w:tcPr>
          <w:p>
            <w:pPr>
              <w:spacing w:after="0"/>
              <w:rPr>
                <w:sz w:val="24"/>
                <w:szCs w:val="24"/>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Vivian Fu</w:t>
            </w:r>
          </w:p>
        </w:tc>
        <w:tc>
          <w:tcPr>
            <w:tcW w:w="7580" w:type="dxa"/>
            <w:vAlign w:val="bottom"/>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Phone: +852-3700-9110</w:t>
            </w:r>
          </w:p>
        </w:tc>
        <w:tc>
          <w:tcPr>
            <w:tcW w:w="7580" w:type="dxa"/>
            <w:vAlign w:val="bottom"/>
          </w:tcPr>
          <w:p>
            <w:pPr>
              <w:spacing w:after="0"/>
              <w:rPr>
                <w:sz w:val="18"/>
                <w:szCs w:val="18"/>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Email: press@i-click.com</w:t>
            </w:r>
          </w:p>
        </w:tc>
        <w:tc>
          <w:tcPr>
            <w:tcW w:w="7580" w:type="dxa"/>
            <w:vAlign w:val="bottom"/>
          </w:tcPr>
          <w:p>
            <w:pPr>
              <w:spacing w:after="0"/>
              <w:rPr>
                <w:sz w:val="20"/>
                <w:szCs w:val="20"/>
                <w:color w:val="auto"/>
              </w:rPr>
            </w:pPr>
          </w:p>
        </w:tc>
      </w:tr>
      <w:tr>
        <w:trPr>
          <w:trHeight w:val="432"/>
        </w:trPr>
        <w:tc>
          <w:tcPr>
            <w:tcW w:w="3880" w:type="dxa"/>
            <w:vAlign w:val="bottom"/>
          </w:tcPr>
          <w:p>
            <w:pPr>
              <w:spacing w:after="0"/>
              <w:rPr>
                <w:sz w:val="24"/>
                <w:szCs w:val="24"/>
                <w:color w:val="auto"/>
              </w:rPr>
            </w:pPr>
          </w:p>
        </w:tc>
        <w:tc>
          <w:tcPr>
            <w:tcW w:w="7580" w:type="dxa"/>
            <w:vAlign w:val="bottom"/>
          </w:tcPr>
          <w:p>
            <w:pPr>
              <w:ind w:left="960"/>
              <w:spacing w:after="0"/>
              <w:rPr>
                <w:sz w:val="20"/>
                <w:szCs w:val="20"/>
                <w:color w:val="auto"/>
              </w:rPr>
            </w:pPr>
            <w:r>
              <w:rPr>
                <w:rFonts w:ascii="Arial" w:cs="Arial" w:eastAsia="Arial" w:hAnsi="Arial"/>
                <w:sz w:val="18"/>
                <w:szCs w:val="18"/>
                <w:color w:val="auto"/>
              </w:rPr>
              <w:t>(financial tables follow)</w:t>
            </w:r>
          </w:p>
        </w:tc>
      </w:tr>
      <w:tr>
        <w:trPr>
          <w:trHeight w:val="348"/>
        </w:trPr>
        <w:tc>
          <w:tcPr>
            <w:tcW w:w="3880" w:type="dxa"/>
            <w:vAlign w:val="bottom"/>
            <w:tcBorders>
              <w:bottom w:val="single" w:sz="8" w:color="808080"/>
            </w:tcBorders>
          </w:tcPr>
          <w:p>
            <w:pPr>
              <w:spacing w:after="0"/>
              <w:rPr>
                <w:sz w:val="24"/>
                <w:szCs w:val="24"/>
                <w:color w:val="auto"/>
              </w:rPr>
            </w:pPr>
          </w:p>
        </w:tc>
        <w:tc>
          <w:tcPr>
            <w:tcW w:w="7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Cost of revenues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(26,828)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(3,238)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tcPr>
          <w:p>
            <w:pPr>
              <w:jc w:val="right"/>
              <w:spacing w:after="0"/>
              <w:rPr>
                <w:sz w:val="20"/>
                <w:szCs w:val="20"/>
                <w:color w:val="auto"/>
              </w:rPr>
            </w:pPr>
            <w:r>
              <w:rPr>
                <w:rFonts w:ascii="Arial" w:cs="Arial" w:eastAsia="Arial" w:hAnsi="Arial"/>
                <w:sz w:val="18"/>
                <w:szCs w:val="18"/>
                <w:color w:val="auto"/>
              </w:rPr>
              <w:t>(2,188)</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(Loss)/profit before income tax expense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 net of US$nil tax</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 interests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(1,210)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Net loss per ADS attributable to iClick Interactive Asia Group Limited</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(0.0379)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 Diluted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(0.0379)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(0.0021)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ADS used in per share calculation: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 Basic</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56,376,610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52,148,518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56,376,610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52,148,518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 March 31, 2019</w:t>
            </w:r>
          </w:p>
        </w:tc>
        <w:tc>
          <w:tcPr>
            <w:tcW w:w="2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44,687</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Short-term investment</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17,427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Accounts receivable, net of allowance for doubtful receivables of US$1,524 and US$1,507 as of</w:t>
            </w: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March 31, 2019 and December 31, 2018 respectively</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75,312</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Rebates receivable</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3,555</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28,202</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3,384</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155,140</w:t>
            </w:r>
          </w:p>
        </w:tc>
        <w:tc>
          <w:tcPr>
            <w:tcW w:w="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6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1,124</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8,001</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55,156</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Long-term investment</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503</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Right-of-use assets</w:t>
            </w:r>
            <w:r>
              <w:rPr>
                <w:rFonts w:ascii="Arial" w:cs="Arial" w:eastAsia="Arial" w:hAnsi="Arial"/>
                <w:sz w:val="23"/>
                <w:szCs w:val="23"/>
                <w:color w:val="auto"/>
                <w:vertAlign w:val="superscript"/>
              </w:rPr>
              <w:t>3</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2,343</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68,042</w:t>
            </w:r>
          </w:p>
        </w:tc>
        <w:tc>
          <w:tcPr>
            <w:tcW w:w="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6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223,182</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2860" w:type="dxa"/>
            <w:vAlign w:val="bottom"/>
          </w:tcPr>
          <w:p>
            <w:pPr>
              <w:spacing w:after="0"/>
              <w:rPr>
                <w:sz w:val="6"/>
                <w:szCs w:val="6"/>
                <w:color w:val="auto"/>
              </w:rPr>
            </w:pPr>
          </w:p>
        </w:tc>
        <w:tc>
          <w:tcPr>
            <w:tcW w:w="4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Accounts payable (including accounts payable of the consolidated variable interest entity</w:t>
            </w: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(“VIE”) and its subsidiaries without recourse to the Company of US$77 and US$45 as of</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March 31, 2019 and December 31, 2018, respectively)</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9,384</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tcPr>
          <w:p>
            <w:pPr>
              <w:spacing w:after="0" w:line="201" w:lineRule="exact"/>
              <w:rPr>
                <w:sz w:val="20"/>
                <w:szCs w:val="20"/>
                <w:color w:val="auto"/>
              </w:rPr>
            </w:pPr>
            <w:r>
              <w:rPr>
                <w:rFonts w:ascii="Arial" w:cs="Arial" w:eastAsia="Arial" w:hAnsi="Arial"/>
                <w:sz w:val="18"/>
                <w:szCs w:val="18"/>
                <w:color w:val="auto"/>
              </w:rPr>
              <w:t>Deferred revenue (including deferred revenue of the consolidated VIE and its subsidiaries</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without recourse to the Company of US$1,262 and US$1,300 as of March 31, 2019 and</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December 31, 2018, respectively)</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31,545</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27,191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Accrued liabilities and other current liabilities (including accrued liabilities and other current</w:t>
            </w: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liabilities of the consolidated VIE and its subsidiaries without recourse to the Company of</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US$1,541 and US$1,776 as of March 31, 2019 and December 31, 2018, respectively)</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15,531</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line="216" w:lineRule="exact"/>
              <w:rPr>
                <w:sz w:val="20"/>
                <w:szCs w:val="20"/>
                <w:color w:val="auto"/>
              </w:rPr>
            </w:pPr>
            <w:r>
              <w:rPr>
                <w:rFonts w:ascii="Arial" w:cs="Arial" w:eastAsia="Arial" w:hAnsi="Arial"/>
                <w:sz w:val="18"/>
                <w:szCs w:val="18"/>
                <w:color w:val="auto"/>
              </w:rPr>
              <w:t>Lease liabilities</w:t>
            </w:r>
            <w:r>
              <w:rPr>
                <w:rFonts w:ascii="Arial" w:cs="Arial" w:eastAsia="Arial" w:hAnsi="Arial"/>
                <w:sz w:val="23"/>
                <w:szCs w:val="23"/>
                <w:color w:val="auto"/>
                <w:vertAlign w:val="superscript"/>
              </w:rPr>
              <w:t>3</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1,267</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14,777</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Convertible notes at fair value</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31,407</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34,837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3,035</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106,946</w:t>
            </w:r>
          </w:p>
        </w:tc>
        <w:tc>
          <w:tcPr>
            <w:tcW w:w="280" w:type="dxa"/>
            <w:vAlign w:val="bottom"/>
            <w:tcBorders>
              <w:bottom w:val="single" w:sz="8" w:color="CCEEFF"/>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60" w:type="dxa"/>
            <w:vAlign w:val="bottom"/>
            <w:shd w:val="clear" w:color="auto" w:fill="CCEEFF"/>
          </w:tcPr>
          <w:p>
            <w:pPr>
              <w:spacing w:after="0"/>
              <w:rPr>
                <w:sz w:val="7"/>
                <w:szCs w:val="7"/>
                <w:color w:val="auto"/>
              </w:rPr>
            </w:pPr>
          </w:p>
        </w:tc>
        <w:tc>
          <w:tcPr>
            <w:tcW w:w="44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line="216" w:lineRule="exact"/>
              <w:rPr>
                <w:sz w:val="20"/>
                <w:szCs w:val="20"/>
                <w:color w:val="auto"/>
              </w:rPr>
            </w:pPr>
            <w:r>
              <w:rPr>
                <w:rFonts w:ascii="Arial" w:cs="Arial" w:eastAsia="Arial" w:hAnsi="Arial"/>
                <w:sz w:val="18"/>
                <w:szCs w:val="18"/>
                <w:color w:val="auto"/>
              </w:rPr>
              <w:t>Lease liabilities</w:t>
            </w:r>
            <w:r>
              <w:rPr>
                <w:rFonts w:ascii="Arial" w:cs="Arial" w:eastAsia="Arial" w:hAnsi="Arial"/>
                <w:sz w:val="23"/>
                <w:szCs w:val="23"/>
                <w:color w:val="auto"/>
                <w:vertAlign w:val="superscript"/>
              </w:rPr>
              <w:t>3</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1,099</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2,902</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w:t>
            </w:r>
          </w:p>
        </w:tc>
        <w:tc>
          <w:tcPr>
            <w:tcW w:w="280" w:type="dxa"/>
            <w:vAlign w:val="bottom"/>
            <w:tcBorders>
              <w:bottom w:val="single" w:sz="8" w:color="CCEEFF"/>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60" w:type="dxa"/>
            <w:vAlign w:val="bottom"/>
            <w:shd w:val="clear" w:color="auto" w:fill="CCEEFF"/>
          </w:tcPr>
          <w:p>
            <w:pPr>
              <w:spacing w:after="0"/>
              <w:rPr>
                <w:sz w:val="7"/>
                <w:szCs w:val="7"/>
                <w:color w:val="auto"/>
              </w:rPr>
            </w:pPr>
          </w:p>
        </w:tc>
        <w:tc>
          <w:tcPr>
            <w:tcW w:w="44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111,564</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100,618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60" w:type="dxa"/>
            <w:vAlign w:val="bottom"/>
            <w:tcBorders>
              <w:top w:val="single" w:sz="8" w:color="CCEEFF"/>
            </w:tcBorders>
            <w:shd w:val="clear" w:color="auto" w:fill="CCEEFF"/>
          </w:tcPr>
          <w:p>
            <w:pPr>
              <w:spacing w:after="0"/>
              <w:rPr>
                <w:sz w:val="7"/>
                <w:szCs w:val="7"/>
                <w:color w:val="auto"/>
              </w:rPr>
            </w:pPr>
          </w:p>
        </w:tc>
        <w:tc>
          <w:tcPr>
            <w:tcW w:w="4400" w:type="dxa"/>
            <w:vAlign w:val="bottom"/>
            <w:tcBorders>
              <w:top w:val="single" w:sz="8" w:color="CCEEFF"/>
            </w:tcBorders>
            <w:shd w:val="clear" w:color="auto" w:fill="CCEEFF"/>
          </w:tcPr>
          <w:p>
            <w:pPr>
              <w:spacing w:after="0"/>
              <w:rPr>
                <w:sz w:val="7"/>
                <w:szCs w:val="7"/>
                <w:color w:val="auto"/>
              </w:rPr>
            </w:pPr>
          </w:p>
        </w:tc>
        <w:tc>
          <w:tcPr>
            <w:tcW w:w="176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Ordinary shares — Class A (US$0.001 par value; 80,000,000 shares authorized as of</w:t>
            </w: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March 31, 2019 and December 31, 2018, respectively; 23,674,862 and 23,166,092 shares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and outstanding as of March 31, 2019 and December 31, 2018, respectively)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Ordinary shares — Class B (US$0.001 par value; 20,000,000 shares authorized as of</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March 31, 2019 and December 31, 2018, respectively; 4,820,608 shares issued and</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outstanding as of March 31, 2019 and December 31, 2018, respectively)</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Treasury shares (1,276,951 shares and 1,363,860 shares as of March 31, 2019 and</w:t>
            </w: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2018, respectively)</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298,353</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293,072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Statutory reserves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losses</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(4,942)</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(183,548)</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109,386</w:t>
            </w:r>
          </w:p>
        </w:tc>
        <w:tc>
          <w:tcPr>
            <w:tcW w:w="28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2,232</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6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7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111,618</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2860" w:type="dxa"/>
            <w:vAlign w:val="bottom"/>
          </w:tcPr>
          <w:p>
            <w:pPr>
              <w:spacing w:after="0"/>
              <w:rPr>
                <w:sz w:val="6"/>
                <w:szCs w:val="6"/>
                <w:color w:val="auto"/>
              </w:rPr>
            </w:pPr>
          </w:p>
        </w:tc>
        <w:tc>
          <w:tcPr>
            <w:tcW w:w="4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223,182</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bottom w:val="single" w:sz="8" w:color="808080"/>
            </w:tcBorders>
          </w:tcPr>
          <w:p>
            <w:pPr>
              <w:spacing w:after="0"/>
              <w:rPr>
                <w:sz w:val="13"/>
                <w:szCs w:val="13"/>
                <w:color w:val="auto"/>
              </w:rPr>
            </w:pPr>
          </w:p>
        </w:tc>
        <w:tc>
          <w:tcPr>
            <w:tcW w:w="4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hanging="172"/>
        <w:spacing w:after="0" w:line="257" w:lineRule="auto"/>
        <w:tabs>
          <w:tab w:leader="none" w:pos="166"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The Company adopted the new leasing guidance (ASU 2016-02) started from January 1, 2019, which requires that a lessee recognize the assets and liabilities that arise from operating leases. The Company recognized a right-of-use asset and a liability relating to lease payments (the Lease Liability) in the consolidated balance sheets for lease contracts having terms beyond 12 months period. The adoption of new leasing guidance resulted in recognition of US$2.3 million of right-of-use assets and US$2.4 million of lease liabilities, respectively, as of March 31, 2019. The consolidated financial information related to periods prior to January 1, 2019 were not restated, and continue to be reported under ASC Topic 840 —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89" w:right="239" w:bottom="36"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represents net loss before (i) depreciation and amortization, (ii) interest expense, (iii) interest income, (iv) income tax (benefit)/expense,</w:t>
      </w:r>
    </w:p>
    <w:p>
      <w:pPr>
        <w:spacing w:after="0" w:line="46" w:lineRule="exact"/>
        <w:rPr>
          <w:sz w:val="20"/>
          <w:szCs w:val="20"/>
          <w:color w:val="auto"/>
        </w:rPr>
      </w:pPr>
    </w:p>
    <w:p>
      <w:pPr>
        <w:ind w:right="500" w:firstLine="8"/>
        <w:spacing w:after="0" w:line="516"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share-based compensation, (vi) fair value losses on convertible notes, (vii) other gains, net, and (viii) net loss attributable to noncontrolling interests. The table below sets forth a reconciliation of the Company’s adjusted EBITDA to net loss for the periods indicated:</w:t>
      </w:r>
    </w:p>
    <w:p>
      <w:pPr>
        <w:spacing w:after="0" w:line="1"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700" w:type="dxa"/>
            <w:vAlign w:val="bottom"/>
            <w:gridSpan w:val="2"/>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(2,469)</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Income tax (benefit)/expense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Add/(less):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Fair value losses on convertible notes</w:t>
            </w:r>
          </w:p>
        </w:tc>
        <w:tc>
          <w:tcPr>
            <w:tcW w:w="500" w:type="dxa"/>
            <w:vAlign w:val="bottom"/>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gains, net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Net loss attributable to noncontrolling interests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losses on convertible notes, (iii) other gains, net, and (iv) net loss attributable to noncontrolling interests. There is no material tax effects on these non-GAAP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 to net loss for the periods indicated:</w:t>
      </w:r>
    </w:p>
    <w:p>
      <w:pPr>
        <w:spacing w:after="0" w:line="217"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60" w:type="dxa"/>
            <w:vAlign w:val="bottom"/>
            <w:gridSpan w:val="2"/>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(2,469)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Fair value losses on convertible notes</w:t>
            </w:r>
          </w:p>
        </w:tc>
        <w:tc>
          <w:tcPr>
            <w:tcW w:w="500" w:type="dxa"/>
            <w:vAlign w:val="bottom"/>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6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basic and diluted adjusted net loss per ADS for the periods indicated are calculated as follows: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2261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Adjusted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261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840" w:right="900" w:hanging="181"/>
        <w:spacing w:after="0" w:line="261" w:lineRule="auto"/>
        <w:rPr>
          <w:sz w:val="20"/>
          <w:szCs w:val="20"/>
          <w:color w:val="auto"/>
        </w:rPr>
      </w:pPr>
      <w:r>
        <w:rPr>
          <w:rFonts w:ascii="Arial" w:cs="Arial" w:eastAsia="Arial" w:hAnsi="Arial"/>
          <w:sz w:val="18"/>
          <w:szCs w:val="18"/>
          <w:color w:val="auto"/>
        </w:rPr>
        <w:t>Denominator for basic and diluted net loss per ADS - Weighted average ADS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-285115</wp:posOffset>
            </wp:positionV>
            <wp:extent cx="6226175"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6175" cy="27432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adjusted net loss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2261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Diluted adjusted net loss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22617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6175" cy="163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6350</wp:posOffset>
            </wp:positionV>
            <wp:extent cx="1895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20"/>
        <w:spacing w:after="0"/>
        <w:tabs>
          <w:tab w:leader="none" w:pos="16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-3175</wp:posOffset>
            </wp:positionV>
            <wp:extent cx="1895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80"/>
        <w:spacing w:after="0"/>
        <w:tabs>
          <w:tab w:leader="none" w:pos="2000" w:val="left"/>
        </w:tabs>
        <w:rPr>
          <w:sz w:val="20"/>
          <w:szCs w:val="20"/>
          <w:color w:val="auto"/>
        </w:rPr>
      </w:pPr>
      <w:r>
        <w:rPr>
          <w:rFonts w:ascii="Arial" w:cs="Arial" w:eastAsia="Arial" w:hAnsi="Arial"/>
          <w:sz w:val="18"/>
          <w:szCs w:val="18"/>
          <w:color w:val="auto"/>
        </w:rPr>
        <w:t>(1,248)</w:t>
      </w:r>
      <w:r>
        <w:rPr>
          <w:sz w:val="20"/>
          <w:szCs w:val="20"/>
          <w:color w:val="auto"/>
        </w:rPr>
        <w:tab/>
      </w:r>
      <w:r>
        <w:rPr>
          <w:rFonts w:ascii="Arial" w:cs="Arial" w:eastAsia="Arial" w:hAnsi="Arial"/>
          <w:sz w:val="18"/>
          <w:szCs w:val="18"/>
          <w:color w:val="auto"/>
        </w:rPr>
        <w:t>(1,418)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14605</wp:posOffset>
            </wp:positionV>
            <wp:extent cx="1895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7"/>
          <w:szCs w:val="17"/>
          <w:color w:val="auto"/>
        </w:rPr>
        <w:t>56,376,610</w:t>
      </w:r>
      <w:r>
        <w:rPr>
          <w:sz w:val="20"/>
          <w:szCs w:val="20"/>
          <w:color w:val="auto"/>
        </w:rPr>
        <w:tab/>
      </w:r>
      <w:r>
        <w:rPr>
          <w:rFonts w:ascii="Arial" w:cs="Arial" w:eastAsia="Arial" w:hAnsi="Arial"/>
          <w:sz w:val="17"/>
          <w:szCs w:val="17"/>
          <w:color w:val="auto"/>
        </w:rPr>
        <w:t>52,148,518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39370</wp:posOffset>
            </wp:positionV>
            <wp:extent cx="1895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5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31750</wp:posOffset>
            </wp:positionV>
            <wp:extent cx="1895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4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48895</wp:posOffset>
            </wp:positionV>
            <wp:extent cx="1895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sectPr>
      <w:pgSz w:w="11900" w:h="16838" w:orient="portrait"/>
      <w:cols w:equalWidth="0" w:num="2">
        <w:col w:w="7140" w:space="720"/>
        <w:col w:w="2540"/>
      </w:cols>
      <w:pgMar w:left="240" w:top="34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2019-12-02T05:24:17Z</dcterms:created>
  <dcterms:modified xsi:type="dcterms:W3CDTF">2019-12-02T05:24:17Z</dcterms:modified>
</cp:coreProperties>
</file>