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17"/>
          <w:szCs w:val="17"/>
          <w:b w:val="1"/>
          <w:bCs w:val="1"/>
          <w:color w:val="auto"/>
        </w:rPr>
        <w:t>UNITED STATES</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SECURITIES AND EXCHANGE COMMISSION</w:t>
      </w:r>
    </w:p>
    <w:p>
      <w:pPr>
        <w:spacing w:after="0" w:line="6"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Washington, D.C. 20549</w:t>
      </w:r>
    </w:p>
    <w:p>
      <w:pPr>
        <w:spacing w:after="0" w:line="73"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SCHEDULE 13G/A</w:t>
      </w:r>
    </w:p>
    <w:p>
      <w:pPr>
        <w:spacing w:after="0" w:line="142"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Under the Securities Exchange Act of 1934</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(Amendment No.10)*</w:t>
      </w:r>
    </w:p>
    <w:p>
      <w:pPr>
        <w:spacing w:after="0" w:line="59"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iClick Interactive Asia Group Limited</w:t>
      </w:r>
    </w:p>
    <w:p>
      <w:pPr>
        <w:spacing w:after="0" w:line="147" w:lineRule="exact"/>
        <w:rPr>
          <w:sz w:val="24"/>
          <w:szCs w:val="24"/>
          <w:color w:val="auto"/>
        </w:rPr>
      </w:pPr>
    </w:p>
    <w:p>
      <w:pPr>
        <w:ind w:left="5120"/>
        <w:spacing w:after="0"/>
        <w:rPr>
          <w:sz w:val="20"/>
          <w:szCs w:val="20"/>
          <w:color w:val="auto"/>
        </w:rPr>
      </w:pPr>
      <w:r>
        <w:rPr>
          <w:rFonts w:ascii="Arial" w:cs="Arial" w:eastAsia="Arial" w:hAnsi="Arial"/>
          <w:sz w:val="14"/>
          <w:szCs w:val="14"/>
          <w:color w:val="auto"/>
        </w:rPr>
        <w:t>(Name of Issuer)</w:t>
      </w:r>
    </w:p>
    <w:p>
      <w:pPr>
        <w:spacing w:after="0" w:line="110" w:lineRule="exact"/>
        <w:rPr>
          <w:sz w:val="24"/>
          <w:szCs w:val="24"/>
          <w:color w:val="auto"/>
        </w:rPr>
      </w:pPr>
    </w:p>
    <w:p>
      <w:pPr>
        <w:ind w:left="3620"/>
        <w:spacing w:after="0"/>
        <w:rPr>
          <w:sz w:val="20"/>
          <w:szCs w:val="20"/>
          <w:color w:val="auto"/>
        </w:rPr>
      </w:pPr>
      <w:r>
        <w:rPr>
          <w:rFonts w:ascii="Arial" w:cs="Arial" w:eastAsia="Arial" w:hAnsi="Arial"/>
          <w:sz w:val="14"/>
          <w:szCs w:val="14"/>
          <w:b w:val="1"/>
          <w:bCs w:val="1"/>
          <w:color w:val="auto"/>
        </w:rPr>
        <w:t>Class A ordinary shares, par value of $0.001 per share</w:t>
      </w:r>
    </w:p>
    <w:p>
      <w:pPr>
        <w:spacing w:after="0" w:line="116" w:lineRule="exact"/>
        <w:rPr>
          <w:sz w:val="24"/>
          <w:szCs w:val="24"/>
          <w:color w:val="auto"/>
        </w:rPr>
      </w:pPr>
    </w:p>
    <w:p>
      <w:pPr>
        <w:ind w:left="4780"/>
        <w:spacing w:after="0"/>
        <w:rPr>
          <w:sz w:val="20"/>
          <w:szCs w:val="20"/>
          <w:color w:val="auto"/>
        </w:rPr>
      </w:pPr>
      <w:r>
        <w:rPr>
          <w:rFonts w:ascii="Arial" w:cs="Arial" w:eastAsia="Arial" w:hAnsi="Arial"/>
          <w:sz w:val="14"/>
          <w:szCs w:val="14"/>
          <w:color w:val="auto"/>
        </w:rPr>
        <w:t>(Title of Class of Securities)</w:t>
      </w:r>
    </w:p>
    <w:p>
      <w:pPr>
        <w:spacing w:after="0" w:line="110" w:lineRule="exact"/>
        <w:rPr>
          <w:sz w:val="24"/>
          <w:szCs w:val="24"/>
          <w:color w:val="auto"/>
        </w:rPr>
      </w:pPr>
    </w:p>
    <w:p>
      <w:pPr>
        <w:ind w:left="5240"/>
        <w:spacing w:after="0"/>
        <w:rPr>
          <w:sz w:val="20"/>
          <w:szCs w:val="20"/>
          <w:color w:val="auto"/>
        </w:rPr>
      </w:pPr>
      <w:r>
        <w:rPr>
          <w:rFonts w:ascii="Arial" w:cs="Arial" w:eastAsia="Arial" w:hAnsi="Arial"/>
          <w:sz w:val="14"/>
          <w:szCs w:val="14"/>
          <w:b w:val="1"/>
          <w:bCs w:val="1"/>
          <w:color w:val="auto"/>
        </w:rPr>
        <w:t>G47048 106</w:t>
      </w:r>
    </w:p>
    <w:p>
      <w:pPr>
        <w:spacing w:after="0" w:line="64" w:lineRule="exact"/>
        <w:rPr>
          <w:sz w:val="24"/>
          <w:szCs w:val="24"/>
          <w:color w:val="auto"/>
        </w:rPr>
      </w:pPr>
    </w:p>
    <w:p>
      <w:pPr>
        <w:ind w:left="5100"/>
        <w:spacing w:after="0"/>
        <w:rPr>
          <w:sz w:val="20"/>
          <w:szCs w:val="20"/>
          <w:color w:val="auto"/>
        </w:rPr>
      </w:pPr>
      <w:r>
        <w:rPr>
          <w:rFonts w:ascii="Arial" w:cs="Arial" w:eastAsia="Arial" w:hAnsi="Arial"/>
          <w:sz w:val="14"/>
          <w:szCs w:val="14"/>
          <w:color w:val="auto"/>
        </w:rPr>
        <w:t>(CUSIP Number)</w:t>
      </w:r>
    </w:p>
    <w:p>
      <w:pPr>
        <w:spacing w:after="0" w:line="110" w:lineRule="exact"/>
        <w:rPr>
          <w:sz w:val="24"/>
          <w:szCs w:val="24"/>
          <w:color w:val="auto"/>
        </w:rPr>
      </w:pPr>
    </w:p>
    <w:p>
      <w:pPr>
        <w:ind w:left="5000"/>
        <w:spacing w:after="0"/>
        <w:rPr>
          <w:sz w:val="20"/>
          <w:szCs w:val="20"/>
          <w:color w:val="auto"/>
        </w:rPr>
      </w:pPr>
      <w:r>
        <w:rPr>
          <w:rFonts w:ascii="Arial" w:cs="Arial" w:eastAsia="Arial" w:hAnsi="Arial"/>
          <w:sz w:val="14"/>
          <w:szCs w:val="14"/>
          <w:b w:val="1"/>
          <w:bCs w:val="1"/>
          <w:color w:val="auto"/>
        </w:rPr>
        <w:t>December 31, 2020</w:t>
      </w:r>
    </w:p>
    <w:p>
      <w:pPr>
        <w:spacing w:after="0" w:line="90" w:lineRule="exact"/>
        <w:rPr>
          <w:sz w:val="24"/>
          <w:szCs w:val="24"/>
          <w:color w:val="auto"/>
        </w:rPr>
      </w:pPr>
    </w:p>
    <w:p>
      <w:pPr>
        <w:ind w:left="3920"/>
        <w:spacing w:after="0"/>
        <w:rPr>
          <w:sz w:val="20"/>
          <w:szCs w:val="20"/>
          <w:color w:val="auto"/>
        </w:rPr>
      </w:pPr>
      <w:r>
        <w:rPr>
          <w:rFonts w:ascii="Arial" w:cs="Arial" w:eastAsia="Arial" w:hAnsi="Arial"/>
          <w:sz w:val="14"/>
          <w:szCs w:val="14"/>
          <w:color w:val="auto"/>
        </w:rPr>
        <w:t>(Date of Event Which Requires Filing of this Statement)</w:t>
      </w:r>
    </w:p>
    <w:p>
      <w:pPr>
        <w:spacing w:after="0" w:line="152"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 to designate the rule pursuant to which this Schedule is filed:</w:t>
      </w:r>
    </w:p>
    <w:p>
      <w:pPr>
        <w:spacing w:after="0" w:line="22" w:lineRule="exact"/>
        <w:rPr>
          <w:sz w:val="24"/>
          <w:szCs w:val="24"/>
          <w:color w:val="auto"/>
        </w:rPr>
      </w:pPr>
    </w:p>
    <w:p>
      <w:pPr>
        <w:ind w:left="1120" w:hanging="620"/>
        <w:spacing w:after="0"/>
        <w:tabs>
          <w:tab w:leader="none" w:pos="1120" w:val="left"/>
        </w:tabs>
        <w:numPr>
          <w:ilvl w:val="0"/>
          <w:numId w:val="1"/>
        </w:numPr>
        <w:rPr>
          <w:rFonts w:ascii="Arial" w:cs="Arial" w:eastAsia="Arial" w:hAnsi="Arial"/>
          <w:sz w:val="14"/>
          <w:szCs w:val="14"/>
          <w:color w:val="auto"/>
        </w:rPr>
      </w:pPr>
      <w:r>
        <w:rPr>
          <w:rFonts w:ascii="Arial" w:cs="Arial" w:eastAsia="Arial" w:hAnsi="Arial"/>
          <w:sz w:val="14"/>
          <w:szCs w:val="14"/>
          <w:color w:val="auto"/>
        </w:rPr>
        <w:t>Rule 13d-1(b)</w:t>
      </w:r>
    </w:p>
    <w:p>
      <w:pPr>
        <w:spacing w:after="0" w:line="126" w:lineRule="exact"/>
        <w:rPr>
          <w:rFonts w:ascii="Arial" w:cs="Arial" w:eastAsia="Arial" w:hAnsi="Arial"/>
          <w:sz w:val="14"/>
          <w:szCs w:val="14"/>
          <w:color w:val="auto"/>
        </w:rPr>
      </w:pPr>
    </w:p>
    <w:p>
      <w:pPr>
        <w:ind w:left="1120" w:hanging="620"/>
        <w:spacing w:after="0"/>
        <w:tabs>
          <w:tab w:leader="none" w:pos="1120" w:val="left"/>
        </w:tabs>
        <w:numPr>
          <w:ilvl w:val="0"/>
          <w:numId w:val="1"/>
        </w:numPr>
        <w:rPr>
          <w:rFonts w:ascii="Arial" w:cs="Arial" w:eastAsia="Arial" w:hAnsi="Arial"/>
          <w:sz w:val="14"/>
          <w:szCs w:val="14"/>
          <w:color w:val="auto"/>
        </w:rPr>
      </w:pPr>
      <w:r>
        <w:rPr>
          <w:rFonts w:ascii="Arial" w:cs="Arial" w:eastAsia="Arial" w:hAnsi="Arial"/>
          <w:sz w:val="14"/>
          <w:szCs w:val="14"/>
          <w:color w:val="auto"/>
        </w:rPr>
        <w:t>Rule 13d-1(c)</w:t>
      </w:r>
    </w:p>
    <w:p>
      <w:pPr>
        <w:spacing w:after="0" w:line="126" w:lineRule="exact"/>
        <w:rPr>
          <w:sz w:val="24"/>
          <w:szCs w:val="24"/>
          <w:color w:val="auto"/>
        </w:rPr>
      </w:pPr>
    </w:p>
    <w:p>
      <w:pPr>
        <w:ind w:left="1120" w:hanging="620"/>
        <w:spacing w:after="0"/>
        <w:tabs>
          <w:tab w:leader="none" w:pos="1120" w:val="left"/>
        </w:tabs>
        <w:numPr>
          <w:ilvl w:val="0"/>
          <w:numId w:val="2"/>
        </w:numPr>
        <w:rPr>
          <w:rFonts w:ascii="Arial" w:cs="Arial" w:eastAsia="Arial" w:hAnsi="Arial"/>
          <w:sz w:val="14"/>
          <w:szCs w:val="14"/>
          <w:color w:val="auto"/>
        </w:rPr>
      </w:pPr>
      <w:r>
        <w:rPr>
          <w:rFonts w:ascii="Arial" w:cs="Arial" w:eastAsia="Arial" w:hAnsi="Arial"/>
          <w:sz w:val="14"/>
          <w:szCs w:val="14"/>
          <w:color w:val="auto"/>
        </w:rPr>
        <w:t>Rule 13d-1(d)</w:t>
      </w:r>
    </w:p>
    <w:p>
      <w:pPr>
        <w:spacing w:after="0" w:line="178" w:lineRule="exact"/>
        <w:rPr>
          <w:sz w:val="24"/>
          <w:szCs w:val="24"/>
          <w:color w:val="auto"/>
        </w:rPr>
      </w:pPr>
    </w:p>
    <w:p>
      <w:pPr>
        <w:spacing w:after="0" w:line="243" w:lineRule="auto"/>
        <w:rPr>
          <w:sz w:val="20"/>
          <w:szCs w:val="20"/>
          <w:color w:val="auto"/>
        </w:rPr>
      </w:pPr>
      <w:r>
        <w:rPr>
          <w:rFonts w:ascii="Arial" w:cs="Arial" w:eastAsia="Arial" w:hAnsi="Arial"/>
          <w:sz w:val="14"/>
          <w:szCs w:val="14"/>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55" w:lineRule="exact"/>
        <w:rPr>
          <w:sz w:val="24"/>
          <w:szCs w:val="24"/>
          <w:color w:val="auto"/>
        </w:rPr>
      </w:pPr>
    </w:p>
    <w:p>
      <w:pPr>
        <w:ind w:right="600"/>
        <w:spacing w:after="0" w:line="241" w:lineRule="auto"/>
        <w:rPr>
          <w:sz w:val="20"/>
          <w:szCs w:val="20"/>
          <w:color w:val="auto"/>
        </w:rPr>
      </w:pPr>
      <w:r>
        <w:rPr>
          <w:rFonts w:ascii="Arial" w:cs="Arial" w:eastAsia="Arial" w:hAnsi="Arial"/>
          <w:sz w:val="12"/>
          <w:szCs w:val="1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241935</wp:posOffset>
            </wp:positionV>
            <wp:extent cx="7153275"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275" cy="1651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-5715</wp:posOffset>
            </wp:positionV>
            <wp:extent cx="6208395" cy="412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08395" cy="41275"/>
                    </a:xfrm>
                    <a:prstGeom prst="rect">
                      <a:avLst/>
                    </a:prstGeom>
                    <a:noFill/>
                  </pic:spPr>
                </pic:pic>
              </a:graphicData>
            </a:graphic>
          </wp:anchor>
        </w:drawing>
      </w:r>
    </w:p>
    <w:p>
      <w:pPr>
        <w:sectPr>
          <w:pgSz w:w="11900" w:h="16838" w:orient="portrait"/>
          <w:cols w:equalWidth="0" w:num="1">
            <w:col w:w="11180"/>
          </w:cols>
          <w:pgMar w:left="320" w:top="221" w:right="399" w:bottom="1440" w:gutter="0" w:footer="0" w:header="0"/>
        </w:sectPr>
      </w:pPr>
    </w:p>
    <w:bookmarkStart w:id="1" w:name="page2"/>
    <w:bookmarkEnd w:id="1"/>
    <w:p>
      <w:pPr>
        <w:ind w:left="1000" w:right="7459" w:hanging="617"/>
        <w:spacing w:after="0" w:line="241" w:lineRule="auto"/>
        <w:tabs>
          <w:tab w:leader="none" w:pos="1000" w:val="left"/>
        </w:tabs>
        <w:numPr>
          <w:ilvl w:val="0"/>
          <w:numId w:val="3"/>
        </w:numPr>
        <w:rPr>
          <w:rFonts w:ascii="Arial" w:cs="Arial" w:eastAsia="Arial" w:hAnsi="Arial"/>
          <w:sz w:val="13"/>
          <w:szCs w:val="13"/>
          <w:color w:val="auto"/>
        </w:rPr>
      </w:pPr>
      <w:r>
        <w:rPr>
          <w:rFonts w:ascii="Arial" w:cs="Arial" w:eastAsia="Arial" w:hAnsi="Arial"/>
          <w:sz w:val="13"/>
          <w:szCs w:val="13"/>
          <w:color w:val="auto"/>
        </w:rPr>
        <w:t>Names of Reporting Persons Jiping Liu</w:t>
      </w:r>
    </w:p>
    <w:p>
      <w:pPr>
        <w:spacing w:after="0" w:line="209" w:lineRule="exact"/>
        <w:rPr>
          <w:sz w:val="20"/>
          <w:szCs w:val="20"/>
          <w:color w:val="auto"/>
        </w:rPr>
      </w:pPr>
    </w:p>
    <w:p>
      <w:pPr>
        <w:ind w:left="1000" w:hanging="617"/>
        <w:spacing w:after="0"/>
        <w:tabs>
          <w:tab w:leader="none" w:pos="1000" w:val="left"/>
        </w:tabs>
        <w:numPr>
          <w:ilvl w:val="0"/>
          <w:numId w:val="4"/>
        </w:numPr>
        <w:rPr>
          <w:rFonts w:ascii="Arial" w:cs="Arial" w:eastAsia="Arial" w:hAnsi="Arial"/>
          <w:sz w:val="13"/>
          <w:szCs w:val="13"/>
          <w:color w:val="auto"/>
        </w:rPr>
      </w:pPr>
      <w:r>
        <w:rPr>
          <w:rFonts w:ascii="Arial" w:cs="Arial" w:eastAsia="Arial" w:hAnsi="Arial"/>
          <w:sz w:val="13"/>
          <w:szCs w:val="13"/>
          <w:color w:val="auto"/>
        </w:rPr>
        <w:t>Check the Appropriate Box if a Member of a Group</w:t>
      </w:r>
    </w:p>
    <w:p>
      <w:pPr>
        <w:spacing w:after="0" w:line="150" w:lineRule="exact"/>
        <w:rPr>
          <w:rFonts w:ascii="Arial" w:cs="Arial" w:eastAsia="Arial" w:hAnsi="Arial"/>
          <w:sz w:val="13"/>
          <w:szCs w:val="13"/>
          <w:color w:val="auto"/>
        </w:rPr>
      </w:pPr>
    </w:p>
    <w:p>
      <w:pPr>
        <w:ind w:left="2160" w:hanging="1150"/>
        <w:spacing w:after="0"/>
        <w:tabs>
          <w:tab w:leader="none" w:pos="2160" w:val="left"/>
        </w:tabs>
        <w:numPr>
          <w:ilvl w:val="1"/>
          <w:numId w:val="4"/>
        </w:numPr>
        <w:rPr>
          <w:rFonts w:ascii="Arial" w:cs="Arial" w:eastAsia="Arial" w:hAnsi="Arial"/>
          <w:sz w:val="13"/>
          <w:szCs w:val="13"/>
          <w:color w:val="auto"/>
        </w:rPr>
      </w:pPr>
      <w:r>
        <w:rPr>
          <w:rFonts w:ascii="Arial" w:cs="Arial" w:eastAsia="Arial" w:hAnsi="Arial"/>
          <w:sz w:val="13"/>
          <w:szCs w:val="13"/>
          <w:color w:val="auto"/>
        </w:rPr>
        <w:t>o</w:t>
      </w:r>
    </w:p>
    <w:p>
      <w:pPr>
        <w:spacing w:after="0" w:line="176" w:lineRule="exact"/>
        <w:rPr>
          <w:rFonts w:ascii="Arial" w:cs="Arial" w:eastAsia="Arial" w:hAnsi="Arial"/>
          <w:sz w:val="13"/>
          <w:szCs w:val="13"/>
          <w:color w:val="auto"/>
        </w:rPr>
      </w:pPr>
    </w:p>
    <w:p>
      <w:pPr>
        <w:ind w:left="2160" w:hanging="1150"/>
        <w:spacing w:after="0"/>
        <w:tabs>
          <w:tab w:leader="none" w:pos="2160" w:val="left"/>
        </w:tabs>
        <w:numPr>
          <w:ilvl w:val="1"/>
          <w:numId w:val="4"/>
        </w:numPr>
        <w:rPr>
          <w:rFonts w:ascii="Arial" w:cs="Arial" w:eastAsia="Arial" w:hAnsi="Arial"/>
          <w:sz w:val="13"/>
          <w:szCs w:val="13"/>
          <w:color w:val="auto"/>
        </w:rPr>
      </w:pPr>
      <w:r>
        <w:rPr>
          <w:rFonts w:ascii="Arial" w:cs="Arial" w:eastAsia="Arial" w:hAnsi="Arial"/>
          <w:sz w:val="13"/>
          <w:szCs w:val="13"/>
          <w:color w:val="auto"/>
        </w:rPr>
        <w:t>o</w:t>
      </w:r>
    </w:p>
    <w:p>
      <w:pPr>
        <w:sectPr>
          <w:pgSz w:w="11900" w:h="16838" w:orient="portrait"/>
          <w:cols w:equalWidth="0" w:num="1">
            <w:col w:w="10139"/>
          </w:cols>
          <w:pgMar w:left="320" w:top="361" w:right="1440" w:bottom="1440" w:gutter="0" w:footer="0" w:header="0"/>
        </w:sectPr>
      </w:pPr>
    </w:p>
    <w:p>
      <w:pPr>
        <w:spacing w:after="0" w:line="307" w:lineRule="exact"/>
        <w:rPr>
          <w:sz w:val="20"/>
          <w:szCs w:val="20"/>
          <w:color w:val="auto"/>
        </w:rPr>
      </w:pPr>
    </w:p>
    <w:p>
      <w:pPr>
        <w:ind w:left="380"/>
        <w:spacing w:after="0"/>
        <w:rPr>
          <w:sz w:val="20"/>
          <w:szCs w:val="20"/>
          <w:color w:val="auto"/>
        </w:rPr>
      </w:pPr>
      <w:r>
        <w:rPr>
          <w:rFonts w:ascii="Arial" w:cs="Arial" w:eastAsia="Arial" w:hAnsi="Arial"/>
          <w:sz w:val="13"/>
          <w:szCs w:val="13"/>
          <w:color w:val="auto"/>
        </w:rPr>
        <w:t>3</w:t>
      </w:r>
    </w:p>
    <w:p>
      <w:pPr>
        <w:spacing w:after="0" w:line="307" w:lineRule="exact"/>
        <w:rPr>
          <w:sz w:val="20"/>
          <w:szCs w:val="20"/>
          <w:color w:val="auto"/>
        </w:rPr>
      </w:pPr>
    </w:p>
    <w:p>
      <w:pPr>
        <w:ind w:left="380"/>
        <w:spacing w:after="0"/>
        <w:rPr>
          <w:sz w:val="20"/>
          <w:szCs w:val="20"/>
          <w:color w:val="auto"/>
        </w:rPr>
      </w:pPr>
      <w:r>
        <w:rPr>
          <w:rFonts w:ascii="Arial" w:cs="Arial" w:eastAsia="Arial" w:hAnsi="Arial"/>
          <w:sz w:val="13"/>
          <w:szCs w:val="13"/>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3"/>
          <w:szCs w:val="13"/>
          <w:color w:val="auto"/>
        </w:rPr>
        <w:t>Number of</w:t>
      </w:r>
    </w:p>
    <w:p>
      <w:pPr>
        <w:spacing w:after="0" w:line="230" w:lineRule="auto"/>
        <w:rPr>
          <w:sz w:val="20"/>
          <w:szCs w:val="20"/>
          <w:color w:val="auto"/>
        </w:rPr>
      </w:pPr>
      <w:r>
        <w:rPr>
          <w:rFonts w:ascii="Arial" w:cs="Arial" w:eastAsia="Arial" w:hAnsi="Arial"/>
          <w:sz w:val="13"/>
          <w:szCs w:val="13"/>
          <w:color w:val="auto"/>
        </w:rPr>
        <w:t>Shares</w:t>
      </w:r>
    </w:p>
    <w:p>
      <w:pPr>
        <w:spacing w:after="0" w:line="210" w:lineRule="auto"/>
        <w:rPr>
          <w:sz w:val="20"/>
          <w:szCs w:val="20"/>
          <w:color w:val="auto"/>
        </w:rPr>
      </w:pPr>
      <w:r>
        <w:rPr>
          <w:rFonts w:ascii="Arial" w:cs="Arial" w:eastAsia="Arial" w:hAnsi="Arial"/>
          <w:sz w:val="13"/>
          <w:szCs w:val="13"/>
          <w:color w:val="auto"/>
        </w:rPr>
        <w:t>Beneficially</w:t>
      </w:r>
    </w:p>
    <w:p>
      <w:pPr>
        <w:spacing w:after="0" w:line="230" w:lineRule="auto"/>
        <w:rPr>
          <w:sz w:val="20"/>
          <w:szCs w:val="20"/>
          <w:color w:val="auto"/>
        </w:rPr>
      </w:pPr>
      <w:r>
        <w:rPr>
          <w:rFonts w:ascii="Arial" w:cs="Arial" w:eastAsia="Arial" w:hAnsi="Arial"/>
          <w:sz w:val="13"/>
          <w:szCs w:val="13"/>
          <w:color w:val="auto"/>
        </w:rPr>
        <w:t>Owned by</w:t>
      </w:r>
    </w:p>
    <w:p>
      <w:pPr>
        <w:spacing w:after="0" w:line="231" w:lineRule="auto"/>
        <w:rPr>
          <w:sz w:val="20"/>
          <w:szCs w:val="20"/>
          <w:color w:val="auto"/>
        </w:rPr>
      </w:pPr>
      <w:r>
        <w:rPr>
          <w:rFonts w:ascii="Arial" w:cs="Arial" w:eastAsia="Arial" w:hAnsi="Arial"/>
          <w:sz w:val="13"/>
          <w:szCs w:val="13"/>
          <w:color w:val="auto"/>
        </w:rPr>
        <w:t>Each</w:t>
      </w:r>
    </w:p>
    <w:p>
      <w:pPr>
        <w:spacing w:after="0"/>
        <w:rPr>
          <w:sz w:val="20"/>
          <w:szCs w:val="20"/>
          <w:color w:val="auto"/>
        </w:rPr>
      </w:pPr>
      <w:r>
        <w:rPr>
          <w:rFonts w:ascii="Arial" w:cs="Arial" w:eastAsia="Arial" w:hAnsi="Arial"/>
          <w:sz w:val="13"/>
          <w:szCs w:val="13"/>
          <w:color w:val="auto"/>
        </w:rPr>
        <w:t>Reporting</w:t>
      </w:r>
    </w:p>
    <w:p>
      <w:pPr>
        <w:spacing w:after="0" w:line="20" w:lineRule="exact"/>
        <w:rPr>
          <w:sz w:val="20"/>
          <w:szCs w:val="20"/>
          <w:color w:val="auto"/>
        </w:rPr>
      </w:pPr>
      <w:r>
        <w:rPr>
          <w:sz w:val="20"/>
          <w:szCs w:val="20"/>
          <w:color w:val="auto"/>
        </w:rPr>
        <w:br w:type="column"/>
      </w:r>
    </w:p>
    <w:p>
      <w:pPr>
        <w:spacing w:after="0" w:line="287" w:lineRule="exact"/>
        <w:rPr>
          <w:sz w:val="20"/>
          <w:szCs w:val="20"/>
          <w:color w:val="auto"/>
        </w:rPr>
      </w:pPr>
    </w:p>
    <w:p>
      <w:pPr>
        <w:spacing w:after="0"/>
        <w:rPr>
          <w:sz w:val="20"/>
          <w:szCs w:val="20"/>
          <w:color w:val="auto"/>
        </w:rPr>
      </w:pPr>
      <w:r>
        <w:rPr>
          <w:rFonts w:ascii="Arial" w:cs="Arial" w:eastAsia="Arial" w:hAnsi="Arial"/>
          <w:sz w:val="13"/>
          <w:szCs w:val="13"/>
          <w:color w:val="auto"/>
        </w:rPr>
        <w:t>SEC Use Only</w:t>
      </w:r>
    </w:p>
    <w:p>
      <w:pPr>
        <w:spacing w:after="0" w:line="301" w:lineRule="exact"/>
        <w:rPr>
          <w:sz w:val="20"/>
          <w:szCs w:val="20"/>
          <w:color w:val="auto"/>
        </w:rPr>
      </w:pPr>
    </w:p>
    <w:p>
      <w:pPr>
        <w:spacing w:after="0"/>
        <w:rPr>
          <w:sz w:val="20"/>
          <w:szCs w:val="20"/>
          <w:color w:val="auto"/>
        </w:rPr>
      </w:pPr>
      <w:r>
        <w:rPr>
          <w:rFonts w:ascii="Arial" w:cs="Arial" w:eastAsia="Arial" w:hAnsi="Arial"/>
          <w:sz w:val="13"/>
          <w:szCs w:val="13"/>
          <w:color w:val="auto"/>
        </w:rPr>
        <w:t>Citizenship or Place of Organization</w:t>
      </w:r>
    </w:p>
    <w:p>
      <w:pPr>
        <w:spacing w:after="0"/>
        <w:rPr>
          <w:sz w:val="20"/>
          <w:szCs w:val="20"/>
          <w:color w:val="auto"/>
        </w:rPr>
      </w:pPr>
      <w:r>
        <w:rPr>
          <w:rFonts w:ascii="Arial" w:cs="Arial" w:eastAsia="Arial" w:hAnsi="Arial"/>
          <w:sz w:val="13"/>
          <w:szCs w:val="13"/>
          <w:color w:val="auto"/>
        </w:rPr>
        <w:t>People’s Republic of China</w:t>
      </w:r>
    </w:p>
    <w:p>
      <w:pPr>
        <w:spacing w:after="0" w:line="268" w:lineRule="exact"/>
        <w:rPr>
          <w:sz w:val="20"/>
          <w:szCs w:val="20"/>
          <w:color w:val="auto"/>
        </w:rPr>
      </w:pPr>
    </w:p>
    <w:p>
      <w:pPr>
        <w:ind w:left="1340" w:hanging="177"/>
        <w:spacing w:after="0"/>
        <w:tabs>
          <w:tab w:leader="none" w:pos="1340" w:val="left"/>
        </w:tabs>
        <w:numPr>
          <w:ilvl w:val="0"/>
          <w:numId w:val="5"/>
        </w:numPr>
        <w:rPr>
          <w:rFonts w:ascii="Arial" w:cs="Arial" w:eastAsia="Arial" w:hAnsi="Arial"/>
          <w:sz w:val="13"/>
          <w:szCs w:val="13"/>
          <w:color w:val="auto"/>
        </w:rPr>
      </w:pPr>
      <w:r>
        <w:rPr>
          <w:rFonts w:ascii="Arial" w:cs="Arial" w:eastAsia="Arial" w:hAnsi="Arial"/>
          <w:sz w:val="13"/>
          <w:szCs w:val="13"/>
          <w:color w:val="auto"/>
        </w:rPr>
        <w:t>Sole Voting Power</w:t>
      </w:r>
    </w:p>
    <w:p>
      <w:pPr>
        <w:spacing w:after="0" w:line="33" w:lineRule="exact"/>
        <w:rPr>
          <w:rFonts w:ascii="Arial" w:cs="Arial" w:eastAsia="Arial" w:hAnsi="Arial"/>
          <w:sz w:val="13"/>
          <w:szCs w:val="13"/>
          <w:color w:val="auto"/>
        </w:rPr>
      </w:pPr>
    </w:p>
    <w:p>
      <w:pPr>
        <w:ind w:left="1340"/>
        <w:spacing w:after="0"/>
        <w:rPr>
          <w:rFonts w:ascii="Arial" w:cs="Arial" w:eastAsia="Arial" w:hAnsi="Arial"/>
          <w:sz w:val="13"/>
          <w:szCs w:val="13"/>
          <w:color w:val="auto"/>
        </w:rPr>
      </w:pPr>
      <w:r>
        <w:rPr>
          <w:rFonts w:ascii="Arial" w:cs="Arial" w:eastAsia="Arial" w:hAnsi="Arial"/>
          <w:sz w:val="13"/>
          <w:szCs w:val="13"/>
          <w:color w:val="auto"/>
        </w:rPr>
        <w:t>1,117,216 ordinary shares.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818515</wp:posOffset>
            </wp:positionH>
            <wp:positionV relativeFrom="paragraph">
              <wp:posOffset>79375</wp:posOffset>
            </wp:positionV>
            <wp:extent cx="48323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32350" cy="8255"/>
                    </a:xfrm>
                    <a:prstGeom prst="rect">
                      <a:avLst/>
                    </a:prstGeom>
                    <a:noFill/>
                  </pic:spPr>
                </pic:pic>
              </a:graphicData>
            </a:graphic>
          </wp:anchor>
        </w:drawing>
      </w:r>
    </w:p>
    <w:p>
      <w:pPr>
        <w:spacing w:after="0" w:line="248" w:lineRule="exact"/>
        <w:rPr>
          <w:sz w:val="20"/>
          <w:szCs w:val="20"/>
          <w:color w:val="auto"/>
        </w:rPr>
      </w:pPr>
    </w:p>
    <w:p>
      <w:pPr>
        <w:ind w:left="1340" w:hanging="177"/>
        <w:spacing w:after="0"/>
        <w:tabs>
          <w:tab w:leader="none" w:pos="1340" w:val="left"/>
        </w:tabs>
        <w:numPr>
          <w:ilvl w:val="0"/>
          <w:numId w:val="6"/>
        </w:numPr>
        <w:rPr>
          <w:rFonts w:ascii="Arial" w:cs="Arial" w:eastAsia="Arial" w:hAnsi="Arial"/>
          <w:sz w:val="13"/>
          <w:szCs w:val="13"/>
          <w:color w:val="auto"/>
        </w:rPr>
      </w:pPr>
      <w:r>
        <w:rPr>
          <w:rFonts w:ascii="Arial" w:cs="Arial" w:eastAsia="Arial" w:hAnsi="Arial"/>
          <w:sz w:val="13"/>
          <w:szCs w:val="13"/>
          <w:color w:val="auto"/>
        </w:rPr>
        <w:t>Shared Voting Power</w:t>
      </w:r>
    </w:p>
    <w:p>
      <w:pPr>
        <w:spacing w:after="0" w:line="137" w:lineRule="exact"/>
        <w:rPr>
          <w:rFonts w:ascii="Arial" w:cs="Arial" w:eastAsia="Arial" w:hAnsi="Arial"/>
          <w:sz w:val="13"/>
          <w:szCs w:val="13"/>
          <w:color w:val="auto"/>
        </w:rPr>
      </w:pPr>
    </w:p>
    <w:p>
      <w:pPr>
        <w:ind w:left="1340"/>
        <w:spacing w:after="0"/>
        <w:rPr>
          <w:rFonts w:ascii="Arial" w:cs="Arial" w:eastAsia="Arial" w:hAnsi="Arial"/>
          <w:sz w:val="13"/>
          <w:szCs w:val="13"/>
          <w:color w:val="auto"/>
        </w:rPr>
      </w:pPr>
      <w:r>
        <w:rPr>
          <w:rFonts w:ascii="Arial" w:cs="Arial" w:eastAsia="Arial" w:hAnsi="Arial"/>
          <w:sz w:val="13"/>
          <w:szCs w:val="13"/>
          <w:color w:val="auto"/>
        </w:rPr>
        <w:t>137,500 ordinary shares.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818515</wp:posOffset>
            </wp:positionH>
            <wp:positionV relativeFrom="paragraph">
              <wp:posOffset>79375</wp:posOffset>
            </wp:positionV>
            <wp:extent cx="48323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832350" cy="8255"/>
                    </a:xfrm>
                    <a:prstGeom prst="rect">
                      <a:avLst/>
                    </a:prstGeom>
                    <a:noFill/>
                  </pic:spPr>
                </pic:pic>
              </a:graphicData>
            </a:graphic>
          </wp:anchor>
        </w:drawing>
      </w:r>
    </w:p>
    <w:p>
      <w:pPr>
        <w:spacing w:after="0" w:line="503" w:lineRule="exact"/>
        <w:rPr>
          <w:sz w:val="20"/>
          <w:szCs w:val="20"/>
          <w:color w:val="auto"/>
        </w:rPr>
      </w:pPr>
    </w:p>
    <w:p>
      <w:pPr>
        <w:sectPr>
          <w:pgSz w:w="11900" w:h="16838" w:orient="portrait"/>
          <w:cols w:equalWidth="0" w:num="2">
            <w:col w:w="660" w:space="340"/>
            <w:col w:w="9139"/>
          </w:cols>
          <w:pgMar w:left="320" w:top="361" w:right="1440" w:bottom="1440" w:gutter="0" w:footer="0" w:header="0"/>
          <w:type w:val="continuous"/>
        </w:sectPr>
      </w:pPr>
    </w:p>
    <w:p>
      <w:pPr>
        <w:spacing w:after="0"/>
        <w:tabs>
          <w:tab w:leader="none" w:pos="2140" w:val="left"/>
          <w:tab w:leader="none" w:pos="2320" w:val="left"/>
        </w:tabs>
        <w:rPr>
          <w:sz w:val="20"/>
          <w:szCs w:val="20"/>
          <w:color w:val="auto"/>
        </w:rPr>
      </w:pPr>
      <w:r>
        <w:rPr>
          <w:rFonts w:ascii="Arial" w:cs="Arial" w:eastAsia="Arial" w:hAnsi="Arial"/>
          <w:sz w:val="13"/>
          <w:szCs w:val="13"/>
          <w:color w:val="auto"/>
        </w:rPr>
        <w:t>Person With:</w:t>
      </w:r>
      <w:r>
        <w:rPr>
          <w:sz w:val="20"/>
          <w:szCs w:val="20"/>
          <w:color w:val="auto"/>
        </w:rPr>
        <w:tab/>
      </w:r>
      <w:r>
        <w:rPr>
          <w:rFonts w:ascii="Arial" w:cs="Arial" w:eastAsia="Arial" w:hAnsi="Arial"/>
          <w:sz w:val="13"/>
          <w:szCs w:val="13"/>
          <w:color w:val="auto"/>
        </w:rPr>
        <w:t>7</w:t>
        <w:tab/>
        <w:t>Sole Dispositive Power</w:t>
      </w:r>
    </w:p>
    <w:p>
      <w:pPr>
        <w:spacing w:after="0" w:line="112" w:lineRule="exact"/>
        <w:rPr>
          <w:sz w:val="20"/>
          <w:szCs w:val="20"/>
          <w:color w:val="auto"/>
        </w:rPr>
      </w:pPr>
    </w:p>
    <w:p>
      <w:pPr>
        <w:ind w:left="2340"/>
        <w:spacing w:after="0"/>
        <w:rPr>
          <w:sz w:val="20"/>
          <w:szCs w:val="20"/>
          <w:color w:val="auto"/>
        </w:rPr>
      </w:pPr>
      <w:r>
        <w:rPr>
          <w:rFonts w:ascii="Arial" w:cs="Arial" w:eastAsia="Arial" w:hAnsi="Arial"/>
          <w:sz w:val="13"/>
          <w:szCs w:val="13"/>
          <w:color w:val="auto"/>
        </w:rPr>
        <w:t>1,117,216 ordinary shares.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1453515</wp:posOffset>
            </wp:positionH>
            <wp:positionV relativeFrom="paragraph">
              <wp:posOffset>79375</wp:posOffset>
            </wp:positionV>
            <wp:extent cx="48323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832350" cy="8255"/>
                    </a:xfrm>
                    <a:prstGeom prst="rect">
                      <a:avLst/>
                    </a:prstGeom>
                    <a:noFill/>
                  </pic:spPr>
                </pic:pic>
              </a:graphicData>
            </a:graphic>
          </wp:anchor>
        </w:drawing>
      </w:r>
    </w:p>
    <w:p>
      <w:pPr>
        <w:spacing w:after="0" w:line="209" w:lineRule="exact"/>
        <w:rPr>
          <w:sz w:val="20"/>
          <w:szCs w:val="20"/>
          <w:color w:val="auto"/>
        </w:rPr>
      </w:pPr>
    </w:p>
    <w:p>
      <w:pPr>
        <w:ind w:left="2340" w:hanging="177"/>
        <w:spacing w:after="0"/>
        <w:tabs>
          <w:tab w:leader="none" w:pos="2340" w:val="left"/>
        </w:tabs>
        <w:numPr>
          <w:ilvl w:val="0"/>
          <w:numId w:val="7"/>
        </w:numPr>
        <w:rPr>
          <w:rFonts w:ascii="Arial" w:cs="Arial" w:eastAsia="Arial" w:hAnsi="Arial"/>
          <w:sz w:val="13"/>
          <w:szCs w:val="13"/>
          <w:color w:val="auto"/>
        </w:rPr>
      </w:pPr>
      <w:r>
        <w:rPr>
          <w:rFonts w:ascii="Arial" w:cs="Arial" w:eastAsia="Arial" w:hAnsi="Arial"/>
          <w:sz w:val="13"/>
          <w:szCs w:val="13"/>
          <w:color w:val="auto"/>
        </w:rPr>
        <w:t>Shared Dispositive Power</w:t>
      </w:r>
    </w:p>
    <w:p>
      <w:pPr>
        <w:spacing w:after="0" w:line="33" w:lineRule="exact"/>
        <w:rPr>
          <w:rFonts w:ascii="Arial" w:cs="Arial" w:eastAsia="Arial" w:hAnsi="Arial"/>
          <w:sz w:val="13"/>
          <w:szCs w:val="13"/>
          <w:color w:val="auto"/>
        </w:rPr>
      </w:pPr>
    </w:p>
    <w:p>
      <w:pPr>
        <w:ind w:left="2340"/>
        <w:spacing w:after="0"/>
        <w:rPr>
          <w:rFonts w:ascii="Arial" w:cs="Arial" w:eastAsia="Arial" w:hAnsi="Arial"/>
          <w:sz w:val="13"/>
          <w:szCs w:val="13"/>
          <w:color w:val="auto"/>
        </w:rPr>
      </w:pPr>
      <w:r>
        <w:rPr>
          <w:rFonts w:ascii="Arial" w:cs="Arial" w:eastAsia="Arial" w:hAnsi="Arial"/>
          <w:sz w:val="13"/>
          <w:szCs w:val="13"/>
          <w:color w:val="auto"/>
        </w:rPr>
        <w:t>137,500 ordinary shares.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1453515</wp:posOffset>
            </wp:positionH>
            <wp:positionV relativeFrom="paragraph">
              <wp:posOffset>79375</wp:posOffset>
            </wp:positionV>
            <wp:extent cx="48323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832350" cy="8255"/>
                    </a:xfrm>
                    <a:prstGeom prst="rect">
                      <a:avLst/>
                    </a:prstGeom>
                    <a:noFill/>
                  </pic:spPr>
                </pic:pic>
              </a:graphicData>
            </a:graphic>
          </wp:anchor>
        </w:drawing>
      </w:r>
    </w:p>
    <w:p>
      <w:pPr>
        <w:spacing w:after="0" w:line="327" w:lineRule="exact"/>
        <w:rPr>
          <w:sz w:val="20"/>
          <w:szCs w:val="20"/>
          <w:color w:val="auto"/>
        </w:rPr>
      </w:pPr>
    </w:p>
    <w:p>
      <w:pPr>
        <w:ind w:left="1000" w:right="5339" w:hanging="617"/>
        <w:spacing w:after="0" w:line="241" w:lineRule="auto"/>
        <w:tabs>
          <w:tab w:leader="none" w:pos="1000" w:val="left"/>
        </w:tabs>
        <w:numPr>
          <w:ilvl w:val="0"/>
          <w:numId w:val="8"/>
        </w:numPr>
        <w:rPr>
          <w:rFonts w:ascii="Arial" w:cs="Arial" w:eastAsia="Arial" w:hAnsi="Arial"/>
          <w:sz w:val="13"/>
          <w:szCs w:val="13"/>
          <w:color w:val="auto"/>
        </w:rPr>
      </w:pPr>
      <w:r>
        <w:rPr>
          <w:rFonts w:ascii="Arial" w:cs="Arial" w:eastAsia="Arial" w:hAnsi="Arial"/>
          <w:sz w:val="13"/>
          <w:szCs w:val="13"/>
          <w:color w:val="auto"/>
        </w:rPr>
        <w:t>Aggregate Amount Beneficially Owned by Each Reporting Person 1,254,716 ordinary shares. See Item 4.</w:t>
      </w:r>
    </w:p>
    <w:p>
      <w:pPr>
        <w:spacing w:after="0" w:line="209" w:lineRule="exact"/>
        <w:rPr>
          <w:sz w:val="20"/>
          <w:szCs w:val="20"/>
          <w:color w:val="auto"/>
        </w:rPr>
      </w:pPr>
    </w:p>
    <w:p>
      <w:pPr>
        <w:ind w:left="1000" w:right="6679" w:hanging="617"/>
        <w:spacing w:after="0" w:line="241" w:lineRule="auto"/>
        <w:tabs>
          <w:tab w:leader="none" w:pos="1000" w:val="left"/>
        </w:tabs>
        <w:numPr>
          <w:ilvl w:val="0"/>
          <w:numId w:val="9"/>
        </w:numPr>
        <w:rPr>
          <w:rFonts w:ascii="Arial" w:cs="Arial" w:eastAsia="Arial" w:hAnsi="Arial"/>
          <w:sz w:val="13"/>
          <w:szCs w:val="13"/>
          <w:color w:val="auto"/>
        </w:rPr>
      </w:pPr>
      <w:r>
        <w:rPr>
          <w:rFonts w:ascii="Arial" w:cs="Arial" w:eastAsia="Arial" w:hAnsi="Arial"/>
          <w:sz w:val="13"/>
          <w:szCs w:val="13"/>
          <w:color w:val="auto"/>
        </w:rPr>
        <w:t>Check if the Aggregate Amount in Row (9) Excludes Certain Shares o</w:t>
      </w:r>
    </w:p>
    <w:p>
      <w:pPr>
        <w:spacing w:after="0" w:line="221" w:lineRule="exact"/>
        <w:rPr>
          <w:rFonts w:ascii="Arial" w:cs="Arial" w:eastAsia="Arial" w:hAnsi="Arial"/>
          <w:sz w:val="13"/>
          <w:szCs w:val="13"/>
          <w:color w:val="auto"/>
        </w:rPr>
      </w:pPr>
    </w:p>
    <w:p>
      <w:pPr>
        <w:ind w:left="1000" w:right="5719" w:hanging="617"/>
        <w:spacing w:after="0" w:line="241" w:lineRule="auto"/>
        <w:tabs>
          <w:tab w:leader="none" w:pos="1000" w:val="left"/>
        </w:tabs>
        <w:numPr>
          <w:ilvl w:val="0"/>
          <w:numId w:val="9"/>
        </w:numPr>
        <w:rPr>
          <w:rFonts w:ascii="Arial" w:cs="Arial" w:eastAsia="Arial" w:hAnsi="Arial"/>
          <w:sz w:val="13"/>
          <w:szCs w:val="13"/>
          <w:color w:val="auto"/>
        </w:rPr>
      </w:pPr>
      <w:r>
        <w:rPr>
          <w:rFonts w:ascii="Arial" w:cs="Arial" w:eastAsia="Arial" w:hAnsi="Arial"/>
          <w:sz w:val="13"/>
          <w:szCs w:val="13"/>
          <w:color w:val="auto"/>
        </w:rPr>
        <w:t>Percent of Class Represented by Amount in Row (9) 2.8%. See Item 4.</w:t>
      </w:r>
    </w:p>
    <w:p>
      <w:pPr>
        <w:spacing w:after="0" w:line="221" w:lineRule="exact"/>
        <w:rPr>
          <w:rFonts w:ascii="Arial" w:cs="Arial" w:eastAsia="Arial" w:hAnsi="Arial"/>
          <w:sz w:val="13"/>
          <w:szCs w:val="13"/>
          <w:color w:val="auto"/>
        </w:rPr>
      </w:pPr>
    </w:p>
    <w:p>
      <w:pPr>
        <w:ind w:left="1000" w:hanging="617"/>
        <w:spacing w:after="0"/>
        <w:tabs>
          <w:tab w:leader="none" w:pos="1000" w:val="left"/>
        </w:tabs>
        <w:numPr>
          <w:ilvl w:val="0"/>
          <w:numId w:val="9"/>
        </w:numPr>
        <w:rPr>
          <w:rFonts w:ascii="Arial" w:cs="Arial" w:eastAsia="Arial" w:hAnsi="Arial"/>
          <w:sz w:val="13"/>
          <w:szCs w:val="13"/>
          <w:color w:val="auto"/>
        </w:rPr>
      </w:pPr>
      <w:r>
        <w:rPr>
          <w:rFonts w:ascii="Arial" w:cs="Arial" w:eastAsia="Arial" w:hAnsi="Arial"/>
          <w:sz w:val="13"/>
          <w:szCs w:val="13"/>
          <w:color w:val="auto"/>
        </w:rPr>
        <w:t>Type of Reporting Person</w:t>
      </w:r>
    </w:p>
    <w:p>
      <w:pPr>
        <w:spacing w:after="0" w:line="72"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IN</w:t>
      </w:r>
    </w:p>
    <w:p>
      <w:pPr>
        <w:spacing w:after="0" w:line="200" w:lineRule="exact"/>
        <w:rPr>
          <w:sz w:val="20"/>
          <w:szCs w:val="20"/>
          <w:color w:val="auto"/>
        </w:rPr>
      </w:pPr>
    </w:p>
    <w:p>
      <w:pPr>
        <w:spacing w:after="0" w:line="277" w:lineRule="exact"/>
        <w:rPr>
          <w:sz w:val="20"/>
          <w:szCs w:val="20"/>
          <w:color w:val="auto"/>
        </w:rPr>
      </w:pPr>
    </w:p>
    <w:p>
      <w:pPr>
        <w:jc w:val="right"/>
        <w:ind w:right="447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236855</wp:posOffset>
            </wp:positionV>
            <wp:extent cx="7153275" cy="16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3275" cy="1651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-2540</wp:posOffset>
            </wp:positionV>
            <wp:extent cx="6283325" cy="330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83325" cy="33020"/>
                    </a:xfrm>
                    <a:prstGeom prst="rect">
                      <a:avLst/>
                    </a:prstGeom>
                    <a:noFill/>
                  </pic:spPr>
                </pic:pic>
              </a:graphicData>
            </a:graphic>
          </wp:anchor>
        </w:drawing>
      </w:r>
    </w:p>
    <w:p>
      <w:pPr>
        <w:sectPr>
          <w:pgSz w:w="11900" w:h="16838" w:orient="portrait"/>
          <w:cols w:equalWidth="0" w:num="1">
            <w:col w:w="10139"/>
          </w:cols>
          <w:pgMar w:left="320" w:top="361" w:right="1440" w:bottom="1440" w:gutter="0" w:footer="0" w:header="0"/>
          <w:type w:val="continuous"/>
        </w:sectPr>
      </w:pPr>
    </w:p>
    <w:bookmarkStart w:id="2" w:name="page3"/>
    <w:bookmarkEnd w:id="2"/>
    <w:p>
      <w:pPr>
        <w:ind w:left="1000" w:right="6979" w:hanging="617"/>
        <w:spacing w:after="0" w:line="366" w:lineRule="auto"/>
        <w:tabs>
          <w:tab w:leader="none" w:pos="992" w:val="left"/>
        </w:tabs>
        <w:numPr>
          <w:ilvl w:val="0"/>
          <w:numId w:val="10"/>
        </w:numPr>
        <w:rPr>
          <w:rFonts w:ascii="Arial" w:cs="Arial" w:eastAsia="Arial" w:hAnsi="Arial"/>
          <w:sz w:val="13"/>
          <w:szCs w:val="13"/>
          <w:color w:val="auto"/>
        </w:rPr>
      </w:pPr>
      <w:r>
        <w:rPr>
          <w:rFonts w:ascii="Arial" w:cs="Arial" w:eastAsia="Arial" w:hAnsi="Arial"/>
          <w:sz w:val="13"/>
          <w:szCs w:val="13"/>
          <w:color w:val="auto"/>
        </w:rPr>
        <w:t>Names of Reporting Persons Maestro Investment Holdings Limited</w:t>
      </w:r>
    </w:p>
    <w:p>
      <w:pPr>
        <w:spacing w:after="0" w:line="131" w:lineRule="exact"/>
        <w:rPr>
          <w:sz w:val="20"/>
          <w:szCs w:val="20"/>
          <w:color w:val="auto"/>
        </w:rPr>
      </w:pPr>
    </w:p>
    <w:p>
      <w:pPr>
        <w:ind w:left="1000" w:hanging="617"/>
        <w:spacing w:after="0"/>
        <w:tabs>
          <w:tab w:leader="none" w:pos="10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Check the Appropriate Box if a Member of a Group</w:t>
      </w:r>
    </w:p>
    <w:p>
      <w:pPr>
        <w:spacing w:after="0" w:line="150" w:lineRule="exact"/>
        <w:rPr>
          <w:rFonts w:ascii="Arial" w:cs="Arial" w:eastAsia="Arial" w:hAnsi="Arial"/>
          <w:sz w:val="13"/>
          <w:szCs w:val="13"/>
          <w:color w:val="auto"/>
        </w:rPr>
      </w:pPr>
    </w:p>
    <w:p>
      <w:pPr>
        <w:ind w:left="2160" w:hanging="1150"/>
        <w:spacing w:after="0"/>
        <w:tabs>
          <w:tab w:leader="none" w:pos="2160" w:val="left"/>
        </w:tabs>
        <w:numPr>
          <w:ilvl w:val="1"/>
          <w:numId w:val="11"/>
        </w:numPr>
        <w:rPr>
          <w:rFonts w:ascii="Arial" w:cs="Arial" w:eastAsia="Arial" w:hAnsi="Arial"/>
          <w:sz w:val="13"/>
          <w:szCs w:val="13"/>
          <w:color w:val="auto"/>
        </w:rPr>
      </w:pPr>
      <w:r>
        <w:rPr>
          <w:rFonts w:ascii="Arial" w:cs="Arial" w:eastAsia="Arial" w:hAnsi="Arial"/>
          <w:sz w:val="13"/>
          <w:szCs w:val="13"/>
          <w:color w:val="auto"/>
        </w:rPr>
        <w:t>o</w:t>
      </w:r>
    </w:p>
    <w:p>
      <w:pPr>
        <w:spacing w:after="0" w:line="176" w:lineRule="exact"/>
        <w:rPr>
          <w:rFonts w:ascii="Arial" w:cs="Arial" w:eastAsia="Arial" w:hAnsi="Arial"/>
          <w:sz w:val="13"/>
          <w:szCs w:val="13"/>
          <w:color w:val="auto"/>
        </w:rPr>
      </w:pPr>
    </w:p>
    <w:p>
      <w:pPr>
        <w:ind w:left="2160" w:hanging="1150"/>
        <w:spacing w:after="0"/>
        <w:tabs>
          <w:tab w:leader="none" w:pos="2160" w:val="left"/>
        </w:tabs>
        <w:numPr>
          <w:ilvl w:val="1"/>
          <w:numId w:val="11"/>
        </w:numPr>
        <w:rPr>
          <w:rFonts w:ascii="Arial" w:cs="Arial" w:eastAsia="Arial" w:hAnsi="Arial"/>
          <w:sz w:val="13"/>
          <w:szCs w:val="13"/>
          <w:color w:val="auto"/>
        </w:rPr>
      </w:pPr>
      <w:r>
        <w:rPr>
          <w:rFonts w:ascii="Arial" w:cs="Arial" w:eastAsia="Arial" w:hAnsi="Arial"/>
          <w:sz w:val="13"/>
          <w:szCs w:val="13"/>
          <w:color w:val="auto"/>
        </w:rPr>
        <w:t>o</w:t>
      </w:r>
    </w:p>
    <w:p>
      <w:pPr>
        <w:spacing w:after="0" w:line="307" w:lineRule="exact"/>
        <w:rPr>
          <w:sz w:val="20"/>
          <w:szCs w:val="20"/>
          <w:color w:val="auto"/>
        </w:rPr>
      </w:pPr>
    </w:p>
    <w:p>
      <w:pPr>
        <w:ind w:left="1000" w:hanging="617"/>
        <w:spacing w:after="0"/>
        <w:tabs>
          <w:tab w:leader="none" w:pos="10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SEC Use Only</w:t>
      </w:r>
    </w:p>
    <w:p>
      <w:pPr>
        <w:spacing w:after="0" w:line="307" w:lineRule="exact"/>
        <w:rPr>
          <w:sz w:val="20"/>
          <w:szCs w:val="20"/>
          <w:color w:val="auto"/>
        </w:rPr>
      </w:pPr>
    </w:p>
    <w:p>
      <w:pPr>
        <w:ind w:left="1000" w:right="7059" w:hanging="617"/>
        <w:spacing w:after="0" w:line="241" w:lineRule="auto"/>
        <w:tabs>
          <w:tab w:leader="none" w:pos="10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Citizenship or Place of Organization British Virgin Islands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4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w:t>
            </w:r>
          </w:p>
        </w:tc>
        <w:tc>
          <w:tcPr>
            <w:tcW w:w="7620" w:type="dxa"/>
            <w:vAlign w:val="bottom"/>
          </w:tcPr>
          <w:p>
            <w:pPr>
              <w:ind w:left="60"/>
              <w:spacing w:after="0"/>
              <w:rPr>
                <w:sz w:val="20"/>
                <w:szCs w:val="20"/>
                <w:color w:val="auto"/>
              </w:rPr>
            </w:pPr>
            <w:r>
              <w:rPr>
                <w:rFonts w:ascii="Arial" w:cs="Arial" w:eastAsia="Arial" w:hAnsi="Arial"/>
                <w:sz w:val="13"/>
                <w:szCs w:val="13"/>
                <w:color w:val="auto"/>
              </w:rPr>
              <w:t>Sole Voting Power</w:t>
            </w:r>
          </w:p>
        </w:tc>
        <w:tc>
          <w:tcPr>
            <w:tcW w:w="0" w:type="dxa"/>
            <w:vAlign w:val="bottom"/>
          </w:tcPr>
          <w:p>
            <w:pPr>
              <w:spacing w:after="0"/>
              <w:rPr>
                <w:sz w:val="1"/>
                <w:szCs w:val="1"/>
                <w:color w:val="auto"/>
              </w:rPr>
            </w:pPr>
          </w:p>
        </w:tc>
      </w:tr>
      <w:tr>
        <w:trPr>
          <w:trHeight w:val="183"/>
        </w:trPr>
        <w:tc>
          <w:tcPr>
            <w:tcW w:w="1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20" w:type="dxa"/>
            <w:vAlign w:val="bottom"/>
          </w:tcPr>
          <w:p>
            <w:pPr>
              <w:ind w:left="60"/>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19"/>
        </w:trPr>
        <w:tc>
          <w:tcPr>
            <w:tcW w:w="14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79"/>
        </w:trPr>
        <w:tc>
          <w:tcPr>
            <w:tcW w:w="14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6</w:t>
            </w:r>
          </w:p>
        </w:tc>
        <w:tc>
          <w:tcPr>
            <w:tcW w:w="7620" w:type="dxa"/>
            <w:vAlign w:val="bottom"/>
          </w:tcPr>
          <w:p>
            <w:pPr>
              <w:ind w:left="60"/>
              <w:spacing w:after="0"/>
              <w:rPr>
                <w:sz w:val="20"/>
                <w:szCs w:val="20"/>
                <w:color w:val="auto"/>
              </w:rPr>
            </w:pPr>
            <w:r>
              <w:rPr>
                <w:rFonts w:ascii="Arial" w:cs="Arial" w:eastAsia="Arial" w:hAnsi="Arial"/>
                <w:sz w:val="13"/>
                <w:szCs w:val="13"/>
                <w:color w:val="auto"/>
              </w:rPr>
              <w:t>Shared Voting Power</w:t>
            </w:r>
          </w:p>
        </w:tc>
        <w:tc>
          <w:tcPr>
            <w:tcW w:w="0" w:type="dxa"/>
            <w:vAlign w:val="bottom"/>
          </w:tcPr>
          <w:p>
            <w:pPr>
              <w:spacing w:after="0"/>
              <w:rPr>
                <w:sz w:val="1"/>
                <w:szCs w:val="1"/>
                <w:color w:val="auto"/>
              </w:rPr>
            </w:pPr>
          </w:p>
        </w:tc>
      </w:tr>
      <w:tr>
        <w:trPr>
          <w:trHeight w:val="235"/>
        </w:trPr>
        <w:tc>
          <w:tcPr>
            <w:tcW w:w="1460" w:type="dxa"/>
            <w:vAlign w:val="bottom"/>
          </w:tcPr>
          <w:p>
            <w:pPr>
              <w:spacing w:after="0"/>
              <w:rPr>
                <w:sz w:val="20"/>
                <w:szCs w:val="20"/>
                <w:color w:val="auto"/>
              </w:rPr>
            </w:pPr>
            <w:r>
              <w:rPr>
                <w:rFonts w:ascii="Arial" w:cs="Arial" w:eastAsia="Arial" w:hAnsi="Arial"/>
                <w:sz w:val="13"/>
                <w:szCs w:val="13"/>
                <w:color w:val="auto"/>
              </w:rPr>
              <w:t>Number of</w:t>
            </w:r>
          </w:p>
        </w:tc>
        <w:tc>
          <w:tcPr>
            <w:tcW w:w="820" w:type="dxa"/>
            <w:vAlign w:val="bottom"/>
          </w:tcPr>
          <w:p>
            <w:pPr>
              <w:spacing w:after="0"/>
              <w:rPr>
                <w:sz w:val="20"/>
                <w:szCs w:val="20"/>
                <w:color w:val="auto"/>
              </w:rPr>
            </w:pPr>
          </w:p>
        </w:tc>
        <w:tc>
          <w:tcPr>
            <w:tcW w:w="7620" w:type="dxa"/>
            <w:vAlign w:val="bottom"/>
          </w:tcPr>
          <w:p>
            <w:pPr>
              <w:ind w:left="60"/>
              <w:spacing w:after="0"/>
              <w:rPr>
                <w:sz w:val="20"/>
                <w:szCs w:val="20"/>
                <w:color w:val="auto"/>
              </w:rPr>
            </w:pPr>
            <w:r>
              <w:rPr>
                <w:rFonts w:ascii="Arial" w:cs="Arial" w:eastAsia="Arial" w:hAnsi="Arial"/>
                <w:sz w:val="13"/>
                <w:szCs w:val="13"/>
                <w:color w:val="auto"/>
              </w:rPr>
              <w:t>137,500 ordinary shares. See Item 4.</w:t>
            </w:r>
          </w:p>
        </w:tc>
        <w:tc>
          <w:tcPr>
            <w:tcW w:w="0" w:type="dxa"/>
            <w:vAlign w:val="bottom"/>
          </w:tcPr>
          <w:p>
            <w:pPr>
              <w:spacing w:after="0"/>
              <w:rPr>
                <w:sz w:val="1"/>
                <w:szCs w:val="1"/>
                <w:color w:val="auto"/>
              </w:rPr>
            </w:pPr>
          </w:p>
        </w:tc>
      </w:tr>
      <w:tr>
        <w:trPr>
          <w:trHeight w:val="144"/>
        </w:trPr>
        <w:tc>
          <w:tcPr>
            <w:tcW w:w="1460" w:type="dxa"/>
            <w:vAlign w:val="bottom"/>
          </w:tcPr>
          <w:p>
            <w:pPr>
              <w:spacing w:after="0" w:line="144" w:lineRule="exact"/>
              <w:rPr>
                <w:sz w:val="20"/>
                <w:szCs w:val="20"/>
                <w:color w:val="auto"/>
              </w:rPr>
            </w:pPr>
            <w:r>
              <w:rPr>
                <w:rFonts w:ascii="Arial" w:cs="Arial" w:eastAsia="Arial" w:hAnsi="Arial"/>
                <w:sz w:val="13"/>
                <w:szCs w:val="13"/>
                <w:color w:val="auto"/>
              </w:rPr>
              <w:t>Shares</w:t>
            </w:r>
          </w:p>
        </w:tc>
        <w:tc>
          <w:tcPr>
            <w:tcW w:w="820" w:type="dxa"/>
            <w:vAlign w:val="bottom"/>
          </w:tcPr>
          <w:p>
            <w:pPr>
              <w:spacing w:after="0"/>
              <w:rPr>
                <w:sz w:val="12"/>
                <w:szCs w:val="12"/>
                <w:color w:val="auto"/>
              </w:rPr>
            </w:pPr>
          </w:p>
        </w:tc>
        <w:tc>
          <w:tcPr>
            <w:tcW w:w="76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1460" w:type="dxa"/>
            <w:vAlign w:val="bottom"/>
          </w:tcPr>
          <w:p>
            <w:pPr>
              <w:spacing w:after="0" w:line="111" w:lineRule="exact"/>
              <w:rPr>
                <w:sz w:val="20"/>
                <w:szCs w:val="20"/>
                <w:color w:val="auto"/>
              </w:rPr>
            </w:pPr>
            <w:r>
              <w:rPr>
                <w:rFonts w:ascii="Arial" w:cs="Arial" w:eastAsia="Arial" w:hAnsi="Arial"/>
                <w:sz w:val="12"/>
                <w:szCs w:val="12"/>
                <w:color w:val="auto"/>
              </w:rPr>
              <w:t>Beneficially</w:t>
            </w:r>
          </w:p>
        </w:tc>
        <w:tc>
          <w:tcPr>
            <w:tcW w:w="820" w:type="dxa"/>
            <w:vAlign w:val="bottom"/>
          </w:tcPr>
          <w:p>
            <w:pPr>
              <w:spacing w:after="0"/>
              <w:rPr>
                <w:sz w:val="9"/>
                <w:szCs w:val="9"/>
                <w:color w:val="auto"/>
              </w:rPr>
            </w:pPr>
          </w:p>
        </w:tc>
        <w:tc>
          <w:tcPr>
            <w:tcW w:w="7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1460" w:type="dxa"/>
            <w:vAlign w:val="bottom"/>
          </w:tcPr>
          <w:p>
            <w:pPr>
              <w:spacing w:after="0" w:line="144" w:lineRule="exact"/>
              <w:rPr>
                <w:sz w:val="20"/>
                <w:szCs w:val="20"/>
                <w:color w:val="auto"/>
              </w:rPr>
            </w:pPr>
            <w:r>
              <w:rPr>
                <w:rFonts w:ascii="Arial" w:cs="Arial" w:eastAsia="Arial" w:hAnsi="Arial"/>
                <w:sz w:val="13"/>
                <w:szCs w:val="13"/>
                <w:color w:val="auto"/>
              </w:rPr>
              <w:t>Owned by</w:t>
            </w:r>
          </w:p>
        </w:tc>
        <w:tc>
          <w:tcPr>
            <w:tcW w:w="820" w:type="dxa"/>
            <w:vAlign w:val="bottom"/>
          </w:tcPr>
          <w:p>
            <w:pPr>
              <w:spacing w:after="0"/>
              <w:rPr>
                <w:sz w:val="12"/>
                <w:szCs w:val="12"/>
                <w:color w:val="auto"/>
              </w:rPr>
            </w:pPr>
          </w:p>
        </w:tc>
        <w:tc>
          <w:tcPr>
            <w:tcW w:w="7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60" w:type="dxa"/>
            <w:vAlign w:val="bottom"/>
          </w:tcPr>
          <w:p>
            <w:pPr>
              <w:spacing w:after="0" w:line="144" w:lineRule="exact"/>
              <w:rPr>
                <w:sz w:val="20"/>
                <w:szCs w:val="20"/>
                <w:color w:val="auto"/>
              </w:rPr>
            </w:pPr>
            <w:r>
              <w:rPr>
                <w:rFonts w:ascii="Arial" w:cs="Arial" w:eastAsia="Arial" w:hAnsi="Arial"/>
                <w:sz w:val="13"/>
                <w:szCs w:val="13"/>
                <w:color w:val="auto"/>
              </w:rPr>
              <w:t>Each</w:t>
            </w: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7</w:t>
            </w:r>
          </w:p>
        </w:tc>
        <w:tc>
          <w:tcPr>
            <w:tcW w:w="7620" w:type="dxa"/>
            <w:vAlign w:val="bottom"/>
            <w:vMerge w:val="restart"/>
          </w:tcPr>
          <w:p>
            <w:pPr>
              <w:ind w:left="60"/>
              <w:spacing w:after="0"/>
              <w:rPr>
                <w:sz w:val="20"/>
                <w:szCs w:val="20"/>
                <w:color w:val="auto"/>
              </w:rPr>
            </w:pPr>
            <w:r>
              <w:rPr>
                <w:rFonts w:ascii="Arial" w:cs="Arial" w:eastAsia="Arial" w:hAnsi="Arial"/>
                <w:sz w:val="13"/>
                <w:szCs w:val="13"/>
                <w:color w:val="auto"/>
              </w:rPr>
              <w:t>Sole Dispositive Power</w:t>
            </w:r>
          </w:p>
        </w:tc>
        <w:tc>
          <w:tcPr>
            <w:tcW w:w="0" w:type="dxa"/>
            <w:vAlign w:val="bottom"/>
          </w:tcPr>
          <w:p>
            <w:pPr>
              <w:spacing w:after="0"/>
              <w:rPr>
                <w:sz w:val="1"/>
                <w:szCs w:val="1"/>
                <w:color w:val="auto"/>
              </w:rPr>
            </w:pPr>
          </w:p>
        </w:tc>
      </w:tr>
      <w:tr>
        <w:trPr>
          <w:trHeight w:val="117"/>
        </w:trPr>
        <w:tc>
          <w:tcPr>
            <w:tcW w:w="1460" w:type="dxa"/>
            <w:vAlign w:val="bottom"/>
            <w:vMerge w:val="restart"/>
          </w:tcPr>
          <w:p>
            <w:pPr>
              <w:spacing w:after="0"/>
              <w:rPr>
                <w:sz w:val="20"/>
                <w:szCs w:val="20"/>
                <w:color w:val="auto"/>
              </w:rPr>
            </w:pPr>
            <w:r>
              <w:rPr>
                <w:rFonts w:ascii="Arial" w:cs="Arial" w:eastAsia="Arial" w:hAnsi="Arial"/>
                <w:sz w:val="13"/>
                <w:szCs w:val="13"/>
                <w:color w:val="auto"/>
              </w:rPr>
              <w:t>Reporting</w:t>
            </w:r>
          </w:p>
        </w:tc>
        <w:tc>
          <w:tcPr>
            <w:tcW w:w="820" w:type="dxa"/>
            <w:vAlign w:val="bottom"/>
            <w:vMerge w:val="continue"/>
          </w:tcPr>
          <w:p>
            <w:pPr>
              <w:spacing w:after="0"/>
              <w:rPr>
                <w:sz w:val="10"/>
                <w:szCs w:val="10"/>
                <w:color w:val="auto"/>
              </w:rPr>
            </w:pPr>
          </w:p>
        </w:tc>
        <w:tc>
          <w:tcPr>
            <w:tcW w:w="7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9"/>
        </w:trPr>
        <w:tc>
          <w:tcPr>
            <w:tcW w:w="146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7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7"/>
        </w:trPr>
        <w:tc>
          <w:tcPr>
            <w:tcW w:w="1460" w:type="dxa"/>
            <w:vAlign w:val="bottom"/>
          </w:tcPr>
          <w:p>
            <w:pPr>
              <w:spacing w:after="0"/>
              <w:rPr>
                <w:sz w:val="20"/>
                <w:szCs w:val="20"/>
                <w:color w:val="auto"/>
              </w:rPr>
            </w:pPr>
            <w:r>
              <w:rPr>
                <w:rFonts w:ascii="Arial" w:cs="Arial" w:eastAsia="Arial" w:hAnsi="Arial"/>
                <w:sz w:val="13"/>
                <w:szCs w:val="13"/>
                <w:color w:val="auto"/>
              </w:rPr>
              <w:t>Person With:</w:t>
            </w:r>
          </w:p>
        </w:tc>
        <w:tc>
          <w:tcPr>
            <w:tcW w:w="820" w:type="dxa"/>
            <w:vAlign w:val="bottom"/>
          </w:tcPr>
          <w:p>
            <w:pPr>
              <w:spacing w:after="0"/>
              <w:rPr>
                <w:sz w:val="13"/>
                <w:szCs w:val="13"/>
                <w:color w:val="auto"/>
              </w:rPr>
            </w:pPr>
          </w:p>
        </w:tc>
        <w:tc>
          <w:tcPr>
            <w:tcW w:w="7620" w:type="dxa"/>
            <w:vAlign w:val="bottom"/>
            <w:vMerge w:val="restart"/>
          </w:tcPr>
          <w:p>
            <w:pPr>
              <w:ind w:left="60"/>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78"/>
        </w:trPr>
        <w:tc>
          <w:tcPr>
            <w:tcW w:w="146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9"/>
        </w:trPr>
        <w:tc>
          <w:tcPr>
            <w:tcW w:w="14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31"/>
        </w:trPr>
        <w:tc>
          <w:tcPr>
            <w:tcW w:w="14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8</w:t>
            </w:r>
          </w:p>
        </w:tc>
        <w:tc>
          <w:tcPr>
            <w:tcW w:w="7620" w:type="dxa"/>
            <w:vAlign w:val="bottom"/>
          </w:tcPr>
          <w:p>
            <w:pPr>
              <w:ind w:left="60"/>
              <w:spacing w:after="0"/>
              <w:rPr>
                <w:sz w:val="20"/>
                <w:szCs w:val="20"/>
                <w:color w:val="auto"/>
              </w:rPr>
            </w:pPr>
            <w:r>
              <w:rPr>
                <w:rFonts w:ascii="Arial" w:cs="Arial" w:eastAsia="Arial" w:hAnsi="Arial"/>
                <w:sz w:val="13"/>
                <w:szCs w:val="13"/>
                <w:color w:val="auto"/>
              </w:rPr>
              <w:t>Shared Dispositive Power</w:t>
            </w:r>
          </w:p>
        </w:tc>
        <w:tc>
          <w:tcPr>
            <w:tcW w:w="0" w:type="dxa"/>
            <w:vAlign w:val="bottom"/>
          </w:tcPr>
          <w:p>
            <w:pPr>
              <w:spacing w:after="0"/>
              <w:rPr>
                <w:sz w:val="1"/>
                <w:szCs w:val="1"/>
                <w:color w:val="auto"/>
              </w:rPr>
            </w:pPr>
          </w:p>
        </w:tc>
      </w:tr>
      <w:tr>
        <w:trPr>
          <w:trHeight w:val="183"/>
        </w:trPr>
        <w:tc>
          <w:tcPr>
            <w:tcW w:w="1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20" w:type="dxa"/>
            <w:vAlign w:val="bottom"/>
          </w:tcPr>
          <w:p>
            <w:pPr>
              <w:ind w:left="60"/>
              <w:spacing w:after="0"/>
              <w:rPr>
                <w:sz w:val="20"/>
                <w:szCs w:val="20"/>
                <w:color w:val="auto"/>
              </w:rPr>
            </w:pPr>
            <w:r>
              <w:rPr>
                <w:rFonts w:ascii="Arial" w:cs="Arial" w:eastAsia="Arial" w:hAnsi="Arial"/>
                <w:sz w:val="13"/>
                <w:szCs w:val="13"/>
                <w:color w:val="auto"/>
              </w:rPr>
              <w:t>137,500 ordinary shares. See Item 4.</w:t>
            </w:r>
          </w:p>
        </w:tc>
        <w:tc>
          <w:tcPr>
            <w:tcW w:w="0" w:type="dxa"/>
            <w:vAlign w:val="bottom"/>
          </w:tcPr>
          <w:p>
            <w:pPr>
              <w:spacing w:after="0"/>
              <w:rPr>
                <w:sz w:val="1"/>
                <w:szCs w:val="1"/>
                <w:color w:val="auto"/>
              </w:rPr>
            </w:pPr>
          </w:p>
        </w:tc>
      </w:tr>
      <w:tr>
        <w:trPr>
          <w:trHeight w:val="119"/>
        </w:trPr>
        <w:tc>
          <w:tcPr>
            <w:tcW w:w="14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1000" w:right="4839" w:hanging="617"/>
        <w:spacing w:after="0" w:line="241" w:lineRule="auto"/>
        <w:tabs>
          <w:tab w:leader="none" w:pos="10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Aggregate Amount Beneficially Owned by Each Reporting Person 137,500 ordinary shares. See Item 4.</w:t>
      </w:r>
    </w:p>
    <w:p>
      <w:pPr>
        <w:spacing w:after="0" w:line="209" w:lineRule="exact"/>
        <w:rPr>
          <w:sz w:val="20"/>
          <w:szCs w:val="20"/>
          <w:color w:val="auto"/>
        </w:rPr>
      </w:pPr>
    </w:p>
    <w:p>
      <w:pPr>
        <w:ind w:left="1000" w:hanging="617"/>
        <w:spacing w:after="0"/>
        <w:tabs>
          <w:tab w:leader="none" w:pos="10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Check if the Aggregate Amount in Row (9) Excludes Certain Shares o</w:t>
      </w:r>
    </w:p>
    <w:p>
      <w:pPr>
        <w:spacing w:after="0" w:line="333" w:lineRule="exact"/>
        <w:rPr>
          <w:rFonts w:ascii="Arial" w:cs="Arial" w:eastAsia="Arial" w:hAnsi="Arial"/>
          <w:sz w:val="13"/>
          <w:szCs w:val="13"/>
          <w:color w:val="auto"/>
        </w:rPr>
      </w:pPr>
    </w:p>
    <w:p>
      <w:pPr>
        <w:ind w:left="1000" w:right="6119" w:hanging="617"/>
        <w:spacing w:after="0" w:line="366" w:lineRule="auto"/>
        <w:tabs>
          <w:tab w:leader="none" w:pos="992" w:val="left"/>
        </w:tabs>
        <w:numPr>
          <w:ilvl w:val="0"/>
          <w:numId w:val="15"/>
        </w:numPr>
        <w:rPr>
          <w:rFonts w:ascii="Arial" w:cs="Arial" w:eastAsia="Arial" w:hAnsi="Arial"/>
          <w:sz w:val="13"/>
          <w:szCs w:val="13"/>
          <w:color w:val="auto"/>
        </w:rPr>
      </w:pPr>
      <w:r>
        <w:rPr>
          <w:rFonts w:ascii="Arial" w:cs="Arial" w:eastAsia="Arial" w:hAnsi="Arial"/>
          <w:sz w:val="13"/>
          <w:szCs w:val="13"/>
          <w:color w:val="auto"/>
        </w:rPr>
        <w:t>Percent of Class Represented by Amount in Row (9) 0.3%. See Item 4.</w:t>
      </w:r>
    </w:p>
    <w:p>
      <w:pPr>
        <w:spacing w:after="0" w:line="170" w:lineRule="exact"/>
        <w:rPr>
          <w:rFonts w:ascii="Arial" w:cs="Arial" w:eastAsia="Arial" w:hAnsi="Arial"/>
          <w:sz w:val="13"/>
          <w:szCs w:val="13"/>
          <w:color w:val="auto"/>
        </w:rPr>
      </w:pPr>
    </w:p>
    <w:p>
      <w:pPr>
        <w:ind w:left="1000" w:hanging="617"/>
        <w:spacing w:after="0"/>
        <w:tabs>
          <w:tab w:leader="none" w:pos="10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Type of Reporting Person</w:t>
      </w:r>
    </w:p>
    <w:p>
      <w:pPr>
        <w:spacing w:after="0" w:line="72"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CO</w:t>
      </w:r>
    </w:p>
    <w:p>
      <w:pPr>
        <w:spacing w:after="0" w:line="200" w:lineRule="exact"/>
        <w:rPr>
          <w:sz w:val="20"/>
          <w:szCs w:val="20"/>
          <w:color w:val="auto"/>
        </w:rPr>
      </w:pPr>
    </w:p>
    <w:p>
      <w:pPr>
        <w:spacing w:after="0" w:line="277"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236855</wp:posOffset>
            </wp:positionV>
            <wp:extent cx="7153275" cy="16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3275" cy="1651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-2540</wp:posOffset>
            </wp:positionV>
            <wp:extent cx="6283325" cy="330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83325" cy="33020"/>
                    </a:xfrm>
                    <a:prstGeom prst="rect">
                      <a:avLst/>
                    </a:prstGeom>
                    <a:noFill/>
                  </pic:spPr>
                </pic:pic>
              </a:graphicData>
            </a:graphic>
          </wp:anchor>
        </w:drawing>
      </w:r>
    </w:p>
    <w:p>
      <w:pPr>
        <w:sectPr>
          <w:pgSz w:w="11900" w:h="16838" w:orient="portrait"/>
          <w:cols w:equalWidth="0" w:num="1">
            <w:col w:w="10139"/>
          </w:cols>
          <w:pgMar w:left="320" w:top="361"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0"/>
        </w:trPr>
        <w:tc>
          <w:tcPr>
            <w:tcW w:w="960" w:type="dxa"/>
            <w:vAlign w:val="bottom"/>
          </w:tcPr>
          <w:p>
            <w:pPr>
              <w:spacing w:after="0"/>
              <w:rPr>
                <w:sz w:val="20"/>
                <w:szCs w:val="20"/>
                <w:color w:val="auto"/>
              </w:rPr>
            </w:pPr>
            <w:r>
              <w:rPr>
                <w:rFonts w:ascii="Arial" w:cs="Arial" w:eastAsia="Arial" w:hAnsi="Arial"/>
                <w:sz w:val="13"/>
                <w:szCs w:val="13"/>
                <w:b w:val="1"/>
                <w:bCs w:val="1"/>
                <w:color w:val="auto"/>
              </w:rPr>
              <w:t>Item 1(a).</w:t>
            </w:r>
          </w:p>
        </w:tc>
        <w:tc>
          <w:tcPr>
            <w:tcW w:w="10380" w:type="dxa"/>
            <w:vAlign w:val="bottom"/>
            <w:gridSpan w:val="2"/>
          </w:tcPr>
          <w:p>
            <w:pPr>
              <w:spacing w:after="0"/>
              <w:rPr>
                <w:sz w:val="20"/>
                <w:szCs w:val="20"/>
                <w:color w:val="auto"/>
              </w:rPr>
            </w:pPr>
            <w:r>
              <w:rPr>
                <w:rFonts w:ascii="Arial" w:cs="Arial" w:eastAsia="Arial" w:hAnsi="Arial"/>
                <w:sz w:val="13"/>
                <w:szCs w:val="13"/>
                <w:b w:val="1"/>
                <w:bCs w:val="1"/>
                <w:color w:val="auto"/>
              </w:rPr>
              <w:t>Name of Issuer:</w:t>
            </w:r>
          </w:p>
        </w:tc>
      </w:tr>
      <w:tr>
        <w:trPr>
          <w:trHeight w:val="131"/>
        </w:trPr>
        <w:tc>
          <w:tcPr>
            <w:tcW w:w="960" w:type="dxa"/>
            <w:vAlign w:val="bottom"/>
          </w:tcPr>
          <w:p>
            <w:pPr>
              <w:spacing w:after="0"/>
              <w:rPr>
                <w:sz w:val="11"/>
                <w:szCs w:val="11"/>
                <w:color w:val="auto"/>
              </w:rPr>
            </w:pPr>
          </w:p>
        </w:tc>
        <w:tc>
          <w:tcPr>
            <w:tcW w:w="10380" w:type="dxa"/>
            <w:vAlign w:val="bottom"/>
            <w:tcBorders>
              <w:bottom w:val="single" w:sz="8" w:color="auto"/>
            </w:tcBorders>
            <w:gridSpan w:val="2"/>
          </w:tcPr>
          <w:p>
            <w:pPr>
              <w:spacing w:after="0" w:line="131" w:lineRule="exact"/>
              <w:rPr>
                <w:sz w:val="20"/>
                <w:szCs w:val="20"/>
                <w:color w:val="auto"/>
              </w:rPr>
            </w:pPr>
            <w:r>
              <w:rPr>
                <w:rFonts w:ascii="Arial" w:cs="Arial" w:eastAsia="Arial" w:hAnsi="Arial"/>
                <w:sz w:val="13"/>
                <w:szCs w:val="13"/>
                <w:color w:val="auto"/>
              </w:rPr>
              <w:t>iClick Interactive Asia Group Limited (the “Issuer”)</w:t>
            </w:r>
          </w:p>
        </w:tc>
      </w:tr>
      <w:tr>
        <w:trPr>
          <w:trHeight w:val="215"/>
        </w:trPr>
        <w:tc>
          <w:tcPr>
            <w:tcW w:w="960" w:type="dxa"/>
            <w:vAlign w:val="bottom"/>
          </w:tcPr>
          <w:p>
            <w:pPr>
              <w:spacing w:after="0"/>
              <w:rPr>
                <w:sz w:val="20"/>
                <w:szCs w:val="20"/>
                <w:color w:val="auto"/>
              </w:rPr>
            </w:pPr>
            <w:r>
              <w:rPr>
                <w:rFonts w:ascii="Arial" w:cs="Arial" w:eastAsia="Arial" w:hAnsi="Arial"/>
                <w:sz w:val="13"/>
                <w:szCs w:val="13"/>
                <w:b w:val="1"/>
                <w:bCs w:val="1"/>
                <w:color w:val="auto"/>
              </w:rPr>
              <w:t>Item 1(b).</w:t>
            </w:r>
          </w:p>
        </w:tc>
        <w:tc>
          <w:tcPr>
            <w:tcW w:w="1038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Address of Issuer’s Principal Executive Offices:</w:t>
            </w:r>
          </w:p>
        </w:tc>
      </w:tr>
      <w:tr>
        <w:trPr>
          <w:trHeight w:val="110"/>
        </w:trPr>
        <w:tc>
          <w:tcPr>
            <w:tcW w:w="960" w:type="dxa"/>
            <w:vAlign w:val="bottom"/>
          </w:tcPr>
          <w:p>
            <w:pPr>
              <w:spacing w:after="0"/>
              <w:rPr>
                <w:sz w:val="9"/>
                <w:szCs w:val="9"/>
                <w:color w:val="auto"/>
              </w:rPr>
            </w:pPr>
          </w:p>
        </w:tc>
        <w:tc>
          <w:tcPr>
            <w:tcW w:w="10380" w:type="dxa"/>
            <w:vAlign w:val="bottom"/>
            <w:gridSpan w:val="2"/>
          </w:tcPr>
          <w:p>
            <w:pPr>
              <w:spacing w:after="0" w:line="110" w:lineRule="exact"/>
              <w:rPr>
                <w:sz w:val="20"/>
                <w:szCs w:val="20"/>
                <w:color w:val="auto"/>
              </w:rPr>
            </w:pPr>
            <w:r>
              <w:rPr>
                <w:rFonts w:ascii="Arial" w:cs="Arial" w:eastAsia="Arial" w:hAnsi="Arial"/>
                <w:sz w:val="12"/>
                <w:szCs w:val="12"/>
                <w:color w:val="auto"/>
              </w:rPr>
              <w:t>15/F, Prosperity Millennia Plaza</w:t>
            </w:r>
          </w:p>
        </w:tc>
      </w:tr>
      <w:tr>
        <w:trPr>
          <w:trHeight w:val="144"/>
        </w:trPr>
        <w:tc>
          <w:tcPr>
            <w:tcW w:w="960" w:type="dxa"/>
            <w:vAlign w:val="bottom"/>
          </w:tcPr>
          <w:p>
            <w:pPr>
              <w:spacing w:after="0"/>
              <w:rPr>
                <w:sz w:val="12"/>
                <w:szCs w:val="12"/>
                <w:color w:val="auto"/>
              </w:rPr>
            </w:pPr>
          </w:p>
        </w:tc>
        <w:tc>
          <w:tcPr>
            <w:tcW w:w="10380" w:type="dxa"/>
            <w:vAlign w:val="bottom"/>
            <w:gridSpan w:val="2"/>
          </w:tcPr>
          <w:p>
            <w:pPr>
              <w:spacing w:after="0" w:line="144" w:lineRule="exact"/>
              <w:rPr>
                <w:sz w:val="20"/>
                <w:szCs w:val="20"/>
                <w:color w:val="auto"/>
              </w:rPr>
            </w:pPr>
            <w:r>
              <w:rPr>
                <w:rFonts w:ascii="Arial" w:cs="Arial" w:eastAsia="Arial" w:hAnsi="Arial"/>
                <w:sz w:val="13"/>
                <w:szCs w:val="13"/>
                <w:color w:val="auto"/>
              </w:rPr>
              <w:t>663 King’s Road, Quarry Bay</w:t>
            </w:r>
          </w:p>
        </w:tc>
      </w:tr>
      <w:tr>
        <w:trPr>
          <w:trHeight w:val="144"/>
        </w:trPr>
        <w:tc>
          <w:tcPr>
            <w:tcW w:w="960" w:type="dxa"/>
            <w:vAlign w:val="bottom"/>
          </w:tcPr>
          <w:p>
            <w:pPr>
              <w:spacing w:after="0"/>
              <w:rPr>
                <w:sz w:val="12"/>
                <w:szCs w:val="12"/>
                <w:color w:val="auto"/>
              </w:rPr>
            </w:pPr>
          </w:p>
        </w:tc>
        <w:tc>
          <w:tcPr>
            <w:tcW w:w="10380" w:type="dxa"/>
            <w:vAlign w:val="bottom"/>
            <w:tcBorders>
              <w:bottom w:val="single" w:sz="8" w:color="auto"/>
            </w:tcBorders>
            <w:gridSpan w:val="2"/>
          </w:tcPr>
          <w:p>
            <w:pPr>
              <w:spacing w:after="0" w:line="144" w:lineRule="exact"/>
              <w:rPr>
                <w:sz w:val="20"/>
                <w:szCs w:val="20"/>
                <w:color w:val="auto"/>
              </w:rPr>
            </w:pPr>
            <w:r>
              <w:rPr>
                <w:rFonts w:ascii="Arial" w:cs="Arial" w:eastAsia="Arial" w:hAnsi="Arial"/>
                <w:sz w:val="13"/>
                <w:szCs w:val="13"/>
                <w:color w:val="auto"/>
              </w:rPr>
              <w:t>Hong Kong S.A.R.</w:t>
            </w:r>
          </w:p>
        </w:tc>
      </w:tr>
      <w:tr>
        <w:trPr>
          <w:trHeight w:val="215"/>
        </w:trPr>
        <w:tc>
          <w:tcPr>
            <w:tcW w:w="960" w:type="dxa"/>
            <w:vAlign w:val="bottom"/>
          </w:tcPr>
          <w:p>
            <w:pPr>
              <w:spacing w:after="0"/>
              <w:rPr>
                <w:sz w:val="20"/>
                <w:szCs w:val="20"/>
                <w:color w:val="auto"/>
              </w:rPr>
            </w:pPr>
            <w:r>
              <w:rPr>
                <w:rFonts w:ascii="Arial" w:cs="Arial" w:eastAsia="Arial" w:hAnsi="Arial"/>
                <w:sz w:val="13"/>
                <w:szCs w:val="13"/>
                <w:b w:val="1"/>
                <w:bCs w:val="1"/>
                <w:color w:val="auto"/>
              </w:rPr>
              <w:t>Item 2(a).</w:t>
            </w:r>
          </w:p>
        </w:tc>
        <w:tc>
          <w:tcPr>
            <w:tcW w:w="1038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Name of Person Filing:</w:t>
            </w:r>
          </w:p>
        </w:tc>
      </w:tr>
      <w:tr>
        <w:trPr>
          <w:trHeight w:val="149"/>
        </w:trPr>
        <w:tc>
          <w:tcPr>
            <w:tcW w:w="960" w:type="dxa"/>
            <w:vAlign w:val="bottom"/>
          </w:tcPr>
          <w:p>
            <w:pPr>
              <w:spacing w:after="0"/>
              <w:rPr>
                <w:sz w:val="12"/>
                <w:szCs w:val="12"/>
                <w:color w:val="auto"/>
              </w:rPr>
            </w:pPr>
          </w:p>
        </w:tc>
        <w:tc>
          <w:tcPr>
            <w:tcW w:w="10380" w:type="dxa"/>
            <w:vAlign w:val="bottom"/>
            <w:gridSpan w:val="2"/>
          </w:tcPr>
          <w:p>
            <w:pPr>
              <w:spacing w:after="0"/>
              <w:rPr>
                <w:sz w:val="20"/>
                <w:szCs w:val="20"/>
                <w:color w:val="auto"/>
              </w:rPr>
            </w:pPr>
            <w:r>
              <w:rPr>
                <w:rFonts w:ascii="Arial" w:cs="Arial" w:eastAsia="Arial" w:hAnsi="Arial"/>
                <w:sz w:val="13"/>
                <w:szCs w:val="13"/>
                <w:color w:val="auto"/>
              </w:rPr>
              <w:t>Jiping Liu</w:t>
            </w:r>
          </w:p>
        </w:tc>
      </w:tr>
      <w:tr>
        <w:trPr>
          <w:trHeight w:val="249"/>
        </w:trPr>
        <w:tc>
          <w:tcPr>
            <w:tcW w:w="960" w:type="dxa"/>
            <w:vAlign w:val="bottom"/>
          </w:tcPr>
          <w:p>
            <w:pPr>
              <w:spacing w:after="0"/>
              <w:rPr>
                <w:sz w:val="21"/>
                <w:szCs w:val="21"/>
                <w:color w:val="auto"/>
              </w:rPr>
            </w:pPr>
          </w:p>
        </w:tc>
        <w:tc>
          <w:tcPr>
            <w:tcW w:w="1038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Maestro Investment Holdings Limited</w:t>
            </w:r>
          </w:p>
        </w:tc>
      </w:tr>
      <w:tr>
        <w:trPr>
          <w:trHeight w:val="215"/>
        </w:trPr>
        <w:tc>
          <w:tcPr>
            <w:tcW w:w="960" w:type="dxa"/>
            <w:vAlign w:val="bottom"/>
          </w:tcPr>
          <w:p>
            <w:pPr>
              <w:spacing w:after="0"/>
              <w:rPr>
                <w:sz w:val="20"/>
                <w:szCs w:val="20"/>
                <w:color w:val="auto"/>
              </w:rPr>
            </w:pPr>
            <w:r>
              <w:rPr>
                <w:rFonts w:ascii="Arial" w:cs="Arial" w:eastAsia="Arial" w:hAnsi="Arial"/>
                <w:sz w:val="13"/>
                <w:szCs w:val="13"/>
                <w:b w:val="1"/>
                <w:bCs w:val="1"/>
                <w:color w:val="auto"/>
              </w:rPr>
              <w:t>Item 2(b).</w:t>
            </w:r>
          </w:p>
        </w:tc>
        <w:tc>
          <w:tcPr>
            <w:tcW w:w="1038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Address of Principal Business Office, or, if none, Residence</w:t>
            </w:r>
            <w:r>
              <w:rPr>
                <w:rFonts w:ascii="Arial" w:cs="Arial" w:eastAsia="Arial" w:hAnsi="Arial"/>
                <w:sz w:val="13"/>
                <w:szCs w:val="13"/>
                <w:color w:val="auto"/>
              </w:rPr>
              <w:t>:</w:t>
            </w:r>
          </w:p>
        </w:tc>
      </w:tr>
      <w:tr>
        <w:trPr>
          <w:trHeight w:val="110"/>
        </w:trPr>
        <w:tc>
          <w:tcPr>
            <w:tcW w:w="960" w:type="dxa"/>
            <w:vAlign w:val="bottom"/>
          </w:tcPr>
          <w:p>
            <w:pPr>
              <w:spacing w:after="0"/>
              <w:rPr>
                <w:sz w:val="9"/>
                <w:szCs w:val="9"/>
                <w:color w:val="auto"/>
              </w:rPr>
            </w:pPr>
          </w:p>
        </w:tc>
        <w:tc>
          <w:tcPr>
            <w:tcW w:w="10380" w:type="dxa"/>
            <w:vAlign w:val="bottom"/>
            <w:gridSpan w:val="2"/>
          </w:tcPr>
          <w:p>
            <w:pPr>
              <w:spacing w:after="0" w:line="110" w:lineRule="exact"/>
              <w:rPr>
                <w:sz w:val="20"/>
                <w:szCs w:val="20"/>
                <w:color w:val="auto"/>
              </w:rPr>
            </w:pPr>
            <w:r>
              <w:rPr>
                <w:rFonts w:ascii="Arial" w:cs="Arial" w:eastAsia="Arial" w:hAnsi="Arial"/>
                <w:sz w:val="12"/>
                <w:szCs w:val="12"/>
                <w:color w:val="auto"/>
              </w:rPr>
              <w:t>Jiping Liu</w:t>
            </w:r>
          </w:p>
        </w:tc>
      </w:tr>
      <w:tr>
        <w:trPr>
          <w:trHeight w:val="144"/>
        </w:trPr>
        <w:tc>
          <w:tcPr>
            <w:tcW w:w="960" w:type="dxa"/>
            <w:vAlign w:val="bottom"/>
          </w:tcPr>
          <w:p>
            <w:pPr>
              <w:spacing w:after="0"/>
              <w:rPr>
                <w:sz w:val="12"/>
                <w:szCs w:val="12"/>
                <w:color w:val="auto"/>
              </w:rPr>
            </w:pPr>
          </w:p>
        </w:tc>
        <w:tc>
          <w:tcPr>
            <w:tcW w:w="10380" w:type="dxa"/>
            <w:vAlign w:val="bottom"/>
            <w:gridSpan w:val="2"/>
          </w:tcPr>
          <w:p>
            <w:pPr>
              <w:spacing w:after="0" w:line="144" w:lineRule="exact"/>
              <w:rPr>
                <w:sz w:val="20"/>
                <w:szCs w:val="20"/>
                <w:color w:val="auto"/>
              </w:rPr>
            </w:pPr>
            <w:r>
              <w:rPr>
                <w:rFonts w:ascii="Arial" w:cs="Arial" w:eastAsia="Arial" w:hAnsi="Arial"/>
                <w:sz w:val="13"/>
                <w:szCs w:val="13"/>
                <w:color w:val="auto"/>
              </w:rPr>
              <w:t>ABM Chambers, Columbus Centre</w:t>
            </w:r>
          </w:p>
        </w:tc>
      </w:tr>
      <w:tr>
        <w:trPr>
          <w:trHeight w:val="156"/>
        </w:trPr>
        <w:tc>
          <w:tcPr>
            <w:tcW w:w="960" w:type="dxa"/>
            <w:vAlign w:val="bottom"/>
          </w:tcPr>
          <w:p>
            <w:pPr>
              <w:spacing w:after="0"/>
              <w:rPr>
                <w:sz w:val="13"/>
                <w:szCs w:val="13"/>
                <w:color w:val="auto"/>
              </w:rPr>
            </w:pPr>
          </w:p>
        </w:tc>
        <w:tc>
          <w:tcPr>
            <w:tcW w:w="10380" w:type="dxa"/>
            <w:vAlign w:val="bottom"/>
            <w:gridSpan w:val="2"/>
          </w:tcPr>
          <w:p>
            <w:pPr>
              <w:spacing w:after="0"/>
              <w:rPr>
                <w:sz w:val="20"/>
                <w:szCs w:val="20"/>
                <w:color w:val="auto"/>
              </w:rPr>
            </w:pPr>
            <w:r>
              <w:rPr>
                <w:rFonts w:ascii="Arial" w:cs="Arial" w:eastAsia="Arial" w:hAnsi="Arial"/>
                <w:sz w:val="13"/>
                <w:szCs w:val="13"/>
                <w:color w:val="auto"/>
              </w:rPr>
              <w:t>Road Town, Tortola</w:t>
            </w:r>
          </w:p>
        </w:tc>
      </w:tr>
      <w:tr>
        <w:trPr>
          <w:trHeight w:val="157"/>
        </w:trPr>
        <w:tc>
          <w:tcPr>
            <w:tcW w:w="960" w:type="dxa"/>
            <w:vAlign w:val="bottom"/>
          </w:tcPr>
          <w:p>
            <w:pPr>
              <w:spacing w:after="0"/>
              <w:rPr>
                <w:sz w:val="13"/>
                <w:szCs w:val="13"/>
                <w:color w:val="auto"/>
              </w:rPr>
            </w:pPr>
          </w:p>
        </w:tc>
        <w:tc>
          <w:tcPr>
            <w:tcW w:w="10380" w:type="dxa"/>
            <w:vAlign w:val="bottom"/>
            <w:gridSpan w:val="2"/>
          </w:tcPr>
          <w:p>
            <w:pPr>
              <w:spacing w:after="0"/>
              <w:rPr>
                <w:sz w:val="20"/>
                <w:szCs w:val="20"/>
                <w:color w:val="auto"/>
              </w:rPr>
            </w:pPr>
            <w:r>
              <w:rPr>
                <w:rFonts w:ascii="Arial" w:cs="Arial" w:eastAsia="Arial" w:hAnsi="Arial"/>
                <w:sz w:val="13"/>
                <w:szCs w:val="13"/>
                <w:color w:val="auto"/>
              </w:rPr>
              <w:t>British Virgin Islands</w:t>
            </w:r>
          </w:p>
        </w:tc>
      </w:tr>
      <w:tr>
        <w:trPr>
          <w:trHeight w:val="209"/>
        </w:trPr>
        <w:tc>
          <w:tcPr>
            <w:tcW w:w="960" w:type="dxa"/>
            <w:vAlign w:val="bottom"/>
          </w:tcPr>
          <w:p>
            <w:pPr>
              <w:spacing w:after="0"/>
              <w:rPr>
                <w:sz w:val="18"/>
                <w:szCs w:val="18"/>
                <w:color w:val="auto"/>
              </w:rPr>
            </w:pPr>
          </w:p>
        </w:tc>
        <w:tc>
          <w:tcPr>
            <w:tcW w:w="10380" w:type="dxa"/>
            <w:vAlign w:val="bottom"/>
            <w:gridSpan w:val="2"/>
          </w:tcPr>
          <w:p>
            <w:pPr>
              <w:spacing w:after="0"/>
              <w:rPr>
                <w:sz w:val="20"/>
                <w:szCs w:val="20"/>
                <w:color w:val="auto"/>
              </w:rPr>
            </w:pPr>
            <w:r>
              <w:rPr>
                <w:rFonts w:ascii="Arial" w:cs="Arial" w:eastAsia="Arial" w:hAnsi="Arial"/>
                <w:sz w:val="13"/>
                <w:szCs w:val="13"/>
                <w:color w:val="auto"/>
              </w:rPr>
              <w:t>Maestro Investment Holdings Limited</w:t>
            </w:r>
          </w:p>
        </w:tc>
      </w:tr>
      <w:tr>
        <w:trPr>
          <w:trHeight w:val="144"/>
        </w:trPr>
        <w:tc>
          <w:tcPr>
            <w:tcW w:w="960" w:type="dxa"/>
            <w:vAlign w:val="bottom"/>
          </w:tcPr>
          <w:p>
            <w:pPr>
              <w:spacing w:after="0"/>
              <w:rPr>
                <w:sz w:val="12"/>
                <w:szCs w:val="12"/>
                <w:color w:val="auto"/>
              </w:rPr>
            </w:pPr>
          </w:p>
        </w:tc>
        <w:tc>
          <w:tcPr>
            <w:tcW w:w="10380" w:type="dxa"/>
            <w:vAlign w:val="bottom"/>
            <w:gridSpan w:val="2"/>
          </w:tcPr>
          <w:p>
            <w:pPr>
              <w:spacing w:after="0" w:line="144" w:lineRule="exact"/>
              <w:rPr>
                <w:sz w:val="20"/>
                <w:szCs w:val="20"/>
                <w:color w:val="auto"/>
              </w:rPr>
            </w:pPr>
            <w:r>
              <w:rPr>
                <w:rFonts w:ascii="Arial" w:cs="Arial" w:eastAsia="Arial" w:hAnsi="Arial"/>
                <w:sz w:val="13"/>
                <w:szCs w:val="13"/>
                <w:color w:val="auto"/>
              </w:rPr>
              <w:t>ABM Chambers, Columbus Centre</w:t>
            </w:r>
          </w:p>
        </w:tc>
      </w:tr>
      <w:tr>
        <w:trPr>
          <w:trHeight w:val="144"/>
        </w:trPr>
        <w:tc>
          <w:tcPr>
            <w:tcW w:w="960" w:type="dxa"/>
            <w:vAlign w:val="bottom"/>
          </w:tcPr>
          <w:p>
            <w:pPr>
              <w:spacing w:after="0"/>
              <w:rPr>
                <w:sz w:val="12"/>
                <w:szCs w:val="12"/>
                <w:color w:val="auto"/>
              </w:rPr>
            </w:pPr>
          </w:p>
        </w:tc>
        <w:tc>
          <w:tcPr>
            <w:tcW w:w="10380" w:type="dxa"/>
            <w:vAlign w:val="bottom"/>
            <w:gridSpan w:val="2"/>
          </w:tcPr>
          <w:p>
            <w:pPr>
              <w:spacing w:after="0" w:line="144" w:lineRule="exact"/>
              <w:rPr>
                <w:sz w:val="20"/>
                <w:szCs w:val="20"/>
                <w:color w:val="auto"/>
              </w:rPr>
            </w:pPr>
            <w:r>
              <w:rPr>
                <w:rFonts w:ascii="Arial" w:cs="Arial" w:eastAsia="Arial" w:hAnsi="Arial"/>
                <w:sz w:val="13"/>
                <w:szCs w:val="13"/>
                <w:color w:val="auto"/>
              </w:rPr>
              <w:t>Road Town, Tortola, VG1110</w:t>
            </w:r>
          </w:p>
        </w:tc>
      </w:tr>
      <w:tr>
        <w:trPr>
          <w:trHeight w:val="144"/>
        </w:trPr>
        <w:tc>
          <w:tcPr>
            <w:tcW w:w="960" w:type="dxa"/>
            <w:vAlign w:val="bottom"/>
          </w:tcPr>
          <w:p>
            <w:pPr>
              <w:spacing w:after="0"/>
              <w:rPr>
                <w:sz w:val="12"/>
                <w:szCs w:val="12"/>
                <w:color w:val="auto"/>
              </w:rPr>
            </w:pPr>
          </w:p>
        </w:tc>
        <w:tc>
          <w:tcPr>
            <w:tcW w:w="10380" w:type="dxa"/>
            <w:vAlign w:val="bottom"/>
            <w:tcBorders>
              <w:bottom w:val="single" w:sz="8" w:color="auto"/>
            </w:tcBorders>
            <w:gridSpan w:val="2"/>
          </w:tcPr>
          <w:p>
            <w:pPr>
              <w:spacing w:after="0" w:line="144" w:lineRule="exact"/>
              <w:rPr>
                <w:sz w:val="20"/>
                <w:szCs w:val="20"/>
                <w:color w:val="auto"/>
              </w:rPr>
            </w:pPr>
            <w:r>
              <w:rPr>
                <w:rFonts w:ascii="Arial" w:cs="Arial" w:eastAsia="Arial" w:hAnsi="Arial"/>
                <w:sz w:val="13"/>
                <w:szCs w:val="13"/>
                <w:color w:val="auto"/>
              </w:rPr>
              <w:t>British Virgin Islands</w:t>
            </w:r>
          </w:p>
        </w:tc>
      </w:tr>
      <w:tr>
        <w:trPr>
          <w:trHeight w:val="227"/>
        </w:trPr>
        <w:tc>
          <w:tcPr>
            <w:tcW w:w="960" w:type="dxa"/>
            <w:vAlign w:val="bottom"/>
          </w:tcPr>
          <w:p>
            <w:pPr>
              <w:spacing w:after="0"/>
              <w:rPr>
                <w:sz w:val="20"/>
                <w:szCs w:val="20"/>
                <w:color w:val="auto"/>
              </w:rPr>
            </w:pPr>
            <w:r>
              <w:rPr>
                <w:rFonts w:ascii="Arial" w:cs="Arial" w:eastAsia="Arial" w:hAnsi="Arial"/>
                <w:sz w:val="13"/>
                <w:szCs w:val="13"/>
                <w:b w:val="1"/>
                <w:bCs w:val="1"/>
                <w:color w:val="auto"/>
              </w:rPr>
              <w:t>Item 2(c).</w:t>
            </w:r>
          </w:p>
        </w:tc>
        <w:tc>
          <w:tcPr>
            <w:tcW w:w="10380" w:type="dxa"/>
            <w:vAlign w:val="bottom"/>
            <w:gridSpan w:val="2"/>
          </w:tcPr>
          <w:p>
            <w:pPr>
              <w:spacing w:after="0"/>
              <w:rPr>
                <w:sz w:val="20"/>
                <w:szCs w:val="20"/>
                <w:color w:val="auto"/>
              </w:rPr>
            </w:pPr>
            <w:r>
              <w:rPr>
                <w:rFonts w:ascii="Arial" w:cs="Arial" w:eastAsia="Arial" w:hAnsi="Arial"/>
                <w:sz w:val="13"/>
                <w:szCs w:val="13"/>
                <w:b w:val="1"/>
                <w:bCs w:val="1"/>
                <w:color w:val="auto"/>
              </w:rPr>
              <w:t>Citizenship:</w:t>
            </w:r>
          </w:p>
        </w:tc>
      </w:tr>
      <w:tr>
        <w:trPr>
          <w:trHeight w:val="157"/>
        </w:trPr>
        <w:tc>
          <w:tcPr>
            <w:tcW w:w="960" w:type="dxa"/>
            <w:vAlign w:val="bottom"/>
          </w:tcPr>
          <w:p>
            <w:pPr>
              <w:spacing w:after="0"/>
              <w:rPr>
                <w:sz w:val="13"/>
                <w:szCs w:val="13"/>
                <w:color w:val="auto"/>
              </w:rPr>
            </w:pPr>
          </w:p>
        </w:tc>
        <w:tc>
          <w:tcPr>
            <w:tcW w:w="10380" w:type="dxa"/>
            <w:vAlign w:val="bottom"/>
            <w:gridSpan w:val="2"/>
          </w:tcPr>
          <w:p>
            <w:pPr>
              <w:spacing w:after="0"/>
              <w:rPr>
                <w:sz w:val="20"/>
                <w:szCs w:val="20"/>
                <w:color w:val="auto"/>
              </w:rPr>
            </w:pPr>
            <w:r>
              <w:rPr>
                <w:rFonts w:ascii="Arial" w:cs="Arial" w:eastAsia="Arial" w:hAnsi="Arial"/>
                <w:sz w:val="13"/>
                <w:szCs w:val="13"/>
                <w:color w:val="auto"/>
              </w:rPr>
              <w:t>Jiping Liu — People’s Republic of China</w:t>
            </w:r>
          </w:p>
        </w:tc>
      </w:tr>
      <w:tr>
        <w:trPr>
          <w:trHeight w:val="210"/>
        </w:trPr>
        <w:tc>
          <w:tcPr>
            <w:tcW w:w="960" w:type="dxa"/>
            <w:vAlign w:val="bottom"/>
          </w:tcPr>
          <w:p>
            <w:pPr>
              <w:spacing w:after="0"/>
              <w:rPr>
                <w:sz w:val="18"/>
                <w:szCs w:val="18"/>
                <w:color w:val="auto"/>
              </w:rPr>
            </w:pPr>
          </w:p>
        </w:tc>
        <w:tc>
          <w:tcPr>
            <w:tcW w:w="1038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Maestro Investment Holdings Limited — British Virgin Islands</w:t>
            </w:r>
          </w:p>
        </w:tc>
      </w:tr>
      <w:tr>
        <w:trPr>
          <w:trHeight w:val="214"/>
        </w:trPr>
        <w:tc>
          <w:tcPr>
            <w:tcW w:w="960" w:type="dxa"/>
            <w:vAlign w:val="bottom"/>
          </w:tcPr>
          <w:p>
            <w:pPr>
              <w:spacing w:after="0"/>
              <w:rPr>
                <w:sz w:val="20"/>
                <w:szCs w:val="20"/>
                <w:color w:val="auto"/>
              </w:rPr>
            </w:pPr>
            <w:r>
              <w:rPr>
                <w:rFonts w:ascii="Arial" w:cs="Arial" w:eastAsia="Arial" w:hAnsi="Arial"/>
                <w:sz w:val="13"/>
                <w:szCs w:val="13"/>
                <w:b w:val="1"/>
                <w:bCs w:val="1"/>
                <w:color w:val="auto"/>
              </w:rPr>
              <w:t>Item 2(d).</w:t>
            </w:r>
          </w:p>
        </w:tc>
        <w:tc>
          <w:tcPr>
            <w:tcW w:w="10380" w:type="dxa"/>
            <w:vAlign w:val="bottom"/>
            <w:gridSpan w:val="2"/>
          </w:tcPr>
          <w:p>
            <w:pPr>
              <w:spacing w:after="0"/>
              <w:rPr>
                <w:sz w:val="20"/>
                <w:szCs w:val="20"/>
                <w:color w:val="auto"/>
              </w:rPr>
            </w:pPr>
            <w:r>
              <w:rPr>
                <w:rFonts w:ascii="Arial" w:cs="Arial" w:eastAsia="Arial" w:hAnsi="Arial"/>
                <w:sz w:val="13"/>
                <w:szCs w:val="13"/>
                <w:b w:val="1"/>
                <w:bCs w:val="1"/>
                <w:color w:val="auto"/>
              </w:rPr>
              <w:t>Title of Class of Securities:</w:t>
            </w:r>
          </w:p>
        </w:tc>
      </w:tr>
      <w:tr>
        <w:trPr>
          <w:trHeight w:val="131"/>
        </w:trPr>
        <w:tc>
          <w:tcPr>
            <w:tcW w:w="960" w:type="dxa"/>
            <w:vAlign w:val="bottom"/>
          </w:tcPr>
          <w:p>
            <w:pPr>
              <w:spacing w:after="0"/>
              <w:rPr>
                <w:sz w:val="11"/>
                <w:szCs w:val="11"/>
                <w:color w:val="auto"/>
              </w:rPr>
            </w:pPr>
          </w:p>
        </w:tc>
        <w:tc>
          <w:tcPr>
            <w:tcW w:w="10380" w:type="dxa"/>
            <w:vAlign w:val="bottom"/>
            <w:gridSpan w:val="2"/>
          </w:tcPr>
          <w:p>
            <w:pPr>
              <w:ind w:left="20"/>
              <w:spacing w:after="0" w:line="131" w:lineRule="exact"/>
              <w:rPr>
                <w:sz w:val="20"/>
                <w:szCs w:val="20"/>
                <w:color w:val="auto"/>
              </w:rPr>
            </w:pPr>
            <w:r>
              <w:rPr>
                <w:rFonts w:ascii="Arial" w:cs="Arial" w:eastAsia="Arial" w:hAnsi="Arial"/>
                <w:sz w:val="13"/>
                <w:szCs w:val="13"/>
                <w:color w:val="auto"/>
              </w:rPr>
              <w:t>Class A ordinary shares, par value of $0.001 per share (the “Class A Ordinary Shares”). The Issuer’s ordinary shares consist of Class A Ordinary</w:t>
            </w:r>
          </w:p>
        </w:tc>
      </w:tr>
      <w:tr>
        <w:trPr>
          <w:trHeight w:val="144"/>
        </w:trPr>
        <w:tc>
          <w:tcPr>
            <w:tcW w:w="960" w:type="dxa"/>
            <w:vAlign w:val="bottom"/>
          </w:tcPr>
          <w:p>
            <w:pPr>
              <w:spacing w:after="0"/>
              <w:rPr>
                <w:sz w:val="12"/>
                <w:szCs w:val="12"/>
                <w:color w:val="auto"/>
              </w:rPr>
            </w:pPr>
          </w:p>
        </w:tc>
        <w:tc>
          <w:tcPr>
            <w:tcW w:w="10380" w:type="dxa"/>
            <w:vAlign w:val="bottom"/>
            <w:gridSpan w:val="2"/>
          </w:tcPr>
          <w:p>
            <w:pPr>
              <w:spacing w:after="0" w:line="144" w:lineRule="exact"/>
              <w:rPr>
                <w:sz w:val="20"/>
                <w:szCs w:val="20"/>
                <w:color w:val="auto"/>
              </w:rPr>
            </w:pPr>
            <w:r>
              <w:rPr>
                <w:rFonts w:ascii="Arial" w:cs="Arial" w:eastAsia="Arial" w:hAnsi="Arial"/>
                <w:sz w:val="13"/>
                <w:szCs w:val="13"/>
                <w:color w:val="auto"/>
              </w:rPr>
              <w:t>Shares and Class B ordinary shares, par value of $0.001 per share (“Class B Ordinary Shares”). The rights of the holders of Class A Ordinary Shares</w:t>
            </w:r>
          </w:p>
        </w:tc>
      </w:tr>
      <w:tr>
        <w:trPr>
          <w:trHeight w:val="144"/>
        </w:trPr>
        <w:tc>
          <w:tcPr>
            <w:tcW w:w="960" w:type="dxa"/>
            <w:vAlign w:val="bottom"/>
          </w:tcPr>
          <w:p>
            <w:pPr>
              <w:spacing w:after="0"/>
              <w:rPr>
                <w:sz w:val="12"/>
                <w:szCs w:val="12"/>
                <w:color w:val="auto"/>
              </w:rPr>
            </w:pPr>
          </w:p>
        </w:tc>
        <w:tc>
          <w:tcPr>
            <w:tcW w:w="10380" w:type="dxa"/>
            <w:vAlign w:val="bottom"/>
            <w:gridSpan w:val="2"/>
          </w:tcPr>
          <w:p>
            <w:pPr>
              <w:spacing w:after="0" w:line="144" w:lineRule="exact"/>
              <w:rPr>
                <w:sz w:val="20"/>
                <w:szCs w:val="20"/>
                <w:color w:val="auto"/>
              </w:rPr>
            </w:pPr>
            <w:r>
              <w:rPr>
                <w:rFonts w:ascii="Arial" w:cs="Arial" w:eastAsia="Arial" w:hAnsi="Arial"/>
                <w:sz w:val="13"/>
                <w:szCs w:val="13"/>
                <w:color w:val="auto"/>
              </w:rPr>
              <w:t>and Class B Ordinary Shares are identical, except with respect to conversion rights and voting rights. Each Class B Ordinary Share is convertible at the</w:t>
            </w:r>
          </w:p>
        </w:tc>
      </w:tr>
      <w:tr>
        <w:trPr>
          <w:trHeight w:val="144"/>
        </w:trPr>
        <w:tc>
          <w:tcPr>
            <w:tcW w:w="960" w:type="dxa"/>
            <w:vAlign w:val="bottom"/>
          </w:tcPr>
          <w:p>
            <w:pPr>
              <w:spacing w:after="0"/>
              <w:rPr>
                <w:sz w:val="12"/>
                <w:szCs w:val="12"/>
                <w:color w:val="auto"/>
              </w:rPr>
            </w:pPr>
          </w:p>
        </w:tc>
        <w:tc>
          <w:tcPr>
            <w:tcW w:w="10380" w:type="dxa"/>
            <w:vAlign w:val="bottom"/>
            <w:gridSpan w:val="2"/>
          </w:tcPr>
          <w:p>
            <w:pPr>
              <w:spacing w:after="0" w:line="144" w:lineRule="exact"/>
              <w:rPr>
                <w:sz w:val="20"/>
                <w:szCs w:val="20"/>
                <w:color w:val="auto"/>
              </w:rPr>
            </w:pPr>
            <w:r>
              <w:rPr>
                <w:rFonts w:ascii="Arial" w:cs="Arial" w:eastAsia="Arial" w:hAnsi="Arial"/>
                <w:sz w:val="13"/>
                <w:szCs w:val="13"/>
                <w:color w:val="auto"/>
              </w:rPr>
              <w:t>option of the holder at any time into one Class A Ordinary Share. Each Class B Ordinary Share is entitled to twenty (20) votes per share, whereas each</w:t>
            </w:r>
          </w:p>
        </w:tc>
      </w:tr>
      <w:tr>
        <w:trPr>
          <w:trHeight w:val="144"/>
        </w:trPr>
        <w:tc>
          <w:tcPr>
            <w:tcW w:w="960" w:type="dxa"/>
            <w:vAlign w:val="bottom"/>
          </w:tcPr>
          <w:p>
            <w:pPr>
              <w:spacing w:after="0"/>
              <w:rPr>
                <w:sz w:val="12"/>
                <w:szCs w:val="12"/>
                <w:color w:val="auto"/>
              </w:rPr>
            </w:pPr>
          </w:p>
        </w:tc>
        <w:tc>
          <w:tcPr>
            <w:tcW w:w="10380" w:type="dxa"/>
            <w:vAlign w:val="bottom"/>
            <w:tcBorders>
              <w:bottom w:val="single" w:sz="8" w:color="auto"/>
            </w:tcBorders>
            <w:gridSpan w:val="2"/>
          </w:tcPr>
          <w:p>
            <w:pPr>
              <w:spacing w:after="0" w:line="144" w:lineRule="exact"/>
              <w:rPr>
                <w:sz w:val="20"/>
                <w:szCs w:val="20"/>
                <w:color w:val="auto"/>
              </w:rPr>
            </w:pPr>
            <w:r>
              <w:rPr>
                <w:rFonts w:ascii="Arial" w:cs="Arial" w:eastAsia="Arial" w:hAnsi="Arial"/>
                <w:sz w:val="13"/>
                <w:szCs w:val="13"/>
                <w:color w:val="auto"/>
              </w:rPr>
              <w:t>Class A Ordinary Share is entitled to one vote per share.</w:t>
            </w:r>
          </w:p>
        </w:tc>
      </w:tr>
      <w:tr>
        <w:trPr>
          <w:trHeight w:val="215"/>
        </w:trPr>
        <w:tc>
          <w:tcPr>
            <w:tcW w:w="960" w:type="dxa"/>
            <w:vAlign w:val="bottom"/>
          </w:tcPr>
          <w:p>
            <w:pPr>
              <w:spacing w:after="0"/>
              <w:rPr>
                <w:sz w:val="20"/>
                <w:szCs w:val="20"/>
                <w:color w:val="auto"/>
              </w:rPr>
            </w:pPr>
            <w:r>
              <w:rPr>
                <w:rFonts w:ascii="Arial" w:cs="Arial" w:eastAsia="Arial" w:hAnsi="Arial"/>
                <w:sz w:val="13"/>
                <w:szCs w:val="13"/>
                <w:b w:val="1"/>
                <w:bCs w:val="1"/>
                <w:color w:val="auto"/>
              </w:rPr>
              <w:t>Item 2(e)</w:t>
            </w:r>
          </w:p>
        </w:tc>
        <w:tc>
          <w:tcPr>
            <w:tcW w:w="1038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CUSIP No.:</w:t>
            </w:r>
          </w:p>
        </w:tc>
      </w:tr>
      <w:tr>
        <w:trPr>
          <w:trHeight w:val="111"/>
        </w:trPr>
        <w:tc>
          <w:tcPr>
            <w:tcW w:w="960" w:type="dxa"/>
            <w:vAlign w:val="bottom"/>
          </w:tcPr>
          <w:p>
            <w:pPr>
              <w:spacing w:after="0"/>
              <w:rPr>
                <w:sz w:val="9"/>
                <w:szCs w:val="9"/>
                <w:color w:val="auto"/>
              </w:rPr>
            </w:pPr>
          </w:p>
        </w:tc>
        <w:tc>
          <w:tcPr>
            <w:tcW w:w="10380" w:type="dxa"/>
            <w:vAlign w:val="bottom"/>
            <w:tcBorders>
              <w:bottom w:val="single" w:sz="8" w:color="auto"/>
            </w:tcBorders>
            <w:gridSpan w:val="2"/>
          </w:tcPr>
          <w:p>
            <w:pPr>
              <w:spacing w:after="0" w:line="111" w:lineRule="exact"/>
              <w:rPr>
                <w:sz w:val="20"/>
                <w:szCs w:val="20"/>
                <w:color w:val="auto"/>
              </w:rPr>
            </w:pPr>
            <w:r>
              <w:rPr>
                <w:rFonts w:ascii="Arial" w:cs="Arial" w:eastAsia="Arial" w:hAnsi="Arial"/>
                <w:sz w:val="12"/>
                <w:szCs w:val="12"/>
                <w:color w:val="auto"/>
              </w:rPr>
              <w:t>G47048 106</w:t>
            </w:r>
          </w:p>
        </w:tc>
      </w:tr>
      <w:tr>
        <w:trPr>
          <w:trHeight w:val="215"/>
        </w:trPr>
        <w:tc>
          <w:tcPr>
            <w:tcW w:w="960" w:type="dxa"/>
            <w:vAlign w:val="bottom"/>
          </w:tcPr>
          <w:p>
            <w:pPr>
              <w:spacing w:after="0"/>
              <w:rPr>
                <w:sz w:val="20"/>
                <w:szCs w:val="20"/>
                <w:color w:val="auto"/>
              </w:rPr>
            </w:pPr>
            <w:r>
              <w:rPr>
                <w:rFonts w:ascii="Arial" w:cs="Arial" w:eastAsia="Arial" w:hAnsi="Arial"/>
                <w:sz w:val="13"/>
                <w:szCs w:val="13"/>
                <w:b w:val="1"/>
                <w:bCs w:val="1"/>
                <w:color w:val="auto"/>
              </w:rPr>
              <w:t>Item 3.</w:t>
            </w:r>
          </w:p>
        </w:tc>
        <w:tc>
          <w:tcPr>
            <w:tcW w:w="1038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If this statement is filed pursuant to §§ 240.13d-1(b), or 240.13d-2(b) or (c), check whether the persons filing is a:</w:t>
            </w:r>
          </w:p>
        </w:tc>
      </w:tr>
      <w:tr>
        <w:trPr>
          <w:trHeight w:val="253"/>
        </w:trPr>
        <w:tc>
          <w:tcPr>
            <w:tcW w:w="960" w:type="dxa"/>
            <w:vAlign w:val="bottom"/>
          </w:tcPr>
          <w:p>
            <w:pPr>
              <w:spacing w:after="0"/>
              <w:rPr>
                <w:sz w:val="21"/>
                <w:szCs w:val="21"/>
                <w:color w:val="auto"/>
              </w:rPr>
            </w:pPr>
          </w:p>
        </w:tc>
        <w:tc>
          <w:tcPr>
            <w:tcW w:w="10380" w:type="dxa"/>
            <w:vAlign w:val="bottom"/>
            <w:gridSpan w:val="2"/>
          </w:tcPr>
          <w:p>
            <w:pPr>
              <w:spacing w:after="0"/>
              <w:rPr>
                <w:sz w:val="20"/>
                <w:szCs w:val="20"/>
                <w:color w:val="auto"/>
              </w:rPr>
            </w:pPr>
            <w:r>
              <w:rPr>
                <w:rFonts w:ascii="Arial" w:cs="Arial" w:eastAsia="Arial" w:hAnsi="Arial"/>
                <w:sz w:val="13"/>
                <w:szCs w:val="13"/>
                <w:color w:val="auto"/>
              </w:rPr>
              <w:t>Not applicable</w:t>
            </w:r>
          </w:p>
        </w:tc>
      </w:tr>
      <w:tr>
        <w:trPr>
          <w:trHeight w:val="914"/>
        </w:trPr>
        <w:tc>
          <w:tcPr>
            <w:tcW w:w="960" w:type="dxa"/>
            <w:vAlign w:val="bottom"/>
          </w:tcPr>
          <w:p>
            <w:pPr>
              <w:spacing w:after="0"/>
              <w:rPr>
                <w:sz w:val="24"/>
                <w:szCs w:val="24"/>
                <w:color w:val="auto"/>
              </w:rPr>
            </w:pPr>
          </w:p>
        </w:tc>
        <w:tc>
          <w:tcPr>
            <w:tcW w:w="10300" w:type="dxa"/>
            <w:vAlign w:val="bottom"/>
          </w:tcPr>
          <w:p>
            <w:pPr>
              <w:ind w:left="4620"/>
              <w:spacing w:after="0"/>
              <w:rPr>
                <w:sz w:val="20"/>
                <w:szCs w:val="20"/>
                <w:color w:val="auto"/>
              </w:rPr>
            </w:pPr>
            <w:r>
              <w:rPr>
                <w:rFonts w:ascii="Arial" w:cs="Arial" w:eastAsia="Arial" w:hAnsi="Arial"/>
                <w:sz w:val="13"/>
                <w:szCs w:val="13"/>
                <w:color w:val="auto"/>
              </w:rPr>
              <w:t>4</w:t>
            </w:r>
          </w:p>
        </w:tc>
        <w:tc>
          <w:tcPr>
            <w:tcW w:w="80" w:type="dxa"/>
            <w:vAlign w:val="bottom"/>
          </w:tcPr>
          <w:p>
            <w:pPr>
              <w:spacing w:after="0"/>
              <w:rPr>
                <w:sz w:val="24"/>
                <w:szCs w:val="24"/>
                <w:color w:val="auto"/>
              </w:rPr>
            </w:pPr>
          </w:p>
        </w:tc>
      </w:tr>
      <w:tr>
        <w:trPr>
          <w:trHeight w:val="373"/>
        </w:trPr>
        <w:tc>
          <w:tcPr>
            <w:tcW w:w="960" w:type="dxa"/>
            <w:vAlign w:val="bottom"/>
            <w:tcBorders>
              <w:bottom w:val="single" w:sz="8" w:color="9A9A9A"/>
            </w:tcBorders>
          </w:tcPr>
          <w:p>
            <w:pPr>
              <w:spacing w:after="0"/>
              <w:rPr>
                <w:sz w:val="24"/>
                <w:szCs w:val="24"/>
                <w:color w:val="auto"/>
              </w:rPr>
            </w:pPr>
          </w:p>
        </w:tc>
        <w:tc>
          <w:tcPr>
            <w:tcW w:w="10300" w:type="dxa"/>
            <w:vAlign w:val="bottom"/>
            <w:tcBorders>
              <w:bottom w:val="single" w:sz="8" w:color="9A9A9A"/>
            </w:tcBorders>
          </w:tcPr>
          <w:p>
            <w:pPr>
              <w:spacing w:after="0"/>
              <w:rPr>
                <w:sz w:val="24"/>
                <w:szCs w:val="24"/>
                <w:color w:val="auto"/>
              </w:rPr>
            </w:pPr>
          </w:p>
        </w:tc>
        <w:tc>
          <w:tcPr>
            <w:tcW w:w="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7148195</wp:posOffset>
            </wp:positionH>
            <wp:positionV relativeFrom="paragraph">
              <wp:posOffset>-7620</wp:posOffset>
            </wp:positionV>
            <wp:extent cx="82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-15875</wp:posOffset>
            </wp:positionV>
            <wp:extent cx="8255" cy="16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255" cy="1651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-256540</wp:posOffset>
            </wp:positionV>
            <wp:extent cx="6308090" cy="330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08090" cy="33020"/>
                    </a:xfrm>
                    <a:prstGeom prst="rect">
                      <a:avLst/>
                    </a:prstGeom>
                    <a:noFill/>
                  </pic:spPr>
                </pic:pic>
              </a:graphicData>
            </a:graphic>
          </wp:anchor>
        </w:drawing>
      </w:r>
    </w:p>
    <w:p>
      <w:pPr>
        <w:sectPr>
          <w:pgSz w:w="11900" w:h="16838" w:orient="portrait"/>
          <w:cols w:equalWidth="0" w:num="1">
            <w:col w:w="11340"/>
          </w:cols>
          <w:pgMar w:left="320" w:top="345" w:right="239" w:bottom="1440" w:gutter="0" w:footer="0" w:header="0"/>
        </w:sectPr>
      </w:pPr>
    </w:p>
    <w:bookmarkStart w:id="4" w:name="page5"/>
    <w:bookmarkEnd w:id="4"/>
    <w:p>
      <w:pPr>
        <w:ind w:left="60"/>
        <w:spacing w:after="0"/>
        <w:tabs>
          <w:tab w:leader="none" w:pos="1080" w:val="left"/>
        </w:tabs>
        <w:rPr>
          <w:sz w:val="20"/>
          <w:szCs w:val="20"/>
          <w:color w:val="auto"/>
        </w:rPr>
      </w:pPr>
      <w:r>
        <w:rPr>
          <w:rFonts w:ascii="Arial" w:cs="Arial" w:eastAsia="Arial" w:hAnsi="Arial"/>
          <w:sz w:val="13"/>
          <w:szCs w:val="13"/>
          <w:b w:val="1"/>
          <w:bCs w:val="1"/>
          <w:color w:val="auto"/>
        </w:rPr>
        <w:t>Item 4.</w:t>
      </w:r>
      <w:r>
        <w:rPr>
          <w:sz w:val="20"/>
          <w:szCs w:val="20"/>
          <w:color w:val="auto"/>
        </w:rPr>
        <w:tab/>
      </w:r>
      <w:r>
        <w:rPr>
          <w:rFonts w:ascii="Arial" w:cs="Arial" w:eastAsia="Arial" w:hAnsi="Arial"/>
          <w:sz w:val="13"/>
          <w:szCs w:val="13"/>
          <w:b w:val="1"/>
          <w:bCs w:val="1"/>
          <w:u w:val="single" w:color="auto"/>
          <w:color w:val="auto"/>
        </w:rPr>
        <w:t>Ownership</w:t>
      </w:r>
    </w:p>
    <w:p>
      <w:pPr>
        <w:spacing w:after="0" w:line="206" w:lineRule="exact"/>
        <w:rPr>
          <w:sz w:val="20"/>
          <w:szCs w:val="20"/>
          <w:color w:val="auto"/>
        </w:rPr>
      </w:pPr>
    </w:p>
    <w:p>
      <w:pPr>
        <w:spacing w:after="0"/>
        <w:rPr>
          <w:sz w:val="20"/>
          <w:szCs w:val="20"/>
          <w:color w:val="auto"/>
        </w:rPr>
      </w:pPr>
      <w:r>
        <w:rPr>
          <w:rFonts w:ascii="Arial" w:cs="Arial" w:eastAsia="Arial" w:hAnsi="Arial"/>
          <w:sz w:val="13"/>
          <w:szCs w:val="13"/>
          <w:color w:val="auto"/>
        </w:rPr>
        <w:t>The following information with respect to the ownership of the Class A Ordinary Shares by each of the reporting persons is provided as of December 31, 2020:</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9"/>
              </w:rPr>
              <w:t>Sole Power</w:t>
            </w: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w w:val="99"/>
              </w:rPr>
              <w:t>Shared</w:t>
            </w:r>
          </w:p>
        </w:tc>
      </w:tr>
      <w:tr>
        <w:trPr>
          <w:trHeight w:val="157"/>
        </w:trPr>
        <w:tc>
          <w:tcPr>
            <w:tcW w:w="2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7"/>
              </w:rPr>
              <w:t>to</w:t>
            </w:r>
          </w:p>
        </w:tc>
        <w:tc>
          <w:tcPr>
            <w:tcW w:w="128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9"/>
              </w:rPr>
              <w:t>Shared</w:t>
            </w:r>
          </w:p>
        </w:tc>
        <w:tc>
          <w:tcPr>
            <w:tcW w:w="128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9"/>
              </w:rPr>
              <w:t>Sole Power to</w:t>
            </w: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rPr>
              <w:t>Power to</w:t>
            </w:r>
          </w:p>
        </w:tc>
      </w:tr>
      <w:tr>
        <w:trPr>
          <w:trHeight w:val="157"/>
        </w:trPr>
        <w:tc>
          <w:tcPr>
            <w:tcW w:w="2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center"/>
              <w:spacing w:after="0"/>
              <w:rPr>
                <w:sz w:val="20"/>
                <w:szCs w:val="20"/>
                <w:color w:val="auto"/>
              </w:rPr>
            </w:pPr>
            <w:r>
              <w:rPr>
                <w:rFonts w:ascii="Arial" w:cs="Arial" w:eastAsia="Arial" w:hAnsi="Arial"/>
                <w:sz w:val="13"/>
                <w:szCs w:val="13"/>
                <w:b w:val="1"/>
                <w:bCs w:val="1"/>
                <w:color w:val="auto"/>
              </w:rPr>
              <w:t>Amount</w:t>
            </w:r>
          </w:p>
        </w:tc>
        <w:tc>
          <w:tcPr>
            <w:tcW w:w="1280" w:type="dxa"/>
            <w:vAlign w:val="bottom"/>
            <w:gridSpan w:val="2"/>
          </w:tcPr>
          <w:p>
            <w:pPr>
              <w:jc w:val="center"/>
              <w:spacing w:after="0"/>
              <w:rPr>
                <w:sz w:val="20"/>
                <w:szCs w:val="20"/>
                <w:color w:val="auto"/>
              </w:rPr>
            </w:pPr>
            <w:r>
              <w:rPr>
                <w:rFonts w:ascii="Arial" w:cs="Arial" w:eastAsia="Arial" w:hAnsi="Arial"/>
                <w:sz w:val="13"/>
                <w:szCs w:val="13"/>
                <w:b w:val="1"/>
                <w:bCs w:val="1"/>
                <w:color w:val="auto"/>
              </w:rPr>
              <w:t>Percent</w:t>
            </w:r>
          </w:p>
        </w:tc>
        <w:tc>
          <w:tcPr>
            <w:tcW w:w="128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8"/>
              </w:rPr>
              <w:t>Vote or</w:t>
            </w:r>
          </w:p>
        </w:tc>
        <w:tc>
          <w:tcPr>
            <w:tcW w:w="128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rPr>
              <w:t>Power</w:t>
            </w:r>
          </w:p>
        </w:tc>
        <w:tc>
          <w:tcPr>
            <w:tcW w:w="128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rPr>
              <w:t>Dispose or to</w:t>
            </w: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rPr>
              <w:t>Dispose or to</w:t>
            </w:r>
          </w:p>
        </w:tc>
      </w:tr>
      <w:tr>
        <w:trPr>
          <w:trHeight w:val="157"/>
        </w:trPr>
        <w:tc>
          <w:tcPr>
            <w:tcW w:w="2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9"/>
              </w:rPr>
              <w:t>Beneficially</w:t>
            </w:r>
          </w:p>
        </w:tc>
        <w:tc>
          <w:tcPr>
            <w:tcW w:w="12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7"/>
              </w:rPr>
              <w:t>of</w:t>
            </w:r>
          </w:p>
        </w:tc>
        <w:tc>
          <w:tcPr>
            <w:tcW w:w="128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7"/>
              </w:rPr>
              <w:t>Direct</w:t>
            </w:r>
          </w:p>
        </w:tc>
        <w:tc>
          <w:tcPr>
            <w:tcW w:w="1280" w:type="dxa"/>
            <w:vAlign w:val="bottom"/>
            <w:gridSpan w:val="2"/>
          </w:tcPr>
          <w:p>
            <w:pPr>
              <w:ind w:left="240"/>
              <w:spacing w:after="0"/>
              <w:rPr>
                <w:sz w:val="20"/>
                <w:szCs w:val="20"/>
                <w:color w:val="auto"/>
              </w:rPr>
            </w:pPr>
            <w:r>
              <w:rPr>
                <w:rFonts w:ascii="Arial" w:cs="Arial" w:eastAsia="Arial" w:hAnsi="Arial"/>
                <w:sz w:val="13"/>
                <w:szCs w:val="13"/>
                <w:b w:val="1"/>
                <w:bCs w:val="1"/>
                <w:color w:val="auto"/>
              </w:rPr>
              <w:t>to Vote or to</w:t>
            </w:r>
          </w:p>
        </w:tc>
        <w:tc>
          <w:tcPr>
            <w:tcW w:w="128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9"/>
              </w:rPr>
              <w:t>Direct the</w:t>
            </w: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w w:val="99"/>
              </w:rPr>
              <w:t>Direct the</w:t>
            </w:r>
          </w:p>
        </w:tc>
      </w:tr>
      <w:tr>
        <w:trPr>
          <w:trHeight w:val="160"/>
        </w:trPr>
        <w:tc>
          <w:tcPr>
            <w:tcW w:w="22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Reporting Person:</w:t>
            </w:r>
          </w:p>
        </w:tc>
        <w:tc>
          <w:tcPr>
            <w:tcW w:w="100" w:type="dxa"/>
            <w:vAlign w:val="bottom"/>
            <w:tcBorders>
              <w:bottom w:val="single" w:sz="8" w:color="CFF0FC"/>
            </w:tcBorders>
          </w:tcPr>
          <w:p>
            <w:pPr>
              <w:spacing w:after="0"/>
              <w:rPr>
                <w:sz w:val="13"/>
                <w:szCs w:val="13"/>
                <w:color w:val="auto"/>
              </w:rPr>
            </w:pPr>
          </w:p>
        </w:tc>
        <w:tc>
          <w:tcPr>
            <w:tcW w:w="1160" w:type="dxa"/>
            <w:vAlign w:val="bottom"/>
            <w:tcBorders>
              <w:bottom w:val="single" w:sz="8" w:color="auto"/>
            </w:tcBorders>
          </w:tcPr>
          <w:p>
            <w:pPr>
              <w:ind w:left="340"/>
              <w:spacing w:after="0"/>
              <w:rPr>
                <w:sz w:val="20"/>
                <w:szCs w:val="20"/>
                <w:color w:val="auto"/>
              </w:rPr>
            </w:pPr>
            <w:r>
              <w:rPr>
                <w:rFonts w:ascii="Arial" w:cs="Arial" w:eastAsia="Arial" w:hAnsi="Arial"/>
                <w:sz w:val="13"/>
                <w:szCs w:val="13"/>
                <w:b w:val="1"/>
                <w:bCs w:val="1"/>
                <w:color w:val="auto"/>
              </w:rPr>
              <w:t>Owned:</w:t>
            </w:r>
          </w:p>
        </w:tc>
        <w:tc>
          <w:tcPr>
            <w:tcW w:w="100" w:type="dxa"/>
            <w:vAlign w:val="bottom"/>
            <w:tcBorders>
              <w:bottom w:val="single" w:sz="8" w:color="CFF0FC"/>
            </w:tcBorders>
          </w:tcPr>
          <w:p>
            <w:pPr>
              <w:spacing w:after="0"/>
              <w:rPr>
                <w:sz w:val="13"/>
                <w:szCs w:val="13"/>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Class:(1)</w:t>
            </w:r>
          </w:p>
        </w:tc>
        <w:tc>
          <w:tcPr>
            <w:tcW w:w="120" w:type="dxa"/>
            <w:vAlign w:val="bottom"/>
            <w:tcBorders>
              <w:bottom w:val="single" w:sz="8" w:color="CFF0FC"/>
            </w:tcBorders>
          </w:tcPr>
          <w:p>
            <w:pPr>
              <w:spacing w:after="0"/>
              <w:rPr>
                <w:sz w:val="13"/>
                <w:szCs w:val="13"/>
                <w:color w:val="auto"/>
              </w:rPr>
            </w:pPr>
          </w:p>
        </w:tc>
        <w:tc>
          <w:tcPr>
            <w:tcW w:w="1160" w:type="dxa"/>
            <w:vAlign w:val="bottom"/>
            <w:tcBorders>
              <w:bottom w:val="single" w:sz="8" w:color="auto"/>
            </w:tcBorders>
          </w:tcPr>
          <w:p>
            <w:pPr>
              <w:ind w:left="300"/>
              <w:spacing w:after="0"/>
              <w:rPr>
                <w:sz w:val="20"/>
                <w:szCs w:val="20"/>
                <w:color w:val="auto"/>
              </w:rPr>
            </w:pPr>
            <w:r>
              <w:rPr>
                <w:rFonts w:ascii="Arial" w:cs="Arial" w:eastAsia="Arial" w:hAnsi="Arial"/>
                <w:sz w:val="13"/>
                <w:szCs w:val="13"/>
                <w:b w:val="1"/>
                <w:bCs w:val="1"/>
                <w:color w:val="auto"/>
              </w:rPr>
              <w:t>the Vote:</w:t>
            </w:r>
          </w:p>
        </w:tc>
        <w:tc>
          <w:tcPr>
            <w:tcW w:w="120" w:type="dxa"/>
            <w:vAlign w:val="bottom"/>
            <w:tcBorders>
              <w:bottom w:val="single" w:sz="8" w:color="CFF0FC"/>
            </w:tcBorders>
          </w:tcPr>
          <w:p>
            <w:pPr>
              <w:spacing w:after="0"/>
              <w:rPr>
                <w:sz w:val="13"/>
                <w:szCs w:val="13"/>
                <w:color w:val="auto"/>
              </w:rPr>
            </w:pPr>
          </w:p>
        </w:tc>
        <w:tc>
          <w:tcPr>
            <w:tcW w:w="116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Direct the Vote:</w:t>
            </w:r>
          </w:p>
        </w:tc>
        <w:tc>
          <w:tcPr>
            <w:tcW w:w="120" w:type="dxa"/>
            <w:vAlign w:val="bottom"/>
            <w:tcBorders>
              <w:bottom w:val="single" w:sz="8" w:color="CFF0FC"/>
            </w:tcBorders>
          </w:tcPr>
          <w:p>
            <w:pPr>
              <w:spacing w:after="0"/>
              <w:rPr>
                <w:sz w:val="13"/>
                <w:szCs w:val="13"/>
                <w:color w:val="auto"/>
              </w:rPr>
            </w:pPr>
          </w:p>
        </w:tc>
        <w:tc>
          <w:tcPr>
            <w:tcW w:w="116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Disposition of:</w:t>
            </w:r>
          </w:p>
        </w:tc>
        <w:tc>
          <w:tcPr>
            <w:tcW w:w="120" w:type="dxa"/>
            <w:vAlign w:val="bottom"/>
            <w:tcBorders>
              <w:bottom w:val="single" w:sz="8" w:color="CFF0FC"/>
            </w:tcBorders>
          </w:tcPr>
          <w:p>
            <w:pPr>
              <w:spacing w:after="0"/>
              <w:rPr>
                <w:sz w:val="13"/>
                <w:szCs w:val="13"/>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Disposition of:</w:t>
            </w:r>
          </w:p>
        </w:tc>
      </w:tr>
      <w:tr>
        <w:trPr>
          <w:trHeight w:val="124"/>
        </w:trPr>
        <w:tc>
          <w:tcPr>
            <w:tcW w:w="2280" w:type="dxa"/>
            <w:vAlign w:val="bottom"/>
            <w:shd w:val="clear" w:color="auto" w:fill="CFF0FC"/>
          </w:tcPr>
          <w:p>
            <w:pPr>
              <w:spacing w:after="0" w:line="124" w:lineRule="exact"/>
              <w:rPr>
                <w:sz w:val="20"/>
                <w:szCs w:val="20"/>
                <w:color w:val="auto"/>
              </w:rPr>
            </w:pPr>
            <w:r>
              <w:rPr>
                <w:rFonts w:ascii="Arial" w:cs="Arial" w:eastAsia="Arial" w:hAnsi="Arial"/>
                <w:sz w:val="13"/>
                <w:szCs w:val="13"/>
                <w:color w:val="auto"/>
              </w:rPr>
              <w:t>Jiping Liu</w:t>
            </w:r>
          </w:p>
        </w:tc>
        <w:tc>
          <w:tcPr>
            <w:tcW w:w="1260" w:type="dxa"/>
            <w:vAlign w:val="bottom"/>
            <w:gridSpan w:val="2"/>
            <w:shd w:val="clear" w:color="auto" w:fill="CFF0FC"/>
          </w:tcPr>
          <w:p>
            <w:pPr>
              <w:jc w:val="right"/>
              <w:ind w:right="135"/>
              <w:spacing w:after="0" w:line="124" w:lineRule="exact"/>
              <w:rPr>
                <w:sz w:val="20"/>
                <w:szCs w:val="20"/>
                <w:color w:val="auto"/>
              </w:rPr>
            </w:pPr>
            <w:r>
              <w:rPr>
                <w:rFonts w:ascii="Arial" w:cs="Arial" w:eastAsia="Arial" w:hAnsi="Arial"/>
                <w:sz w:val="13"/>
                <w:szCs w:val="13"/>
                <w:color w:val="auto"/>
              </w:rPr>
              <w:t>1,254,716 (2)</w:t>
            </w:r>
          </w:p>
        </w:tc>
        <w:tc>
          <w:tcPr>
            <w:tcW w:w="100" w:type="dxa"/>
            <w:vAlign w:val="bottom"/>
            <w:shd w:val="clear" w:color="auto" w:fill="CFF0FC"/>
          </w:tcPr>
          <w:p>
            <w:pPr>
              <w:spacing w:after="0"/>
              <w:rPr>
                <w:sz w:val="10"/>
                <w:szCs w:val="10"/>
                <w:color w:val="auto"/>
              </w:rPr>
            </w:pPr>
          </w:p>
        </w:tc>
        <w:tc>
          <w:tcPr>
            <w:tcW w:w="1160" w:type="dxa"/>
            <w:vAlign w:val="bottom"/>
            <w:shd w:val="clear" w:color="auto" w:fill="CFF0FC"/>
          </w:tcPr>
          <w:p>
            <w:pPr>
              <w:jc w:val="center"/>
              <w:spacing w:after="0" w:line="124" w:lineRule="exact"/>
              <w:rPr>
                <w:sz w:val="20"/>
                <w:szCs w:val="20"/>
                <w:color w:val="auto"/>
              </w:rPr>
            </w:pPr>
            <w:r>
              <w:rPr>
                <w:rFonts w:ascii="Arial" w:cs="Arial" w:eastAsia="Arial" w:hAnsi="Arial"/>
                <w:sz w:val="13"/>
                <w:szCs w:val="13"/>
                <w:color w:val="auto"/>
              </w:rPr>
              <w:t>2.8%</w:t>
            </w:r>
          </w:p>
        </w:tc>
        <w:tc>
          <w:tcPr>
            <w:tcW w:w="120" w:type="dxa"/>
            <w:vAlign w:val="bottom"/>
            <w:shd w:val="clear" w:color="auto" w:fill="CFF0FC"/>
          </w:tcPr>
          <w:p>
            <w:pPr>
              <w:spacing w:after="0"/>
              <w:rPr>
                <w:sz w:val="10"/>
                <w:szCs w:val="10"/>
                <w:color w:val="auto"/>
              </w:rPr>
            </w:pPr>
          </w:p>
        </w:tc>
        <w:tc>
          <w:tcPr>
            <w:tcW w:w="1160" w:type="dxa"/>
            <w:vAlign w:val="bottom"/>
            <w:shd w:val="clear" w:color="auto" w:fill="CFF0FC"/>
          </w:tcPr>
          <w:p>
            <w:pPr>
              <w:jc w:val="right"/>
              <w:ind w:right="135"/>
              <w:spacing w:after="0" w:line="124" w:lineRule="exact"/>
              <w:rPr>
                <w:sz w:val="20"/>
                <w:szCs w:val="20"/>
                <w:color w:val="auto"/>
              </w:rPr>
            </w:pPr>
            <w:r>
              <w:rPr>
                <w:rFonts w:ascii="Arial" w:cs="Arial" w:eastAsia="Arial" w:hAnsi="Arial"/>
                <w:sz w:val="13"/>
                <w:szCs w:val="13"/>
                <w:color w:val="auto"/>
              </w:rPr>
              <w:t>1,117,216 (2)</w:t>
            </w:r>
          </w:p>
        </w:tc>
        <w:tc>
          <w:tcPr>
            <w:tcW w:w="120" w:type="dxa"/>
            <w:vAlign w:val="bottom"/>
            <w:shd w:val="clear" w:color="auto" w:fill="CFF0FC"/>
          </w:tcPr>
          <w:p>
            <w:pPr>
              <w:spacing w:after="0"/>
              <w:rPr>
                <w:sz w:val="10"/>
                <w:szCs w:val="10"/>
                <w:color w:val="auto"/>
              </w:rPr>
            </w:pPr>
          </w:p>
        </w:tc>
        <w:tc>
          <w:tcPr>
            <w:tcW w:w="1160" w:type="dxa"/>
            <w:vAlign w:val="bottom"/>
            <w:shd w:val="clear" w:color="auto" w:fill="CFF0FC"/>
          </w:tcPr>
          <w:p>
            <w:pPr>
              <w:ind w:left="240"/>
              <w:spacing w:after="0" w:line="124" w:lineRule="exact"/>
              <w:rPr>
                <w:sz w:val="20"/>
                <w:szCs w:val="20"/>
                <w:color w:val="auto"/>
              </w:rPr>
            </w:pPr>
            <w:r>
              <w:rPr>
                <w:rFonts w:ascii="Arial" w:cs="Arial" w:eastAsia="Arial" w:hAnsi="Arial"/>
                <w:sz w:val="13"/>
                <w:szCs w:val="13"/>
                <w:color w:val="auto"/>
              </w:rPr>
              <w:t>137,500 (2)</w:t>
            </w:r>
          </w:p>
        </w:tc>
        <w:tc>
          <w:tcPr>
            <w:tcW w:w="120" w:type="dxa"/>
            <w:vAlign w:val="bottom"/>
            <w:shd w:val="clear" w:color="auto" w:fill="CFF0FC"/>
          </w:tcPr>
          <w:p>
            <w:pPr>
              <w:spacing w:after="0"/>
              <w:rPr>
                <w:sz w:val="10"/>
                <w:szCs w:val="10"/>
                <w:color w:val="auto"/>
              </w:rPr>
            </w:pPr>
          </w:p>
        </w:tc>
        <w:tc>
          <w:tcPr>
            <w:tcW w:w="1160" w:type="dxa"/>
            <w:vAlign w:val="bottom"/>
            <w:shd w:val="clear" w:color="auto" w:fill="CFF0FC"/>
          </w:tcPr>
          <w:p>
            <w:pPr>
              <w:jc w:val="right"/>
              <w:ind w:right="135"/>
              <w:spacing w:after="0" w:line="124" w:lineRule="exact"/>
              <w:rPr>
                <w:sz w:val="20"/>
                <w:szCs w:val="20"/>
                <w:color w:val="auto"/>
              </w:rPr>
            </w:pPr>
            <w:r>
              <w:rPr>
                <w:rFonts w:ascii="Arial" w:cs="Arial" w:eastAsia="Arial" w:hAnsi="Arial"/>
                <w:sz w:val="13"/>
                <w:szCs w:val="13"/>
                <w:color w:val="auto"/>
              </w:rPr>
              <w:t>1,117,216 (2)</w:t>
            </w:r>
          </w:p>
        </w:tc>
        <w:tc>
          <w:tcPr>
            <w:tcW w:w="120" w:type="dxa"/>
            <w:vAlign w:val="bottom"/>
            <w:shd w:val="clear" w:color="auto" w:fill="CFF0FC"/>
          </w:tcPr>
          <w:p>
            <w:pPr>
              <w:spacing w:after="0"/>
              <w:rPr>
                <w:sz w:val="10"/>
                <w:szCs w:val="10"/>
                <w:color w:val="auto"/>
              </w:rPr>
            </w:pPr>
          </w:p>
        </w:tc>
        <w:tc>
          <w:tcPr>
            <w:tcW w:w="1180" w:type="dxa"/>
            <w:vAlign w:val="bottom"/>
            <w:shd w:val="clear" w:color="auto" w:fill="CFF0FC"/>
          </w:tcPr>
          <w:p>
            <w:pPr>
              <w:jc w:val="center"/>
              <w:spacing w:after="0" w:line="124" w:lineRule="exact"/>
              <w:rPr>
                <w:sz w:val="20"/>
                <w:szCs w:val="20"/>
                <w:color w:val="auto"/>
              </w:rPr>
            </w:pPr>
            <w:r>
              <w:rPr>
                <w:rFonts w:ascii="Arial" w:cs="Arial" w:eastAsia="Arial" w:hAnsi="Arial"/>
                <w:sz w:val="13"/>
                <w:szCs w:val="13"/>
                <w:color w:val="auto"/>
                <w:w w:val="99"/>
              </w:rPr>
              <w:t>137,500 (2)</w:t>
            </w:r>
          </w:p>
        </w:tc>
      </w:tr>
      <w:tr>
        <w:trPr>
          <w:trHeight w:val="182"/>
        </w:trPr>
        <w:tc>
          <w:tcPr>
            <w:tcW w:w="2280" w:type="dxa"/>
            <w:vAlign w:val="bottom"/>
          </w:tcPr>
          <w:p>
            <w:pPr>
              <w:spacing w:after="0"/>
              <w:rPr>
                <w:sz w:val="20"/>
                <w:szCs w:val="20"/>
                <w:color w:val="auto"/>
              </w:rPr>
            </w:pPr>
            <w:r>
              <w:rPr>
                <w:rFonts w:ascii="Arial" w:cs="Arial" w:eastAsia="Arial" w:hAnsi="Arial"/>
                <w:sz w:val="13"/>
                <w:szCs w:val="13"/>
                <w:color w:val="auto"/>
              </w:rPr>
              <w:t>Maestro Investment Holdings Limited</w:t>
            </w:r>
          </w:p>
        </w:tc>
        <w:tc>
          <w:tcPr>
            <w:tcW w:w="1260" w:type="dxa"/>
            <w:vAlign w:val="bottom"/>
            <w:gridSpan w:val="2"/>
          </w:tcPr>
          <w:p>
            <w:pPr>
              <w:jc w:val="right"/>
              <w:ind w:right="175"/>
              <w:spacing w:after="0"/>
              <w:rPr>
                <w:sz w:val="20"/>
                <w:szCs w:val="20"/>
                <w:color w:val="auto"/>
              </w:rPr>
            </w:pPr>
            <w:r>
              <w:rPr>
                <w:rFonts w:ascii="Arial" w:cs="Arial" w:eastAsia="Arial" w:hAnsi="Arial"/>
                <w:sz w:val="13"/>
                <w:szCs w:val="13"/>
                <w:color w:val="auto"/>
              </w:rPr>
              <w:t>137,500 (3)</w:t>
            </w:r>
          </w:p>
        </w:tc>
        <w:tc>
          <w:tcPr>
            <w:tcW w:w="1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3"/>
                <w:szCs w:val="13"/>
                <w:color w:val="auto"/>
              </w:rPr>
              <w:t>0.3%</w:t>
            </w:r>
          </w:p>
        </w:tc>
        <w:tc>
          <w:tcPr>
            <w:tcW w:w="120" w:type="dxa"/>
            <w:vAlign w:val="bottom"/>
          </w:tcPr>
          <w:p>
            <w:pPr>
              <w:spacing w:after="0"/>
              <w:rPr>
                <w:sz w:val="15"/>
                <w:szCs w:val="15"/>
                <w:color w:val="auto"/>
              </w:rPr>
            </w:pPr>
          </w:p>
        </w:tc>
        <w:tc>
          <w:tcPr>
            <w:tcW w:w="1160" w:type="dxa"/>
            <w:vAlign w:val="bottom"/>
          </w:tcPr>
          <w:p>
            <w:pPr>
              <w:jc w:val="right"/>
              <w:ind w:right="495"/>
              <w:spacing w:after="0"/>
              <w:rPr>
                <w:sz w:val="20"/>
                <w:szCs w:val="20"/>
                <w:color w:val="auto"/>
              </w:rPr>
            </w:pPr>
            <w:r>
              <w:rPr>
                <w:rFonts w:ascii="Arial" w:cs="Arial" w:eastAsia="Arial" w:hAnsi="Arial"/>
                <w:sz w:val="13"/>
                <w:szCs w:val="13"/>
                <w:color w:val="auto"/>
              </w:rPr>
              <w:t>0</w:t>
            </w:r>
          </w:p>
        </w:tc>
        <w:tc>
          <w:tcPr>
            <w:tcW w:w="120" w:type="dxa"/>
            <w:vAlign w:val="bottom"/>
          </w:tcPr>
          <w:p>
            <w:pPr>
              <w:spacing w:after="0"/>
              <w:rPr>
                <w:sz w:val="15"/>
                <w:szCs w:val="15"/>
                <w:color w:val="auto"/>
              </w:rPr>
            </w:pPr>
          </w:p>
        </w:tc>
        <w:tc>
          <w:tcPr>
            <w:tcW w:w="1160" w:type="dxa"/>
            <w:vAlign w:val="bottom"/>
          </w:tcPr>
          <w:p>
            <w:pPr>
              <w:ind w:left="240"/>
              <w:spacing w:after="0"/>
              <w:rPr>
                <w:sz w:val="20"/>
                <w:szCs w:val="20"/>
                <w:color w:val="auto"/>
              </w:rPr>
            </w:pPr>
            <w:r>
              <w:rPr>
                <w:rFonts w:ascii="Arial" w:cs="Arial" w:eastAsia="Arial" w:hAnsi="Arial"/>
                <w:sz w:val="13"/>
                <w:szCs w:val="13"/>
                <w:color w:val="auto"/>
              </w:rPr>
              <w:t>137,500 (3)</w:t>
            </w:r>
          </w:p>
        </w:tc>
        <w:tc>
          <w:tcPr>
            <w:tcW w:w="120" w:type="dxa"/>
            <w:vAlign w:val="bottom"/>
          </w:tcPr>
          <w:p>
            <w:pPr>
              <w:spacing w:after="0"/>
              <w:rPr>
                <w:sz w:val="15"/>
                <w:szCs w:val="15"/>
                <w:color w:val="auto"/>
              </w:rPr>
            </w:pPr>
          </w:p>
        </w:tc>
        <w:tc>
          <w:tcPr>
            <w:tcW w:w="1160" w:type="dxa"/>
            <w:vAlign w:val="bottom"/>
          </w:tcPr>
          <w:p>
            <w:pPr>
              <w:jc w:val="right"/>
              <w:ind w:right="495"/>
              <w:spacing w:after="0"/>
              <w:rPr>
                <w:sz w:val="20"/>
                <w:szCs w:val="20"/>
                <w:color w:val="auto"/>
              </w:rPr>
            </w:pPr>
            <w:r>
              <w:rPr>
                <w:rFonts w:ascii="Arial" w:cs="Arial" w:eastAsia="Arial" w:hAnsi="Arial"/>
                <w:sz w:val="13"/>
                <w:szCs w:val="13"/>
                <w:color w:val="auto"/>
              </w:rPr>
              <w:t>0</w:t>
            </w:r>
          </w:p>
        </w:tc>
        <w:tc>
          <w:tcPr>
            <w:tcW w:w="12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3"/>
                <w:szCs w:val="13"/>
                <w:color w:val="auto"/>
                <w:w w:val="99"/>
              </w:rPr>
              <w:t>137,500 (3)</w:t>
            </w:r>
          </w:p>
        </w:tc>
      </w:tr>
    </w:tbl>
    <w:p>
      <w:pPr>
        <w:spacing w:after="0" w:line="105" w:lineRule="exact"/>
        <w:rPr>
          <w:sz w:val="20"/>
          <w:szCs w:val="20"/>
          <w:color w:val="auto"/>
        </w:rPr>
      </w:pPr>
    </w:p>
    <w:p>
      <w:pPr>
        <w:ind w:left="400" w:right="80" w:hanging="343"/>
        <w:spacing w:after="0" w:line="235" w:lineRule="auto"/>
        <w:tabs>
          <w:tab w:leader="none" w:pos="4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percentages of the class of securities beneficially owned by each reporting person is based on 45,205,666 ordinary shares, comprised of 40,385,058 Class A Ordinary Shares and 4,820,608 Class B Ordinary Shares, outstanding as of September 30, 2020, as reported in the Issuer’s Form 6-K filed with the Securities and Exchange Commission (the “SEC”) on November 24, 2020, and the number of ordinary shares such person or group has the right to acquire upon the exercise of options, warrants or other rights within 60 days after December 31, 2020.</w:t>
      </w:r>
    </w:p>
    <w:p>
      <w:pPr>
        <w:spacing w:after="0" w:line="67" w:lineRule="exact"/>
        <w:rPr>
          <w:rFonts w:ascii="Arial" w:cs="Arial" w:eastAsia="Arial" w:hAnsi="Arial"/>
          <w:sz w:val="13"/>
          <w:szCs w:val="13"/>
          <w:color w:val="auto"/>
        </w:rPr>
      </w:pPr>
    </w:p>
    <w:p>
      <w:pPr>
        <w:ind w:left="400" w:hanging="343"/>
        <w:spacing w:after="0" w:line="241" w:lineRule="auto"/>
        <w:tabs>
          <w:tab w:leader="none" w:pos="4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Includes (i) 1,117,216 Class A Ordinary Shares held by Mr. Jiping Liu; and (iii) 137,500 Class A Ordinary Shares that Maestro Investment Holdings Limited has the right to obtain upon conversion of certain restricted share units it holds. Mr. Jiping Liu is the sole director of Maestro Investment Holdings Limited.</w:t>
      </w:r>
    </w:p>
    <w:p>
      <w:pPr>
        <w:spacing w:after="0" w:line="52" w:lineRule="exact"/>
        <w:rPr>
          <w:rFonts w:ascii="Arial" w:cs="Arial" w:eastAsia="Arial" w:hAnsi="Arial"/>
          <w:sz w:val="13"/>
          <w:szCs w:val="13"/>
          <w:color w:val="auto"/>
        </w:rPr>
      </w:pPr>
    </w:p>
    <w:p>
      <w:pPr>
        <w:ind w:left="400" w:hanging="343"/>
        <w:spacing w:after="0"/>
        <w:tabs>
          <w:tab w:leader="none" w:pos="4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Includes 137,500 Class A Ordinary Shares that Maestro Investment Holdings Limited has the right to obtain upon conversion of certain restricted share units it holds.</w:t>
      </w:r>
    </w:p>
    <w:p>
      <w:pPr>
        <w:spacing w:after="0" w:line="174" w:lineRule="exact"/>
        <w:rPr>
          <w:sz w:val="20"/>
          <w:szCs w:val="20"/>
          <w:color w:val="auto"/>
        </w:rPr>
      </w:pPr>
    </w:p>
    <w:p>
      <w:pPr>
        <w:ind w:left="60"/>
        <w:spacing w:after="0"/>
        <w:tabs>
          <w:tab w:leader="none" w:pos="1080" w:val="left"/>
        </w:tabs>
        <w:rPr>
          <w:sz w:val="20"/>
          <w:szCs w:val="20"/>
          <w:color w:val="auto"/>
        </w:rPr>
      </w:pPr>
      <w:r>
        <w:rPr>
          <w:rFonts w:ascii="Arial" w:cs="Arial" w:eastAsia="Arial" w:hAnsi="Arial"/>
          <w:sz w:val="13"/>
          <w:szCs w:val="13"/>
          <w:b w:val="1"/>
          <w:bCs w:val="1"/>
          <w:color w:val="auto"/>
        </w:rPr>
        <w:t>Item 5.</w:t>
      </w:r>
      <w:r>
        <w:rPr>
          <w:sz w:val="20"/>
          <w:szCs w:val="20"/>
          <w:color w:val="auto"/>
        </w:rPr>
        <w:tab/>
      </w:r>
      <w:r>
        <w:rPr>
          <w:rFonts w:ascii="Arial" w:cs="Arial" w:eastAsia="Arial" w:hAnsi="Arial"/>
          <w:sz w:val="13"/>
          <w:szCs w:val="13"/>
          <w:b w:val="1"/>
          <w:bCs w:val="1"/>
          <w:u w:val="single" w:color="auto"/>
          <w:color w:val="auto"/>
        </w:rPr>
        <w:t>Ownership of Five Percent or Less of a Class</w:t>
      </w:r>
    </w:p>
    <w:p>
      <w:pPr>
        <w:spacing w:after="0" w:line="193" w:lineRule="exact"/>
        <w:rPr>
          <w:sz w:val="20"/>
          <w:szCs w:val="20"/>
          <w:color w:val="auto"/>
        </w:rPr>
      </w:pPr>
    </w:p>
    <w:p>
      <w:pPr>
        <w:spacing w:after="0"/>
        <w:rPr>
          <w:sz w:val="20"/>
          <w:szCs w:val="20"/>
          <w:color w:val="auto"/>
        </w:rPr>
      </w:pPr>
      <w:r>
        <w:rPr>
          <w:rFonts w:ascii="Arial" w:cs="Arial" w:eastAsia="Arial" w:hAnsi="Arial"/>
          <w:sz w:val="13"/>
          <w:szCs w:val="13"/>
          <w:color w:val="auto"/>
        </w:rPr>
        <w:t>Not applicable</w:t>
      </w:r>
    </w:p>
    <w:p>
      <w:pPr>
        <w:spacing w:after="0" w:line="291" w:lineRule="exact"/>
        <w:rPr>
          <w:sz w:val="20"/>
          <w:szCs w:val="20"/>
          <w:color w:val="auto"/>
        </w:rPr>
      </w:pPr>
    </w:p>
    <w:p>
      <w:pPr>
        <w:ind w:left="60"/>
        <w:spacing w:after="0"/>
        <w:tabs>
          <w:tab w:leader="none" w:pos="1080" w:val="left"/>
        </w:tabs>
        <w:rPr>
          <w:sz w:val="20"/>
          <w:szCs w:val="20"/>
          <w:color w:val="auto"/>
        </w:rPr>
      </w:pPr>
      <w:r>
        <w:rPr>
          <w:rFonts w:ascii="Arial" w:cs="Arial" w:eastAsia="Arial" w:hAnsi="Arial"/>
          <w:sz w:val="13"/>
          <w:szCs w:val="13"/>
          <w:b w:val="1"/>
          <w:bCs w:val="1"/>
          <w:color w:val="auto"/>
        </w:rPr>
        <w:t>Item 6.</w:t>
      </w:r>
      <w:r>
        <w:rPr>
          <w:sz w:val="20"/>
          <w:szCs w:val="20"/>
          <w:color w:val="auto"/>
        </w:rPr>
        <w:tab/>
      </w:r>
      <w:r>
        <w:rPr>
          <w:rFonts w:ascii="Arial" w:cs="Arial" w:eastAsia="Arial" w:hAnsi="Arial"/>
          <w:sz w:val="13"/>
          <w:szCs w:val="13"/>
          <w:b w:val="1"/>
          <w:bCs w:val="1"/>
          <w:u w:val="single" w:color="auto"/>
          <w:color w:val="auto"/>
        </w:rPr>
        <w:t>Ownership of More than Five Percent on Behalf of Another Person</w:t>
      </w:r>
    </w:p>
    <w:p>
      <w:pPr>
        <w:spacing w:after="0" w:line="193" w:lineRule="exact"/>
        <w:rPr>
          <w:sz w:val="20"/>
          <w:szCs w:val="20"/>
          <w:color w:val="auto"/>
        </w:rPr>
      </w:pPr>
    </w:p>
    <w:p>
      <w:pPr>
        <w:spacing w:after="0"/>
        <w:rPr>
          <w:sz w:val="20"/>
          <w:szCs w:val="20"/>
          <w:color w:val="auto"/>
        </w:rPr>
      </w:pPr>
      <w:r>
        <w:rPr>
          <w:rFonts w:ascii="Arial" w:cs="Arial" w:eastAsia="Arial" w:hAnsi="Arial"/>
          <w:sz w:val="13"/>
          <w:szCs w:val="13"/>
          <w:color w:val="auto"/>
        </w:rPr>
        <w:t>Not applicable</w:t>
      </w:r>
    </w:p>
    <w:p>
      <w:pPr>
        <w:spacing w:after="0" w:line="213" w:lineRule="exact"/>
        <w:rPr>
          <w:sz w:val="20"/>
          <w:szCs w:val="20"/>
          <w:color w:val="auto"/>
        </w:rPr>
      </w:pPr>
    </w:p>
    <w:p>
      <w:pPr>
        <w:ind w:left="1100" w:right="1560" w:hanging="1043"/>
        <w:spacing w:after="0" w:line="266" w:lineRule="auto"/>
        <w:tabs>
          <w:tab w:leader="none" w:pos="1080" w:val="left"/>
        </w:tabs>
        <w:rPr>
          <w:sz w:val="20"/>
          <w:szCs w:val="20"/>
          <w:color w:val="auto"/>
        </w:rPr>
      </w:pPr>
      <w:r>
        <w:rPr>
          <w:rFonts w:ascii="Arial" w:cs="Arial" w:eastAsia="Arial" w:hAnsi="Arial"/>
          <w:sz w:val="13"/>
          <w:szCs w:val="13"/>
          <w:b w:val="1"/>
          <w:bCs w:val="1"/>
          <w:color w:val="auto"/>
        </w:rPr>
        <w:t>Item 7.</w:t>
      </w:r>
      <w:r>
        <w:rPr>
          <w:sz w:val="20"/>
          <w:szCs w:val="20"/>
          <w:color w:val="auto"/>
        </w:rPr>
        <w:tab/>
      </w:r>
      <w:r>
        <w:rPr>
          <w:rFonts w:ascii="Arial" w:cs="Arial" w:eastAsia="Arial" w:hAnsi="Arial"/>
          <w:sz w:val="13"/>
          <w:szCs w:val="13"/>
          <w:b w:val="1"/>
          <w:bCs w:val="1"/>
          <w:u w:val="single" w:color="auto"/>
          <w:color w:val="auto"/>
        </w:rPr>
        <w:t>Identification and Classification of the Subsidiary Which Acquired the Security Being Reported on By the Parent Holding Company or Control Person</w:t>
      </w:r>
    </w:p>
    <w:p>
      <w:pPr>
        <w:spacing w:after="0" w:line="246" w:lineRule="exact"/>
        <w:rPr>
          <w:sz w:val="20"/>
          <w:szCs w:val="20"/>
          <w:color w:val="auto"/>
        </w:rPr>
      </w:pPr>
    </w:p>
    <w:p>
      <w:pPr>
        <w:spacing w:after="0"/>
        <w:rPr>
          <w:sz w:val="20"/>
          <w:szCs w:val="20"/>
          <w:color w:val="auto"/>
        </w:rPr>
      </w:pPr>
      <w:r>
        <w:rPr>
          <w:rFonts w:ascii="Arial" w:cs="Arial" w:eastAsia="Arial" w:hAnsi="Arial"/>
          <w:sz w:val="13"/>
          <w:szCs w:val="13"/>
          <w:color w:val="auto"/>
        </w:rPr>
        <w:t>Not applicable</w:t>
      </w:r>
    </w:p>
    <w:p>
      <w:pPr>
        <w:spacing w:after="0" w:line="357" w:lineRule="exact"/>
        <w:rPr>
          <w:sz w:val="20"/>
          <w:szCs w:val="20"/>
          <w:color w:val="auto"/>
        </w:rPr>
      </w:pPr>
    </w:p>
    <w:p>
      <w:pPr>
        <w:ind w:left="60"/>
        <w:spacing w:after="0"/>
        <w:tabs>
          <w:tab w:leader="none" w:pos="1080" w:val="left"/>
        </w:tabs>
        <w:rPr>
          <w:sz w:val="20"/>
          <w:szCs w:val="20"/>
          <w:color w:val="auto"/>
        </w:rPr>
      </w:pPr>
      <w:r>
        <w:rPr>
          <w:rFonts w:ascii="Arial" w:cs="Arial" w:eastAsia="Arial" w:hAnsi="Arial"/>
          <w:sz w:val="13"/>
          <w:szCs w:val="13"/>
          <w:b w:val="1"/>
          <w:bCs w:val="1"/>
          <w:color w:val="auto"/>
        </w:rPr>
        <w:t>Item 8.</w:t>
      </w:r>
      <w:r>
        <w:rPr>
          <w:sz w:val="20"/>
          <w:szCs w:val="20"/>
          <w:color w:val="auto"/>
        </w:rPr>
        <w:tab/>
      </w:r>
      <w:r>
        <w:rPr>
          <w:rFonts w:ascii="Arial" w:cs="Arial" w:eastAsia="Arial" w:hAnsi="Arial"/>
          <w:sz w:val="13"/>
          <w:szCs w:val="13"/>
          <w:b w:val="1"/>
          <w:bCs w:val="1"/>
          <w:u w:val="single" w:color="auto"/>
          <w:color w:val="auto"/>
        </w:rPr>
        <w:t>Identification and Classification of Members of the Group</w:t>
      </w:r>
    </w:p>
    <w:p>
      <w:pPr>
        <w:spacing w:after="0" w:line="193" w:lineRule="exact"/>
        <w:rPr>
          <w:sz w:val="20"/>
          <w:szCs w:val="20"/>
          <w:color w:val="auto"/>
        </w:rPr>
      </w:pPr>
    </w:p>
    <w:p>
      <w:pPr>
        <w:spacing w:after="0"/>
        <w:rPr>
          <w:sz w:val="20"/>
          <w:szCs w:val="20"/>
          <w:color w:val="auto"/>
        </w:rPr>
      </w:pPr>
      <w:r>
        <w:rPr>
          <w:rFonts w:ascii="Arial" w:cs="Arial" w:eastAsia="Arial" w:hAnsi="Arial"/>
          <w:sz w:val="13"/>
          <w:szCs w:val="13"/>
          <w:color w:val="auto"/>
        </w:rPr>
        <w:t>Not applicable</w:t>
      </w:r>
    </w:p>
    <w:p>
      <w:pPr>
        <w:spacing w:after="0" w:line="291" w:lineRule="exact"/>
        <w:rPr>
          <w:sz w:val="20"/>
          <w:szCs w:val="20"/>
          <w:color w:val="auto"/>
        </w:rPr>
      </w:pPr>
    </w:p>
    <w:p>
      <w:pPr>
        <w:ind w:left="60"/>
        <w:spacing w:after="0"/>
        <w:tabs>
          <w:tab w:leader="none" w:pos="1080" w:val="left"/>
        </w:tabs>
        <w:rPr>
          <w:sz w:val="20"/>
          <w:szCs w:val="20"/>
          <w:color w:val="auto"/>
        </w:rPr>
      </w:pPr>
      <w:r>
        <w:rPr>
          <w:rFonts w:ascii="Arial" w:cs="Arial" w:eastAsia="Arial" w:hAnsi="Arial"/>
          <w:sz w:val="13"/>
          <w:szCs w:val="13"/>
          <w:b w:val="1"/>
          <w:bCs w:val="1"/>
          <w:color w:val="auto"/>
        </w:rPr>
        <w:t>Item 9.</w:t>
      </w:r>
      <w:r>
        <w:rPr>
          <w:sz w:val="20"/>
          <w:szCs w:val="20"/>
          <w:color w:val="auto"/>
        </w:rPr>
        <w:tab/>
      </w:r>
      <w:r>
        <w:rPr>
          <w:rFonts w:ascii="Arial" w:cs="Arial" w:eastAsia="Arial" w:hAnsi="Arial"/>
          <w:sz w:val="13"/>
          <w:szCs w:val="13"/>
          <w:b w:val="1"/>
          <w:bCs w:val="1"/>
          <w:u w:val="single" w:color="auto"/>
          <w:color w:val="auto"/>
        </w:rPr>
        <w:t>Notice of Dissolution of Group</w:t>
      </w:r>
    </w:p>
    <w:p>
      <w:pPr>
        <w:spacing w:after="0" w:line="193" w:lineRule="exact"/>
        <w:rPr>
          <w:sz w:val="20"/>
          <w:szCs w:val="20"/>
          <w:color w:val="auto"/>
        </w:rPr>
      </w:pPr>
    </w:p>
    <w:p>
      <w:pPr>
        <w:spacing w:after="0"/>
        <w:rPr>
          <w:sz w:val="20"/>
          <w:szCs w:val="20"/>
          <w:color w:val="auto"/>
        </w:rPr>
      </w:pPr>
      <w:r>
        <w:rPr>
          <w:rFonts w:ascii="Arial" w:cs="Arial" w:eastAsia="Arial" w:hAnsi="Arial"/>
          <w:sz w:val="13"/>
          <w:szCs w:val="13"/>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236855</wp:posOffset>
            </wp:positionV>
            <wp:extent cx="7153275" cy="16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3275" cy="1651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-2540</wp:posOffset>
            </wp:positionV>
            <wp:extent cx="6308090" cy="330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08090" cy="33020"/>
                    </a:xfrm>
                    <a:prstGeom prst="rect">
                      <a:avLst/>
                    </a:prstGeom>
                    <a:noFill/>
                  </pic:spPr>
                </pic:pic>
              </a:graphicData>
            </a:graphic>
          </wp:anchor>
        </w:drawing>
      </w:r>
    </w:p>
    <w:p>
      <w:pPr>
        <w:sectPr>
          <w:pgSz w:w="11900" w:h="16838" w:orient="portrait"/>
          <w:cols w:equalWidth="0" w:num="1">
            <w:col w:w="10940"/>
          </w:cols>
          <w:pgMar w:left="320" w:top="345" w:right="639" w:bottom="1440" w:gutter="0" w:footer="0" w:header="0"/>
        </w:sectPr>
      </w:pPr>
    </w:p>
    <w:bookmarkStart w:id="5" w:name="page6"/>
    <w:bookmarkEnd w:id="5"/>
    <w:p>
      <w:pPr>
        <w:ind w:left="60"/>
        <w:spacing w:after="0"/>
        <w:tabs>
          <w:tab w:leader="none" w:pos="1080" w:val="left"/>
        </w:tabs>
        <w:rPr>
          <w:sz w:val="20"/>
          <w:szCs w:val="20"/>
          <w:color w:val="auto"/>
        </w:rPr>
      </w:pPr>
      <w:r>
        <w:rPr>
          <w:rFonts w:ascii="Arial" w:cs="Arial" w:eastAsia="Arial" w:hAnsi="Arial"/>
          <w:sz w:val="13"/>
          <w:szCs w:val="13"/>
          <w:b w:val="1"/>
          <w:bCs w:val="1"/>
          <w:color w:val="auto"/>
        </w:rPr>
        <w:t>Item 10.</w:t>
      </w:r>
      <w:r>
        <w:rPr>
          <w:sz w:val="20"/>
          <w:szCs w:val="20"/>
          <w:color w:val="auto"/>
        </w:rPr>
        <w:tab/>
      </w:r>
      <w:r>
        <w:rPr>
          <w:rFonts w:ascii="Arial" w:cs="Arial" w:eastAsia="Arial" w:hAnsi="Arial"/>
          <w:sz w:val="13"/>
          <w:szCs w:val="13"/>
          <w:b w:val="1"/>
          <w:bCs w:val="1"/>
          <w:u w:val="single" w:color="auto"/>
          <w:color w:val="auto"/>
        </w:rPr>
        <w:t>Certifications</w:t>
      </w:r>
    </w:p>
    <w:p>
      <w:pPr>
        <w:spacing w:after="0" w:line="206" w:lineRule="exact"/>
        <w:rPr>
          <w:sz w:val="20"/>
          <w:szCs w:val="20"/>
          <w:color w:val="auto"/>
        </w:rPr>
      </w:pPr>
    </w:p>
    <w:p>
      <w:pPr>
        <w:spacing w:after="0"/>
        <w:rPr>
          <w:sz w:val="20"/>
          <w:szCs w:val="20"/>
          <w:color w:val="auto"/>
        </w:rPr>
      </w:pPr>
      <w:r>
        <w:rPr>
          <w:rFonts w:ascii="Arial" w:cs="Arial" w:eastAsia="Arial" w:hAnsi="Arial"/>
          <w:sz w:val="13"/>
          <w:szCs w:val="13"/>
          <w:color w:val="auto"/>
        </w:rPr>
        <w:t>Not applicable</w:t>
      </w:r>
    </w:p>
    <w:p>
      <w:pPr>
        <w:spacing w:after="0" w:line="140"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u w:val="single" w:color="auto"/>
          <w:color w:val="auto"/>
        </w:rPr>
        <w:t>SIGNATURE</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color w:val="auto"/>
        </w:rPr>
        <w:t>After reasonable inquiry and to the best of my knowledge and belief, I certify that the information set forth in this statement is true, complete and correct.</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Dated: February 8, 2021</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20"/>
                <w:szCs w:val="20"/>
                <w:color w:val="auto"/>
              </w:rPr>
            </w:pPr>
            <w:r>
              <w:rPr>
                <w:rFonts w:ascii="Arial" w:cs="Arial" w:eastAsia="Arial" w:hAnsi="Arial"/>
                <w:sz w:val="14"/>
                <w:szCs w:val="14"/>
                <w:color w:val="auto"/>
              </w:rPr>
              <w:t>Jiping Liu</w:t>
            </w:r>
          </w:p>
        </w:tc>
        <w:tc>
          <w:tcPr>
            <w:tcW w:w="484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rPr>
              <w:t>/s/ Jiping Liu</w:t>
            </w:r>
          </w:p>
        </w:tc>
        <w:tc>
          <w:tcPr>
            <w:tcW w:w="1380" w:type="dxa"/>
            <w:vAlign w:val="bottom"/>
          </w:tcPr>
          <w:p>
            <w:pPr>
              <w:spacing w:after="0"/>
              <w:rPr>
                <w:sz w:val="14"/>
                <w:szCs w:val="14"/>
                <w:color w:val="auto"/>
              </w:rPr>
            </w:pPr>
          </w:p>
        </w:tc>
      </w:tr>
      <w:tr>
        <w:trPr>
          <w:trHeight w:val="319"/>
        </w:trPr>
        <w:tc>
          <w:tcPr>
            <w:tcW w:w="5040" w:type="dxa"/>
            <w:vAlign w:val="bottom"/>
          </w:tcPr>
          <w:p>
            <w:pPr>
              <w:spacing w:after="0"/>
              <w:rPr>
                <w:sz w:val="20"/>
                <w:szCs w:val="20"/>
                <w:color w:val="auto"/>
              </w:rPr>
            </w:pPr>
            <w:r>
              <w:rPr>
                <w:rFonts w:ascii="Arial" w:cs="Arial" w:eastAsia="Arial" w:hAnsi="Arial"/>
                <w:sz w:val="14"/>
                <w:szCs w:val="14"/>
                <w:color w:val="auto"/>
              </w:rPr>
              <w:t>Maestro Investment Holdings Limited</w:t>
            </w:r>
          </w:p>
        </w:tc>
        <w:tc>
          <w:tcPr>
            <w:tcW w:w="480" w:type="dxa"/>
            <w:vAlign w:val="bottom"/>
          </w:tcPr>
          <w:p>
            <w:pPr>
              <w:spacing w:after="0"/>
              <w:rPr>
                <w:sz w:val="20"/>
                <w:szCs w:val="20"/>
                <w:color w:val="auto"/>
              </w:rPr>
            </w:pPr>
            <w:r>
              <w:rPr>
                <w:rFonts w:ascii="Arial" w:cs="Arial" w:eastAsia="Arial" w:hAnsi="Arial"/>
                <w:sz w:val="14"/>
                <w:szCs w:val="14"/>
                <w:color w:val="auto"/>
              </w:rPr>
              <w:t>By:</w:t>
            </w:r>
          </w:p>
        </w:tc>
        <w:tc>
          <w:tcPr>
            <w:tcW w:w="180" w:type="dxa"/>
            <w:vAlign w:val="bottom"/>
          </w:tcPr>
          <w:p>
            <w:pPr>
              <w:spacing w:after="0"/>
              <w:rPr>
                <w:sz w:val="24"/>
                <w:szCs w:val="24"/>
                <w:color w:val="auto"/>
              </w:rPr>
            </w:pPr>
          </w:p>
        </w:tc>
        <w:tc>
          <w:tcPr>
            <w:tcW w:w="41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Jiping Liu</w:t>
            </w:r>
          </w:p>
        </w:tc>
        <w:tc>
          <w:tcPr>
            <w:tcW w:w="1380" w:type="dxa"/>
            <w:vAlign w:val="bottom"/>
          </w:tcPr>
          <w:p>
            <w:pPr>
              <w:spacing w:after="0"/>
              <w:rPr>
                <w:sz w:val="24"/>
                <w:szCs w:val="24"/>
                <w:color w:val="auto"/>
              </w:rPr>
            </w:pPr>
          </w:p>
        </w:tc>
      </w:tr>
      <w:tr>
        <w:trPr>
          <w:trHeight w:val="166"/>
        </w:trPr>
        <w:tc>
          <w:tcPr>
            <w:tcW w:w="5040" w:type="dxa"/>
            <w:vAlign w:val="bottom"/>
          </w:tcPr>
          <w:p>
            <w:pPr>
              <w:spacing w:after="0"/>
              <w:rPr>
                <w:sz w:val="14"/>
                <w:szCs w:val="14"/>
                <w:color w:val="auto"/>
              </w:rPr>
            </w:pPr>
          </w:p>
        </w:tc>
        <w:tc>
          <w:tcPr>
            <w:tcW w:w="480" w:type="dxa"/>
            <w:vAlign w:val="bottom"/>
          </w:tcPr>
          <w:p>
            <w:pPr>
              <w:spacing w:after="0"/>
              <w:rPr>
                <w:sz w:val="20"/>
                <w:szCs w:val="20"/>
                <w:color w:val="auto"/>
              </w:rPr>
            </w:pPr>
            <w:r>
              <w:rPr>
                <w:rFonts w:ascii="Arial" w:cs="Arial" w:eastAsia="Arial" w:hAnsi="Arial"/>
                <w:sz w:val="14"/>
                <w:szCs w:val="14"/>
                <w:color w:val="auto"/>
              </w:rPr>
              <w:t>Name:</w:t>
            </w:r>
          </w:p>
        </w:tc>
        <w:tc>
          <w:tcPr>
            <w:tcW w:w="180" w:type="dxa"/>
            <w:vAlign w:val="bottom"/>
          </w:tcPr>
          <w:p>
            <w:pPr>
              <w:spacing w:after="0"/>
              <w:rPr>
                <w:sz w:val="14"/>
                <w:szCs w:val="14"/>
                <w:color w:val="auto"/>
              </w:rPr>
            </w:pPr>
          </w:p>
        </w:tc>
        <w:tc>
          <w:tcPr>
            <w:tcW w:w="4180" w:type="dxa"/>
            <w:vAlign w:val="bottom"/>
          </w:tcPr>
          <w:p>
            <w:pPr>
              <w:spacing w:after="0"/>
              <w:rPr>
                <w:sz w:val="20"/>
                <w:szCs w:val="20"/>
                <w:color w:val="auto"/>
              </w:rPr>
            </w:pPr>
            <w:r>
              <w:rPr>
                <w:rFonts w:ascii="Arial" w:cs="Arial" w:eastAsia="Arial" w:hAnsi="Arial"/>
                <w:sz w:val="14"/>
                <w:szCs w:val="14"/>
                <w:color w:val="auto"/>
              </w:rPr>
              <w:t>Jiping Liu</w:t>
            </w:r>
          </w:p>
        </w:tc>
        <w:tc>
          <w:tcPr>
            <w:tcW w:w="1380" w:type="dxa"/>
            <w:vAlign w:val="bottom"/>
          </w:tcPr>
          <w:p>
            <w:pPr>
              <w:spacing w:after="0"/>
              <w:rPr>
                <w:sz w:val="14"/>
                <w:szCs w:val="14"/>
                <w:color w:val="auto"/>
              </w:rPr>
            </w:pPr>
          </w:p>
        </w:tc>
      </w:tr>
      <w:tr>
        <w:trPr>
          <w:trHeight w:val="196"/>
        </w:trPr>
        <w:tc>
          <w:tcPr>
            <w:tcW w:w="5040" w:type="dxa"/>
            <w:vAlign w:val="bottom"/>
          </w:tcPr>
          <w:p>
            <w:pPr>
              <w:spacing w:after="0"/>
              <w:rPr>
                <w:sz w:val="17"/>
                <w:szCs w:val="17"/>
                <w:color w:val="auto"/>
              </w:rPr>
            </w:pPr>
          </w:p>
        </w:tc>
        <w:tc>
          <w:tcPr>
            <w:tcW w:w="480" w:type="dxa"/>
            <w:vAlign w:val="bottom"/>
          </w:tcPr>
          <w:p>
            <w:pPr>
              <w:spacing w:after="0"/>
              <w:rPr>
                <w:sz w:val="20"/>
                <w:szCs w:val="20"/>
                <w:color w:val="auto"/>
              </w:rPr>
            </w:pPr>
            <w:r>
              <w:rPr>
                <w:rFonts w:ascii="Arial" w:cs="Arial" w:eastAsia="Arial" w:hAnsi="Arial"/>
                <w:sz w:val="14"/>
                <w:szCs w:val="14"/>
                <w:color w:val="auto"/>
              </w:rPr>
              <w:t>Title:</w:t>
            </w:r>
          </w:p>
        </w:tc>
        <w:tc>
          <w:tcPr>
            <w:tcW w:w="180" w:type="dxa"/>
            <w:vAlign w:val="bottom"/>
          </w:tcPr>
          <w:p>
            <w:pPr>
              <w:spacing w:after="0"/>
              <w:rPr>
                <w:sz w:val="17"/>
                <w:szCs w:val="17"/>
                <w:color w:val="auto"/>
              </w:rPr>
            </w:pPr>
          </w:p>
        </w:tc>
        <w:tc>
          <w:tcPr>
            <w:tcW w:w="4180" w:type="dxa"/>
            <w:vAlign w:val="bottom"/>
          </w:tcPr>
          <w:p>
            <w:pPr>
              <w:spacing w:after="0"/>
              <w:rPr>
                <w:sz w:val="20"/>
                <w:szCs w:val="20"/>
                <w:color w:val="auto"/>
              </w:rPr>
            </w:pPr>
            <w:r>
              <w:rPr>
                <w:rFonts w:ascii="Arial" w:cs="Arial" w:eastAsia="Arial" w:hAnsi="Arial"/>
                <w:sz w:val="14"/>
                <w:szCs w:val="14"/>
                <w:color w:val="auto"/>
              </w:rPr>
              <w:t>Director</w:t>
            </w:r>
          </w:p>
        </w:tc>
        <w:tc>
          <w:tcPr>
            <w:tcW w:w="1380" w:type="dxa"/>
            <w:vAlign w:val="bottom"/>
          </w:tcPr>
          <w:p>
            <w:pPr>
              <w:spacing w:after="0"/>
              <w:rPr>
                <w:sz w:val="17"/>
                <w:szCs w:val="17"/>
                <w:color w:val="auto"/>
              </w:rPr>
            </w:pPr>
          </w:p>
        </w:tc>
      </w:tr>
      <w:tr>
        <w:trPr>
          <w:trHeight w:val="884"/>
        </w:trPr>
        <w:tc>
          <w:tcPr>
            <w:tcW w:w="5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6</w:t>
            </w:r>
          </w:p>
        </w:tc>
        <w:tc>
          <w:tcPr>
            <w:tcW w:w="41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73"/>
        </w:trPr>
        <w:tc>
          <w:tcPr>
            <w:tcW w:w="50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1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7148195</wp:posOffset>
            </wp:positionH>
            <wp:positionV relativeFrom="paragraph">
              <wp:posOffset>-7620</wp:posOffset>
            </wp:positionV>
            <wp:extent cx="82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-15875</wp:posOffset>
            </wp:positionV>
            <wp:extent cx="8255" cy="165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255" cy="1651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-256540</wp:posOffset>
            </wp:positionV>
            <wp:extent cx="6275070" cy="330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75070" cy="33020"/>
                    </a:xfrm>
                    <a:prstGeom prst="rect">
                      <a:avLst/>
                    </a:prstGeom>
                    <a:noFill/>
                  </pic:spPr>
                </pic:pic>
              </a:graphicData>
            </a:graphic>
          </wp:anchor>
        </w:drawing>
      </w:r>
    </w:p>
    <w:p>
      <w:pPr>
        <w:sectPr>
          <w:pgSz w:w="11900" w:h="16838" w:orient="portrait"/>
          <w:cols w:equalWidth="0" w:num="1">
            <w:col w:w="11260"/>
          </w:cols>
          <w:pgMar w:left="320" w:top="345" w:right="319" w:bottom="1440" w:gutter="0" w:footer="0" w:header="0"/>
        </w:sectPr>
      </w:pPr>
    </w:p>
    <w:bookmarkStart w:id="6" w:name="page7"/>
    <w:bookmarkEnd w:id="6"/>
    <w:p>
      <w:pPr>
        <w:jc w:val="right"/>
        <w:ind w:right="3939"/>
        <w:spacing w:after="0"/>
        <w:rPr>
          <w:sz w:val="20"/>
          <w:szCs w:val="20"/>
          <w:color w:val="auto"/>
        </w:rPr>
      </w:pPr>
      <w:r>
        <w:rPr>
          <w:rFonts w:ascii="Arial" w:cs="Arial" w:eastAsia="Arial" w:hAnsi="Arial"/>
          <w:sz w:val="14"/>
          <w:szCs w:val="14"/>
          <w:b w:val="1"/>
          <w:bCs w:val="1"/>
          <w:color w:val="auto"/>
        </w:rPr>
        <w:t>LIST OF EXHIBITS</w:t>
      </w:r>
    </w:p>
    <w:p>
      <w:pPr>
        <w:spacing w:after="0" w:line="181" w:lineRule="exact"/>
        <w:rPr>
          <w:sz w:val="20"/>
          <w:szCs w:val="20"/>
          <w:color w:val="auto"/>
        </w:rPr>
      </w:pPr>
    </w:p>
    <w:p>
      <w:pPr>
        <w:spacing w:after="0"/>
        <w:rPr>
          <w:rFonts w:ascii="Arial" w:cs="Arial" w:eastAsia="Arial" w:hAnsi="Arial"/>
          <w:sz w:val="14"/>
          <w:szCs w:val="14"/>
          <w:color w:val="auto"/>
        </w:rPr>
      </w:pPr>
      <w:r>
        <w:rPr>
          <w:rFonts w:ascii="Arial" w:cs="Arial" w:eastAsia="Arial" w:hAnsi="Arial"/>
          <w:sz w:val="14"/>
          <w:szCs w:val="14"/>
          <w:color w:val="auto"/>
        </w:rPr>
        <w:t xml:space="preserve">Exhibit 99.1 — </w:t>
      </w:r>
      <w:hyperlink w:anchor="page8">
        <w:r>
          <w:rPr>
            <w:rFonts w:ascii="Arial" w:cs="Arial" w:eastAsia="Arial" w:hAnsi="Arial"/>
            <w:sz w:val="14"/>
            <w:szCs w:val="14"/>
            <w:u w:val="single" w:color="auto"/>
            <w:color w:val="0000EE"/>
          </w:rPr>
          <w:t>Joint Filing Agreement</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0139"/>
          </w:cols>
          <w:pgMar w:left="320" w:top="350" w:right="1440" w:bottom="1440" w:gutter="0" w:footer="0" w:header="0"/>
        </w:sectPr>
      </w:pPr>
    </w:p>
    <w:bookmarkStart w:id="7" w:name="page8"/>
    <w:bookmarkEnd w:id="7"/>
    <w:p>
      <w:pPr>
        <w:jc w:val="right"/>
        <w:spacing w:after="0"/>
        <w:rPr>
          <w:sz w:val="20"/>
          <w:szCs w:val="20"/>
          <w:color w:val="auto"/>
        </w:rPr>
      </w:pPr>
      <w:r>
        <w:rPr>
          <w:rFonts w:ascii="Arial" w:cs="Arial" w:eastAsia="Arial" w:hAnsi="Arial"/>
          <w:sz w:val="13"/>
          <w:szCs w:val="13"/>
          <w:b w:val="1"/>
          <w:bCs w:val="1"/>
          <w:color w:val="auto"/>
        </w:rPr>
        <w:t>Exhibit 99.1</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JOINT FILING AGREEMENT</w:t>
      </w:r>
    </w:p>
    <w:p>
      <w:pPr>
        <w:spacing w:after="0" w:line="176" w:lineRule="exact"/>
        <w:rPr>
          <w:sz w:val="20"/>
          <w:szCs w:val="20"/>
          <w:color w:val="auto"/>
        </w:rPr>
      </w:pPr>
    </w:p>
    <w:p>
      <w:pPr>
        <w:ind w:right="180"/>
        <w:spacing w:after="0" w:line="235" w:lineRule="auto"/>
        <w:rPr>
          <w:sz w:val="20"/>
          <w:szCs w:val="20"/>
          <w:color w:val="auto"/>
        </w:rPr>
      </w:pPr>
      <w:r>
        <w:rPr>
          <w:rFonts w:ascii="Arial" w:cs="Arial" w:eastAsia="Arial" w:hAnsi="Arial"/>
          <w:sz w:val="13"/>
          <w:szCs w:val="13"/>
          <w:color w:val="auto"/>
        </w:rPr>
        <w:t>In accordance with Rule 13d-1(k) promulgated under the Securities Exchange Act of 1934, as amended, the undersigned hereby agree to the joint filing with all other Reporting Persons (as such term is defined in the Schedule 13G referred to below) on behalf of each of them of a statement on Schedule 13G (including amendments thereto) with respect to the Class A ordinary shares, par value of $0.001 per share, of iClick Interactive Asia Group Limited, a Cayman Islands exempted company, and that this Agreement may be included as an exhibit to such joint filing. This Agreement may be executed in any number of counterparts, all of which taken together shall constitute one and the same instrument.</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IN WITNESS WHEREOF, the undersigned hereby execute this Agreement as of February 8, 2021.</w:t>
      </w:r>
    </w:p>
    <w:p>
      <w:pPr>
        <w:spacing w:after="0" w:line="36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620" w:type="dxa"/>
            <w:vAlign w:val="bottom"/>
          </w:tcPr>
          <w:p>
            <w:pPr>
              <w:spacing w:after="0"/>
              <w:rPr>
                <w:sz w:val="20"/>
                <w:szCs w:val="20"/>
                <w:color w:val="auto"/>
              </w:rPr>
            </w:pPr>
            <w:r>
              <w:rPr>
                <w:rFonts w:ascii="Arial" w:cs="Arial" w:eastAsia="Arial" w:hAnsi="Arial"/>
                <w:sz w:val="14"/>
                <w:szCs w:val="14"/>
                <w:color w:val="auto"/>
              </w:rPr>
              <w:t>Jiping Liu</w:t>
            </w:r>
          </w:p>
        </w:tc>
        <w:tc>
          <w:tcPr>
            <w:tcW w:w="1360" w:type="dxa"/>
            <w:vAlign w:val="bottom"/>
          </w:tcPr>
          <w:p>
            <w:pPr>
              <w:spacing w:after="0"/>
              <w:rPr>
                <w:sz w:val="14"/>
                <w:szCs w:val="14"/>
                <w:color w:val="auto"/>
              </w:rPr>
            </w:pPr>
          </w:p>
        </w:tc>
        <w:tc>
          <w:tcPr>
            <w:tcW w:w="492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color w:val="auto"/>
              </w:rPr>
              <w:t>/s/ Jiping Liu</w:t>
            </w:r>
          </w:p>
        </w:tc>
      </w:tr>
      <w:tr>
        <w:trPr>
          <w:trHeight w:val="620"/>
        </w:trPr>
        <w:tc>
          <w:tcPr>
            <w:tcW w:w="3620" w:type="dxa"/>
            <w:vAlign w:val="bottom"/>
          </w:tcPr>
          <w:p>
            <w:pPr>
              <w:spacing w:after="0"/>
              <w:rPr>
                <w:sz w:val="20"/>
                <w:szCs w:val="20"/>
                <w:color w:val="auto"/>
              </w:rPr>
            </w:pPr>
            <w:r>
              <w:rPr>
                <w:rFonts w:ascii="Arial" w:cs="Arial" w:eastAsia="Arial" w:hAnsi="Arial"/>
                <w:sz w:val="14"/>
                <w:szCs w:val="14"/>
                <w:color w:val="auto"/>
              </w:rPr>
              <w:t>Maestro Investment Holdings Limited</w:t>
            </w:r>
          </w:p>
        </w:tc>
        <w:tc>
          <w:tcPr>
            <w:tcW w:w="1800" w:type="dxa"/>
            <w:vAlign w:val="bottom"/>
            <w:gridSpan w:val="2"/>
          </w:tcPr>
          <w:p>
            <w:pPr>
              <w:ind w:left="1340"/>
              <w:spacing w:after="0"/>
              <w:rPr>
                <w:sz w:val="20"/>
                <w:szCs w:val="20"/>
                <w:color w:val="auto"/>
              </w:rPr>
            </w:pPr>
            <w:r>
              <w:rPr>
                <w:rFonts w:ascii="Arial" w:cs="Arial" w:eastAsia="Arial" w:hAnsi="Arial"/>
                <w:sz w:val="14"/>
                <w:szCs w:val="14"/>
                <w:color w:val="auto"/>
              </w:rPr>
              <w:t>By:</w:t>
            </w:r>
          </w:p>
        </w:tc>
        <w:tc>
          <w:tcPr>
            <w:tcW w:w="40" w:type="dxa"/>
            <w:vAlign w:val="bottom"/>
          </w:tcPr>
          <w:p>
            <w:pPr>
              <w:spacing w:after="0"/>
              <w:rPr>
                <w:sz w:val="24"/>
                <w:szCs w:val="24"/>
                <w:color w:val="auto"/>
              </w:rPr>
            </w:pPr>
          </w:p>
        </w:tc>
        <w:tc>
          <w:tcPr>
            <w:tcW w:w="444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/s/ Jiping Liu</w:t>
            </w:r>
          </w:p>
        </w:tc>
      </w:tr>
      <w:tr>
        <w:trPr>
          <w:trHeight w:val="167"/>
        </w:trPr>
        <w:tc>
          <w:tcPr>
            <w:tcW w:w="3620" w:type="dxa"/>
            <w:vAlign w:val="bottom"/>
          </w:tcPr>
          <w:p>
            <w:pPr>
              <w:spacing w:after="0"/>
              <w:rPr>
                <w:sz w:val="14"/>
                <w:szCs w:val="14"/>
                <w:color w:val="auto"/>
              </w:rPr>
            </w:pPr>
          </w:p>
        </w:tc>
        <w:tc>
          <w:tcPr>
            <w:tcW w:w="1800" w:type="dxa"/>
            <w:vAlign w:val="bottom"/>
            <w:gridSpan w:val="2"/>
          </w:tcPr>
          <w:p>
            <w:pPr>
              <w:ind w:left="1340"/>
              <w:spacing w:after="0"/>
              <w:rPr>
                <w:sz w:val="20"/>
                <w:szCs w:val="20"/>
                <w:color w:val="auto"/>
              </w:rPr>
            </w:pPr>
            <w:r>
              <w:rPr>
                <w:rFonts w:ascii="Arial" w:cs="Arial" w:eastAsia="Arial" w:hAnsi="Arial"/>
                <w:sz w:val="14"/>
                <w:szCs w:val="14"/>
                <w:color w:val="auto"/>
              </w:rPr>
              <w:t>Name:</w:t>
            </w:r>
          </w:p>
        </w:tc>
        <w:tc>
          <w:tcPr>
            <w:tcW w:w="4480" w:type="dxa"/>
            <w:vAlign w:val="bottom"/>
            <w:gridSpan w:val="2"/>
          </w:tcPr>
          <w:p>
            <w:pPr>
              <w:ind w:left="40"/>
              <w:spacing w:after="0"/>
              <w:rPr>
                <w:sz w:val="20"/>
                <w:szCs w:val="20"/>
                <w:color w:val="auto"/>
              </w:rPr>
            </w:pPr>
            <w:r>
              <w:rPr>
                <w:rFonts w:ascii="Arial" w:cs="Arial" w:eastAsia="Arial" w:hAnsi="Arial"/>
                <w:sz w:val="14"/>
                <w:szCs w:val="14"/>
                <w:color w:val="auto"/>
              </w:rPr>
              <w:t>Jiping Liu</w:t>
            </w:r>
          </w:p>
        </w:tc>
      </w:tr>
      <w:tr>
        <w:trPr>
          <w:trHeight w:val="168"/>
        </w:trPr>
        <w:tc>
          <w:tcPr>
            <w:tcW w:w="3620" w:type="dxa"/>
            <w:vAlign w:val="bottom"/>
          </w:tcPr>
          <w:p>
            <w:pPr>
              <w:spacing w:after="0"/>
              <w:rPr>
                <w:sz w:val="14"/>
                <w:szCs w:val="14"/>
                <w:color w:val="auto"/>
              </w:rPr>
            </w:pPr>
          </w:p>
        </w:tc>
        <w:tc>
          <w:tcPr>
            <w:tcW w:w="1800" w:type="dxa"/>
            <w:vAlign w:val="bottom"/>
            <w:gridSpan w:val="2"/>
          </w:tcPr>
          <w:p>
            <w:pPr>
              <w:ind w:left="1340"/>
              <w:spacing w:after="0"/>
              <w:rPr>
                <w:sz w:val="20"/>
                <w:szCs w:val="20"/>
                <w:color w:val="auto"/>
              </w:rPr>
            </w:pPr>
            <w:r>
              <w:rPr>
                <w:rFonts w:ascii="Arial" w:cs="Arial" w:eastAsia="Arial" w:hAnsi="Arial"/>
                <w:sz w:val="14"/>
                <w:szCs w:val="14"/>
                <w:color w:val="auto"/>
              </w:rPr>
              <w:t>Title:</w:t>
            </w:r>
          </w:p>
        </w:tc>
        <w:tc>
          <w:tcPr>
            <w:tcW w:w="4480" w:type="dxa"/>
            <w:vAlign w:val="bottom"/>
            <w:gridSpan w:val="2"/>
          </w:tcPr>
          <w:p>
            <w:pPr>
              <w:ind w:left="40"/>
              <w:spacing w:after="0"/>
              <w:rPr>
                <w:sz w:val="20"/>
                <w:szCs w:val="20"/>
                <w:color w:val="auto"/>
              </w:rPr>
            </w:pPr>
            <w:r>
              <w:rPr>
                <w:rFonts w:ascii="Arial" w:cs="Arial" w:eastAsia="Arial" w:hAnsi="Arial"/>
                <w:sz w:val="14"/>
                <w:szCs w:val="14"/>
                <w:color w:val="auto"/>
              </w:rPr>
              <w:t>Director</w:t>
            </w:r>
          </w:p>
        </w:tc>
      </w:tr>
    </w:tbl>
    <w:p>
      <w:pPr>
        <w:spacing w:after="0" w:line="1" w:lineRule="exact"/>
        <w:rPr>
          <w:sz w:val="20"/>
          <w:szCs w:val="20"/>
          <w:color w:val="auto"/>
        </w:rPr>
      </w:pPr>
    </w:p>
    <w:sectPr>
      <w:pgSz w:w="11900" w:h="16838" w:orient="portrait"/>
      <w:cols w:equalWidth="0" w:num="1">
        <w:col w:w="11240"/>
      </w:cols>
      <w:pgMar w:left="320" w:top="12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o"/>
      <w:numFmt w:val="bullet"/>
      <w:start w:val="1"/>
    </w:lvl>
  </w:abstractNum>
  <w:abstractNum w:abstractNumId="1">
    <w:nsid w:val="5BD062C2"/>
    <w:multiLevelType w:val="hybridMultilevel"/>
    <w:lvl w:ilvl="0">
      <w:lvlJc w:val="left"/>
      <w:lvlText w:val="X"/>
      <w:numFmt w:val="bullet"/>
      <w:start w:val="1"/>
    </w:lvl>
  </w:abstractNum>
  <w:abstractNum w:abstractNumId="2">
    <w:nsid w:val="12200854"/>
    <w:multiLevelType w:val="hybridMultilevel"/>
    <w:lvl w:ilvl="0">
      <w:lvlJc w:val="left"/>
      <w:lvlText w:val="1"/>
      <w:numFmt w:val="bullet"/>
      <w:start w:val="1"/>
    </w:lvl>
  </w:abstractNum>
  <w:abstractNum w:abstractNumId="3">
    <w:nsid w:val="4DB127F8"/>
    <w:multiLevelType w:val="hybridMultilevel"/>
    <w:lvl w:ilvl="0">
      <w:lvlJc w:val="left"/>
      <w:lvlText w:val="2"/>
      <w:numFmt w:val="bullet"/>
      <w:start w:val="1"/>
    </w:lvl>
    <w:lvl w:ilvl="1">
      <w:lvlJc w:val="left"/>
      <w:lvlText w:val="(%2)"/>
      <w:numFmt w:val="lowerLetter"/>
      <w:start w:val="1"/>
    </w:lvl>
  </w:abstractNum>
  <w:abstractNum w:abstractNumId="4">
    <w:nsid w:val="216231B"/>
    <w:multiLevelType w:val="hybridMultilevel"/>
    <w:lvl w:ilvl="0">
      <w:lvlJc w:val="left"/>
      <w:lvlText w:val="5"/>
      <w:numFmt w:val="bullet"/>
      <w:start w:val="1"/>
    </w:lvl>
  </w:abstractNum>
  <w:abstractNum w:abstractNumId="5">
    <w:nsid w:val="1F16E9E8"/>
    <w:multiLevelType w:val="hybridMultilevel"/>
    <w:lvl w:ilvl="0">
      <w:lvlJc w:val="left"/>
      <w:lvlText w:val="6"/>
      <w:numFmt w:val="bullet"/>
      <w:start w:val="1"/>
    </w:lvl>
  </w:abstractNum>
  <w:abstractNum w:abstractNumId="6">
    <w:nsid w:val="1190CDE7"/>
    <w:multiLevelType w:val="hybridMultilevel"/>
    <w:lvl w:ilvl="0">
      <w:lvlJc w:val="left"/>
      <w:lvlText w:val="8"/>
      <w:numFmt w:val="bullet"/>
      <w:start w:val="1"/>
    </w:lvl>
  </w:abstractNum>
  <w:abstractNum w:abstractNumId="7">
    <w:nsid w:val="66EF438D"/>
    <w:multiLevelType w:val="hybridMultilevel"/>
    <w:lvl w:ilvl="0">
      <w:lvlJc w:val="left"/>
      <w:lvlText w:val="9"/>
      <w:numFmt w:val="bullet"/>
      <w:start w:val="1"/>
    </w:lvl>
  </w:abstractNum>
  <w:abstractNum w:abstractNumId="8">
    <w:nsid w:val="140E0F76"/>
    <w:multiLevelType w:val="hybridMultilevel"/>
    <w:lvl w:ilvl="0">
      <w:lvlJc w:val="left"/>
      <w:lvlText w:val="%1"/>
      <w:numFmt w:val="decimal"/>
      <w:start w:val="10"/>
    </w:lvl>
  </w:abstractNum>
  <w:abstractNum w:abstractNumId="9">
    <w:nsid w:val="3352255A"/>
    <w:multiLevelType w:val="hybridMultilevel"/>
    <w:lvl w:ilvl="0">
      <w:lvlJc w:val="left"/>
      <w:lvlText w:val="1"/>
      <w:numFmt w:val="bullet"/>
      <w:start w:val="1"/>
    </w:lvl>
  </w:abstractNum>
  <w:abstractNum w:abstractNumId="10">
    <w:nsid w:val="109CF92E"/>
    <w:multiLevelType w:val="hybridMultilevel"/>
    <w:lvl w:ilvl="0">
      <w:lvlJc w:val="left"/>
      <w:lvlText w:val="2"/>
      <w:numFmt w:val="bullet"/>
      <w:start w:val="1"/>
    </w:lvl>
    <w:lvl w:ilvl="1">
      <w:lvlJc w:val="left"/>
      <w:lvlText w:val="(%2)"/>
      <w:numFmt w:val="lowerLetter"/>
      <w:start w:val="1"/>
    </w:lvl>
  </w:abstractNum>
  <w:abstractNum w:abstractNumId="11">
    <w:nsid w:val="DED7263"/>
    <w:multiLevelType w:val="hybridMultilevel"/>
    <w:lvl w:ilvl="0">
      <w:lvlJc w:val="left"/>
      <w:lvlText w:val="3"/>
      <w:numFmt w:val="bullet"/>
      <w:start w:val="1"/>
    </w:lvl>
  </w:abstractNum>
  <w:abstractNum w:abstractNumId="12">
    <w:nsid w:val="7FDCC233"/>
    <w:multiLevelType w:val="hybridMultilevel"/>
    <w:lvl w:ilvl="0">
      <w:lvlJc w:val="left"/>
      <w:lvlText w:val="4"/>
      <w:numFmt w:val="bullet"/>
      <w:start w:val="1"/>
    </w:lvl>
  </w:abstractNum>
  <w:abstractNum w:abstractNumId="13">
    <w:nsid w:val="1BEFD79F"/>
    <w:multiLevelType w:val="hybridMultilevel"/>
    <w:lvl w:ilvl="0">
      <w:lvlJc w:val="left"/>
      <w:lvlText w:val="9"/>
      <w:numFmt w:val="bullet"/>
      <w:start w:val="1"/>
    </w:lvl>
  </w:abstractNum>
  <w:abstractNum w:abstractNumId="14">
    <w:nsid w:val="41A7C4C9"/>
    <w:multiLevelType w:val="hybridMultilevel"/>
    <w:lvl w:ilvl="0">
      <w:lvlJc w:val="left"/>
      <w:lvlText w:val="%1"/>
      <w:numFmt w:val="decimal"/>
      <w:start w:val="10"/>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2021-02-09T15:03:36Z</dcterms:created>
  <dcterms:modified xsi:type="dcterms:W3CDTF">2021-02-09T15:03:36Z</dcterms:modified>
</cp:coreProperties>
</file>