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540" w:type="dxa"/>
            <w:vAlign w:val="bottom"/>
            <w:tcBorders>
              <w:bottom w:val="single" w:sz="8" w:color="auto"/>
            </w:tcBorders>
            <w:gridSpan w:val="2"/>
          </w:tcPr>
          <w:p>
            <w:pPr>
              <w:ind w:left="38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 - Amber International Announces Integration of Sparrow Tech and its Business in Singapore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20" w:type="dxa"/>
            <w:vAlign w:val="bottom"/>
            <w:tcBorders>
              <w:top w:val="single" w:sz="8" w:color="0000EE"/>
              <w:bottom w:val="single" w:sz="8" w:color="auto"/>
            </w:tcBorders>
          </w:tcPr>
          <w:p>
            <w:pPr>
              <w:jc w:val="right"/>
              <w:ind w:right="3570"/>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Announces Integration of Sparrow Tech and its Business in Singapore</w:t>
      </w:r>
    </w:p>
    <w:p>
      <w:pPr>
        <w:spacing w:after="0" w:line="22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April 25, 2025 </w:t>
      </w:r>
      <w:r>
        <w:rPr>
          <w:rFonts w:ascii="Times New Roman" w:cs="Times New Roman" w:eastAsia="Times New Roman" w:hAnsi="Times New Roman"/>
          <w:sz w:val="18"/>
          <w:szCs w:val="18"/>
          <w:color w:val="auto"/>
        </w:rPr>
        <w:t>– Amber International Holding Limited (Nasdaq: AMBR) (“Amber International,” “we,” “us,” “Company,” or “AMBR”),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provider of institutional crypto financial services and solutions and operating under the brand name “Amber Premium”, today announced that Sparrow Tech Private Limited (“Sparrow Tech”), a Singapore-incorporated entity, has received the necessary approvals to become an indirect, wholly owned subsidiary of the Company, effective April 25, 2025.</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Sparrow Tech holds a Major Payment Institution (MPI) License issued by the Monetary Authority of Singapore to provide Digital Payment Token services in Singapore under the Payment Services Act. It operates a digital asset platform offering secure, compliant and institutional-grade solutions tailored to the needs of sophisticated investors. This development is expected to enhance the client experience and supports Amber Premium’s broader strategy to consolidate services on a unified platform aligned with local regulatory guidelines.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part of the integration, Sparrow Tech is being rebranded to Amber Premium Singapore, aligning the platform with the Company’s global brand identity and strategic mission to deliver compliant, institutional-grade crypto financial services across Asia and globally. The rebranding process is expected to be fully completed by April 30, 2025.</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integration of Sparrow Tech into Amber International is more than a corporate milestone—it reflects our long-term commitment to building a globally compliant, institutional-grade digital asset platform anchored in Asia. With the rebranding of the Sparrow platform and full consolidation under Amber International, we’re unifying our brand, strengthening regulatory alignment, and creating a seamless experience for our clients in Singapore and beyond,” said Wayne Huo, CEO of Amber International.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t>
      </w:r>
      <w:r>
        <w:rPr>
          <w:rFonts w:ascii="Times New Roman" w:cs="Times New Roman" w:eastAsia="Times New Roman" w:hAnsi="Times New Roman"/>
          <w:sz w:val="18"/>
          <w:szCs w:val="18"/>
          <w:u w:val="single" w:color="auto"/>
          <w:color w:val="auto"/>
        </w:rPr>
        <w:t>www.ambr.io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that the Company relies on the arrangements with AB and/or Amber DWM to achieve substantially the same economic benefits of certain subsidiaries and the contracts as initially contemplated in the DWM Merger Agreement, which may not be as effective as direct ownership and could lead to other adverse effect on the Company; (ii) risks related to the performance of the amendment, waiver and framework agreement, including the expected timing and likelihood of receipt of the regulatory approvals contemplated therein; (iii) the risk that the Company’s business lines are nascent, not fully proven by market and subject to material legal, regulatory, operational, reputational, tax and other risks in the jurisdictions where it operates; (iv) the risk of declining prices of digital assets and reduced transaction volumes conducted by the Company; and (v) regulatory and market risks related to cryptocurrencies and digital assets and in the jurisdictions where the Company operates.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 | amber@paradigmconsulting.com.hk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2025-04-25T11:20:47Z</dcterms:created>
  <dcterms:modified xsi:type="dcterms:W3CDTF">2025-04-25T11:20:47Z</dcterms:modified>
</cp:coreProperties>
</file>