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iClick Interactive Asia Group Limited</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Ordinary Shares, par value of $0.001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G47048 106</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71" w:lineRule="exact"/>
        <w:rPr>
          <w:sz w:val="24"/>
          <w:szCs w:val="24"/>
          <w:color w:val="auto"/>
        </w:rPr>
      </w:pPr>
    </w:p>
    <w:tbl>
      <w:tblPr>
        <w:tblLayout w:type="fixed"/>
        <w:tblInd w:w="80" w:type="dxa"/>
        <w:tblCellMar>
          <w:top w:w="0" w:type="dxa"/>
          <w:left w:w="0" w:type="dxa"/>
          <w:bottom w:w="0" w:type="dxa"/>
          <w:right w:w="0" w:type="dxa"/>
        </w:tblCellMar>
      </w:tblPr>
      <w:tr>
        <w:trPr>
          <w:trHeight w:val="216"/>
        </w:trPr>
        <w:tc>
          <w:tcPr>
            <w:tcW w:w="26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Jian Tang</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Igomax Inc.</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Wing Hong Sammy Hsieh</w:t>
            </w:r>
          </w:p>
        </w:tc>
        <w:tc>
          <w:tcPr>
            <w:tcW w:w="26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Bubinga Holdings Limited</w:t>
            </w:r>
          </w:p>
        </w:tc>
      </w:tr>
      <w:tr>
        <w:trPr>
          <w:trHeight w:val="216"/>
        </w:trPr>
        <w:tc>
          <w:tcPr>
            <w:tcW w:w="26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15/F, Prosperity Millennia Plaza</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15/F, Prosperity Millennia Plaza</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15/F, Prosperity Millennia Plaza</w:t>
            </w:r>
          </w:p>
        </w:tc>
        <w:tc>
          <w:tcPr>
            <w:tcW w:w="26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15/F, Prosperity Millennia Plaza</w:t>
            </w:r>
          </w:p>
        </w:tc>
      </w:tr>
      <w:tr>
        <w:trPr>
          <w:trHeight w:val="216"/>
        </w:trPr>
        <w:tc>
          <w:tcPr>
            <w:tcW w:w="26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663 King’s Road, Quarry Bay,</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663 King’s Road, Quarry Bay,</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663 King’s Road,</w:t>
            </w:r>
          </w:p>
        </w:tc>
        <w:tc>
          <w:tcPr>
            <w:tcW w:w="26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663 King’s Road, Quarry Bay,</w:t>
            </w:r>
          </w:p>
        </w:tc>
      </w:tr>
      <w:tr>
        <w:trPr>
          <w:trHeight w:val="216"/>
        </w:trPr>
        <w:tc>
          <w:tcPr>
            <w:tcW w:w="26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Hong Kong S.A.R.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Hong Kong S.A.R.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Quarry Bay, Hong Kong S.A.R.</w:t>
            </w:r>
          </w:p>
        </w:tc>
        <w:tc>
          <w:tcPr>
            <w:tcW w:w="26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Hong Kong S.A.R.</w:t>
            </w:r>
          </w:p>
        </w:tc>
      </w:tr>
      <w:tr>
        <w:trPr>
          <w:trHeight w:val="238"/>
        </w:trPr>
        <w:tc>
          <w:tcPr>
            <w:tcW w:w="26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+86-10-8540-2700</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+86-10-8540-2700</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+852-3700-9618</w:t>
            </w:r>
          </w:p>
        </w:tc>
        <w:tc>
          <w:tcPr>
            <w:tcW w:w="26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+852-3700-9618</w:t>
            </w:r>
          </w:p>
        </w:tc>
      </w:tr>
    </w:tbl>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20,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9" w:lineRule="exact"/>
        <w:rPr>
          <w:sz w:val="24"/>
          <w:szCs w:val="24"/>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7"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376"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G47048 106</w:t>
      </w:r>
    </w:p>
    <w:p>
      <w:pPr>
        <w:spacing w:after="0" w:line="171" w:lineRule="exact"/>
        <w:rPr>
          <w:sz w:val="20"/>
          <w:szCs w:val="20"/>
          <w:color w:val="auto"/>
        </w:rPr>
      </w:pPr>
    </w:p>
    <w:p>
      <w:pPr>
        <w:ind w:left="664" w:hanging="417"/>
        <w:spacing w:after="0"/>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64" w:right="466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Jian Tang</w:t>
      </w:r>
    </w:p>
    <w:p>
      <w:pPr>
        <w:ind w:left="664" w:hanging="417"/>
        <w:spacing w:after="0"/>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-710565</wp:posOffset>
            </wp:positionV>
            <wp:extent cx="6926580" cy="6249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249670"/>
                    </a:xfrm>
                    <a:prstGeom prst="rect">
                      <a:avLst/>
                    </a:prstGeom>
                    <a:noFill/>
                  </pic:spPr>
                </pic:pic>
              </a:graphicData>
            </a:graphic>
          </wp:anchor>
        </w:drawing>
      </w:r>
    </w:p>
    <w:p>
      <w:pPr>
        <w:spacing w:after="0" w:line="203"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36" w:lineRule="exact"/>
        <w:rPr>
          <w:sz w:val="20"/>
          <w:szCs w:val="20"/>
          <w:color w:val="auto"/>
        </w:rPr>
      </w:pPr>
    </w:p>
    <w:p>
      <w:pPr>
        <w:ind w:left="2124" w:hanging="414"/>
        <w:spacing w:after="0"/>
        <w:tabs>
          <w:tab w:leader="none" w:pos="21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33" w:lineRule="exact"/>
        <w:rPr>
          <w:sz w:val="20"/>
          <w:szCs w:val="20"/>
          <w:color w:val="auto"/>
        </w:rPr>
      </w:pPr>
    </w:p>
    <w:tbl>
      <w:tblPr>
        <w:tblLayout w:type="fixed"/>
        <w:tblInd w:w="204" w:type="dxa"/>
        <w:tblCellMar>
          <w:top w:w="0" w:type="dxa"/>
          <w:left w:w="0" w:type="dxa"/>
          <w:bottom w:w="0" w:type="dxa"/>
          <w:right w:w="0" w:type="dxa"/>
        </w:tblCellMar>
      </w:tblPr>
      <w:tr>
        <w:trPr>
          <w:trHeight w:val="299"/>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Pr>
          <w:p>
            <w:pPr>
              <w:spacing w:after="0"/>
              <w:rPr>
                <w:sz w:val="24"/>
                <w:szCs w:val="24"/>
                <w:color w:val="auto"/>
              </w:rPr>
            </w:pP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27,913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8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 xml:space="preserve">2,498,557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8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0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8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 xml:space="preserve">27,913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5"/>
        </w:trPr>
        <w:tc>
          <w:tcPr>
            <w:tcW w:w="13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WITH</w:t>
            </w:r>
          </w:p>
        </w:tc>
        <w:tc>
          <w:tcPr>
            <w:tcW w:w="480" w:type="dxa"/>
            <w:vAlign w:val="bottom"/>
          </w:tcPr>
          <w:p>
            <w:pPr>
              <w:spacing w:after="0"/>
              <w:rPr>
                <w:sz w:val="17"/>
                <w:szCs w:val="17"/>
                <w:color w:val="auto"/>
              </w:rPr>
            </w:pPr>
          </w:p>
        </w:tc>
        <w:tc>
          <w:tcPr>
            <w:tcW w:w="8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124" w:right="6240" w:hanging="504"/>
        <w:spacing w:after="0" w:line="332" w:lineRule="auto"/>
        <w:tabs>
          <w:tab w:leader="none" w:pos="21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SHARED DISPOSITIVE POWER 2,498,557 </w:t>
      </w:r>
      <w:r>
        <w:rPr>
          <w:rFonts w:ascii="Times New Roman" w:cs="Times New Roman" w:eastAsia="Times New Roman" w:hAnsi="Times New Roman"/>
          <w:sz w:val="26"/>
          <w:szCs w:val="26"/>
          <w:color w:val="auto"/>
          <w:vertAlign w:val="superscript"/>
        </w:rPr>
        <w:t>(2)</w:t>
      </w:r>
    </w:p>
    <w:p>
      <w:pPr>
        <w:spacing w:after="0" w:line="2" w:lineRule="exact"/>
        <w:rPr>
          <w:rFonts w:ascii="Times New Roman" w:cs="Times New Roman" w:eastAsia="Times New Roman" w:hAnsi="Times New Roman"/>
          <w:sz w:val="18"/>
          <w:szCs w:val="18"/>
          <w:color w:val="auto"/>
        </w:rPr>
      </w:pPr>
    </w:p>
    <w:p>
      <w:pPr>
        <w:ind w:left="664" w:right="3700" w:hanging="507"/>
        <w:spacing w:after="0" w:line="395" w:lineRule="auto"/>
        <w:tabs>
          <w:tab w:leader="none" w:pos="65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2,526,470</w:t>
      </w: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04"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w:t>
      </w:r>
      <w:r>
        <w:rPr>
          <w:rFonts w:ascii="Times New Roman" w:cs="Times New Roman" w:eastAsia="Times New Roman" w:hAnsi="Times New Roman"/>
          <w:sz w:val="26"/>
          <w:szCs w:val="26"/>
          <w:color w:val="auto"/>
          <w:vertAlign w:val="superscript"/>
        </w:rPr>
        <w:t>(3)</w:t>
      </w:r>
    </w:p>
    <w:p>
      <w:pPr>
        <w:ind w:left="644" w:hanging="487"/>
        <w:spacing w:after="0"/>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27,913 Class A Ordinary Shares that are issuable upon exercise of options held in trust by Mr. Jian Tang.</w:t>
      </w:r>
    </w:p>
    <w:p>
      <w:pPr>
        <w:spacing w:after="0" w:line="27" w:lineRule="exact"/>
        <w:rPr>
          <w:rFonts w:ascii="Times New Roman" w:cs="Times New Roman" w:eastAsia="Times New Roman" w:hAnsi="Times New Roman"/>
          <w:sz w:val="18"/>
          <w:szCs w:val="18"/>
          <w:color w:val="auto"/>
        </w:rPr>
      </w:pPr>
    </w:p>
    <w:p>
      <w:pPr>
        <w:ind w:left="424" w:right="240" w:hanging="424"/>
        <w:spacing w:after="0" w:line="250"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396,294 Class A Ordinary Shares held by Igomax Inc. and (ii) 2,102,263 Class A Ordinary Shares issuable upon the conversion of 2,102,263 Class B Ordinary Shares held by Igomax Inc. Mr. Jian Tang is the sole director and shareholder of Igomax Inc.</w:t>
      </w:r>
    </w:p>
    <w:p>
      <w:pPr>
        <w:ind w:left="424" w:right="460" w:hanging="424"/>
        <w:spacing w:after="0" w:line="277" w:lineRule="auto"/>
        <w:tabs>
          <w:tab w:leader="none" w:pos="42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 ownership calculation assumes that there is a total of 47,113,493 Class A Ordinary Shares outstanding, which includes (i) the 45,011,230 Class A Ordinary Shares outstanding as of December 20, 2022, as advised by the Issuer on or about the date thereof and (ii) the 2,102,263 Class A Ordinary Shares issuable upon the conversion of 2,102,263 Class B Ordinary Shares held by Igomax Inc. See Item 5.</w:t>
      </w:r>
    </w:p>
    <w:p>
      <w:pPr>
        <w:sectPr>
          <w:pgSz w:w="11900" w:h="16838" w:orient="portrait"/>
          <w:cols w:equalWidth="0" w:num="1">
            <w:col w:w="10904"/>
          </w:cols>
          <w:pgMar w:left="436" w:top="270" w:right="5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G47048 106</w:t>
      </w:r>
    </w:p>
    <w:p>
      <w:pPr>
        <w:spacing w:after="0" w:line="171" w:lineRule="exact"/>
        <w:rPr>
          <w:sz w:val="20"/>
          <w:szCs w:val="20"/>
          <w:color w:val="auto"/>
        </w:rPr>
      </w:pPr>
    </w:p>
    <w:p>
      <w:pPr>
        <w:ind w:left="664" w:hanging="417"/>
        <w:spacing w:after="0"/>
        <w:tabs>
          <w:tab w:leader="none" w:pos="6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64" w:right="466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Igomax Inc.</w:t>
      </w:r>
    </w:p>
    <w:p>
      <w:pPr>
        <w:ind w:left="664" w:hanging="417"/>
        <w:spacing w:after="0"/>
        <w:tabs>
          <w:tab w:leader="none" w:pos="6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-710565</wp:posOffset>
            </wp:positionV>
            <wp:extent cx="6926580" cy="6249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249035"/>
                    </a:xfrm>
                    <a:prstGeom prst="rect">
                      <a:avLst/>
                    </a:prstGeom>
                    <a:noFill/>
                  </pic:spPr>
                </pic:pic>
              </a:graphicData>
            </a:graphic>
          </wp:anchor>
        </w:drawing>
      </w:r>
    </w:p>
    <w:p>
      <w:pPr>
        <w:spacing w:after="0" w:line="203"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36" w:lineRule="exact"/>
        <w:rPr>
          <w:sz w:val="20"/>
          <w:szCs w:val="20"/>
          <w:color w:val="auto"/>
        </w:rPr>
      </w:pPr>
    </w:p>
    <w:p>
      <w:pPr>
        <w:ind w:left="2124" w:hanging="414"/>
        <w:spacing w:after="0"/>
        <w:tabs>
          <w:tab w:leader="none" w:pos="21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Pr>
          <w:p>
            <w:pPr>
              <w:spacing w:after="0"/>
              <w:rPr>
                <w:sz w:val="19"/>
                <w:szCs w:val="19"/>
                <w:color w:val="auto"/>
              </w:rPr>
            </w:pP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8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2,498,557</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8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0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8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30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WITH</w:t>
            </w:r>
          </w:p>
        </w:tc>
        <w:tc>
          <w:tcPr>
            <w:tcW w:w="480" w:type="dxa"/>
            <w:vAlign w:val="bottom"/>
          </w:tcPr>
          <w:p>
            <w:pPr>
              <w:spacing w:after="0"/>
              <w:rPr>
                <w:sz w:val="14"/>
                <w:szCs w:val="14"/>
                <w:color w:val="auto"/>
              </w:rPr>
            </w:pPr>
          </w:p>
        </w:tc>
        <w:tc>
          <w:tcPr>
            <w:tcW w:w="8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3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124" w:right="6240" w:hanging="504"/>
        <w:spacing w:after="0" w:line="332" w:lineRule="auto"/>
        <w:tabs>
          <w:tab w:leader="none" w:pos="212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2,498,557</w:t>
      </w:r>
      <w:r>
        <w:rPr>
          <w:rFonts w:ascii="Times New Roman" w:cs="Times New Roman" w:eastAsia="Times New Roman" w:hAnsi="Times New Roman"/>
          <w:sz w:val="26"/>
          <w:szCs w:val="26"/>
          <w:color w:val="auto"/>
          <w:vertAlign w:val="superscript"/>
        </w:rPr>
        <w:t>(1)</w:t>
      </w:r>
    </w:p>
    <w:p>
      <w:pPr>
        <w:spacing w:after="0" w:line="2" w:lineRule="exact"/>
        <w:rPr>
          <w:rFonts w:ascii="Times New Roman" w:cs="Times New Roman" w:eastAsia="Times New Roman" w:hAnsi="Times New Roman"/>
          <w:sz w:val="18"/>
          <w:szCs w:val="18"/>
          <w:color w:val="auto"/>
        </w:rPr>
      </w:pPr>
    </w:p>
    <w:p>
      <w:pPr>
        <w:ind w:left="664" w:right="3700" w:hanging="507"/>
        <w:spacing w:after="0" w:line="332" w:lineRule="auto"/>
        <w:tabs>
          <w:tab w:leader="none" w:pos="65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2,498,557</w:t>
      </w:r>
      <w:r>
        <w:rPr>
          <w:rFonts w:ascii="Times New Roman" w:cs="Times New Roman" w:eastAsia="Times New Roman" w:hAnsi="Times New Roman"/>
          <w:sz w:val="26"/>
          <w:szCs w:val="26"/>
          <w:color w:val="auto"/>
          <w:vertAlign w:val="superscript"/>
        </w:rPr>
        <w:t>(1)</w:t>
      </w:r>
    </w:p>
    <w:p>
      <w:pPr>
        <w:spacing w:after="0" w:line="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0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04"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w:t>
      </w:r>
      <w:r>
        <w:rPr>
          <w:rFonts w:ascii="Times New Roman" w:cs="Times New Roman" w:eastAsia="Times New Roman" w:hAnsi="Times New Roman"/>
          <w:sz w:val="26"/>
          <w:szCs w:val="26"/>
          <w:color w:val="auto"/>
          <w:vertAlign w:val="superscript"/>
        </w:rPr>
        <w:t>(2)</w:t>
      </w:r>
    </w:p>
    <w:p>
      <w:pPr>
        <w:ind w:left="644" w:hanging="487"/>
        <w:spacing w:after="0"/>
        <w:tabs>
          <w:tab w:leader="none" w:pos="64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424" w:right="240" w:hanging="424"/>
        <w:spacing w:after="0" w:line="261"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396,294 Class A Ordinary Shares held by Igomax Inc. and (ii) 2,102,263 Class A Ordinary Shares issuable upon the conversion of 2,102,263 Class B Ordinary Shares held by Igomax Inc.</w:t>
      </w:r>
    </w:p>
    <w:p>
      <w:pPr>
        <w:ind w:left="424" w:right="460" w:hanging="424"/>
        <w:spacing w:after="0" w:line="277" w:lineRule="auto"/>
        <w:tabs>
          <w:tab w:leader="none" w:pos="42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 ownership calculation assumes that there is a total of 47,113,493 Class A Ordinary Shares outstanding, which includes (i) the 45,011,230 Class A Ordinary Shares outstanding as of December 20, 2022, as advised by the Issuer on or about the date thereof and (ii) the 2,102,263 Class A Ordinary Shares issuable upon the conversion of 2,102,263 Class B Ordinary Shares held by Igomax Inc. See Item 5.</w:t>
      </w:r>
    </w:p>
    <w:p>
      <w:pPr>
        <w:sectPr>
          <w:pgSz w:w="11900" w:h="16838" w:orient="portrait"/>
          <w:cols w:equalWidth="0" w:num="1">
            <w:col w:w="10904"/>
          </w:cols>
          <w:pgMar w:left="436" w:top="270"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G47048 106</w:t>
      </w:r>
    </w:p>
    <w:p>
      <w:pPr>
        <w:spacing w:after="0" w:line="171" w:lineRule="exact"/>
        <w:rPr>
          <w:sz w:val="20"/>
          <w:szCs w:val="20"/>
          <w:color w:val="auto"/>
        </w:rPr>
      </w:pPr>
    </w:p>
    <w:p>
      <w:pPr>
        <w:ind w:left="664" w:hanging="417"/>
        <w:spacing w:after="0"/>
        <w:tabs>
          <w:tab w:leader="none" w:pos="6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44" w:right="4660" w:firstLine="3"/>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Wing Hong Sammy Hsieh</w:t>
      </w:r>
    </w:p>
    <w:p>
      <w:pPr>
        <w:ind w:left="664" w:hanging="417"/>
        <w:spacing w:after="0"/>
        <w:tabs>
          <w:tab w:leader="none" w:pos="6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rFonts w:ascii="Times New Roman" w:cs="Times New Roman" w:eastAsia="Times New Roman" w:hAnsi="Times New Roman"/>
          <w:sz w:val="18"/>
          <w:szCs w:val="18"/>
          <w:color w:val="auto"/>
        </w:rPr>
      </w:pPr>
    </w:p>
    <w:p>
      <w:pPr>
        <w:ind w:left="66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-2363470</wp:posOffset>
            </wp:positionV>
            <wp:extent cx="6926580" cy="6249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249670"/>
                    </a:xfrm>
                    <a:prstGeom prst="rect">
                      <a:avLst/>
                    </a:prstGeom>
                    <a:noFill/>
                  </pic:spPr>
                </pic:pic>
              </a:graphicData>
            </a:graphic>
          </wp:anchor>
        </w:drawing>
      </w:r>
    </w:p>
    <w:p>
      <w:pPr>
        <w:spacing w:after="0" w:line="221"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Hong Kong S.A.R.</w:t>
      </w:r>
    </w:p>
    <w:p>
      <w:pPr>
        <w:spacing w:after="0" w:line="36" w:lineRule="exact"/>
        <w:rPr>
          <w:sz w:val="20"/>
          <w:szCs w:val="20"/>
          <w:color w:val="auto"/>
        </w:rPr>
      </w:pPr>
    </w:p>
    <w:p>
      <w:pPr>
        <w:ind w:left="2124" w:hanging="414"/>
        <w:spacing w:after="0"/>
        <w:tabs>
          <w:tab w:leader="none" w:pos="21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Pr>
          <w:p>
            <w:pPr>
              <w:spacing w:after="0"/>
              <w:rPr>
                <w:sz w:val="19"/>
                <w:szCs w:val="19"/>
                <w:color w:val="auto"/>
              </w:rPr>
            </w:pP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241,294</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8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2,282,815</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8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0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8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241,294</w:t>
            </w:r>
          </w:p>
        </w:tc>
        <w:tc>
          <w:tcPr>
            <w:tcW w:w="0" w:type="dxa"/>
            <w:vAlign w:val="bottom"/>
          </w:tcPr>
          <w:p>
            <w:pPr>
              <w:spacing w:after="0"/>
              <w:rPr>
                <w:sz w:val="1"/>
                <w:szCs w:val="1"/>
                <w:color w:val="auto"/>
              </w:rPr>
            </w:pPr>
          </w:p>
        </w:tc>
      </w:tr>
      <w:tr>
        <w:trPr>
          <w:trHeight w:val="167"/>
        </w:trPr>
        <w:tc>
          <w:tcPr>
            <w:tcW w:w="130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WITH</w:t>
            </w:r>
          </w:p>
        </w:tc>
        <w:tc>
          <w:tcPr>
            <w:tcW w:w="480" w:type="dxa"/>
            <w:vAlign w:val="bottom"/>
          </w:tcPr>
          <w:p>
            <w:pPr>
              <w:spacing w:after="0"/>
              <w:rPr>
                <w:sz w:val="14"/>
                <w:szCs w:val="14"/>
                <w:color w:val="auto"/>
              </w:rPr>
            </w:pPr>
          </w:p>
        </w:tc>
        <w:tc>
          <w:tcPr>
            <w:tcW w:w="8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3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124" w:right="6240" w:hanging="504"/>
        <w:spacing w:after="0" w:line="332" w:lineRule="auto"/>
        <w:tabs>
          <w:tab w:leader="none" w:pos="212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2,282,815</w:t>
      </w:r>
      <w:r>
        <w:rPr>
          <w:rFonts w:ascii="Times New Roman" w:cs="Times New Roman" w:eastAsia="Times New Roman" w:hAnsi="Times New Roman"/>
          <w:sz w:val="26"/>
          <w:szCs w:val="26"/>
          <w:color w:val="auto"/>
          <w:vertAlign w:val="superscript"/>
        </w:rPr>
        <w:t>(1)</w:t>
      </w:r>
    </w:p>
    <w:p>
      <w:pPr>
        <w:spacing w:after="0" w:line="2" w:lineRule="exact"/>
        <w:rPr>
          <w:rFonts w:ascii="Times New Roman" w:cs="Times New Roman" w:eastAsia="Times New Roman" w:hAnsi="Times New Roman"/>
          <w:sz w:val="18"/>
          <w:szCs w:val="18"/>
          <w:color w:val="auto"/>
        </w:rPr>
      </w:pPr>
    </w:p>
    <w:p>
      <w:pPr>
        <w:ind w:left="664" w:right="3700" w:hanging="507"/>
        <w:spacing w:after="0" w:line="332"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2,524,109</w:t>
      </w:r>
      <w:r>
        <w:rPr>
          <w:rFonts w:ascii="Times New Roman" w:cs="Times New Roman" w:eastAsia="Times New Roman" w:hAnsi="Times New Roman"/>
          <w:sz w:val="26"/>
          <w:szCs w:val="26"/>
          <w:color w:val="auto"/>
          <w:vertAlign w:val="superscript"/>
        </w:rPr>
        <w:t>(2)</w:t>
      </w:r>
    </w:p>
    <w:p>
      <w:pPr>
        <w:spacing w:after="0" w:line="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0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04"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w:t>
      </w:r>
      <w:r>
        <w:rPr>
          <w:rFonts w:ascii="Times New Roman" w:cs="Times New Roman" w:eastAsia="Times New Roman" w:hAnsi="Times New Roman"/>
          <w:sz w:val="26"/>
          <w:szCs w:val="26"/>
          <w:color w:val="auto"/>
          <w:vertAlign w:val="superscript"/>
        </w:rPr>
        <w:t>(3)</w:t>
      </w:r>
    </w:p>
    <w:p>
      <w:pPr>
        <w:ind w:left="644" w:hanging="487"/>
        <w:spacing w:after="0"/>
        <w:tabs>
          <w:tab w:leader="none" w:pos="6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280" w:hanging="424"/>
        <w:spacing w:after="0" w:line="261"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2,282,815 Class A Ordinary Shares issuable upon the conversion of 2,282,815 Class B Ordinary Shares held by Bubinga Holdings Limited. Mr. Wing Hong Sammy Hsieh is the sole director and shareholder of Bubinga Holdings Limited.</w:t>
      </w:r>
    </w:p>
    <w:p>
      <w:pPr>
        <w:ind w:left="424" w:right="20" w:hanging="424"/>
        <w:spacing w:after="0" w:line="250"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241,294 Class A Ordinary Shares held directly by Mr. Wing Hong Sammy Hsieh and (ii) 2,282,815 Class A Ordinary Shares issuable upon the conversion of 2,282,815 Class B Ordinary Shares held by Bubinga Holdings Limited.</w:t>
      </w:r>
    </w:p>
    <w:p>
      <w:pPr>
        <w:ind w:left="424" w:right="120" w:hanging="424"/>
        <w:spacing w:after="0" w:line="253"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assumes that there is a total of 47,294,045 Class A Ordinary Shares outstanding, which includes (i) the 45,011,230 Class A Ordinary Shares outstanding as of December 20, 2022, as advised by the Issuer on or about the date thereof and (ii) the 2,282,815 Class A Ordinary Shares issuable upon the conversion of 2,282,815 Class B Ordinary Shares held by Bubinga Holdings Limited. See Item 5.</w:t>
      </w:r>
    </w:p>
    <w:p>
      <w:pPr>
        <w:sectPr>
          <w:pgSz w:w="11900" w:h="16838" w:orient="portrait"/>
          <w:cols w:equalWidth="0" w:num="1">
            <w:col w:w="10904"/>
          </w:cols>
          <w:pgMar w:left="436" w:top="270" w:right="5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G47048 106</w:t>
      </w:r>
    </w:p>
    <w:p>
      <w:pPr>
        <w:spacing w:after="0" w:line="171" w:lineRule="exact"/>
        <w:rPr>
          <w:sz w:val="20"/>
          <w:szCs w:val="20"/>
          <w:color w:val="auto"/>
        </w:rPr>
      </w:pPr>
    </w:p>
    <w:p>
      <w:pPr>
        <w:ind w:left="664" w:hanging="417"/>
        <w:spacing w:after="0"/>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64" w:right="466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Bubinga Holdings Limited</w:t>
      </w:r>
    </w:p>
    <w:p>
      <w:pPr>
        <w:ind w:left="664" w:hanging="417"/>
        <w:spacing w:after="0"/>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-710565</wp:posOffset>
            </wp:positionV>
            <wp:extent cx="6926580" cy="6249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249035"/>
                    </a:xfrm>
                    <a:prstGeom prst="rect">
                      <a:avLst/>
                    </a:prstGeom>
                    <a:noFill/>
                  </pic:spPr>
                </pic:pic>
              </a:graphicData>
            </a:graphic>
          </wp:anchor>
        </w:drawing>
      </w:r>
    </w:p>
    <w:p>
      <w:pPr>
        <w:spacing w:after="0" w:line="203"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36" w:lineRule="exact"/>
        <w:rPr>
          <w:sz w:val="20"/>
          <w:szCs w:val="20"/>
          <w:color w:val="auto"/>
        </w:rPr>
      </w:pPr>
    </w:p>
    <w:p>
      <w:pPr>
        <w:ind w:left="2124" w:hanging="414"/>
        <w:spacing w:after="0"/>
        <w:tabs>
          <w:tab w:leader="none" w:pos="21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Pr>
          <w:p>
            <w:pPr>
              <w:spacing w:after="0"/>
              <w:rPr>
                <w:sz w:val="19"/>
                <w:szCs w:val="19"/>
                <w:color w:val="auto"/>
              </w:rPr>
            </w:pP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8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2,282,815</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8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0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8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30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WITH</w:t>
            </w:r>
          </w:p>
        </w:tc>
        <w:tc>
          <w:tcPr>
            <w:tcW w:w="480" w:type="dxa"/>
            <w:vAlign w:val="bottom"/>
          </w:tcPr>
          <w:p>
            <w:pPr>
              <w:spacing w:after="0"/>
              <w:rPr>
                <w:sz w:val="14"/>
                <w:szCs w:val="14"/>
                <w:color w:val="auto"/>
              </w:rPr>
            </w:pPr>
          </w:p>
        </w:tc>
        <w:tc>
          <w:tcPr>
            <w:tcW w:w="8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3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124" w:right="6240" w:hanging="504"/>
        <w:spacing w:after="0" w:line="332" w:lineRule="auto"/>
        <w:tabs>
          <w:tab w:leader="none" w:pos="212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2,282,815</w:t>
      </w:r>
      <w:r>
        <w:rPr>
          <w:rFonts w:ascii="Times New Roman" w:cs="Times New Roman" w:eastAsia="Times New Roman" w:hAnsi="Times New Roman"/>
          <w:sz w:val="26"/>
          <w:szCs w:val="26"/>
          <w:color w:val="auto"/>
          <w:vertAlign w:val="superscript"/>
        </w:rPr>
        <w:t>(1)</w:t>
      </w:r>
    </w:p>
    <w:p>
      <w:pPr>
        <w:spacing w:after="0" w:line="2" w:lineRule="exact"/>
        <w:rPr>
          <w:rFonts w:ascii="Times New Roman" w:cs="Times New Roman" w:eastAsia="Times New Roman" w:hAnsi="Times New Roman"/>
          <w:sz w:val="18"/>
          <w:szCs w:val="18"/>
          <w:color w:val="auto"/>
        </w:rPr>
      </w:pPr>
    </w:p>
    <w:p>
      <w:pPr>
        <w:ind w:left="664" w:right="3700" w:hanging="507"/>
        <w:spacing w:after="0" w:line="332" w:lineRule="auto"/>
        <w:tabs>
          <w:tab w:leader="none" w:pos="6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2,282,815</w:t>
      </w:r>
      <w:r>
        <w:rPr>
          <w:rFonts w:ascii="Times New Roman" w:cs="Times New Roman" w:eastAsia="Times New Roman" w:hAnsi="Times New Roman"/>
          <w:sz w:val="26"/>
          <w:szCs w:val="26"/>
          <w:color w:val="auto"/>
          <w:vertAlign w:val="superscript"/>
        </w:rPr>
        <w:t>(1)</w:t>
      </w:r>
    </w:p>
    <w:p>
      <w:pPr>
        <w:spacing w:after="0" w:line="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0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04"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r>
        <w:rPr>
          <w:rFonts w:ascii="Times New Roman" w:cs="Times New Roman" w:eastAsia="Times New Roman" w:hAnsi="Times New Roman"/>
          <w:sz w:val="26"/>
          <w:szCs w:val="26"/>
          <w:color w:val="auto"/>
          <w:vertAlign w:val="superscript"/>
        </w:rPr>
        <w:t>(2)</w:t>
      </w:r>
    </w:p>
    <w:p>
      <w:pPr>
        <w:ind w:left="644" w:hanging="487"/>
        <w:spacing w:after="0"/>
        <w:tabs>
          <w:tab w:leader="none" w:pos="64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424" w:right="280" w:hanging="424"/>
        <w:spacing w:after="0" w:line="261"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2,282,815 Class A Ordinary Shares issuable upon the conversion of 2,282,815 Class B Ordinary Shares held by Bubinga Holdings Limited.</w:t>
      </w:r>
    </w:p>
    <w:p>
      <w:pPr>
        <w:ind w:left="424" w:right="120" w:hanging="424"/>
        <w:spacing w:after="0" w:line="253"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assumes that there is a total of 47,294,045 Class A Ordinary Shares outstanding, which includes (i) the 45,011,230 Class A Ordinary Shares outstanding as of December 20, 2022, as advised by the Issuer on or about the date thereof and (ii) the 2,282,815 Class A Ordinary Shares issuable upon the conversion of 2,282,815 Class B Ordinary Shares held by Bubinga Holdings Limited. See Item 5.</w:t>
      </w:r>
    </w:p>
    <w:p>
      <w:pPr>
        <w:sectPr>
          <w:pgSz w:w="11900" w:h="16838" w:orient="portrait"/>
          <w:cols w:equalWidth="0" w:num="1">
            <w:col w:w="10904"/>
          </w:cols>
          <w:pgMar w:left="436" w:top="270"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Security and Issuer.</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Schedule 13D (this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relates to Class A Ordinary Shares, par value of $0.001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of iClick Interactive Asia Group Limited, a company incorporated in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Issuer’s ordinary shares consist of Class A Ordinary Shares and Class B ordinary shares, par value of $0.001 per share (the “</w:t>
      </w:r>
      <w:r>
        <w:rPr>
          <w:rFonts w:ascii="Times New Roman" w:cs="Times New Roman" w:eastAsia="Times New Roman" w:hAnsi="Times New Roman"/>
          <w:sz w:val="18"/>
          <w:szCs w:val="18"/>
          <w:u w:val="single" w:color="auto"/>
          <w:color w:val="auto"/>
        </w:rPr>
        <w:t>Class B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together with the Class A Ordinary Shares,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(1) vote per share.</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Issuer’s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(one representing five Class A Ordinary Shares) are listed on the NASDAQ Global Market under the symbol “ICLK.”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Issuer’s principal executive office is located at 15/F, Prosperity Millennia Plaza, 663 King’s Road, Quarry Bay, Hong Kong S.A.R.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(c), (f)</w:t>
      </w:r>
    </w:p>
    <w:p>
      <w:pPr>
        <w:spacing w:after="0" w:line="121" w:lineRule="exact"/>
        <w:rPr>
          <w:sz w:val="20"/>
          <w:szCs w:val="20"/>
          <w:color w:val="auto"/>
        </w:rPr>
      </w:pPr>
    </w:p>
    <w:p>
      <w:pPr>
        <w:ind w:left="440" w:right="140"/>
        <w:spacing w:after="0" w:line="266" w:lineRule="auto"/>
        <w:rPr>
          <w:sz w:val="20"/>
          <w:szCs w:val="20"/>
          <w:color w:val="auto"/>
        </w:rPr>
      </w:pPr>
      <w:r>
        <w:rPr>
          <w:rFonts w:ascii="Times New Roman" w:cs="Times New Roman" w:eastAsia="Times New Roman" w:hAnsi="Times New Roman"/>
          <w:sz w:val="18"/>
          <w:szCs w:val="18"/>
          <w:color w:val="auto"/>
        </w:rPr>
        <w:t>This Schedule 13D is being filed jointly by Mr. Jian Tang, Igomax Inc., Mr. Wing Hong Sammy Hsieh and Bubinga Holdings Limited (together,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The agreement between the Reporting Persons relating to the joint filing is attached hereto as Exhibit 99.1.</w:t>
      </w:r>
    </w:p>
    <w:p>
      <w:pPr>
        <w:spacing w:after="0" w:line="68"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8"/>
          <w:szCs w:val="18"/>
          <w:color w:val="auto"/>
        </w:rPr>
        <w:t>The Class A Ordinary Shares beneficially owned by each of the Reporting Persons were previously reported on (i) a Schedule 13G filed jointly by Mr. Jian Tang and Igomax Inc. on February 13, 2018, as amended by (ii) Amendment No. 1 to Schedule 13G filed jointly by Mr. Jian Tang and Igomax Inc. on February 12, 2019 ; (iii) Amendment No. 2 to Schedule 13G filed jointly by Mr. Jian Tang and Igomax Inc. on February 13, 2020; and (iv) Amendment No. 3 to Schedule 13G filed jointly by Mr. Jian Tang and Igomax Inc. on February 10, 2021; and further amended by</w:t>
      </w:r>
    </w:p>
    <w:p>
      <w:pPr>
        <w:spacing w:after="0" w:line="3" w:lineRule="exact"/>
        <w:rPr>
          <w:sz w:val="20"/>
          <w:szCs w:val="20"/>
          <w:color w:val="auto"/>
        </w:rPr>
      </w:pPr>
    </w:p>
    <w:p>
      <w:pPr>
        <w:ind w:left="440" w:hanging="4"/>
        <w:spacing w:after="0" w:line="252" w:lineRule="auto"/>
        <w:tabs>
          <w:tab w:leader="none" w:pos="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4 to Schedule 13G filed jointly by Mr. Jian Tang and Igomax Inc. on February 14, 2022.; as well as (vi) a Schedule 13G filed by Mr. Wing Hong Sammy Hsieh on February 13, 2018, as amended by (vii) Amendment No. 1 to Schedule 13G filed jointly by Mr. Wing Hong Sammy Hsieh and Bubinga Holdings Limited on February 11, 2020; and (viii) Amendment No. 2 to Schedule 13G filed jointly by Mr. Wing Hong Sammy Hsieh and Bubinga Holdings Limited on February 10, 2021; and further amended by (ix) Amendment No. 3 to Schedule 13G filed jointly by Mr. Wing Hong Sammy Hsieh and Bubinga Holdings Limited on February 14, 2022. This Schedule 13D constitutes an initial Schedule 13D filing on behalf of each of the Reporting Persons and is being filed because the Reporting Persons may be deemed to have a formed a “group” with certain other persons, as described in Item 4 herein.</w:t>
      </w:r>
    </w:p>
    <w:p>
      <w:pPr>
        <w:spacing w:after="0" w:line="80" w:lineRule="exact"/>
        <w:rPr>
          <w:sz w:val="20"/>
          <w:szCs w:val="20"/>
          <w:color w:val="auto"/>
        </w:rPr>
      </w:pPr>
    </w:p>
    <w:p>
      <w:pPr>
        <w:ind w:left="440" w:right="80"/>
        <w:spacing w:after="0" w:line="282" w:lineRule="auto"/>
        <w:rPr>
          <w:sz w:val="20"/>
          <w:szCs w:val="20"/>
          <w:color w:val="auto"/>
        </w:rPr>
      </w:pPr>
      <w:r>
        <w:rPr>
          <w:rFonts w:ascii="Times New Roman" w:cs="Times New Roman" w:eastAsia="Times New Roman" w:hAnsi="Times New Roman"/>
          <w:sz w:val="18"/>
          <w:szCs w:val="18"/>
          <w:color w:val="auto"/>
        </w:rPr>
        <w:t>Mr. Jian Tang is the chairman of the board, chief executive officer and co-founder of the Issuer. Mr. Jian Tang is a citizen of People’s Republic of China and has a principal business office at 15/F, Prosperity Millennia Plaza, 663 King’s Road, Quarry Bay, Hong Kong S.A.R.</w:t>
      </w:r>
    </w:p>
    <w:p>
      <w:pPr>
        <w:spacing w:after="0" w:line="54" w:lineRule="exact"/>
        <w:rPr>
          <w:sz w:val="20"/>
          <w:szCs w:val="20"/>
          <w:color w:val="auto"/>
        </w:rPr>
      </w:pPr>
    </w:p>
    <w:p>
      <w:pPr>
        <w:ind w:left="440" w:right="320"/>
        <w:spacing w:after="0" w:line="266" w:lineRule="auto"/>
        <w:rPr>
          <w:sz w:val="20"/>
          <w:szCs w:val="20"/>
          <w:color w:val="auto"/>
        </w:rPr>
      </w:pPr>
      <w:r>
        <w:rPr>
          <w:rFonts w:ascii="Times New Roman" w:cs="Times New Roman" w:eastAsia="Times New Roman" w:hAnsi="Times New Roman"/>
          <w:sz w:val="18"/>
          <w:szCs w:val="18"/>
          <w:color w:val="auto"/>
        </w:rPr>
        <w:t>Igomax Inc. is principally an investment holding vehicle and a company organized and existing under the laws of the British Virgin Islands. Mr. Jian Tang is the sole director and shareholder of Igomax Inc. Igomax Inc.’s principal business office is at Jordans Trust Company, Geneva Place, Waterfront Drive, PO Box 3469, Road Town, Tortola, British Virgin Islands.</w:t>
      </w:r>
    </w:p>
    <w:p>
      <w:pPr>
        <w:spacing w:after="0" w:line="68" w:lineRule="exact"/>
        <w:rPr>
          <w:sz w:val="20"/>
          <w:szCs w:val="20"/>
          <w:color w:val="auto"/>
        </w:rPr>
      </w:pPr>
    </w:p>
    <w:p>
      <w:pPr>
        <w:ind w:left="440" w:right="100"/>
        <w:spacing w:after="0" w:line="282" w:lineRule="auto"/>
        <w:rPr>
          <w:sz w:val="20"/>
          <w:szCs w:val="20"/>
          <w:color w:val="auto"/>
        </w:rPr>
      </w:pPr>
      <w:r>
        <w:rPr>
          <w:rFonts w:ascii="Times New Roman" w:cs="Times New Roman" w:eastAsia="Times New Roman" w:hAnsi="Times New Roman"/>
          <w:sz w:val="18"/>
          <w:szCs w:val="18"/>
          <w:color w:val="auto"/>
        </w:rPr>
        <w:t>Mr. Wing Hong Sammy Hsieh is a co-founder and director of the Issuer. Mr. Wing Hong Sammy Hsieh is a citizen of Hong Kong S.A.R. and has a principal business office at 15/F, Prosperity Millennia Plaza, 663 King’s Road, Quarry Bay, Hong Kong S.A.R.</w:t>
      </w:r>
    </w:p>
    <w:p>
      <w:pPr>
        <w:spacing w:after="0" w:line="54" w:lineRule="exact"/>
        <w:rPr>
          <w:sz w:val="20"/>
          <w:szCs w:val="20"/>
          <w:color w:val="auto"/>
        </w:rPr>
      </w:pPr>
    </w:p>
    <w:p>
      <w:pPr>
        <w:ind w:left="440" w:right="20"/>
        <w:spacing w:after="0" w:line="266" w:lineRule="auto"/>
        <w:rPr>
          <w:sz w:val="20"/>
          <w:szCs w:val="20"/>
          <w:color w:val="auto"/>
        </w:rPr>
      </w:pPr>
      <w:r>
        <w:rPr>
          <w:rFonts w:ascii="Times New Roman" w:cs="Times New Roman" w:eastAsia="Times New Roman" w:hAnsi="Times New Roman"/>
          <w:sz w:val="18"/>
          <w:szCs w:val="18"/>
          <w:color w:val="auto"/>
        </w:rPr>
        <w:t>Bubinga Holdings Limited is principally an investment holding vehicle and a company organized and existing under the laws of the British Virgin Islands. Mr. Wing Hong Sammy Hsieh is the sole director and shareholder of Bubinga Holdings Limited. Bubinga Holdings Limited’s principal business office is at Vistra Corporate Services Centre, Wickhams Cay II, Road Town, Tortola, VG1110, British Virgin Islands.</w:t>
      </w:r>
    </w:p>
    <w:p>
      <w:pPr>
        <w:sectPr>
          <w:pgSz w:w="11900" w:h="16838" w:orient="portrait"/>
          <w:cols w:equalWidth="0" w:num="1">
            <w:col w:w="10980"/>
          </w:cols>
          <w:pgMar w:left="440" w:top="266" w:right="479" w:bottom="1440" w:gutter="0" w:footer="0" w:header="0"/>
        </w:sectPr>
      </w:pPr>
    </w:p>
    <w:bookmarkStart w:id="6" w:name="page7"/>
    <w:bookmarkEnd w:id="6"/>
    <w:p>
      <w:pPr>
        <w:ind w:left="440"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expressly otherwise stated herein, each Reporting Person expressly disclaims beneficial ownership for all purposes of the Ordinary Shares (including Ordinary Shares represented by ADSs) beneficially owned by each other Reporting Person or any other person (including any member of the Buyer Group, as defined in Item 4). Information with respect to each of the Reporting Persons is given solely by such Reporting Person, and no Reporting Person assumes responsibility for the accuracy or completeness of the information concerning the other Reporting Person or any other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 (e)</w:t>
      </w:r>
    </w:p>
    <w:p>
      <w:pPr>
        <w:spacing w:after="0" w:line="121" w:lineRule="exact"/>
        <w:rPr>
          <w:sz w:val="20"/>
          <w:szCs w:val="20"/>
          <w:color w:val="auto"/>
        </w:rPr>
      </w:pPr>
    </w:p>
    <w:p>
      <w:pPr>
        <w:ind w:left="440" w:right="180"/>
        <w:spacing w:after="0" w:line="261" w:lineRule="auto"/>
        <w:rPr>
          <w:sz w:val="20"/>
          <w:szCs w:val="20"/>
          <w:color w:val="auto"/>
        </w:rPr>
      </w:pPr>
      <w:r>
        <w:rPr>
          <w:rFonts w:ascii="Times New Roman" w:cs="Times New Roman" w:eastAsia="Times New Roman" w:hAnsi="Times New Roman"/>
          <w:sz w:val="18"/>
          <w:szCs w:val="18"/>
          <w:color w:val="auto"/>
        </w:rPr>
        <w:t>During the last five years no Reporting Person has: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Ordinary Shares held by Bubinga Holdings Limited and Mr. Wing Hong Sammy Hsieh were: (a) issued upon the establishment of the Issuer in 2010 for no consideration as a result of Mr. Wing Hong Sammy Hsieh’s status as co-founder of the Issuer; and (b) acquired for cash in connection with the Issuer’s follow-on offering in September 2020.</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Ordinary Shares held by Mr. Jian Tang and Igomax Inc. were: (a) issued upon the establishment of the Issuer in 2010 for no consideration as a result of Mr. Jian Tang’s status as co-founder of the Issuer; (b) issued to Igomax Inc. as a shareholder of OptAim Network Technology Co., Ltd. as consideration payable in connection with the Issuer’s acquisition of OptAim Ltd. (“</w:t>
      </w:r>
      <w:r>
        <w:rPr>
          <w:rFonts w:ascii="Times New Roman" w:cs="Times New Roman" w:eastAsia="Times New Roman" w:hAnsi="Times New Roman"/>
          <w:sz w:val="18"/>
          <w:szCs w:val="18"/>
          <w:u w:val="single" w:color="auto"/>
          <w:color w:val="auto"/>
        </w:rPr>
        <w:t>OptAim</w:t>
      </w:r>
      <w:r>
        <w:rPr>
          <w:rFonts w:ascii="Times New Roman" w:cs="Times New Roman" w:eastAsia="Times New Roman" w:hAnsi="Times New Roman"/>
          <w:sz w:val="18"/>
          <w:szCs w:val="18"/>
          <w:color w:val="auto"/>
        </w:rPr>
        <w:t>”) in July 2015; (c) transferred (an aggregate of 423,226 Class B Common Shares) to Igomax Inc. in December 2016 by Wing Hong Sammy Hsieh and Yau Ping Ricky Ng for nominal consideration as compensation of Mr. Jian Tang’s service to the Issuer; and (d) acquired for cash in connection with the Issuer’s follow-on offering in September 2020.</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With respect to the 27,913 Class A Ordinary Shares that are issuable upon exercise of options held in trust by Mr. Jian Tang, such options were issued in connection with the Issuer’s acquisition of OptAim in July 2015 and are held by Mr. Jian Tang in trust on behalf of certain consultants of OptAim.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descriptions of the principal terms of the Proposal (as defined in Item 4) under Item 4 are incorporated herein by reference in their entirety.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December 20, 2022, the Reporting Persons entered into a entered into a consortium agreement (the “</w:t>
      </w:r>
      <w:r>
        <w:rPr>
          <w:rFonts w:ascii="Times New Roman" w:cs="Times New Roman" w:eastAsia="Times New Roman" w:hAnsi="Times New Roman"/>
          <w:sz w:val="18"/>
          <w:szCs w:val="18"/>
          <w:u w:val="single" w:color="auto"/>
          <w:color w:val="auto"/>
        </w:rPr>
        <w:t>Consortium Agreement</w:t>
      </w:r>
      <w:r>
        <w:rPr>
          <w:rFonts w:ascii="Times New Roman" w:cs="Times New Roman" w:eastAsia="Times New Roman" w:hAnsi="Times New Roman"/>
          <w:sz w:val="18"/>
          <w:szCs w:val="18"/>
          <w:color w:val="auto"/>
        </w:rPr>
        <w:t>”) with Rise Chain Investment Limited, a British Virgin Islands company wholly owned by Mr. Huang Jianjun, and Mr. Huang Jianjun (the “</w:t>
      </w:r>
      <w:r>
        <w:rPr>
          <w:rFonts w:ascii="Times New Roman" w:cs="Times New Roman" w:eastAsia="Times New Roman" w:hAnsi="Times New Roman"/>
          <w:sz w:val="18"/>
          <w:szCs w:val="18"/>
          <w:u w:val="single" w:color="auto"/>
          <w:color w:val="auto"/>
        </w:rPr>
        <w:t>Sponsor Group</w:t>
      </w:r>
      <w:r>
        <w:rPr>
          <w:rFonts w:ascii="Times New Roman" w:cs="Times New Roman" w:eastAsia="Times New Roman" w:hAnsi="Times New Roman"/>
          <w:sz w:val="18"/>
          <w:szCs w:val="18"/>
          <w:color w:val="auto"/>
        </w:rPr>
        <w:t>” and, collectively, with the Reporting Persons, the “</w:t>
      </w:r>
      <w:r>
        <w:rPr>
          <w:rFonts w:ascii="Times New Roman" w:cs="Times New Roman" w:eastAsia="Times New Roman" w:hAnsi="Times New Roman"/>
          <w:sz w:val="18"/>
          <w:szCs w:val="18"/>
          <w:u w:val="single" w:color="auto"/>
          <w:color w:val="auto"/>
        </w:rPr>
        <w:t>Buyer Group</w:t>
      </w:r>
      <w:r>
        <w:rPr>
          <w:rFonts w:ascii="Times New Roman" w:cs="Times New Roman" w:eastAsia="Times New Roman" w:hAnsi="Times New Roman"/>
          <w:sz w:val="18"/>
          <w:szCs w:val="18"/>
          <w:color w:val="auto"/>
        </w:rPr>
        <w:t>”), pursuant to which all parties agreed to cooperate in good faith to acquire all of the outstanding Ordinary Shares and ADSs representing Ordinary Shares other than those already beneficially owned by the Buyer Group, through a going-private transaction (the “</w:t>
      </w:r>
      <w:r>
        <w:rPr>
          <w:rFonts w:ascii="Times New Roman" w:cs="Times New Roman" w:eastAsia="Times New Roman" w:hAnsi="Times New Roman"/>
          <w:sz w:val="18"/>
          <w:szCs w:val="18"/>
          <w:u w:val="single" w:color="auto"/>
          <w:color w:val="auto"/>
        </w:rPr>
        <w:t>Proposed Transaction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the same date, the Buyer Group jointly submitted a preliminary non-binding proposal to the Issuer’s board of directors related to the proposed acquisition of all of the Ordinary Shares and ADSs not already beneficially owned by the Buyer Group for cash consideration equal to US$0.81344 per Ordinary Share or US$4.0672 per ADS, in cash (the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It is anticipated that funding for the Proposed Transaction will be provided by a combination of debt and equity capital. Equity financing will be provided by the Buyer Group in the form of cash contributions and rollover equity in the Issuer. Debt financing is expected to be provided by loans from third party financial institutions.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Buyer Group is not obligated to complete the Proposed Transaction.</w:t>
      </w:r>
    </w:p>
    <w:p>
      <w:pPr>
        <w:sectPr>
          <w:pgSz w:w="11900" w:h="16838" w:orient="portrait"/>
          <w:cols w:equalWidth="0" w:num="1">
            <w:col w:w="11000"/>
          </w:cols>
          <w:pgMar w:left="440" w:top="270" w:right="459" w:bottom="1440" w:gutter="0" w:footer="0" w:header="0"/>
        </w:sectPr>
      </w:pPr>
    </w:p>
    <w:bookmarkStart w:id="7" w:name="page8"/>
    <w:bookmarkEnd w:id="7"/>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Consortium Agreement provides, among other things, that the Buyer Group will collectively undertake due diligence regarding the Issuer, engage in discussions with the Issuer regarding the Proposal, negotiate a merger agreement with the Issuer and the terms of agreements between members of the Buyers Group to support the Proposal and to regulate the relationship between the members of the Buyer Group after the consummation of the acquisition of the Issuer (including a shareholders agreement) and cooperate in good faith with each other in connection with the acquisition of the Issuer. The Consortium Agreement also provides that the members of the Sponsor Group agree to acquire debt financing on terms and conditions to be reasonably agreed by the Reporting Persons and Sponsor Group and, subject to the execution of definitive documents and the satisfaction or waiver of the conditions therein, to pay cash to an entity formed to facilitate the Proposed Transaction in an amount sufficient to consummate the acquisition of the Issuer. Additionally, the Consortium Agreement states that unless the Reporting Persons and the Sponsor Group agree, they will not commission a report, opinion or appraisal (within the meaning of Item 1015 of Regulation M-A under the Exchange Act).</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period beginning on the date of the Consortium Agreement and ending on the six (6)-month anniversary of the date of the Consortium Agreement (the “</w:t>
      </w:r>
      <w:r>
        <w:rPr>
          <w:rFonts w:ascii="Times New Roman" w:cs="Times New Roman" w:eastAsia="Times New Roman" w:hAnsi="Times New Roman"/>
          <w:sz w:val="18"/>
          <w:szCs w:val="18"/>
          <w:u w:val="single" w:color="auto"/>
          <w:color w:val="auto"/>
        </w:rPr>
        <w:t>Exclusivity Period</w:t>
      </w:r>
      <w:r>
        <w:rPr>
          <w:rFonts w:ascii="Times New Roman" w:cs="Times New Roman" w:eastAsia="Times New Roman" w:hAnsi="Times New Roman"/>
          <w:sz w:val="18"/>
          <w:szCs w:val="18"/>
          <w:color w:val="auto"/>
        </w:rPr>
        <w:t>”), members of the Buyer Group have agreed, among other things, to: (a) work exclusively with each other with respect to the Proposed Transaction; (b) not make a competing proposal for the acquisition of control of the Issuer; (c) not acquire or dispose of any securities of the Issuer; or (d) not enter into any agreement, arrangement or understanding regarding, or do, anything which is directly inconsistent with the Proposed Transaction. Pursuant to the Consortium Agreement, the Buyer Group may also jointly agree to admit one or more additional member(s) to the Buyer Group.</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the Proposed Transaction is completed, the Issuer’s Class A Ordinary Shares would become eligible for termination of registration pursuant to Section 12(g) (4) of the Act and would be delisted from the NASDAQ Global Market, and the Issuer’s obligation to file periodic reports under the Act would terminate. In addition, consummation of the Proposed Transaction could result in one or more of the actions specified in clauses (a)-(j) of Item 4 of Schedule 13D, including the acquisition or disposition of securities of the Issuer, a merger or other extraordinary transaction involving the Issuer, a change to the board of directors of the Issuer, and a change in the Issuer’s memorandum and articles of association to reflect that the Issuer would become a privately held company. Except as indicated above, the Reporting Persons have no plans or proposals which relate to or would result in any of the actions specified in paragraphs (a) through (j) of Item 4 of Schedule 13D.</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References to the Proposal and Consortium Agreement in this Schedule 13D are qualified in their entirety by reference to the Proposal and Consortium Agreement, a copy of each of which is attached hereto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99.3</w:t>
      </w:r>
      <w:r>
        <w:rPr>
          <w:rFonts w:ascii="Times New Roman" w:cs="Times New Roman" w:eastAsia="Times New Roman" w:hAnsi="Times New Roman"/>
          <w:sz w:val="18"/>
          <w:szCs w:val="18"/>
          <w:color w:val="auto"/>
        </w:rPr>
        <w:t>, respectively, and incorporated herein by reference in their entirety.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(b)</w:t>
      </w:r>
    </w:p>
    <w:p>
      <w:pPr>
        <w:spacing w:after="0" w:line="121"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The following information with respect to the ownership of the Class A Ordinary Shares by each of the Reporting Persons is provided as of December 20,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gridSpan w:val="2"/>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Sole Power</w:t>
            </w:r>
          </w:p>
        </w:tc>
        <w:tc>
          <w:tcPr>
            <w:tcW w:w="1160" w:type="dxa"/>
            <w:vAlign w:val="bottom"/>
            <w:gridSpan w:val="2"/>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1300" w:type="dxa"/>
            <w:vAlign w:val="bottom"/>
            <w:gridSpan w:val="2"/>
            <w:vMerge w:val="restart"/>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Sole Power to</w:t>
            </w:r>
          </w:p>
        </w:tc>
        <w:tc>
          <w:tcPr>
            <w:tcW w:w="1120" w:type="dxa"/>
            <w:vAlign w:val="bottom"/>
            <w:gridSpan w:val="2"/>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Shared Power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60" w:type="dxa"/>
            <w:vAlign w:val="bottom"/>
            <w:gridSpan w:val="2"/>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160" w:type="dxa"/>
            <w:vAlign w:val="bottom"/>
            <w:gridSpan w:val="2"/>
          </w:tcPr>
          <w:p>
            <w:pPr>
              <w:jc w:val="center"/>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Power</w:t>
            </w:r>
          </w:p>
        </w:tc>
        <w:tc>
          <w:tcPr>
            <w:tcW w:w="1300" w:type="dxa"/>
            <w:vAlign w:val="bottom"/>
            <w:gridSpan w:val="2"/>
            <w:vMerge w:val="continue"/>
          </w:tcPr>
          <w:p>
            <w:pPr>
              <w:spacing w:after="0"/>
              <w:rPr>
                <w:sz w:val="12"/>
                <w:szCs w:val="12"/>
                <w:color w:val="auto"/>
              </w:rPr>
            </w:pPr>
          </w:p>
        </w:tc>
        <w:tc>
          <w:tcPr>
            <w:tcW w:w="1120" w:type="dxa"/>
            <w:vAlign w:val="bottom"/>
            <w:gridSpan w:val="2"/>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Vote or</w:t>
            </w:r>
          </w:p>
        </w:tc>
        <w:tc>
          <w:tcPr>
            <w:tcW w:w="1160" w:type="dxa"/>
            <w:vAlign w:val="bottom"/>
            <w:gridSpan w:val="2"/>
          </w:tcPr>
          <w:p>
            <w:pPr>
              <w:jc w:val="center"/>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to Vote or to</w:t>
            </w:r>
          </w:p>
        </w:tc>
        <w:tc>
          <w:tcPr>
            <w:tcW w:w="1300" w:type="dxa"/>
            <w:vAlign w:val="bottom"/>
            <w:gridSpan w:val="2"/>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Dispose or to</w:t>
            </w:r>
          </w:p>
        </w:tc>
        <w:tc>
          <w:tcPr>
            <w:tcW w:w="1120" w:type="dxa"/>
            <w:vAlign w:val="bottom"/>
            <w:gridSpan w:val="2"/>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Dispose or to</w:t>
            </w:r>
          </w:p>
        </w:tc>
        <w:tc>
          <w:tcPr>
            <w:tcW w:w="0" w:type="dxa"/>
            <w:vAlign w:val="bottom"/>
          </w:tcPr>
          <w:p>
            <w:pPr>
              <w:spacing w:after="0"/>
              <w:rPr>
                <w:sz w:val="1"/>
                <w:szCs w:val="1"/>
                <w:color w:val="auto"/>
              </w:rPr>
            </w:pPr>
          </w:p>
        </w:tc>
      </w:tr>
      <w:tr>
        <w:trPr>
          <w:trHeight w:val="148"/>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60" w:type="dxa"/>
            <w:vAlign w:val="bottom"/>
            <w:gridSpan w:val="2"/>
          </w:tcPr>
          <w:p>
            <w:pPr>
              <w:jc w:val="center"/>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Direct</w:t>
            </w:r>
          </w:p>
        </w:tc>
        <w:tc>
          <w:tcPr>
            <w:tcW w:w="1160" w:type="dxa"/>
            <w:vAlign w:val="bottom"/>
            <w:gridSpan w:val="2"/>
          </w:tcPr>
          <w:p>
            <w:pPr>
              <w:jc w:val="center"/>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Direct the</w:t>
            </w:r>
          </w:p>
        </w:tc>
        <w:tc>
          <w:tcPr>
            <w:tcW w:w="1300" w:type="dxa"/>
            <w:vAlign w:val="bottom"/>
            <w:gridSpan w:val="2"/>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Direct the</w:t>
            </w:r>
          </w:p>
        </w:tc>
        <w:tc>
          <w:tcPr>
            <w:tcW w:w="1120" w:type="dxa"/>
            <w:vAlign w:val="bottom"/>
            <w:gridSpan w:val="2"/>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Direct the</w:t>
            </w:r>
          </w:p>
        </w:tc>
        <w:tc>
          <w:tcPr>
            <w:tcW w:w="0" w:type="dxa"/>
            <w:vAlign w:val="bottom"/>
          </w:tcPr>
          <w:p>
            <w:pPr>
              <w:spacing w:after="0"/>
              <w:rPr>
                <w:sz w:val="1"/>
                <w:szCs w:val="1"/>
                <w:color w:val="auto"/>
              </w:rPr>
            </w:pPr>
          </w:p>
        </w:tc>
      </w:tr>
      <w:tr>
        <w:trPr>
          <w:trHeight w:val="160"/>
        </w:trPr>
        <w:tc>
          <w:tcPr>
            <w:tcW w:w="4320" w:type="dxa"/>
            <w:vAlign w:val="bottom"/>
            <w:gridSpan w:val="2"/>
            <w:vMerge w:val="continue"/>
          </w:tcPr>
          <w:p>
            <w:pPr>
              <w:spacing w:after="0"/>
              <w:rPr>
                <w:sz w:val="13"/>
                <w:szCs w:val="13"/>
                <w:color w:val="auto"/>
              </w:rPr>
            </w:pPr>
          </w:p>
        </w:tc>
        <w:tc>
          <w:tcPr>
            <w:tcW w:w="10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04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Class:</w:t>
            </w:r>
          </w:p>
        </w:tc>
        <w:tc>
          <w:tcPr>
            <w:tcW w:w="1060" w:type="dxa"/>
            <w:vAlign w:val="bottom"/>
            <w:gridSpan w:val="2"/>
          </w:tcPr>
          <w:p>
            <w:pPr>
              <w:jc w:val="center"/>
              <w:ind w:right="293"/>
              <w:spacing w:after="0" w:line="160" w:lineRule="exact"/>
              <w:rPr>
                <w:sz w:val="20"/>
                <w:szCs w:val="20"/>
                <w:color w:val="auto"/>
              </w:rPr>
            </w:pPr>
            <w:r>
              <w:rPr>
                <w:rFonts w:ascii="Times New Roman" w:cs="Times New Roman" w:eastAsia="Times New Roman" w:hAnsi="Times New Roman"/>
                <w:sz w:val="14"/>
                <w:szCs w:val="14"/>
                <w:b w:val="1"/>
                <w:bCs w:val="1"/>
                <w:color w:val="auto"/>
                <w:w w:val="98"/>
              </w:rPr>
              <w:t>the Vote:</w:t>
            </w:r>
          </w:p>
        </w:tc>
        <w:tc>
          <w:tcPr>
            <w:tcW w:w="1160" w:type="dxa"/>
            <w:vAlign w:val="bottom"/>
            <w:gridSpan w:val="2"/>
          </w:tcPr>
          <w:p>
            <w:pPr>
              <w:jc w:val="center"/>
              <w:ind w:right="293"/>
              <w:spacing w:after="0" w:line="160" w:lineRule="exact"/>
              <w:rPr>
                <w:sz w:val="20"/>
                <w:szCs w:val="20"/>
                <w:color w:val="auto"/>
              </w:rPr>
            </w:pPr>
            <w:r>
              <w:rPr>
                <w:rFonts w:ascii="Times New Roman" w:cs="Times New Roman" w:eastAsia="Times New Roman" w:hAnsi="Times New Roman"/>
                <w:sz w:val="14"/>
                <w:szCs w:val="14"/>
                <w:b w:val="1"/>
                <w:bCs w:val="1"/>
                <w:color w:val="auto"/>
                <w:w w:val="97"/>
              </w:rPr>
              <w:t>Vote:</w:t>
            </w:r>
          </w:p>
        </w:tc>
        <w:tc>
          <w:tcPr>
            <w:tcW w:w="1300" w:type="dxa"/>
            <w:vAlign w:val="bottom"/>
            <w:gridSpan w:val="2"/>
          </w:tcPr>
          <w:p>
            <w:pPr>
              <w:jc w:val="center"/>
              <w:ind w:right="313"/>
              <w:spacing w:after="0" w:line="160" w:lineRule="exact"/>
              <w:rPr>
                <w:sz w:val="20"/>
                <w:szCs w:val="20"/>
                <w:color w:val="auto"/>
              </w:rPr>
            </w:pPr>
            <w:r>
              <w:rPr>
                <w:rFonts w:ascii="Times New Roman" w:cs="Times New Roman" w:eastAsia="Times New Roman" w:hAnsi="Times New Roman"/>
                <w:sz w:val="14"/>
                <w:szCs w:val="14"/>
                <w:b w:val="1"/>
                <w:bCs w:val="1"/>
                <w:color w:val="auto"/>
              </w:rPr>
              <w:t>Disposition of:</w:t>
            </w:r>
          </w:p>
        </w:tc>
        <w:tc>
          <w:tcPr>
            <w:tcW w:w="1120" w:type="dxa"/>
            <w:vAlign w:val="bottom"/>
            <w:gridSpan w:val="2"/>
          </w:tcPr>
          <w:p>
            <w:pPr>
              <w:jc w:val="center"/>
              <w:ind w:right="173"/>
              <w:spacing w:after="0" w:line="160" w:lineRule="exact"/>
              <w:rPr>
                <w:sz w:val="20"/>
                <w:szCs w:val="20"/>
                <w:color w:val="auto"/>
              </w:rPr>
            </w:pPr>
            <w:r>
              <w:rPr>
                <w:rFonts w:ascii="Times New Roman" w:cs="Times New Roman" w:eastAsia="Times New Roman" w:hAnsi="Times New Roman"/>
                <w:sz w:val="14"/>
                <w:szCs w:val="14"/>
                <w:b w:val="1"/>
                <w:bCs w:val="1"/>
                <w:color w:val="auto"/>
              </w:rPr>
              <w:t>Disposition of:</w:t>
            </w:r>
          </w:p>
        </w:tc>
        <w:tc>
          <w:tcPr>
            <w:tcW w:w="0" w:type="dxa"/>
            <w:vAlign w:val="bottom"/>
          </w:tcPr>
          <w:p>
            <w:pPr>
              <w:spacing w:after="0"/>
              <w:rPr>
                <w:sz w:val="1"/>
                <w:szCs w:val="1"/>
                <w:color w:val="auto"/>
              </w:rPr>
            </w:pPr>
          </w:p>
        </w:tc>
      </w:tr>
      <w:tr>
        <w:trPr>
          <w:trHeight w:val="20"/>
        </w:trPr>
        <w:tc>
          <w:tcPr>
            <w:tcW w:w="11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 Tang</w:t>
            </w:r>
          </w:p>
        </w:tc>
        <w:tc>
          <w:tcPr>
            <w:tcW w:w="32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2"/>
              </w:rPr>
              <w:t>(3)</w:t>
            </w: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78"/>
              </w:rPr>
              <w:t>(4)</w:t>
            </w:r>
          </w:p>
        </w:tc>
        <w:tc>
          <w:tcPr>
            <w:tcW w:w="9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2"/>
              </w:rPr>
              <w:t>(3)</w:t>
            </w: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0" w:type="dxa"/>
            <w:vAlign w:val="bottom"/>
          </w:tcPr>
          <w:p>
            <w:pPr>
              <w:spacing w:after="0" w:line="20" w:lineRule="exact"/>
              <w:rPr>
                <w:sz w:val="1"/>
                <w:szCs w:val="1"/>
                <w:color w:val="auto"/>
              </w:rPr>
            </w:pPr>
          </w:p>
        </w:tc>
      </w:tr>
      <w:tr>
        <w:trPr>
          <w:trHeight w:val="203"/>
        </w:trPr>
        <w:tc>
          <w:tcPr>
            <w:tcW w:w="1120" w:type="dxa"/>
            <w:vAlign w:val="bottom"/>
            <w:vMerge w:val="continue"/>
            <w:shd w:val="clear" w:color="auto" w:fill="CCEEFF"/>
          </w:tcPr>
          <w:p>
            <w:pPr>
              <w:spacing w:after="0"/>
              <w:rPr>
                <w:sz w:val="17"/>
                <w:szCs w:val="17"/>
                <w:color w:val="auto"/>
              </w:rPr>
            </w:pPr>
          </w:p>
        </w:tc>
        <w:tc>
          <w:tcPr>
            <w:tcW w:w="320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2,526,470</w:t>
            </w:r>
          </w:p>
        </w:tc>
        <w:tc>
          <w:tcPr>
            <w:tcW w:w="22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3" w:lineRule="exact"/>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23"/>
                <w:szCs w:val="23"/>
                <w:color w:val="auto"/>
                <w:vertAlign w:val="superscript"/>
              </w:rPr>
              <w:t>(1)</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27,913</w:t>
            </w:r>
          </w:p>
        </w:tc>
        <w:tc>
          <w:tcPr>
            <w:tcW w:w="38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2,498,557</w:t>
            </w:r>
          </w:p>
        </w:tc>
        <w:tc>
          <w:tcPr>
            <w:tcW w:w="360" w:type="dxa"/>
            <w:vAlign w:val="bottom"/>
            <w:vMerge w:val="continue"/>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27,913</w:t>
            </w:r>
          </w:p>
        </w:tc>
        <w:tc>
          <w:tcPr>
            <w:tcW w:w="38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2,498,557</w:t>
            </w:r>
          </w:p>
        </w:tc>
        <w:tc>
          <w:tcPr>
            <w:tcW w:w="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Igomax Inc.</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2,498,557</w:t>
            </w:r>
          </w:p>
        </w:tc>
        <w:tc>
          <w:tcPr>
            <w:tcW w:w="1040" w:type="dxa"/>
            <w:vAlign w:val="bottom"/>
            <w:gridSpan w:val="2"/>
          </w:tcPr>
          <w:p>
            <w:pPr>
              <w:jc w:val="right"/>
              <w:ind w:right="220"/>
              <w:spacing w:after="0" w:line="216" w:lineRule="exact"/>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25"/>
                <w:szCs w:val="25"/>
                <w:color w:val="auto"/>
                <w:vertAlign w:val="superscript"/>
              </w:rPr>
              <w:t>(1)</w:t>
            </w:r>
          </w:p>
        </w:tc>
        <w:tc>
          <w:tcPr>
            <w:tcW w:w="1060" w:type="dxa"/>
            <w:vAlign w:val="bottom"/>
            <w:gridSpan w:val="2"/>
          </w:tcPr>
          <w:p>
            <w:pPr>
              <w:jc w:val="right"/>
              <w:ind w:right="293"/>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2,498,557</w:t>
            </w:r>
            <w:r>
              <w:rPr>
                <w:rFonts w:ascii="Times New Roman" w:cs="Times New Roman" w:eastAsia="Times New Roman" w:hAnsi="Times New Roman"/>
                <w:sz w:val="25"/>
                <w:szCs w:val="25"/>
                <w:color w:val="auto"/>
                <w:vertAlign w:val="superscript"/>
              </w:rPr>
              <w:t>(5)</w:t>
            </w:r>
          </w:p>
        </w:tc>
        <w:tc>
          <w:tcPr>
            <w:tcW w:w="1300" w:type="dxa"/>
            <w:vAlign w:val="bottom"/>
            <w:gridSpan w:val="2"/>
          </w:tcPr>
          <w:p>
            <w:pPr>
              <w:jc w:val="right"/>
              <w:ind w:right="313"/>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2,498,557</w:t>
            </w:r>
            <w:r>
              <w:rPr>
                <w:rFonts w:ascii="Times New Roman" w:cs="Times New Roman" w:eastAsia="Times New Roman" w:hAnsi="Times New Roman"/>
                <w:sz w:val="25"/>
                <w:szCs w:val="25"/>
                <w:color w:val="auto"/>
                <w:vertAlign w:val="superscript"/>
              </w:rPr>
              <w:t>(5)</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Wing Hong Sammy Hsieh</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2,524,109</w:t>
            </w:r>
          </w:p>
        </w:tc>
        <w:tc>
          <w:tcPr>
            <w:tcW w:w="1040" w:type="dxa"/>
            <w:vAlign w:val="bottom"/>
            <w:gridSpan w:val="2"/>
            <w:shd w:val="clear" w:color="auto" w:fill="CCEEFF"/>
          </w:tcPr>
          <w:p>
            <w:pPr>
              <w:jc w:val="right"/>
              <w:ind w:right="220"/>
              <w:spacing w:after="0" w:line="216" w:lineRule="exact"/>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25"/>
                <w:szCs w:val="25"/>
                <w:color w:val="auto"/>
                <w:vertAlign w:val="superscript"/>
              </w:rPr>
              <w:t>(2)</w:t>
            </w:r>
          </w:p>
        </w:tc>
        <w:tc>
          <w:tcPr>
            <w:tcW w:w="1060" w:type="dxa"/>
            <w:vAlign w:val="bottom"/>
            <w:gridSpan w:val="2"/>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241,294</w:t>
            </w:r>
          </w:p>
        </w:tc>
        <w:tc>
          <w:tcPr>
            <w:tcW w:w="1160" w:type="dxa"/>
            <w:vAlign w:val="bottom"/>
            <w:gridSpan w:val="2"/>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2,282,815</w:t>
            </w:r>
            <w:r>
              <w:rPr>
                <w:rFonts w:ascii="Times New Roman" w:cs="Times New Roman" w:eastAsia="Times New Roman" w:hAnsi="Times New Roman"/>
                <w:sz w:val="25"/>
                <w:szCs w:val="25"/>
                <w:color w:val="auto"/>
                <w:vertAlign w:val="superscript"/>
              </w:rPr>
              <w:t>(6)</w:t>
            </w:r>
          </w:p>
        </w:tc>
        <w:tc>
          <w:tcPr>
            <w:tcW w:w="1300" w:type="dxa"/>
            <w:vAlign w:val="bottom"/>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241,294</w:t>
            </w:r>
          </w:p>
        </w:tc>
        <w:tc>
          <w:tcPr>
            <w:tcW w:w="112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2,282,815</w:t>
            </w:r>
            <w:r>
              <w:rPr>
                <w:rFonts w:ascii="Times New Roman" w:cs="Times New Roman" w:eastAsia="Times New Roman" w:hAnsi="Times New Roman"/>
                <w:sz w:val="25"/>
                <w:szCs w:val="25"/>
                <w:color w:val="auto"/>
                <w:vertAlign w:val="superscript"/>
              </w:rPr>
              <w:t>(6)</w:t>
            </w:r>
          </w:p>
        </w:tc>
        <w:tc>
          <w:tcPr>
            <w:tcW w:w="0" w:type="dxa"/>
            <w:vAlign w:val="bottom"/>
          </w:tcPr>
          <w:p>
            <w:pPr>
              <w:spacing w:after="0"/>
              <w:rPr>
                <w:sz w:val="1"/>
                <w:szCs w:val="1"/>
                <w:color w:val="auto"/>
              </w:rPr>
            </w:pPr>
          </w:p>
        </w:tc>
      </w:tr>
      <w:tr>
        <w:trPr>
          <w:trHeight w:val="339"/>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Bubinga Holdings Limited</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2,282,815</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26"/>
                <w:szCs w:val="26"/>
                <w:color w:val="auto"/>
                <w:vertAlign w:val="superscript"/>
              </w:rPr>
              <w:t>(2)</w:t>
            </w:r>
          </w:p>
        </w:tc>
        <w:tc>
          <w:tcPr>
            <w:tcW w:w="1060" w:type="dxa"/>
            <w:vAlign w:val="bottom"/>
            <w:gridSpan w:val="2"/>
          </w:tcPr>
          <w:p>
            <w:pPr>
              <w:jc w:val="right"/>
              <w:ind w:right="293"/>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w w:val="99"/>
              </w:rPr>
              <w:t>2,282,815</w:t>
            </w:r>
            <w:r>
              <w:rPr>
                <w:rFonts w:ascii="Times New Roman" w:cs="Times New Roman" w:eastAsia="Times New Roman" w:hAnsi="Times New Roman"/>
                <w:sz w:val="26"/>
                <w:szCs w:val="26"/>
                <w:color w:val="auto"/>
                <w:w w:val="99"/>
                <w:vertAlign w:val="superscript"/>
              </w:rPr>
              <w:t>(7)</w:t>
            </w:r>
          </w:p>
        </w:tc>
        <w:tc>
          <w:tcPr>
            <w:tcW w:w="1300" w:type="dxa"/>
            <w:vAlign w:val="bottom"/>
            <w:gridSpan w:val="2"/>
          </w:tcPr>
          <w:p>
            <w:pPr>
              <w:jc w:val="right"/>
              <w:ind w:right="313"/>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2,282,815</w:t>
            </w:r>
            <w:r>
              <w:rPr>
                <w:rFonts w:ascii="Times New Roman" w:cs="Times New Roman" w:eastAsia="Times New Roman" w:hAnsi="Times New Roman"/>
                <w:sz w:val="26"/>
                <w:szCs w:val="26"/>
                <w:color w:val="auto"/>
                <w:vertAlign w:val="superscript"/>
              </w:rPr>
              <w:t>(7)</w:t>
            </w:r>
          </w:p>
        </w:tc>
        <w:tc>
          <w:tcPr>
            <w:tcW w:w="0" w:type="dxa"/>
            <w:vAlign w:val="bottom"/>
          </w:tcPr>
          <w:p>
            <w:pPr>
              <w:spacing w:after="0"/>
              <w:rPr>
                <w:sz w:val="1"/>
                <w:szCs w:val="1"/>
                <w:color w:val="auto"/>
              </w:rPr>
            </w:pPr>
          </w:p>
        </w:tc>
      </w:tr>
    </w:tbl>
    <w:p>
      <w:pPr>
        <w:ind w:left="960" w:right="40" w:hanging="532"/>
        <w:spacing w:after="0" w:line="254"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assumes that there is a total of 47,113,493 Class A Ordinary Shares outstanding, which includes (i) the 45,011,230 Class A Ordinary Shares outstanding as of December 20, 2022, as advised by the Issuer on or about the date thereof and (ii) the 2,102,263 Class A Ordinary Shares issuable upon the conversion of 2,102,263 Class B Ordinary Shares held by Igomax Inc.</w:t>
      </w:r>
    </w:p>
    <w:p>
      <w:pPr>
        <w:sectPr>
          <w:pgSz w:w="11900" w:h="16838" w:orient="portrait"/>
          <w:cols w:equalWidth="0" w:num="1">
            <w:col w:w="11020"/>
          </w:cols>
          <w:pgMar w:left="440" w:top="270" w:right="439" w:bottom="1440" w:gutter="0" w:footer="0" w:header="0"/>
        </w:sectPr>
      </w:pPr>
    </w:p>
    <w:bookmarkStart w:id="8" w:name="page9"/>
    <w:bookmarkEnd w:id="8"/>
    <w:p>
      <w:pPr>
        <w:ind w:left="964" w:right="40" w:hanging="532"/>
        <w:spacing w:after="0" w:line="255" w:lineRule="auto"/>
        <w:tabs>
          <w:tab w:leader="none" w:pos="9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percent ownership calculation assumes that there is a total of 47,294,045 Class A Ordinary Shares outstanding, which includes (i) the 45,011,230 Class A Ordinary Shares outstanding as of December 20, 2022, as advised by the Issuer on or about the date thereof and (ii) the 2,282,815 Class A Ordinary Shares issuable upon the conversion of 2,282,815 Class B Ordinary Shares held by Bubinga Holdings Limited.</w:t>
      </w:r>
    </w:p>
    <w:p>
      <w:pPr>
        <w:spacing w:after="0" w:line="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27,913 Class A Ordinary Shares that are issuable upon exercise of options held in trust by Mr. Jian Tang.</w:t>
      </w:r>
    </w:p>
    <w:p>
      <w:pPr>
        <w:spacing w:after="0" w:line="9" w:lineRule="exact"/>
        <w:rPr>
          <w:rFonts w:ascii="Times New Roman" w:cs="Times New Roman" w:eastAsia="Times New Roman" w:hAnsi="Times New Roman"/>
          <w:sz w:val="18"/>
          <w:szCs w:val="18"/>
          <w:color w:val="auto"/>
        </w:rPr>
      </w:pPr>
    </w:p>
    <w:p>
      <w:pPr>
        <w:ind w:left="964" w:right="20" w:hanging="532"/>
        <w:spacing w:after="0" w:line="250" w:lineRule="auto"/>
        <w:tabs>
          <w:tab w:leader="none" w:pos="9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396,294 Class A Ordinary Shares held by Igomax Inc. and (ii) 2,102,263 Class A Ordinary Shares issuable upon the conversion of 2,102,263 Class B Ordinary Shares held by Igomax Inc. Mr. Jian Tang is the sole director and shareholder of Igomax Inc.</w:t>
      </w:r>
    </w:p>
    <w:p>
      <w:pPr>
        <w:ind w:left="964" w:right="20" w:hanging="532"/>
        <w:spacing w:after="0" w:line="250" w:lineRule="auto"/>
        <w:tabs>
          <w:tab w:leader="none" w:pos="9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396,294 Class A Ordinary Shares held by Igomax Inc. and (ii) 2,102,263 Class A Ordinary Shares issuable upon the conversion of 2,102,263 Class B Ordinary Shares held by Igomax Inc.</w:t>
      </w:r>
    </w:p>
    <w:p>
      <w:pPr>
        <w:jc w:val="both"/>
        <w:ind w:left="964" w:right="180" w:hanging="532"/>
        <w:spacing w:after="0" w:line="250" w:lineRule="auto"/>
        <w:tabs>
          <w:tab w:leader="none" w:pos="9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241,294 Class A Ordinary Shares held directly by Mr. Wing Hong Sammy Hsieh and (ii) 2,282,815 Class A Ordinary Shares issuable upon the conversion of 2,282,815 Class B Ordinary Shares held by Bubinga Holdings Limited. Mr. Wing Hong Sammy Hsieh is the sole director and shareholder of Bubinga Holdings Limited.</w:t>
      </w:r>
    </w:p>
    <w:p>
      <w:pPr>
        <w:spacing w:after="0" w:line="1" w:lineRule="exact"/>
        <w:rPr>
          <w:rFonts w:ascii="Times New Roman" w:cs="Times New Roman" w:eastAsia="Times New Roman" w:hAnsi="Times New Roman"/>
          <w:sz w:val="18"/>
          <w:szCs w:val="18"/>
          <w:color w:val="auto"/>
        </w:rPr>
      </w:pPr>
    </w:p>
    <w:p>
      <w:pPr>
        <w:ind w:left="964" w:right="560" w:hanging="532"/>
        <w:spacing w:after="0" w:line="260" w:lineRule="auto"/>
        <w:tabs>
          <w:tab w:leader="none" w:pos="9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2,282,815 Class A Ordinary Shares issuable upon the conversion of 2,282,815 Class B Ordinary Shares held by Bubinga Holdings Limited.</w:t>
      </w:r>
    </w:p>
    <w:p>
      <w:pPr>
        <w:spacing w:after="0" w:line="181" w:lineRule="exact"/>
        <w:rPr>
          <w:sz w:val="20"/>
          <w:szCs w:val="20"/>
          <w:color w:val="auto"/>
        </w:rPr>
      </w:pPr>
    </w:p>
    <w:p>
      <w:pPr>
        <w:ind w:left="4" w:right="160"/>
        <w:spacing w:after="0" w:line="258" w:lineRule="auto"/>
        <w:rPr>
          <w:sz w:val="20"/>
          <w:szCs w:val="20"/>
          <w:color w:val="auto"/>
        </w:rPr>
      </w:pPr>
      <w:r>
        <w:rPr>
          <w:rFonts w:ascii="Times New Roman" w:cs="Times New Roman" w:eastAsia="Times New Roman" w:hAnsi="Times New Roman"/>
          <w:sz w:val="18"/>
          <w:szCs w:val="18"/>
          <w:color w:val="auto"/>
        </w:rPr>
        <w:t>The Reporting Persons and members of the Buyer Group that are not Reporting Persons may be deemed to constitute a “group” for purposes of Section 13d-5(b) of the Act by virtue of the Proposed Transaction, the Proposal and the Consortium Agreement. The following table sets forth the beneficial ownership of Class A Ordinary Shares (including Class A Ordinary Shares represented by ADSs) of the Issuer for persons who are members of the Buyer Group (other than the Reporting Persons) and therefore, together with the Reporting Persons, may be deemed to be a “group” within the meaning of Section 13(d)(3) of the Securities Act.</w:t>
      </w:r>
    </w:p>
    <w:p>
      <w:pPr>
        <w:spacing w:after="0" w:line="19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gridSpan w:val="2"/>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rPr>
              <w:t>Sole Power</w:t>
            </w: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1360" w:type="dxa"/>
            <w:vAlign w:val="bottom"/>
            <w:gridSpan w:val="2"/>
            <w:vMerge w:val="restart"/>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rPr>
              <w:t>Sole Power to</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Shared Power</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20" w:type="dxa"/>
            <w:vAlign w:val="bottom"/>
            <w:gridSpan w:val="2"/>
            <w:vMerge w:val="restart"/>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40" w:type="dxa"/>
            <w:vAlign w:val="bottom"/>
            <w:gridSpan w:val="2"/>
          </w:tcPr>
          <w:p>
            <w:pPr>
              <w:jc w:val="center"/>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2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96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0" w:type="dxa"/>
            <w:vAlign w:val="bottom"/>
          </w:tcPr>
          <w:p>
            <w:pPr>
              <w:spacing w:after="0"/>
              <w:rPr>
                <w:sz w:val="1"/>
                <w:szCs w:val="1"/>
                <w:color w:val="auto"/>
              </w:rPr>
            </w:pPr>
          </w:p>
        </w:tc>
      </w:tr>
      <w:tr>
        <w:trPr>
          <w:trHeight w:val="148"/>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Member of Buyer</w:t>
            </w:r>
          </w:p>
        </w:tc>
        <w:tc>
          <w:tcPr>
            <w:tcW w:w="12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40" w:type="dxa"/>
            <w:vAlign w:val="bottom"/>
            <w:gridSpan w:val="2"/>
          </w:tcPr>
          <w:p>
            <w:pPr>
              <w:jc w:val="center"/>
              <w:ind w:right="373"/>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Vote or</w:t>
            </w: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Power</w:t>
            </w:r>
          </w:p>
        </w:tc>
        <w:tc>
          <w:tcPr>
            <w:tcW w:w="1360" w:type="dxa"/>
            <w:vAlign w:val="bottom"/>
            <w:gridSpan w:val="2"/>
          </w:tcPr>
          <w:p>
            <w:pPr>
              <w:jc w:val="center"/>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Dispose or to</w:t>
            </w:r>
          </w:p>
        </w:tc>
        <w:tc>
          <w:tcPr>
            <w:tcW w:w="96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Dispose or to</w:t>
            </w:r>
          </w:p>
        </w:tc>
        <w:tc>
          <w:tcPr>
            <w:tcW w:w="0" w:type="dxa"/>
            <w:vAlign w:val="bottom"/>
          </w:tcPr>
          <w:p>
            <w:pPr>
              <w:spacing w:after="0"/>
              <w:rPr>
                <w:sz w:val="1"/>
                <w:szCs w:val="1"/>
                <w:color w:val="auto"/>
              </w:rPr>
            </w:pPr>
          </w:p>
        </w:tc>
      </w:tr>
      <w:tr>
        <w:trPr>
          <w:trHeight w:val="146"/>
        </w:trPr>
        <w:tc>
          <w:tcPr>
            <w:tcW w:w="4040" w:type="dxa"/>
            <w:vAlign w:val="bottom"/>
            <w:gridSpan w:val="2"/>
            <w:vMerge w:val="continue"/>
          </w:tcPr>
          <w:p>
            <w:pPr>
              <w:spacing w:after="0"/>
              <w:rPr>
                <w:sz w:val="12"/>
                <w:szCs w:val="12"/>
                <w:color w:val="auto"/>
              </w:rPr>
            </w:pPr>
          </w:p>
        </w:tc>
        <w:tc>
          <w:tcPr>
            <w:tcW w:w="1220" w:type="dxa"/>
            <w:vAlign w:val="bottom"/>
            <w:gridSpan w:val="2"/>
          </w:tcPr>
          <w:p>
            <w:pPr>
              <w:jc w:val="center"/>
              <w:ind w:right="393"/>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4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1240" w:type="dxa"/>
            <w:vAlign w:val="bottom"/>
            <w:gridSpan w:val="2"/>
          </w:tcPr>
          <w:p>
            <w:pPr>
              <w:jc w:val="center"/>
              <w:ind w:right="393"/>
              <w:spacing w:after="0" w:line="146" w:lineRule="exact"/>
              <w:rPr>
                <w:sz w:val="20"/>
                <w:szCs w:val="20"/>
                <w:color w:val="auto"/>
              </w:rPr>
            </w:pPr>
            <w:r>
              <w:rPr>
                <w:rFonts w:ascii="Times New Roman" w:cs="Times New Roman" w:eastAsia="Times New Roman" w:hAnsi="Times New Roman"/>
                <w:sz w:val="14"/>
                <w:szCs w:val="14"/>
                <w:b w:val="1"/>
                <w:bCs w:val="1"/>
                <w:color w:val="auto"/>
              </w:rPr>
              <w:t>Direct</w:t>
            </w:r>
          </w:p>
        </w:tc>
        <w:tc>
          <w:tcPr>
            <w:tcW w:w="12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to Vote or to</w:t>
            </w:r>
          </w:p>
        </w:tc>
        <w:tc>
          <w:tcPr>
            <w:tcW w:w="1360" w:type="dxa"/>
            <w:vAlign w:val="bottom"/>
            <w:gridSpan w:val="2"/>
          </w:tcPr>
          <w:p>
            <w:pPr>
              <w:jc w:val="center"/>
              <w:ind w:right="373"/>
              <w:spacing w:after="0" w:line="146" w:lineRule="exact"/>
              <w:rPr>
                <w:sz w:val="20"/>
                <w:szCs w:val="20"/>
                <w:color w:val="auto"/>
              </w:rPr>
            </w:pPr>
            <w:r>
              <w:rPr>
                <w:rFonts w:ascii="Times New Roman" w:cs="Times New Roman" w:eastAsia="Times New Roman" w:hAnsi="Times New Roman"/>
                <w:sz w:val="14"/>
                <w:szCs w:val="14"/>
                <w:b w:val="1"/>
                <w:bCs w:val="1"/>
                <w:color w:val="auto"/>
              </w:rPr>
              <w:t>Direct the</w:t>
            </w: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Direct the</w:t>
            </w:r>
          </w:p>
        </w:tc>
        <w:tc>
          <w:tcPr>
            <w:tcW w:w="0" w:type="dxa"/>
            <w:vAlign w:val="bottom"/>
          </w:tcPr>
          <w:p>
            <w:pPr>
              <w:spacing w:after="0"/>
              <w:rPr>
                <w:sz w:val="1"/>
                <w:szCs w:val="1"/>
                <w:color w:val="auto"/>
              </w:rPr>
            </w:pPr>
          </w:p>
        </w:tc>
      </w:tr>
      <w:tr>
        <w:trPr>
          <w:trHeight w:val="162"/>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Group:</w:t>
            </w:r>
          </w:p>
        </w:tc>
        <w:tc>
          <w:tcPr>
            <w:tcW w:w="3580" w:type="dxa"/>
            <w:vAlign w:val="bottom"/>
          </w:tcPr>
          <w:p>
            <w:pPr>
              <w:spacing w:after="0"/>
              <w:rPr>
                <w:sz w:val="14"/>
                <w:szCs w:val="14"/>
                <w:color w:val="auto"/>
              </w:rPr>
            </w:pPr>
          </w:p>
        </w:tc>
        <w:tc>
          <w:tcPr>
            <w:tcW w:w="1220" w:type="dxa"/>
            <w:vAlign w:val="bottom"/>
            <w:gridSpan w:val="2"/>
          </w:tcPr>
          <w:p>
            <w:pPr>
              <w:jc w:val="center"/>
              <w:ind w:right="393"/>
              <w:spacing w:after="0"/>
              <w:rPr>
                <w:sz w:val="20"/>
                <w:szCs w:val="20"/>
                <w:color w:val="auto"/>
              </w:rPr>
            </w:pPr>
            <w:r>
              <w:rPr>
                <w:rFonts w:ascii="Times New Roman" w:cs="Times New Roman" w:eastAsia="Times New Roman" w:hAnsi="Times New Roman"/>
                <w:sz w:val="14"/>
                <w:szCs w:val="14"/>
                <w:b w:val="1"/>
                <w:bCs w:val="1"/>
                <w:color w:val="auto"/>
              </w:rPr>
              <w:t>Owned:</w:t>
            </w: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Class:</w:t>
            </w:r>
            <w:r>
              <w:rPr>
                <w:rFonts w:ascii="Times New Roman" w:cs="Times New Roman" w:eastAsia="Times New Roman" w:hAnsi="Times New Roman"/>
                <w:sz w:val="10"/>
                <w:szCs w:val="10"/>
                <w:b w:val="1"/>
                <w:bCs w:val="1"/>
                <w:color w:val="auto"/>
              </w:rPr>
              <w:t>(1)</w:t>
            </w:r>
          </w:p>
        </w:tc>
        <w:tc>
          <w:tcPr>
            <w:tcW w:w="1240" w:type="dxa"/>
            <w:vAlign w:val="bottom"/>
            <w:gridSpan w:val="2"/>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rPr>
              <w:t>the Vote:</w:t>
            </w: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Direct the Vote:</w:t>
            </w:r>
          </w:p>
        </w:tc>
        <w:tc>
          <w:tcPr>
            <w:tcW w:w="1360" w:type="dxa"/>
            <w:vAlign w:val="bottom"/>
            <w:gridSpan w:val="2"/>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rPr>
              <w:t>Disposition of:</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Disposition of:</w:t>
            </w:r>
          </w:p>
        </w:tc>
        <w:tc>
          <w:tcPr>
            <w:tcW w:w="0" w:type="dxa"/>
            <w:vAlign w:val="bottom"/>
          </w:tcPr>
          <w:p>
            <w:pPr>
              <w:spacing w:after="0"/>
              <w:rPr>
                <w:sz w:val="1"/>
                <w:szCs w:val="1"/>
                <w:color w:val="auto"/>
              </w:rPr>
            </w:pPr>
          </w:p>
        </w:tc>
      </w:tr>
      <w:tr>
        <w:trPr>
          <w:trHeight w:val="20"/>
        </w:trPr>
        <w:tc>
          <w:tcPr>
            <w:tcW w:w="40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Huang Jianjun</w:t>
            </w:r>
          </w:p>
        </w:tc>
        <w:tc>
          <w:tcPr>
            <w:tcW w:w="7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2"/>
              </w:rPr>
              <w:t>(2)</w:t>
            </w: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w w:val="92"/>
              </w:rPr>
              <w:t>(2)</w:t>
            </w: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w w:val="92"/>
              </w:rPr>
              <w:t>(2)</w:t>
            </w: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2,564,103</w:t>
            </w:r>
          </w:p>
        </w:tc>
        <w:tc>
          <w:tcPr>
            <w:tcW w:w="44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3" w:lineRule="exact"/>
              <w:rPr>
                <w:sz w:val="20"/>
                <w:szCs w:val="20"/>
                <w:color w:val="auto"/>
              </w:rPr>
            </w:pPr>
            <w:r>
              <w:rPr>
                <w:rFonts w:ascii="Times New Roman" w:cs="Times New Roman" w:eastAsia="Times New Roman" w:hAnsi="Times New Roman"/>
                <w:sz w:val="18"/>
                <w:szCs w:val="18"/>
                <w:color w:val="auto"/>
              </w:rPr>
              <w:t>5.7%</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2,564,103</w:t>
            </w:r>
          </w:p>
        </w:tc>
        <w:tc>
          <w:tcPr>
            <w:tcW w:w="460" w:type="dxa"/>
            <w:vAlign w:val="bottom"/>
            <w:vMerge w:val="continue"/>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30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2,564,103</w:t>
            </w:r>
          </w:p>
        </w:tc>
        <w:tc>
          <w:tcPr>
            <w:tcW w:w="460" w:type="dxa"/>
            <w:vAlign w:val="bottom"/>
            <w:vMerge w:val="continue"/>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55"/>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Rise Chain Investment Limited</w:t>
            </w:r>
            <w:r>
              <w:rPr>
                <w:rFonts w:ascii="Times New Roman" w:cs="Times New Roman" w:eastAsia="Times New Roman" w:hAnsi="Times New Roman"/>
                <w:sz w:val="26"/>
                <w:szCs w:val="26"/>
                <w:color w:val="auto"/>
                <w:vertAlign w:val="superscript"/>
              </w:rPr>
              <w:t>(3)</w:t>
            </w:r>
          </w:p>
        </w:tc>
        <w:tc>
          <w:tcPr>
            <w:tcW w:w="1220" w:type="dxa"/>
            <w:vAlign w:val="bottom"/>
            <w:gridSpan w:val="2"/>
          </w:tcPr>
          <w:p>
            <w:pPr>
              <w:jc w:val="right"/>
              <w:ind w:right="373"/>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w:t>
            </w:r>
          </w:p>
        </w:tc>
        <w:tc>
          <w:tcPr>
            <w:tcW w:w="1240" w:type="dxa"/>
            <w:vAlign w:val="bottom"/>
            <w:gridSpan w:val="2"/>
          </w:tcPr>
          <w:p>
            <w:pPr>
              <w:jc w:val="right"/>
              <w:ind w:right="393"/>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393"/>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964" w:right="360" w:hanging="532"/>
        <w:spacing w:after="0" w:line="261" w:lineRule="auto"/>
        <w:tabs>
          <w:tab w:leader="none" w:pos="96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assumes that there is a total of 45,011,230 Class A Ordinary Shares outstanding, which includes the 45,011,230 Class A Ordinary Shares outstanding as of December 20, 2022, as advised by the Issuer on or about the date thereof.</w:t>
      </w:r>
    </w:p>
    <w:p>
      <w:pPr>
        <w:ind w:left="964" w:right="240" w:hanging="532"/>
        <w:spacing w:after="0" w:line="250" w:lineRule="auto"/>
        <w:tabs>
          <w:tab w:leader="none" w:pos="96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2,564,103 Class A Ordinary Shares directly held by Marine Central Limited, a company incorporated in the British Virgin Islands. Mr. Huang Jianjun is the majority shareholder and the sole director of Marine Central Limited. He possesses power to direct the voting and disposition of the shares beneficially owned by Marine Central Limited.</w:t>
      </w:r>
    </w:p>
    <w:p>
      <w:pPr>
        <w:spacing w:after="0" w:line="1" w:lineRule="exact"/>
        <w:rPr>
          <w:rFonts w:ascii="Times New Roman" w:cs="Times New Roman" w:eastAsia="Times New Roman" w:hAnsi="Times New Roman"/>
          <w:sz w:val="18"/>
          <w:szCs w:val="18"/>
          <w:color w:val="auto"/>
        </w:rPr>
      </w:pPr>
    </w:p>
    <w:p>
      <w:pPr>
        <w:ind w:left="964" w:right="180" w:hanging="532"/>
        <w:spacing w:after="0" w:line="260" w:lineRule="auto"/>
        <w:tabs>
          <w:tab w:leader="none" w:pos="96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Chain Investment Limited, a British Virgin Islands company wholly owned by Mr. Huang Jianjun, is a member of the Buyer Group, but does not currently hold any of the Issuer’s equity securities.</w:t>
      </w:r>
    </w:p>
    <w:p>
      <w:pPr>
        <w:spacing w:after="0" w:line="181" w:lineRule="exact"/>
        <w:rPr>
          <w:rFonts w:ascii="Times New Roman" w:cs="Times New Roman" w:eastAsia="Times New Roman" w:hAnsi="Times New Roman"/>
          <w:sz w:val="18"/>
          <w:szCs w:val="18"/>
          <w:color w:val="auto"/>
        </w:rPr>
      </w:pPr>
    </w:p>
    <w:p>
      <w:pPr>
        <w:ind w:left="4" w:right="240" w:hanging="4"/>
        <w:spacing w:after="0" w:line="282" w:lineRule="auto"/>
        <w:tabs>
          <w:tab w:leader="none" w:pos="248"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in this Schedule 13D, none of the Reporting Persons has effected any transaction in the Class A Ordinary Shares during the 60 days preceding the date hereof.</w:t>
      </w:r>
    </w:p>
    <w:p>
      <w:pPr>
        <w:spacing w:after="0" w:line="161" w:lineRule="exact"/>
        <w:rPr>
          <w:rFonts w:ascii="Times New Roman" w:cs="Times New Roman" w:eastAsia="Times New Roman" w:hAnsi="Times New Roman"/>
          <w:sz w:val="18"/>
          <w:szCs w:val="18"/>
          <w:b w:val="1"/>
          <w:bCs w:val="1"/>
          <w:color w:val="auto"/>
        </w:rPr>
      </w:pPr>
    </w:p>
    <w:p>
      <w:pPr>
        <w:ind w:left="4" w:right="160" w:hanging="4"/>
        <w:spacing w:after="0" w:line="312" w:lineRule="auto"/>
        <w:tabs>
          <w:tab w:leader="none" w:pos="269"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Except as disclosed in this Schedule 13D, to the best knowledge of the Reporting Persons, no other person has the right to receive or the power to direct the receipt of dividends from, or the proceeds from the sale of, the Class A Ordinary Shares beneficially owned by any of the Reporting Persons.</w:t>
      </w:r>
    </w:p>
    <w:p>
      <w:pPr>
        <w:spacing w:after="0" w:line="139" w:lineRule="exact"/>
        <w:rPr>
          <w:rFonts w:ascii="Times New Roman" w:cs="Times New Roman" w:eastAsia="Times New Roman" w:hAnsi="Times New Roman"/>
          <w:sz w:val="17"/>
          <w:szCs w:val="17"/>
          <w:b w:val="1"/>
          <w:bCs w:val="1"/>
          <w:color w:val="auto"/>
        </w:rPr>
      </w:pPr>
    </w:p>
    <w:p>
      <w:pPr>
        <w:ind w:left="244" w:hanging="244"/>
        <w:spacing w:after="0"/>
        <w:tabs>
          <w:tab w:leader="none" w:pos="24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4"/>
          </w:cols>
          <w:pgMar w:left="436" w:top="270"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6. 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under Item 4 is incorporated herein by reference in its entirety.</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the best knowledge of the Reporting Persons, except as provided herein, there are no other contracts, arrangements, understandings or relationships (legal or otherwise) between the Reporting Persons and between any of the Reporting Persons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Materials to Be Filed as Exhibits.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Joint Filing Agreement, dated December 21, 2022, by and among Reporting Persons (filed herewith).</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color w:val="auto"/>
        </w:rPr>
        <w:t>Proposal to the Board of the Issuer from the Buyer Group dated December 20, 2022.</w:t>
      </w:r>
    </w:p>
    <w:p>
      <w:pPr>
        <w:spacing w:after="0" w:line="117" w:lineRule="exact"/>
        <w:rPr>
          <w:sz w:val="20"/>
          <w:szCs w:val="20"/>
          <w:color w:val="auto"/>
        </w:rPr>
      </w:pPr>
    </w:p>
    <w:p>
      <w:pPr>
        <w:ind w:left="88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8"/>
          <w:szCs w:val="18"/>
          <w:color w:val="auto"/>
        </w:rPr>
        <w:t>Consortium Agreement dated December 20, 2022 by and among the Founder Parties (as defined therein) and the Sponsor Parties (as defined therein).</w:t>
      </w:r>
    </w:p>
    <w:p>
      <w:pPr>
        <w:sectPr>
          <w:pgSz w:w="11900" w:h="16838" w:orient="portrait"/>
          <w:cols w:equalWidth="0" w:num="1">
            <w:col w:w="11000"/>
          </w:cols>
          <w:pgMar w:left="440" w:top="266" w:right="459" w:bottom="1440" w:gutter="0" w:footer="0" w:header="0"/>
        </w:sectPr>
      </w:pPr>
    </w:p>
    <w:bookmarkStart w:id="10" w:name="page11"/>
    <w:bookmarkEnd w:id="10"/>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22,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JIAN TANG</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IGOMAX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Jian Tang</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WING HONG SAMMY HSIEH</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BUBINGA HOLDINGS LIMITED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Wing Hong Sammy Hsieh</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Director</w:t>
      </w:r>
    </w:p>
    <w:p>
      <w:pPr>
        <w:sectPr>
          <w:pgSz w:w="11900" w:h="16838" w:orient="portrait"/>
          <w:cols w:equalWidth="0" w:num="1">
            <w:col w:w="10460"/>
          </w:cols>
          <w:pgMar w:left="440" w:top="266" w:right="99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executed by each of them) with respect to the Class A ordinary shares, par value of $0.001 per share, of iClick Interactive Asia Group Limited, a company incorporated in the Cayman Islands, and that this Agreement may be included as an exhibit to such joint filing.</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Each of the undersigned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two or more counterparts, each of which shall be deemed an original but all of which together will constitute one and the same instrument.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on December 21,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Jian Tang</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Jian Tang</w:t>
            </w:r>
          </w:p>
        </w:tc>
      </w:tr>
      <w:tr>
        <w:trPr>
          <w:trHeight w:val="41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Igomax Inc.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Jian Tang</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Jian Tang</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Wing Hong Sammy Hsieh</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Wing Hong Sammy Hsieh</w:t>
            </w:r>
          </w:p>
        </w:tc>
      </w:tr>
    </w:tbl>
    <w:p>
      <w:pPr>
        <w:spacing w:after="0" w:line="18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BUBINGA HOLDINGS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Wing Hong Sammy Hsieh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Wing Hong Sammy Hsieh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ectPr>
          <w:pgSz w:w="11900" w:h="16838" w:orient="portrait"/>
          <w:cols w:equalWidth="0" w:num="1">
            <w:col w:w="11020"/>
          </w:cols>
          <w:pgMar w:left="440" w:top="117" w:right="4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PRELIMINARY NON-BINDING PROPOSAL LETTER</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Igomax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Bubinga Holdings Limited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Rise Chain Investment Limited</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20, 2022</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iClick Interactive Asia Group Limited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15/F, Prosperity Millennia Plaza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663 King’s Road, Quarry Bay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Hong Kong S.A.R.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Board Members:</w:t>
      </w:r>
    </w:p>
    <w:p>
      <w:pPr>
        <w:spacing w:after="0" w:line="113"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Igomax Inc. (“</w:t>
      </w:r>
      <w:r>
        <w:rPr>
          <w:rFonts w:ascii="Times New Roman" w:cs="Times New Roman" w:eastAsia="Times New Roman" w:hAnsi="Times New Roman"/>
          <w:sz w:val="18"/>
          <w:szCs w:val="18"/>
          <w:b w:val="1"/>
          <w:bCs w:val="1"/>
          <w:color w:val="auto"/>
        </w:rPr>
        <w:t>Igomax</w:t>
      </w:r>
      <w:r>
        <w:rPr>
          <w:rFonts w:ascii="Times New Roman" w:cs="Times New Roman" w:eastAsia="Times New Roman" w:hAnsi="Times New Roman"/>
          <w:sz w:val="18"/>
          <w:szCs w:val="18"/>
          <w:color w:val="auto"/>
        </w:rPr>
        <w:t>”), a British Virgin Islands company wholly owned by Mr. Jian Tang (“</w:t>
      </w:r>
      <w:r>
        <w:rPr>
          <w:rFonts w:ascii="Times New Roman" w:cs="Times New Roman" w:eastAsia="Times New Roman" w:hAnsi="Times New Roman"/>
          <w:sz w:val="18"/>
          <w:szCs w:val="18"/>
          <w:b w:val="1"/>
          <w:bCs w:val="1"/>
          <w:color w:val="auto"/>
        </w:rPr>
        <w:t>Mr. Tang</w:t>
      </w:r>
      <w:r>
        <w:rPr>
          <w:rFonts w:ascii="Times New Roman" w:cs="Times New Roman" w:eastAsia="Times New Roman" w:hAnsi="Times New Roman"/>
          <w:sz w:val="18"/>
          <w:szCs w:val="18"/>
          <w:color w:val="auto"/>
        </w:rPr>
        <w:t>”), Bubinga Holdings Limited (“</w:t>
      </w:r>
      <w:r>
        <w:rPr>
          <w:rFonts w:ascii="Times New Roman" w:cs="Times New Roman" w:eastAsia="Times New Roman" w:hAnsi="Times New Roman"/>
          <w:sz w:val="18"/>
          <w:szCs w:val="18"/>
          <w:b w:val="1"/>
          <w:bCs w:val="1"/>
          <w:color w:val="auto"/>
        </w:rPr>
        <w:t>Bubinga</w:t>
      </w:r>
      <w:r>
        <w:rPr>
          <w:rFonts w:ascii="Times New Roman" w:cs="Times New Roman" w:eastAsia="Times New Roman" w:hAnsi="Times New Roman"/>
          <w:sz w:val="18"/>
          <w:szCs w:val="18"/>
          <w:color w:val="auto"/>
        </w:rPr>
        <w:t>”), a British Virgin Islands company wholly owned by Mr. Wing Hong Sammy Hsieh (“</w:t>
      </w:r>
      <w:r>
        <w:rPr>
          <w:rFonts w:ascii="Times New Roman" w:cs="Times New Roman" w:eastAsia="Times New Roman" w:hAnsi="Times New Roman"/>
          <w:sz w:val="18"/>
          <w:szCs w:val="18"/>
          <w:b w:val="1"/>
          <w:bCs w:val="1"/>
          <w:color w:val="auto"/>
        </w:rPr>
        <w:t>Mr. Hsieh</w:t>
      </w:r>
      <w:r>
        <w:rPr>
          <w:rFonts w:ascii="Times New Roman" w:cs="Times New Roman" w:eastAsia="Times New Roman" w:hAnsi="Times New Roman"/>
          <w:sz w:val="18"/>
          <w:szCs w:val="18"/>
          <w:color w:val="auto"/>
        </w:rPr>
        <w:t>”), and Rise Chain Investment Limited (“</w:t>
      </w:r>
      <w:r>
        <w:rPr>
          <w:rFonts w:ascii="Times New Roman" w:cs="Times New Roman" w:eastAsia="Times New Roman" w:hAnsi="Times New Roman"/>
          <w:sz w:val="18"/>
          <w:szCs w:val="18"/>
          <w:b w:val="1"/>
          <w:bCs w:val="1"/>
          <w:color w:val="auto"/>
        </w:rPr>
        <w:t>Rise Chain</w:t>
      </w:r>
      <w:r>
        <w:rPr>
          <w:rFonts w:ascii="Times New Roman" w:cs="Times New Roman" w:eastAsia="Times New Roman" w:hAnsi="Times New Roman"/>
          <w:sz w:val="18"/>
          <w:szCs w:val="18"/>
          <w:color w:val="auto"/>
        </w:rPr>
        <w:t>”, together with Igomax and Bubinga,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 British Virgin Islands company wholly owned by Mr. Huang Jianjun (“</w:t>
      </w:r>
      <w:r>
        <w:rPr>
          <w:rFonts w:ascii="Times New Roman" w:cs="Times New Roman" w:eastAsia="Times New Roman" w:hAnsi="Times New Roman"/>
          <w:sz w:val="18"/>
          <w:szCs w:val="18"/>
          <w:b w:val="1"/>
          <w:bCs w:val="1"/>
          <w:color w:val="auto"/>
        </w:rPr>
        <w:t>Mr. Huang</w:t>
      </w:r>
      <w:r>
        <w:rPr>
          <w:rFonts w:ascii="Times New Roman" w:cs="Times New Roman" w:eastAsia="Times New Roman" w:hAnsi="Times New Roman"/>
          <w:sz w:val="18"/>
          <w:szCs w:val="18"/>
          <w:color w:val="auto"/>
        </w:rPr>
        <w:t>”, together with Mr. Tang, Mr. Hsieh, Igomax, Bubinga and Rise Chain, the “</w:t>
      </w:r>
      <w:r>
        <w:rPr>
          <w:rFonts w:ascii="Times New Roman" w:cs="Times New Roman" w:eastAsia="Times New Roman" w:hAnsi="Times New Roman"/>
          <w:sz w:val="18"/>
          <w:szCs w:val="18"/>
          <w:b w:val="1"/>
          <w:bCs w:val="1"/>
          <w:color w:val="auto"/>
        </w:rPr>
        <w:t>Consortium</w:t>
      </w:r>
      <w:r>
        <w:rPr>
          <w:rFonts w:ascii="Times New Roman" w:cs="Times New Roman" w:eastAsia="Times New Roman" w:hAnsi="Times New Roman"/>
          <w:sz w:val="18"/>
          <w:szCs w:val="18"/>
          <w:color w:val="auto"/>
        </w:rPr>
        <w:t>”) are pleased to submit this preliminary non-binding proposal to acquire all outstanding ordinary shares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and American depositary shares representing ordinary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with one ADS representing five Class A ordinary shares as of the date hereof) of iClick Interactive Asia Group Limited, a Cayman Islands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are not already owned by the members of the Consortium, for cash consideration in a going private transaction (the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The Consortium beneficially owns ordinary shares of the Company that represent approximately 63% of the aggregate voting power of the Company.</w:t>
      </w:r>
    </w:p>
    <w:p>
      <w:pPr>
        <w:spacing w:after="0" w:line="189"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We are prepared to offer US$4.0672 per ADS in cash, or US$0.81344 per Ordinary Share, subject to certain conditions as discussed below. We believe this is a highly attractive offer to the Company’s shareholders. Our proposal represents a premium of 20% to the volume-weighted average closing price during the previous 90 trading days.</w:t>
      </w:r>
    </w:p>
    <w:p>
      <w:pPr>
        <w:spacing w:after="0" w:line="176"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The terms and conditions upon which we are prepared to pursue the Acquisition are set forth below. We believe we are uniquely positioned to acquire the Company and are confident in our ability to consummate the Acquisition as outlined in this letter.</w:t>
      </w:r>
    </w:p>
    <w:p>
      <w:pPr>
        <w:spacing w:after="0" w:line="162" w:lineRule="exact"/>
        <w:rPr>
          <w:sz w:val="20"/>
          <w:szCs w:val="20"/>
          <w:color w:val="auto"/>
        </w:rPr>
      </w:pPr>
    </w:p>
    <w:p>
      <w:pPr>
        <w:jc w:val="both"/>
        <w:ind w:left="4" w:right="200" w:hanging="4"/>
        <w:spacing w:after="0" w:line="266" w:lineRule="auto"/>
        <w:tabs>
          <w:tab w:leader="none" w:pos="1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Consortium</w:t>
      </w:r>
      <w:r>
        <w:rPr>
          <w:rFonts w:ascii="Times New Roman" w:cs="Times New Roman" w:eastAsia="Times New Roman" w:hAnsi="Times New Roman"/>
          <w:sz w:val="18"/>
          <w:szCs w:val="18"/>
          <w:color w:val="auto"/>
        </w:rPr>
        <w:t>. The members of the Consortium have entered into a consortium agreement pursuant to which the Consortium will form an acquisition vehicle for the purpose of implementing the Acquisition. The Acquisition will be in the form of a merger of the Company with the acquisition vehicle, subject to the terms and conditions provided in the Definitive Agreements (as defined below).</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13" w:name="page14"/>
    <w:bookmarkEnd w:id="13"/>
    <w:p>
      <w:pPr>
        <w:ind w:left="4" w:right="20" w:hanging="4"/>
        <w:spacing w:after="0" w:line="282" w:lineRule="auto"/>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Price.</w:t>
      </w:r>
      <w:r>
        <w:rPr>
          <w:rFonts w:ascii="Times New Roman" w:cs="Times New Roman" w:eastAsia="Times New Roman" w:hAnsi="Times New Roman"/>
          <w:sz w:val="18"/>
          <w:szCs w:val="18"/>
          <w:color w:val="auto"/>
        </w:rPr>
        <w:t xml:space="preserve"> We propose to acquire all of the outstanding Ordinary Shares and ADSs not owned by the Consortium. The consideration payable for each ADS to be acquired will be US$4.0672 in cash, or US$0.81344 per Ordinary Share.</w:t>
      </w:r>
    </w:p>
    <w:p>
      <w:pPr>
        <w:spacing w:after="0" w:line="161" w:lineRule="exact"/>
        <w:rPr>
          <w:rFonts w:ascii="Times New Roman" w:cs="Times New Roman" w:eastAsia="Times New Roman" w:hAnsi="Times New Roman"/>
          <w:sz w:val="18"/>
          <w:szCs w:val="18"/>
          <w:color w:val="auto"/>
        </w:rPr>
      </w:pPr>
    </w:p>
    <w:p>
      <w:pPr>
        <w:ind w:left="4" w:right="120" w:hanging="4"/>
        <w:spacing w:after="0" w:line="266" w:lineRule="auto"/>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We intend to finance the Acquisition with a combination of equity and debt financing. Equity financing is expected to be provided by the Consortium in the form of cash contributions and rollover equity in the Company. Debt financing is expected to be provided by loans from third party financial institutions. We are confident that we can timely secure adequate financing to consummate the Acquisition.</w:t>
      </w:r>
    </w:p>
    <w:p>
      <w:pPr>
        <w:spacing w:after="0" w:line="175" w:lineRule="exact"/>
        <w:rPr>
          <w:rFonts w:ascii="Times New Roman" w:cs="Times New Roman" w:eastAsia="Times New Roman" w:hAnsi="Times New Roman"/>
          <w:sz w:val="18"/>
          <w:szCs w:val="18"/>
          <w:color w:val="auto"/>
        </w:rPr>
      </w:pPr>
    </w:p>
    <w:p>
      <w:pPr>
        <w:jc w:val="both"/>
        <w:ind w:left="4" w:right="100" w:hanging="4"/>
        <w:spacing w:after="0" w:line="258" w:lineRule="auto"/>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Diligence. We are ready to move expeditiously to complete the proposed Acquisition as soon as practicable. We believe that members of the Consortium will be in a position to complete customary due diligence for the Acquisition in a timely manner. Parties providing debt financing may require a timely opportunity to conduct customary due diligence on the Company. We would like to ask the Board to accommodate such due diligence request and approve the provision of confidential information relating to the Company and its business to possible sources of equity and debt financing subject to confidentiality agreements with customary terms.</w:t>
      </w:r>
    </w:p>
    <w:p>
      <w:pPr>
        <w:spacing w:after="0" w:line="179" w:lineRule="exact"/>
        <w:rPr>
          <w:rFonts w:ascii="Times New Roman" w:cs="Times New Roman" w:eastAsia="Times New Roman" w:hAnsi="Times New Roman"/>
          <w:sz w:val="18"/>
          <w:szCs w:val="18"/>
          <w:color w:val="auto"/>
        </w:rPr>
      </w:pPr>
    </w:p>
    <w:p>
      <w:pPr>
        <w:ind w:left="4" w:right="60" w:hanging="4"/>
        <w:spacing w:after="0" w:line="286" w:lineRule="auto"/>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Definitive Agreements</w:t>
      </w:r>
      <w:r>
        <w:rPr>
          <w:rFonts w:ascii="Times New Roman" w:cs="Times New Roman" w:eastAsia="Times New Roman" w:hAnsi="Times New Roman"/>
          <w:sz w:val="18"/>
          <w:szCs w:val="18"/>
          <w:color w:val="auto"/>
        </w:rPr>
        <w:t>. We are prepared to negotiate and finalize definitive agreements (the “</w:t>
      </w:r>
      <w:r>
        <w:rPr>
          <w:rFonts w:ascii="Times New Roman" w:cs="Times New Roman" w:eastAsia="Times New Roman" w:hAnsi="Times New Roman"/>
          <w:sz w:val="18"/>
          <w:szCs w:val="18"/>
          <w:b w:val="1"/>
          <w:bCs w:val="1"/>
          <w:color w:val="auto"/>
        </w:rPr>
        <w:t>Definitive Agreements</w:t>
      </w:r>
      <w:r>
        <w:rPr>
          <w:rFonts w:ascii="Times New Roman" w:cs="Times New Roman" w:eastAsia="Times New Roman" w:hAnsi="Times New Roman"/>
          <w:sz w:val="18"/>
          <w:szCs w:val="18"/>
          <w:color w:val="auto"/>
        </w:rPr>
        <w:t>”) expeditiously. The Definitive Agreements will provide for provisions customary and appropriate for transactions of similar size and nature.</w:t>
      </w:r>
    </w:p>
    <w:p>
      <w:pPr>
        <w:spacing w:after="0" w:line="158" w:lineRule="exact"/>
        <w:rPr>
          <w:rFonts w:ascii="Times New Roman" w:cs="Times New Roman" w:eastAsia="Times New Roman" w:hAnsi="Times New Roman"/>
          <w:sz w:val="18"/>
          <w:szCs w:val="18"/>
          <w:color w:val="auto"/>
        </w:rPr>
      </w:pPr>
    </w:p>
    <w:p>
      <w:pPr>
        <w:ind w:left="4" w:hanging="4"/>
        <w:spacing w:after="0" w:line="282" w:lineRule="auto"/>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We are sure you will agree with us that it is in all of our interests to ensure that we proceed our discussions relating to the Acquisition in a confidential manner unless otherwise required by law, until we have executed the Definitive Agreements or terminated our discussions.</w:t>
      </w:r>
    </w:p>
    <w:p>
      <w:pPr>
        <w:spacing w:after="0" w:line="161" w:lineRule="exact"/>
        <w:rPr>
          <w:rFonts w:ascii="Times New Roman" w:cs="Times New Roman" w:eastAsia="Times New Roman" w:hAnsi="Times New Roman"/>
          <w:sz w:val="18"/>
          <w:szCs w:val="18"/>
          <w:color w:val="auto"/>
        </w:rPr>
      </w:pPr>
    </w:p>
    <w:p>
      <w:pPr>
        <w:ind w:left="4" w:right="260" w:hanging="4"/>
        <w:spacing w:after="0" w:line="266" w:lineRule="auto"/>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We believe that the Acquisition will provide superior value to the Company’s shareholders. We recognize that the Board will evaluate the proposed Acquisition independently before it can make its own determination as to whether to endorse the Acquisition. It is our expectation that a special committee of independent directors of the Board will consider our proposal and make a recommendation to the Board.</w:t>
      </w:r>
    </w:p>
    <w:p>
      <w:pPr>
        <w:spacing w:after="0" w:line="175" w:lineRule="exact"/>
        <w:rPr>
          <w:rFonts w:ascii="Times New Roman" w:cs="Times New Roman" w:eastAsia="Times New Roman" w:hAnsi="Times New Roman"/>
          <w:sz w:val="18"/>
          <w:szCs w:val="18"/>
          <w:color w:val="auto"/>
        </w:rPr>
      </w:pPr>
    </w:p>
    <w:p>
      <w:pPr>
        <w:ind w:left="4" w:right="20" w:hanging="4"/>
        <w:spacing w:after="0" w:line="261" w:lineRule="auto"/>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Binding Commitment. This letter constitutes only a preliminary indication of our interest in a possible transaction but is non-binding and does not create any legal or other obligation whatsoever on the part of us, including, without limitation, any obligation to consummate any transaction. Any binding commitment with respect to an Acquisition will result only from the execution and delivery of the Definitive Agreements by the parties thereto and be on the terms and conditions provided in such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-2642870</wp:posOffset>
            </wp:positionV>
            <wp:extent cx="6915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1515" cy="8890"/>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-448310</wp:posOffset>
            </wp:positionV>
            <wp:extent cx="11963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96340" cy="8890"/>
                    </a:xfrm>
                    <a:prstGeom prst="rect">
                      <a:avLst/>
                    </a:prstGeom>
                    <a:noFill/>
                  </pic:spPr>
                </pic:pic>
              </a:graphicData>
            </a:graphic>
          </wp:anchor>
        </w:drawing>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closing, each of us would like to express our commitment to working together in bringing this Acquisition to a successful and timely completion.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Should you have any questions regarding this proposal, please do not hesitate to contact us. We look forward to hearing from you.</w:t>
      </w:r>
    </w:p>
    <w:p>
      <w:pPr>
        <w:spacing w:after="0" w:line="20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to Follow – Remainder of the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70" w:right="499" w:bottom="1440" w:gutter="0" w:footer="0" w:header="0"/>
        </w:sectPr>
      </w:pPr>
    </w:p>
    <w:bookmarkStart w:id="14" w:name="page15"/>
    <w:bookmarkEnd w:id="14"/>
    <w:p>
      <w:pPr>
        <w:ind w:left="41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IGOMAX INC.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Jian Tang</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Jian Tang</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Preliminary Non-binding Proposal Letter</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20"/>
          </w:cols>
          <w:pgMar w:left="1440" w:top="270" w:right="439" w:bottom="1440" w:gutter="0" w:footer="0" w:header="0"/>
        </w:sectPr>
      </w:pPr>
    </w:p>
    <w:bookmarkStart w:id="15" w:name="page16"/>
    <w:bookmarkEnd w:id="1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BUBINGA HOLDINGS LIMITED</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Wing Hong Sammy Hsieh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Wing Hong Sammy Hsieh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2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Preliminary Non-binding Proposal Letter</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70" w:right="439" w:bottom="1440" w:gutter="0" w:footer="0" w:header="0"/>
        </w:sectPr>
      </w:pPr>
    </w:p>
    <w:bookmarkStart w:id="16" w:name="page17"/>
    <w:bookmarkEnd w:id="1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Rise Chain Investment Limited</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Huang Jianjun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Huang Jianjun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2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Preliminary Non-binding Proposal Letter</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70" w:right="4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CONSORTIUM AGREEMENT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CONSORTIUM AGREEMENT is made as of December 20, 2022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(a) Mr. Jian Tang (the “</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right="60" w:hanging="4"/>
        <w:spacing w:after="0" w:line="252"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Igomax Inc., a British Virgin Islands company wholly owned by the Chairman (“</w:t>
      </w:r>
      <w:r>
        <w:rPr>
          <w:rFonts w:ascii="Times New Roman" w:cs="Times New Roman" w:eastAsia="Times New Roman" w:hAnsi="Times New Roman"/>
          <w:sz w:val="18"/>
          <w:szCs w:val="18"/>
          <w:u w:val="single" w:color="auto"/>
          <w:color w:val="auto"/>
        </w:rPr>
        <w:t>Igomax</w:t>
      </w:r>
      <w:r>
        <w:rPr>
          <w:rFonts w:ascii="Times New Roman" w:cs="Times New Roman" w:eastAsia="Times New Roman" w:hAnsi="Times New Roman"/>
          <w:sz w:val="18"/>
          <w:szCs w:val="18"/>
          <w:color w:val="auto"/>
        </w:rPr>
        <w:t>”), (c) Mr. Wing Hong Sammy Hsieh (the “</w:t>
      </w:r>
      <w:r>
        <w:rPr>
          <w:rFonts w:ascii="Times New Roman" w:cs="Times New Roman" w:eastAsia="Times New Roman" w:hAnsi="Times New Roman"/>
          <w:sz w:val="18"/>
          <w:szCs w:val="18"/>
          <w:u w:val="single" w:color="auto"/>
          <w:color w:val="auto"/>
        </w:rPr>
        <w:t>Co-Founder</w:t>
      </w:r>
      <w:r>
        <w:rPr>
          <w:rFonts w:ascii="Times New Roman" w:cs="Times New Roman" w:eastAsia="Times New Roman" w:hAnsi="Times New Roman"/>
          <w:sz w:val="18"/>
          <w:szCs w:val="18"/>
          <w:color w:val="auto"/>
        </w:rPr>
        <w:t>”, together with the Chairman, the “</w:t>
      </w:r>
      <w:r>
        <w:rPr>
          <w:rFonts w:ascii="Times New Roman" w:cs="Times New Roman" w:eastAsia="Times New Roman" w:hAnsi="Times New Roman"/>
          <w:sz w:val="18"/>
          <w:szCs w:val="18"/>
          <w:u w:val="single" w:color="auto"/>
          <w:color w:val="auto"/>
        </w:rPr>
        <w:t>Founders</w:t>
      </w:r>
      <w:r>
        <w:rPr>
          <w:rFonts w:ascii="Times New Roman" w:cs="Times New Roman" w:eastAsia="Times New Roman" w:hAnsi="Times New Roman"/>
          <w:sz w:val="18"/>
          <w:szCs w:val="18"/>
          <w:color w:val="auto"/>
        </w:rPr>
        <w:t>”), (d) Bubinga Holdings Limited, a British Virgin Islands company wholly owned by the Co-Founder (“</w:t>
      </w:r>
      <w:r>
        <w:rPr>
          <w:rFonts w:ascii="Times New Roman" w:cs="Times New Roman" w:eastAsia="Times New Roman" w:hAnsi="Times New Roman"/>
          <w:sz w:val="18"/>
          <w:szCs w:val="18"/>
          <w:u w:val="single" w:color="auto"/>
          <w:color w:val="auto"/>
        </w:rPr>
        <w:t>Bubinga</w:t>
      </w:r>
      <w:r>
        <w:rPr>
          <w:rFonts w:ascii="Times New Roman" w:cs="Times New Roman" w:eastAsia="Times New Roman" w:hAnsi="Times New Roman"/>
          <w:sz w:val="18"/>
          <w:szCs w:val="18"/>
          <w:color w:val="auto"/>
        </w:rPr>
        <w:t>”, together with the Chairman, Igomax and the Co-Founder, the “</w:t>
      </w:r>
      <w:r>
        <w:rPr>
          <w:rFonts w:ascii="Times New Roman" w:cs="Times New Roman" w:eastAsia="Times New Roman" w:hAnsi="Times New Roman"/>
          <w:sz w:val="18"/>
          <w:szCs w:val="18"/>
          <w:u w:val="single" w:color="auto"/>
          <w:color w:val="auto"/>
        </w:rPr>
        <w:t>Founder Parties</w:t>
      </w:r>
      <w:r>
        <w:rPr>
          <w:rFonts w:ascii="Times New Roman" w:cs="Times New Roman" w:eastAsia="Times New Roman" w:hAnsi="Times New Roman"/>
          <w:sz w:val="18"/>
          <w:szCs w:val="18"/>
          <w:color w:val="auto"/>
        </w:rPr>
        <w:t>”), (e) Rise Chain Investment Limited, a British Virgin Islands company wholly owned by Mr. Huang Jianjun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(f) Mr. Huang Jianjun (“</w:t>
      </w:r>
      <w:r>
        <w:rPr>
          <w:rFonts w:ascii="Times New Roman" w:cs="Times New Roman" w:eastAsia="Times New Roman" w:hAnsi="Times New Roman"/>
          <w:sz w:val="18"/>
          <w:szCs w:val="18"/>
          <w:u w:val="single" w:color="auto"/>
          <w:color w:val="auto"/>
        </w:rPr>
        <w:t>Huang</w:t>
      </w:r>
      <w:r>
        <w:rPr>
          <w:rFonts w:ascii="Times New Roman" w:cs="Times New Roman" w:eastAsia="Times New Roman" w:hAnsi="Times New Roman"/>
          <w:sz w:val="18"/>
          <w:szCs w:val="18"/>
          <w:color w:val="auto"/>
        </w:rPr>
        <w:t>”, together with the Sponsor,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Each of the Founder Parties and the Sponsor Parties is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Unless otherwise defined herein, capitalized terms used herein shall have the meanings assigned to them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(Definitions) hereof.</w:t>
      </w:r>
    </w:p>
    <w:p>
      <w:pPr>
        <w:spacing w:after="0" w:line="190"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WHEREAS, the Parties propose to form a consortium to undertake an acquisition and related transactions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with respect to iClick Interactive Asia Group Limited, a company incorporated under the laws of the Cayman Islands and listed on the NASDAQ Global Market (NASDAQ: ICLK) (the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and its subsidiaries (the Target and its subsidiaries, including any entities directly or indirectly Controlled by the Target through contractual arrangements, being the “</w:t>
      </w:r>
      <w:r>
        <w:rPr>
          <w:rFonts w:ascii="Times New Roman" w:cs="Times New Roman" w:eastAsia="Times New Roman" w:hAnsi="Times New Roman"/>
          <w:sz w:val="18"/>
          <w:szCs w:val="18"/>
          <w:u w:val="single" w:color="auto"/>
          <w:color w:val="auto"/>
        </w:rPr>
        <w:t>Target Group</w:t>
      </w:r>
      <w:r>
        <w:rPr>
          <w:rFonts w:ascii="Times New Roman" w:cs="Times New Roman" w:eastAsia="Times New Roman" w:hAnsi="Times New Roman"/>
          <w:sz w:val="18"/>
          <w:szCs w:val="18"/>
          <w:color w:val="auto"/>
        </w:rPr>
        <w:t>”), pursuant to which the Target would be delisted from the NASDAQ Global Market and deregistered under the United States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WHEREAS, in connection with the Transaction, (a) the Parties propose to form a new company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under the laws of the Cayman Islands and to cause Holdco to form a direct or indirect, wholly-owned subsidiary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under the laws of the Cayman Islands, and (b) at the closing of the Transaction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Parties intend that Merger Sub will be merged with and into the Target, with the Target being the surviving company and becoming a direct or indirect, wholly-owned subsidiary of Holdco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5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WHEREAS, on or about the date hereof, the Parties will submit a joint, non-binding proposal, a copy of which is attached hereto as </w:t>
      </w:r>
      <w:r>
        <w:rPr>
          <w:rFonts w:ascii="Times New Roman" w:cs="Times New Roman" w:eastAsia="Times New Roman" w:hAnsi="Times New Roman"/>
          <w:sz w:val="18"/>
          <w:szCs w:val="18"/>
          <w:b w:val="1"/>
          <w:bCs w:val="1"/>
          <w:color w:val="auto"/>
        </w:rPr>
        <w:t xml:space="preserve">Schedule A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to the board of directors of Target (the “</w:t>
      </w:r>
      <w:r>
        <w:rPr>
          <w:rFonts w:ascii="Times New Roman" w:cs="Times New Roman" w:eastAsia="Times New Roman" w:hAnsi="Times New Roman"/>
          <w:sz w:val="18"/>
          <w:szCs w:val="18"/>
          <w:u w:val="single" w:color="auto"/>
          <w:color w:val="auto"/>
        </w:rPr>
        <w:t>Target Board</w:t>
      </w:r>
      <w:r>
        <w:rPr>
          <w:rFonts w:ascii="Times New Roman" w:cs="Times New Roman" w:eastAsia="Times New Roman" w:hAnsi="Times New Roman"/>
          <w:sz w:val="18"/>
          <w:szCs w:val="18"/>
          <w:color w:val="auto"/>
        </w:rPr>
        <w:t>”) in connection with the Transaction; and</w:t>
      </w:r>
    </w:p>
    <w:p>
      <w:pPr>
        <w:spacing w:after="0" w:line="162" w:lineRule="exact"/>
        <w:rPr>
          <w:sz w:val="20"/>
          <w:szCs w:val="20"/>
          <w:color w:val="auto"/>
        </w:rPr>
      </w:pPr>
    </w:p>
    <w:p>
      <w:pPr>
        <w:ind w:left="4" w:right="180" w:firstLine="991"/>
        <w:spacing w:after="0" w:line="274" w:lineRule="auto"/>
        <w:rPr>
          <w:sz w:val="20"/>
          <w:szCs w:val="20"/>
          <w:color w:val="auto"/>
        </w:rPr>
      </w:pPr>
      <w:r>
        <w:rPr>
          <w:rFonts w:ascii="Times New Roman" w:cs="Times New Roman" w:eastAsia="Times New Roman" w:hAnsi="Times New Roman"/>
          <w:sz w:val="17"/>
          <w:szCs w:val="17"/>
          <w:color w:val="auto"/>
        </w:rPr>
        <w:t>WHEREAS, in accordance with the terms of this Agreement, the Parties will cooperate and participate in (a) the evaluation of the Target Group, including conducting due diligence of the Target Group and its business, (b) discussions regarding the Proposal and the Transaction with the Target, and (c) the negotiation of the terms of definitive documentation in connection with the Transaction (the “</w:t>
      </w:r>
      <w:r>
        <w:rPr>
          <w:rFonts w:ascii="Times New Roman" w:cs="Times New Roman" w:eastAsia="Times New Roman" w:hAnsi="Times New Roman"/>
          <w:sz w:val="17"/>
          <w:szCs w:val="17"/>
          <w:u w:val="single" w:color="auto"/>
          <w:color w:val="auto"/>
        </w:rPr>
        <w:t>Definitive Documents</w:t>
      </w:r>
      <w:r>
        <w:rPr>
          <w:rFonts w:ascii="Times New Roman" w:cs="Times New Roman" w:eastAsia="Times New Roman" w:hAnsi="Times New Roman"/>
          <w:sz w:val="17"/>
          <w:szCs w:val="17"/>
          <w:color w:val="auto"/>
        </w:rPr>
        <w:t>”) (in which negotiation the Parties expect that the Target will be represented by a special committee of independent and disinterested directors of the Target Board (the “</w:t>
      </w:r>
      <w:r>
        <w:rPr>
          <w:rFonts w:ascii="Times New Roman" w:cs="Times New Roman" w:eastAsia="Times New Roman" w:hAnsi="Times New Roman"/>
          <w:sz w:val="17"/>
          <w:szCs w:val="17"/>
          <w:u w:val="single" w:color="auto"/>
          <w:color w:val="auto"/>
        </w:rPr>
        <w:t>Special Committee</w:t>
      </w:r>
      <w:r>
        <w:rPr>
          <w:rFonts w:ascii="Times New Roman" w:cs="Times New Roman" w:eastAsia="Times New Roman" w:hAnsi="Times New Roman"/>
          <w:sz w:val="17"/>
          <w:szCs w:val="17"/>
          <w:color w:val="auto"/>
        </w:rPr>
        <w:t>”)), including an agreement and plan of merger among Holdco, Merger Sub and the Target in form and substance to be agreed by the Founder Parties and the Sponsor Parties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which shall be subject to the approval of the shareholders of the Target.</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18" w:name="page19"/>
    <w:bookmarkEnd w:id="18"/>
    <w:p>
      <w:pPr>
        <w:jc w:val="both"/>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 in consideration of the foregoing recitals and of the mutual agreements and covenants set forth herein, and for other good and valuable consideration, the receipt and sufficiency of which are hereby acknowledged, the Parties, intending to be legally bound, hereby agree as follows:</w:t>
      </w:r>
    </w:p>
    <w:p>
      <w:pPr>
        <w:spacing w:after="0" w:line="320" w:lineRule="exact"/>
        <w:rPr>
          <w:sz w:val="20"/>
          <w:szCs w:val="20"/>
          <w:color w:val="auto"/>
        </w:rPr>
      </w:pPr>
    </w:p>
    <w:p>
      <w:pPr>
        <w:ind w:left="544" w:hanging="544"/>
        <w:spacing w:after="0"/>
        <w:tabs>
          <w:tab w:leader="none" w:pos="54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Holdco Ownership</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Participation in Transaction</w:t>
      </w:r>
      <w:r>
        <w:rPr>
          <w:rFonts w:ascii="Times New Roman" w:cs="Times New Roman" w:eastAsia="Times New Roman" w:hAnsi="Times New Roman"/>
          <w:sz w:val="17"/>
          <w:szCs w:val="17"/>
          <w:color w:val="auto"/>
        </w:rPr>
        <w:t>. The Parties agree to participate in the Transaction on the terms set forth in this Agreement.</w:t>
      </w:r>
    </w:p>
    <w:p>
      <w:pPr>
        <w:spacing w:after="0" w:line="131" w:lineRule="exact"/>
        <w:rPr>
          <w:sz w:val="20"/>
          <w:szCs w:val="20"/>
          <w:color w:val="auto"/>
        </w:rPr>
      </w:pPr>
    </w:p>
    <w:p>
      <w:pPr>
        <w:ind w:left="544" w:hanging="539"/>
        <w:spacing w:after="0" w:line="254" w:lineRule="auto"/>
        <w:tabs>
          <w:tab w:leader="none" w:pos="52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On or about the date hereof, the Founder Parties and the Sponsor Parties shall agree to the final form of the Proposal and submit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Proposal to the Target Board. Thereafter, the Founder Parties and the Sponsor Parties shall collectively: (a) undertake due diligence with respect to the Target Group and its business; (b) engage in discussions with the Target regarding the Proposal; and (c) negotiate in good faith the terms of Definitive Documents, including, without limitation, (i) the Merger Agreement and (ii) the terms of agreements between the Parties required to support the Proposal or to regulate the relationship between the Parties after the Closing, including a shareholders agreement or other definitive agreements containing customary terms for similar transactions of this type. Each Party shall keep the other Parties updated on the progress of the negotiation with the Target and obtain the consent of the Founder Parties and the Sponsor Parties before agreeing to any material terms and conditions of the Transaction.</w:t>
      </w:r>
    </w:p>
    <w:p>
      <w:pPr>
        <w:spacing w:after="0" w:line="9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u w:val="single" w:color="auto"/>
          <w:color w:val="auto"/>
        </w:rPr>
        <w:t>Holdco Ownership and Arrangements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184" w:right="60" w:hanging="644"/>
        <w:spacing w:after="0" w:line="261" w:lineRule="auto"/>
        <w:tabs>
          <w:tab w:leader="none" w:pos="11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execution of the Merger Agreement, the Parties shall incorporate Holdco and shall cause Holdco to incorporate Merger Sub and negotiate in good faith to agree upon the terms of the Definitive Documents and the memorandum and articles of association of each of Holdco and Merger Sub. The Parties agree that the memorandum and articles of association of Merger Sub shall become the memorandum and articles of association of the Surviving Company at the Closing.</w:t>
      </w:r>
    </w:p>
    <w:p>
      <w:pPr>
        <w:spacing w:after="0" w:line="85" w:lineRule="exact"/>
        <w:rPr>
          <w:rFonts w:ascii="Times New Roman" w:cs="Times New Roman" w:eastAsia="Times New Roman" w:hAnsi="Times New Roman"/>
          <w:sz w:val="18"/>
          <w:szCs w:val="18"/>
          <w:color w:val="auto"/>
        </w:rPr>
      </w:pPr>
    </w:p>
    <w:p>
      <w:pPr>
        <w:ind w:left="1184" w:right="60" w:hanging="644"/>
        <w:spacing w:after="0" w:line="266" w:lineRule="auto"/>
        <w:tabs>
          <w:tab w:leader="none" w:pos="11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Transaction and subject to the signing of, and the satisfaction or waiver of the conditions set forth in, the Merger Agreement and the other Definitive Documents, each Party shall at the Closing contribute, or cause to be contributed, to Holdco all of the Target Ordinary Shares and other Securities of the Target held by such Party or its Affiliates prior to the Closing.</w:t>
      </w:r>
    </w:p>
    <w:p>
      <w:pPr>
        <w:spacing w:after="0" w:line="81" w:lineRule="exact"/>
        <w:rPr>
          <w:rFonts w:ascii="Times New Roman" w:cs="Times New Roman" w:eastAsia="Times New Roman" w:hAnsi="Times New Roman"/>
          <w:sz w:val="18"/>
          <w:szCs w:val="18"/>
          <w:color w:val="auto"/>
        </w:rPr>
      </w:pPr>
    </w:p>
    <w:p>
      <w:pPr>
        <w:ind w:left="1184" w:right="80" w:hanging="644"/>
        <w:spacing w:after="0" w:line="256" w:lineRule="auto"/>
        <w:tabs>
          <w:tab w:leader="none" w:pos="11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ownership percentage in Holdco immediately after the consummation of the Transaction shall be set out in the Definitive Documents. The Sponsor Parties hereby jointly and severally commit and agree to (i) subscribe for (or cause to be subscribed for) securities of Holdco on terms and conditions to be reasonably agreed by the Founder Parties and the Sponsor Parties and to pay (or cause to be paid) to Holdco in immediately available funds at or prior to the Closing an aggregate cash subscription price that would be adequate for the Consortium to consummate the Transaction regardless of whether there is any Additional Party admitted to the Consortium in accordance with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(ii) procure debt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9" w:name="page20"/>
    <w:bookmarkEnd w:id="19"/>
    <w:p>
      <w:pPr>
        <w:ind w:left="120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financing(s) for Holdco or Merger Sub at or prior to Closing on terms and conditions to be reasonably agreed by the Founder Parties and the Sponsor Parties for the Consortium to consummate the Transaction in addition to the commitment in sub-clause (i) above (the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(iii) upon Holdco’s request, execute and deliver an equity commitment letter on terms reasonably satisfactory to Holdco and the Founder Parties in a timely manner at or prior to the execution of the Merger Agreement, and (iv) upon Holdco’s request, cause to execute and deliver one or more debt financing commitment letter(s) from one or more debt financier(s) on terms reasonably satisfactory to Holdco and the Founder Parties in a timely manner at or prior to the execution of the Merger Agreement. For the avoidance of doubt, the Parties agree that the obligation of the Parties to actually purchase and pay for any securities of Holdco shall be subject to the signing of, and the satisfaction or waiver of the conditions set forth in, the Merger Agreement and the other Definitive Documents.</w:t>
      </w:r>
    </w:p>
    <w:p>
      <w:pPr>
        <w:spacing w:after="0" w:line="94" w:lineRule="exact"/>
        <w:rPr>
          <w:sz w:val="20"/>
          <w:szCs w:val="20"/>
          <w:color w:val="auto"/>
        </w:rPr>
      </w:pPr>
    </w:p>
    <w:p>
      <w:pPr>
        <w:ind w:left="544" w:right="60" w:hanging="539"/>
        <w:spacing w:after="0" w:line="281" w:lineRule="auto"/>
        <w:tabs>
          <w:tab w:leader="none" w:pos="52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u w:val="single" w:color="auto"/>
          <w:color w:val="auto"/>
        </w:rPr>
        <w:t>Admission of New Consortium Members</w:t>
      </w:r>
      <w:r>
        <w:rPr>
          <w:rFonts w:ascii="Times New Roman" w:cs="Times New Roman" w:eastAsia="Times New Roman" w:hAnsi="Times New Roman"/>
          <w:sz w:val="17"/>
          <w:szCs w:val="17"/>
          <w:color w:val="auto"/>
        </w:rPr>
        <w:t>. The Founder Parties and the Sponsor Parties may jointly agree to admit one or more additional</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 xml:space="preserve">member(s) to the Consortium as additional party(ies). Any additional party admitted to the Consortium pursuant to this </w:t>
      </w:r>
      <w:r>
        <w:rPr>
          <w:rFonts w:ascii="Times New Roman" w:cs="Times New Roman" w:eastAsia="Times New Roman" w:hAnsi="Times New Roman"/>
          <w:sz w:val="17"/>
          <w:szCs w:val="17"/>
          <w:u w:val="single" w:color="auto"/>
          <w:color w:val="auto"/>
        </w:rPr>
        <w:t>Section 1.4</w:t>
      </w:r>
      <w:r>
        <w:rPr>
          <w:rFonts w:ascii="Times New Roman" w:cs="Times New Roman" w:eastAsia="Times New Roman" w:hAnsi="Times New Roman"/>
          <w:sz w:val="17"/>
          <w:szCs w:val="17"/>
          <w:color w:val="auto"/>
        </w:rPr>
        <w:t xml:space="preserve"> shall execute and deliver a deed of adherence to this Agreement substantially in the form attached hereto as </w:t>
      </w:r>
      <w:r>
        <w:rPr>
          <w:rFonts w:ascii="Times New Roman" w:cs="Times New Roman" w:eastAsia="Times New Roman" w:hAnsi="Times New Roman"/>
          <w:sz w:val="17"/>
          <w:szCs w:val="17"/>
          <w:b w:val="1"/>
          <w:bCs w:val="1"/>
          <w:color w:val="auto"/>
        </w:rPr>
        <w:t>Schedule D</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Deed of Adherence</w:t>
      </w:r>
      <w:r>
        <w:rPr>
          <w:rFonts w:ascii="Times New Roman" w:cs="Times New Roman" w:eastAsia="Times New Roman" w:hAnsi="Times New Roman"/>
          <w:sz w:val="17"/>
          <w:szCs w:val="17"/>
          <w:color w:val="auto"/>
        </w:rPr>
        <w:t>”) and upon its execution and delivery of the Deed of Adherence, such additional party shall become an “</w:t>
      </w:r>
      <w:r>
        <w:rPr>
          <w:rFonts w:ascii="Times New Roman" w:cs="Times New Roman" w:eastAsia="Times New Roman" w:hAnsi="Times New Roman"/>
          <w:sz w:val="17"/>
          <w:szCs w:val="17"/>
          <w:u w:val="single" w:color="auto"/>
          <w:color w:val="auto"/>
        </w:rPr>
        <w:t>Additional Party</w:t>
      </w:r>
      <w:r>
        <w:rPr>
          <w:rFonts w:ascii="Times New Roman" w:cs="Times New Roman" w:eastAsia="Times New Roman" w:hAnsi="Times New Roman"/>
          <w:sz w:val="17"/>
          <w:szCs w:val="17"/>
          <w:color w:val="auto"/>
        </w:rPr>
        <w:t>” for purposes of this Agreement.</w:t>
      </w:r>
    </w:p>
    <w:p>
      <w:pPr>
        <w:spacing w:after="0" w:line="309" w:lineRule="exact"/>
        <w:rPr>
          <w:sz w:val="20"/>
          <w:szCs w:val="20"/>
          <w:color w:val="auto"/>
        </w:rPr>
      </w:pPr>
    </w:p>
    <w:p>
      <w:pPr>
        <w:ind w:left="544" w:hanging="544"/>
        <w:spacing w:after="0"/>
        <w:tabs>
          <w:tab w:leader="none" w:pos="54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Sharing and Roles; Advisors; Approvals</w:t>
      </w:r>
    </w:p>
    <w:p>
      <w:pPr>
        <w:spacing w:after="0" w:line="135" w:lineRule="exact"/>
        <w:rPr>
          <w:sz w:val="20"/>
          <w:szCs w:val="20"/>
          <w:color w:val="auto"/>
        </w:rPr>
      </w:pPr>
    </w:p>
    <w:p>
      <w:pPr>
        <w:ind w:left="544" w:right="80" w:hanging="539"/>
        <w:spacing w:after="0" w:line="269" w:lineRule="auto"/>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Information Sharing and Roles</w:t>
      </w:r>
      <w:r>
        <w:rPr>
          <w:rFonts w:ascii="Times New Roman" w:cs="Times New Roman" w:eastAsia="Times New Roman" w:hAnsi="Times New Roman"/>
          <w:sz w:val="17"/>
          <w:szCs w:val="17"/>
          <w:color w:val="auto"/>
        </w:rPr>
        <w:t>. Each Party shall cooperate in good faith with the other Parties in connection with the Proposal and the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Transaction, including by (a) complying with any information delivery or other reasonable requirements under any arrangements or obligations of Holdco, a Party or an Affiliate of a Party, and shall not, and shall direct its Representatives not to, whether by their action or omission, breach such arrangements or obligations, (b) participating in meetings and negotiations with the Special Committee and its advisors to the extent reasonably requested by another Party, (c) executing and complying with any confidentiality agreements reasonably required by the Target, and</w:t>
      </w:r>
    </w:p>
    <w:p>
      <w:pPr>
        <w:spacing w:after="0" w:line="3" w:lineRule="exact"/>
        <w:rPr>
          <w:sz w:val="20"/>
          <w:szCs w:val="20"/>
          <w:color w:val="auto"/>
        </w:rPr>
      </w:pPr>
    </w:p>
    <w:p>
      <w:pPr>
        <w:ind w:left="544" w:right="100" w:hanging="4"/>
        <w:spacing w:after="0" w:line="251" w:lineRule="auto"/>
        <w:tabs>
          <w:tab w:leader="none" w:pos="7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consulting with the other Parties and otherwise cooperating in good faith on any public statements regarding the Parties’ intentions with respect to the Target Group, any issuance of which shall be subject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Unless the Founder Parties and the Sponsor Parties otherwise agree, none of the Parties shall commission a report, opinion or appraisal (within the meaning of Item 1015 of Regulation M-A of the Exchange Act) regarding the Target Group. Notwithstanding the foregoing, (x) no Party shall be required to make available to the other Parties any of its internal materials or analysis or any information which it considers commercially sensitive; and (y) the obligations of the Parties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subject to (i) any limitations or other requirements that may be imposed by the Special Committee, (ii) the terms and conditions set forth in the Merger Agreement or any confidentiality agreements entered into in connection with the Transaction, and (iii) (with respect to the Founder Parties) their fiduciary duties and other obligations to the Target under applicable laws.</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20" w:name="page21"/>
    <w:bookmarkEnd w:id="20"/>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w:t>
      </w:r>
      <w:r>
        <w:rPr>
          <w:sz w:val="20"/>
          <w:szCs w:val="20"/>
          <w:color w:val="auto"/>
        </w:rPr>
        <w:tab/>
      </w:r>
      <w:r>
        <w:rPr>
          <w:rFonts w:ascii="Times New Roman" w:cs="Times New Roman" w:eastAsia="Times New Roman" w:hAnsi="Times New Roman"/>
          <w:sz w:val="17"/>
          <w:szCs w:val="17"/>
          <w:u w:val="single" w:color="auto"/>
          <w:color w:val="auto"/>
        </w:rPr>
        <w:t>Appointment of Advisors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4" w:right="80" w:hanging="644"/>
        <w:spacing w:after="0" w:line="261" w:lineRule="auto"/>
        <w:tabs>
          <w:tab w:leader="none" w:pos="11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Founder Parties and the Sponsor Parties shall collectively engage (including the scope and engagement terms) all joint Advisors to the Consortium in connection with the Transaction. It is understood that any counsel engaged by any Party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below may also act as counsel to the Consortium in connection with the Transaction, subject to the prior consent of the Founder Parties and the Sponsor Parties (including the scope and engagement terms).</w:t>
      </w:r>
    </w:p>
    <w:p>
      <w:pPr>
        <w:spacing w:after="0" w:line="85" w:lineRule="exact"/>
        <w:rPr>
          <w:rFonts w:ascii="Times New Roman" w:cs="Times New Roman" w:eastAsia="Times New Roman" w:hAnsi="Times New Roman"/>
          <w:sz w:val="18"/>
          <w:szCs w:val="18"/>
          <w:color w:val="auto"/>
        </w:rPr>
      </w:pPr>
    </w:p>
    <w:p>
      <w:pPr>
        <w:ind w:left="1184" w:right="80" w:hanging="644"/>
        <w:spacing w:after="0" w:line="255" w:lineRule="auto"/>
        <w:tabs>
          <w:tab w:leader="none" w:pos="11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provided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if a Party requires separate representation in connection with specific issues arising out of the Proposal or the Transaction, such Party may retain its own Advisors. Each Party that engages its own Advisors shall (i) provide prior notice to the other Parties of such engagement, and (ii) be solely responsible for the fees and expenses of such separate Advisors unless otherwise expressly provided herein. The Parties hereby acknowledge and agree that (x) Ropes &amp; Gray LLP has been engaged by the Founder Parties as their international counsel in connection with the Proposal and the Transaction, and (y) Prospera Law LLP has been engaged by the Sponsor Parties as their international counsel in connection with the Proposal and the Transaction, in each case, as their own Advisors.</w:t>
      </w:r>
    </w:p>
    <w:p>
      <w:pPr>
        <w:spacing w:after="0" w:line="94" w:lineRule="exact"/>
        <w:rPr>
          <w:sz w:val="20"/>
          <w:szCs w:val="20"/>
          <w:color w:val="auto"/>
        </w:rPr>
      </w:pPr>
    </w:p>
    <w:p>
      <w:pPr>
        <w:jc w:val="both"/>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Each Party shall use reasonable best efforts and provide all cooperation as may be reasonably requested by the other Parties to obtain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all applicable governmental, statutory, regulatory or other approvals, licenses, waivers or exemptions required or, in the reasonable opinion of the Parties, desirable for the consummation of the Transaction.</w:t>
      </w:r>
    </w:p>
    <w:p>
      <w:pPr>
        <w:spacing w:after="0" w:line="320" w:lineRule="exact"/>
        <w:rPr>
          <w:sz w:val="20"/>
          <w:szCs w:val="20"/>
          <w:color w:val="auto"/>
        </w:rPr>
      </w:pPr>
    </w:p>
    <w:p>
      <w:pPr>
        <w:ind w:left="544" w:hanging="544"/>
        <w:spacing w:after="0"/>
        <w:tabs>
          <w:tab w:leader="none" w:pos="54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 Costs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Expenses and Fee Sharing</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4" w:right="180" w:hanging="644"/>
        <w:spacing w:after="0" w:line="261" w:lineRule="auto"/>
        <w:tabs>
          <w:tab w:leader="none" w:pos="11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consummation of the Transaction, the Parties shall procure the Surviving Company to reimburse the Parties for, or pay on behalf of the Parties, as the case may be, all of their out-of-pocket costs and expenses incurred in connection with the Transaction and the Debt Financing, including, without limitation, the reasonable fees and expenses of any Advisors retained by the Parties (including any fees and expenses of any separate Advisors who were retained by the Parties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184" w:right="20" w:hanging="644"/>
        <w:spacing w:after="0" w:line="254" w:lineRule="auto"/>
        <w:tabs>
          <w:tab w:leader="none" w:pos="11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Transaction is not consummated (and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below does not apply), the Parties agree to share, ratably based on each Party’s Respective Proportion, the costs and expenses in connection with the Transaction and the Debt Financing incurred prior to or as a result of the termination of the Transaction, including any reverse termination fee (if any) payable by Holdco or Merger Sub to the Target pursuant to the Merger Agreement and any reasonable fees and expenses payable to (i) Advisors retained by the Parties (other than any fees and expenses of any separate Advisors who were retained by the Parties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which shall be borne by the Party who engaged such Advisor, unless and only to the extent such appointment and expenses are agreed to in advance by the Founder Parties and the Sponsor Parties) (with respect to a Party, the portion of the costs and expenses in connection with the Transaction and the Debt Financing allocated to such Party in accordance with the foregoing, such Party’s “</w:t>
      </w:r>
      <w:r>
        <w:rPr>
          <w:rFonts w:ascii="Times New Roman" w:cs="Times New Roman" w:eastAsia="Times New Roman" w:hAnsi="Times New Roman"/>
          <w:sz w:val="18"/>
          <w:szCs w:val="18"/>
          <w:u w:val="single" w:color="auto"/>
          <w:color w:val="auto"/>
        </w:rPr>
        <w:t>Pro Rata Expenses</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21" w:name="page22"/>
    <w:bookmarkEnd w:id="21"/>
    <w:p>
      <w:pPr>
        <w:ind w:left="1184" w:right="300" w:hanging="644"/>
        <w:spacing w:after="0" w:line="258" w:lineRule="auto"/>
        <w:tabs>
          <w:tab w:leader="none" w:pos="118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Transaction is not consummated due to the breach of this Agreement by one or more Parties, then such breaching Parties shall reimburse any non-breaching Party for all reasonable out-of-pocket costs and expenses, including any fees and expenses of any Advisors retained by the Parties (including the fees and expenses of any separate Advisors who were retained by the Parties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incurred by such non-breaching Party in connection with the Transaction and the Debt Financing, without prejudice to any rights and remedies otherwise available to such non-breaching Party.</w:t>
      </w:r>
    </w:p>
    <w:p>
      <w:pPr>
        <w:spacing w:after="0" w:line="88" w:lineRule="exact"/>
        <w:rPr>
          <w:rFonts w:ascii="Times New Roman" w:cs="Times New Roman" w:eastAsia="Times New Roman" w:hAnsi="Times New Roman"/>
          <w:sz w:val="18"/>
          <w:szCs w:val="18"/>
          <w:color w:val="auto"/>
        </w:rPr>
      </w:pPr>
    </w:p>
    <w:p>
      <w:pPr>
        <w:ind w:left="1184" w:hanging="644"/>
        <w:spacing w:after="0" w:line="256" w:lineRule="auto"/>
        <w:tabs>
          <w:tab w:leader="none" w:pos="118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be entitled to receive any termination, break-up or other fees or amounts payable to Holdco or Merger Sub by the Target pursuant to the Merger Agreement (to the extent applicable), to be allocated based on each Party’s Respective Proportion, net of the fees and expenses incurred in connection with the Transaction and the Debt Financing, including, without limitation, any reasonable fees and expenses of any Advisors retained by the Parties (other than any fees and expenses of any separate Advisors who were retained by the Parties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which shall be borne by the Party who engaged such Advisor, unless and only to the extent such appointment and expenses are agreed to in advance by the Founder Parties and the Sponsor Parties).</w:t>
      </w:r>
    </w:p>
    <w:p>
      <w:pPr>
        <w:spacing w:after="0" w:line="33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Exclusivity</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Exclusivity Period</w:t>
      </w:r>
      <w:r>
        <w:rPr>
          <w:rFonts w:ascii="Times New Roman" w:cs="Times New Roman" w:eastAsia="Times New Roman" w:hAnsi="Times New Roman"/>
          <w:sz w:val="17"/>
          <w:szCs w:val="17"/>
          <w:color w:val="auto"/>
        </w:rPr>
        <w:t>. During the Exclusivity Period, each Party shall:</w:t>
      </w:r>
    </w:p>
    <w:p>
      <w:pPr>
        <w:spacing w:after="0" w:line="131" w:lineRule="exact"/>
        <w:rPr>
          <w:sz w:val="20"/>
          <w:szCs w:val="20"/>
          <w:color w:val="auto"/>
        </w:rPr>
      </w:pPr>
    </w:p>
    <w:p>
      <w:pPr>
        <w:ind w:left="1184" w:right="100" w:hanging="644"/>
        <w:spacing w:after="0" w:line="258" w:lineRule="auto"/>
        <w:tabs>
          <w:tab w:leader="none" w:pos="1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shall cause its Representatives (other than advisors and potential sources of equity or debt financing) to, work exclusively with the other Parties to implement the Transaction, including to (i) evaluate the Target Group and its business, (ii) prepare, negotiate and finalize the Definitive Documents, including the Merger Agreement, and (iii) vote, or cause to be voted, at every shareholder or stakeholder meeting (whether by written consent or otherwise) all Securities against any Competing Proposal or matter that would facilitate a Competing Proposal and in favor of the Transaction;</w:t>
      </w:r>
    </w:p>
    <w:p>
      <w:pPr>
        <w:spacing w:after="0" w:line="88" w:lineRule="exact"/>
        <w:rPr>
          <w:rFonts w:ascii="Times New Roman" w:cs="Times New Roman" w:eastAsia="Times New Roman" w:hAnsi="Times New Roman"/>
          <w:sz w:val="18"/>
          <w:szCs w:val="18"/>
          <w:color w:val="auto"/>
        </w:rPr>
      </w:pPr>
    </w:p>
    <w:p>
      <w:pPr>
        <w:ind w:left="1184" w:right="560" w:hanging="644"/>
        <w:spacing w:after="0" w:line="261" w:lineRule="auto"/>
        <w:tabs>
          <w:tab w:leader="none" w:pos="1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directly or indirectly, either alone or with or through any Representatives authorized to act on such Party’s behalf (i) make a Competing Proposal, or solicit, encourage, facilitate or join with any other person in the making of, any Competing Proposal,</w:t>
      </w:r>
    </w:p>
    <w:p>
      <w:pPr>
        <w:ind w:left="1184" w:right="3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(ii) provide any information to any third party with a view to the third party or any other person pursuing or considering to pursue a Competing Proposal, (iii) finance or offer to finance any Competing Proposal, including by offering any equity or debt finance, or contribution of Securities or provision of a voting agreement, in support of any Competing Proposal, (iv) enter into any agreement,</w:t>
      </w:r>
    </w:p>
    <w:p>
      <w:pPr>
        <w:spacing w:after="0" w:line="10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22" w:name="page23"/>
    <w:bookmarkEnd w:id="22"/>
    <w:p>
      <w:pPr>
        <w:ind w:left="11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arrangement or understanding regarding, or do, anything that is directly inconsistent with the provisions of this Agreement or the Transaction as contemplated under this Agreement, (v) acquire or dispose of any Securities (other than acquiring Securities pursuant to the share incentive plans of the Target), or directly or indirectly (A) sell, offer to sell, give, pledge, encumber, assign, grant any option for the sale of or otherwise transfer or dispose of, or enter into any agreement, arrangement or understanding to sell or otherwise transfer or dispose of, an interest in any Securities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or permit the Transfer by any of its Affiliates of an interest in any Securities, in each case, except as expressly contemplated under this Agreement and the other Definitive Documents, (B) enter into any contract, option or other arrangement or understanding with respect to a Transfer or limitation on voting rights of any of the Securities, or interest thereto or therein, or (C) deposit any Securities into a voting trust or grant any proxies or enter into a voting agreement, power of attorney or voting trust with respect to any Securities, (vi) take any action that could reasonably be expected to have the effect of preventing, disabling or delaying such Party from performing its obligations under this Agreement, or (vii) solicit, encourage, facilitate, induce or enter into any negotiation, discussion, agreement or understanding with any other person regarding the matters described in </w:t>
      </w:r>
      <w:r>
        <w:rPr>
          <w:rFonts w:ascii="Times New Roman" w:cs="Times New Roman" w:eastAsia="Times New Roman" w:hAnsi="Times New Roman"/>
          <w:sz w:val="18"/>
          <w:szCs w:val="18"/>
          <w:u w:val="single" w:color="auto"/>
          <w:color w:val="auto"/>
        </w:rPr>
        <w:t>Sections 4.1(b)(i)</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4.1(b)(vi)</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120" w:right="40" w:hanging="644"/>
        <w:spacing w:after="0" w:line="266" w:lineRule="auto"/>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cease and terminate, and cause to be ceased and terminated, all existing activities, discussions, conversations, negotiations and other communications (whether conducted by such Party or any of its Representatives) with all persons conducted heretofore with respect to a Competing Proposal; and</w:t>
      </w:r>
    </w:p>
    <w:p>
      <w:pPr>
        <w:spacing w:after="0" w:line="81" w:lineRule="exact"/>
        <w:rPr>
          <w:rFonts w:ascii="Times New Roman" w:cs="Times New Roman" w:eastAsia="Times New Roman" w:hAnsi="Times New Roman"/>
          <w:sz w:val="18"/>
          <w:szCs w:val="18"/>
          <w:color w:val="auto"/>
        </w:rPr>
      </w:pPr>
    </w:p>
    <w:p>
      <w:pPr>
        <w:ind w:left="1120" w:right="180" w:hanging="644"/>
        <w:spacing w:after="0" w:line="266" w:lineRule="auto"/>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other Parties if it or any of its Representatives receives any approach or communication with respect to any Competing Proposal, including in such notice the identity of the other persons involved and the nature and content of the approach or communication, and promptly provide the other Parties with copies of any written communication.</w:t>
      </w:r>
    </w:p>
    <w:p>
      <w:pPr>
        <w:spacing w:after="0" w:line="81" w:lineRule="exact"/>
        <w:rPr>
          <w:sz w:val="20"/>
          <w:szCs w:val="20"/>
          <w:color w:val="auto"/>
        </w:rPr>
      </w:pPr>
    </w:p>
    <w:p>
      <w:pPr>
        <w:ind w:left="480" w:right="80" w:hanging="539"/>
        <w:spacing w:after="0" w:line="271" w:lineRule="auto"/>
        <w:tabs>
          <w:tab w:leader="none" w:pos="4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 xml:space="preserve">Notwithstanding anything contained in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to the contrary, to the extent the Target Board specifically requests that a Founder (the “</w:t>
      </w:r>
      <w:r>
        <w:rPr>
          <w:rFonts w:ascii="Times New Roman" w:cs="Times New Roman" w:eastAsia="Times New Roman" w:hAnsi="Times New Roman"/>
          <w:sz w:val="17"/>
          <w:szCs w:val="17"/>
          <w:u w:val="single" w:color="auto"/>
          <w:color w:val="auto"/>
        </w:rPr>
        <w:t>Relevant Founder</w:t>
      </w:r>
      <w:r>
        <w:rPr>
          <w:rFonts w:ascii="Times New Roman" w:cs="Times New Roman" w:eastAsia="Times New Roman" w:hAnsi="Times New Roman"/>
          <w:sz w:val="17"/>
          <w:szCs w:val="17"/>
          <w:color w:val="auto"/>
        </w:rPr>
        <w:t xml:space="preserve">”) cooperates in respect of any Competing Proposals by providing information with respect to the Target Group, and the Relevant Founder determines (solely in his capacity as a director or officer of the Target, and not in his capacity as a shareholder) that, based on the written advice of a reputable Cayman Islands counsel to the Company, the Consortium or the Relevant Founder, he is obligated in such capacity to provide such cooperation in order to comply with his fiduciary duties under Cayman Islands law, the Relevant Founder may provide such cooperation but only to the extent required to comply with such fiduciary duties in such capacity. Notwithstanding anything contained in </w:t>
      </w:r>
      <w:r>
        <w:rPr>
          <w:rFonts w:ascii="Times New Roman" w:cs="Times New Roman" w:eastAsia="Times New Roman" w:hAnsi="Times New Roman"/>
          <w:sz w:val="17"/>
          <w:szCs w:val="17"/>
          <w:u w:val="single" w:color="auto"/>
          <w:color w:val="auto"/>
        </w:rPr>
        <w:t>Section 4.1(b)(v)</w:t>
      </w:r>
      <w:r>
        <w:rPr>
          <w:rFonts w:ascii="Times New Roman" w:cs="Times New Roman" w:eastAsia="Times New Roman" w:hAnsi="Times New Roman"/>
          <w:sz w:val="17"/>
          <w:szCs w:val="17"/>
          <w:color w:val="auto"/>
        </w:rPr>
        <w:t xml:space="preserve"> to the contrary, any Founder Party may make a Transfer of Securities to its or his Affiliates, lineal descendants or antecedents or the estates of or trusts for the benefit of such Founder Party or its or his Affiliates or lineal descendants or antecedents;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in all cases, any such Transfer shall not relieve the transferor of its or his obligations hereunder with respect to the transferred Securities.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500" w:top="270" w:right="499" w:bottom="1440" w:gutter="0" w:footer="0" w:header="0"/>
        </w:sectPr>
      </w:pPr>
    </w:p>
    <w:bookmarkStart w:id="23" w:name="page24"/>
    <w:bookmarkEnd w:id="23"/>
    <w:p>
      <w:pPr>
        <w:ind w:left="544" w:hanging="544"/>
        <w:spacing w:after="0"/>
        <w:tabs>
          <w:tab w:leader="none" w:pos="54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p>
    <w:p>
      <w:pPr>
        <w:spacing w:after="0" w:line="135" w:lineRule="exact"/>
        <w:rPr>
          <w:sz w:val="20"/>
          <w:szCs w:val="20"/>
          <w:color w:val="auto"/>
        </w:rPr>
      </w:pPr>
    </w:p>
    <w:p>
      <w:pPr>
        <w:ind w:left="544"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Failure to Agree</w:t>
      </w:r>
      <w:r>
        <w:rPr>
          <w:rFonts w:ascii="Times New Roman" w:cs="Times New Roman" w:eastAsia="Times New Roman" w:hAnsi="Times New Roman"/>
          <w:sz w:val="18"/>
          <w:szCs w:val="18"/>
          <w:color w:val="auto"/>
        </w:rPr>
        <w:t>. If the Parties are unable to agree either (a) as between the Sponsor Parties, on the one hand, and the Founder Parties, on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other hand, upon the material terms of the Definitive Documents, or (b) with the Special Committee on the material terms of a Transaction which the Special Committee agrees to recommend to the public shareholders of the Target, then subject to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(i) a Party may cease its participation in the Transaction by delivery of a written notice to the other Parties; and (ii) this Agreement shall terminate with respect to such withdrawing party.</w:t>
      </w:r>
    </w:p>
    <w:p>
      <w:pPr>
        <w:spacing w:after="0" w:line="89" w:lineRule="exact"/>
        <w:rPr>
          <w:sz w:val="20"/>
          <w:szCs w:val="20"/>
          <w:color w:val="auto"/>
        </w:rPr>
      </w:pPr>
    </w:p>
    <w:p>
      <w:pPr>
        <w:ind w:left="544" w:right="2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Other Termination Events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u w:val="single" w:color="auto"/>
          <w:color w:val="auto"/>
        </w:rPr>
        <w:t xml:space="preserve"> Section 5.3(a)</w:t>
      </w:r>
      <w:r>
        <w:rPr>
          <w:rFonts w:ascii="Times New Roman" w:cs="Times New Roman" w:eastAsia="Times New Roman" w:hAnsi="Times New Roman"/>
          <w:sz w:val="18"/>
          <w:szCs w:val="18"/>
          <w:color w:val="auto"/>
        </w:rPr>
        <w:t>, this Agreement shall terminate with respect to all Parties upon the earlier to occur of (a)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written agreement among the Parties to terminate this Agreement, (b) the termination of the Merger Agreement in accordance with the terms thereof, and (c) the Closing.</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4" w:right="60" w:hanging="644"/>
        <w:spacing w:after="0" w:line="256" w:lineRule="auto"/>
        <w:tabs>
          <w:tab w:leader="none" w:pos="118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termination of this Agreement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(Transaction Costs),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(Termination),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(Announcements and Confidentiality),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(Notices) and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(Miscellaneous) shall continue to bind the withdrawing party (in the case of termination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the Parties (in the case of termination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each of such Parties shall be liable under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for its Pro Rata Expenses incurred prior to the termination of this Agreement, unless the Transaction is not completed due to the breach of this Agreement by such Party prior to the termination, in which case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shall apply.</w:t>
      </w:r>
    </w:p>
    <w:p>
      <w:pPr>
        <w:spacing w:after="0" w:line="92"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set forth in </w:t>
      </w:r>
      <w:r>
        <w:rPr>
          <w:rFonts w:ascii="Times New Roman" w:cs="Times New Roman" w:eastAsia="Times New Roman" w:hAnsi="Times New Roman"/>
          <w:sz w:val="18"/>
          <w:szCs w:val="18"/>
          <w:u w:val="single" w:color="auto"/>
          <w:color w:val="auto"/>
        </w:rPr>
        <w:t>Section (a)</w:t>
      </w:r>
      <w:r>
        <w:rPr>
          <w:rFonts w:ascii="Times New Roman" w:cs="Times New Roman" w:eastAsia="Times New Roman" w:hAnsi="Times New Roman"/>
          <w:sz w:val="18"/>
          <w:szCs w:val="18"/>
          <w:color w:val="auto"/>
        </w:rPr>
        <w:t xml:space="preserve"> or in respect of a breach of this Agreement by any Party prior to the termination of this Agreement with respect to such Party, the Parties shall not otherwise be liable to each other in relation to this Agreement.</w:t>
      </w:r>
    </w:p>
    <w:p>
      <w:pPr>
        <w:spacing w:after="0" w:line="30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Announcements and Confidentiality</w:t>
      </w:r>
    </w:p>
    <w:p>
      <w:pPr>
        <w:spacing w:after="0" w:line="135" w:lineRule="exact"/>
        <w:rPr>
          <w:sz w:val="20"/>
          <w:szCs w:val="20"/>
          <w:color w:val="auto"/>
        </w:rPr>
      </w:pPr>
    </w:p>
    <w:p>
      <w:pPr>
        <w:ind w:left="544" w:right="12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Announcements</w:t>
      </w:r>
      <w:r>
        <w:rPr>
          <w:rFonts w:ascii="Times New Roman" w:cs="Times New Roman" w:eastAsia="Times New Roman" w:hAnsi="Times New Roman"/>
          <w:sz w:val="18"/>
          <w:szCs w:val="18"/>
          <w:color w:val="auto"/>
        </w:rPr>
        <w:t>. No announcements regarding the subject matter of this Agreement shall be issued by any Party without the prior written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consent of the other Parties, which consent shall not be unreasonably withheld, delayed or conditioned, except to the extent that any such announcements are required by law, a court of competent jurisdiction, a regulatory body or international stock exchange, and then only after the form and terms of such disclosure have been notified to the other Parties and they have had a reasonable opportunity to comment thereon, in each case to the extent reasonably practicable. Subject to the preceding sentence, any announcement to be made by the Parties, Holdco or their respective Affiliates in connection with the Transaction shall be jointly coordinated and agreed by the Parties.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24" w:name="page25"/>
    <w:bookmarkEnd w:id="24"/>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6.2</w:t>
      </w:r>
      <w:r>
        <w:rPr>
          <w:sz w:val="20"/>
          <w:szCs w:val="20"/>
          <w:color w:val="auto"/>
        </w:rPr>
        <w:tab/>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1184" w:right="60" w:hanging="644"/>
        <w:spacing w:after="0" w:line="261" w:lineRule="auto"/>
        <w:tabs>
          <w:tab w:leader="none" w:pos="118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each Party shall not, and shall direct its Representatives not to, without the prior written consent of the other Parties, disclose any Confidential Information received by it (the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from any other Party (the “</w:t>
      </w:r>
      <w:r>
        <w:rPr>
          <w:rFonts w:ascii="Times New Roman" w:cs="Times New Roman" w:eastAsia="Times New Roman" w:hAnsi="Times New Roman"/>
          <w:sz w:val="18"/>
          <w:szCs w:val="18"/>
          <w:u w:val="single" w:color="auto"/>
          <w:color w:val="auto"/>
        </w:rPr>
        <w:t>Discloser</w:t>
      </w:r>
      <w:r>
        <w:rPr>
          <w:rFonts w:ascii="Times New Roman" w:cs="Times New Roman" w:eastAsia="Times New Roman" w:hAnsi="Times New Roman"/>
          <w:sz w:val="18"/>
          <w:szCs w:val="18"/>
          <w:color w:val="auto"/>
        </w:rPr>
        <w:t>”). Each Party shall not, and shall direct its Representatives not to, use any Confidential Information for any purpose other than for the purposes of this Agreement or the Transaction.</w:t>
      </w:r>
    </w:p>
    <w:p>
      <w:pPr>
        <w:spacing w:after="0" w:line="85" w:lineRule="exact"/>
        <w:rPr>
          <w:rFonts w:ascii="Times New Roman" w:cs="Times New Roman" w:eastAsia="Times New Roman" w:hAnsi="Times New Roman"/>
          <w:sz w:val="18"/>
          <w:szCs w:val="18"/>
          <w:color w:val="auto"/>
        </w:rPr>
      </w:pPr>
    </w:p>
    <w:p>
      <w:pPr>
        <w:ind w:left="1184" w:right="560" w:hanging="644"/>
        <w:spacing w:after="0" w:line="282" w:lineRule="auto"/>
        <w:tabs>
          <w:tab w:leader="none" w:pos="118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the Recipient shall safeguard, and return to the Discloser or destroy (at the option of the Recipient), on demand, any Confidential Information which falls within clause (a) of the definition of Confidential Information.</w:t>
      </w:r>
    </w:p>
    <w:p>
      <w:pPr>
        <w:spacing w:after="0" w:line="67" w:lineRule="exact"/>
        <w:rPr>
          <w:rFonts w:ascii="Times New Roman" w:cs="Times New Roman" w:eastAsia="Times New Roman" w:hAnsi="Times New Roman"/>
          <w:sz w:val="18"/>
          <w:szCs w:val="18"/>
          <w:color w:val="auto"/>
        </w:rPr>
      </w:pPr>
    </w:p>
    <w:p>
      <w:pPr>
        <w:ind w:left="1184" w:right="520" w:hanging="644"/>
        <w:spacing w:after="0" w:line="266" w:lineRule="auto"/>
        <w:tabs>
          <w:tab w:leader="none" w:pos="118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may retain in a secure archive a copy of the Confidential Information referred to in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if the Confidential Information is required to be retained by such Party for regulatory purposes or in connection with a bona fide document retention policy, or is electronic data stored on the back-up tapes of the such Party’s hardware.</w:t>
      </w:r>
    </w:p>
    <w:p>
      <w:pPr>
        <w:spacing w:after="0" w:line="81" w:lineRule="exact"/>
        <w:rPr>
          <w:rFonts w:ascii="Times New Roman" w:cs="Times New Roman" w:eastAsia="Times New Roman" w:hAnsi="Times New Roman"/>
          <w:sz w:val="18"/>
          <w:szCs w:val="18"/>
          <w:color w:val="auto"/>
        </w:rPr>
      </w:pPr>
    </w:p>
    <w:p>
      <w:pPr>
        <w:ind w:left="1184" w:right="140" w:hanging="644"/>
        <w:spacing w:after="0" w:line="266" w:lineRule="auto"/>
        <w:tabs>
          <w:tab w:leader="none" w:pos="118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that, in relation to Confidential Information received from the other Parties, the obligations contained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continue to apply for a period of 12 months following termination of this Agreement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unless otherwise agreed in writing.</w:t>
      </w:r>
    </w:p>
    <w:p>
      <w:pPr>
        <w:spacing w:after="0" w:line="81" w:lineRule="exact"/>
        <w:rPr>
          <w:sz w:val="20"/>
          <w:szCs w:val="20"/>
          <w:color w:val="auto"/>
        </w:rPr>
      </w:pPr>
    </w:p>
    <w:p>
      <w:pPr>
        <w:ind w:left="544" w:hanging="539"/>
        <w:spacing w:after="0" w:line="254" w:lineRule="auto"/>
        <w:tabs>
          <w:tab w:leader="none" w:pos="524"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u w:val="single" w:color="auto"/>
          <w:color w:val="auto"/>
        </w:rPr>
        <w:t>Permitted Disclosures</w:t>
      </w:r>
      <w:r>
        <w:rPr>
          <w:rFonts w:ascii="Times New Roman" w:cs="Times New Roman" w:eastAsia="Times New Roman" w:hAnsi="Times New Roman"/>
          <w:sz w:val="18"/>
          <w:szCs w:val="18"/>
          <w:color w:val="auto"/>
        </w:rPr>
        <w:t>. A Party may make disclosures (a) to those of its Representatives as such Party reasonably deems necessary to give effect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to or enforce this Agreement (including potential sources of capital), but only if such Representatives have agreed with such Party to maintain the confidentiality of such Confidential Information as set out herein or are otherwise bound by applicable law or rules of professional conduct to keep such information confidential; or (b) if required by law or a court of competent jurisdiction, the United States Securities and Exchange Commission or another regulatory body or international stock exchange having jurisdiction over a Party or pursuant to whose rules and regulations such disclosure is required to be made, but only after the form and terms of such disclosure have been notified to the other Parties and the other Parties have had a reasonable opportunity to comment thereon, in each case to the extent reasonably practicable and permitted by law.</w:t>
      </w:r>
    </w:p>
    <w:p>
      <w:pPr>
        <w:spacing w:after="0" w:line="336" w:lineRule="exact"/>
        <w:rPr>
          <w:sz w:val="20"/>
          <w:szCs w:val="20"/>
          <w:color w:val="auto"/>
        </w:rPr>
      </w:pPr>
    </w:p>
    <w:p>
      <w:pPr>
        <w:ind w:left="544" w:hanging="544"/>
        <w:spacing w:after="0"/>
        <w:tabs>
          <w:tab w:leader="none" w:pos="54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35" w:lineRule="exact"/>
        <w:rPr>
          <w:sz w:val="20"/>
          <w:szCs w:val="20"/>
          <w:color w:val="auto"/>
        </w:rPr>
      </w:pPr>
    </w:p>
    <w:p>
      <w:pPr>
        <w:ind w:left="544" w:right="60"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Any notice, request, instruction or other document to be provided hereunder by any Party to another Party shall be in writing and delivered personally or sent by registered or certified mail, postage prepaid, or by overnight courier or electronic mail, to the address provided under such other Party’s signature page hereto or (with respect to any Additional Party) any Additional Party’s signature page to the Deed of Adherence, or to such other address or electronic mail address as such Party may hereafter specify for the purpose by notice to the other Parties.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25" w:name="page26"/>
    <w:bookmarkEnd w:id="25"/>
    <w:p>
      <w:pPr>
        <w:ind w:left="544" w:hanging="544"/>
        <w:spacing w:after="0"/>
        <w:tabs>
          <w:tab w:leader="none" w:pos="54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w:t>
      </w:r>
    </w:p>
    <w:p>
      <w:pPr>
        <w:spacing w:after="0" w:line="135" w:lineRule="exact"/>
        <w:rPr>
          <w:sz w:val="20"/>
          <w:szCs w:val="20"/>
          <w:color w:val="auto"/>
        </w:rPr>
      </w:pPr>
    </w:p>
    <w:p>
      <w:pPr>
        <w:ind w:left="544" w:right="80" w:hanging="539"/>
        <w:spacing w:after="0" w:line="253" w:lineRule="auto"/>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Party hereby represents and warrants, on behalf of such Party only, to the other Parties that (a) it has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requisite power and authority to execute, deliver and perform this Agreement; (b) the execution, delivery and performance of this Agreement by it have been duly authorized by all necessary action on the part of such Party and no additional proceedings are necessary to approve this Agreement; (c) this Agreement has been duly executed and delivered by it and constitutes a legal, valid and binding obligation of such Party, enforceable against it in accordance with the terms hereof except to the extent that enforcement of the rights and remedies created hereby is subject to bankruptcy, insolvency, reorganization, moratorium and other similar laws of general application and general principles of equity;</w:t>
      </w:r>
    </w:p>
    <w:p>
      <w:pPr>
        <w:spacing w:after="0" w:line="5" w:lineRule="exact"/>
        <w:rPr>
          <w:sz w:val="20"/>
          <w:szCs w:val="20"/>
          <w:color w:val="auto"/>
        </w:rPr>
      </w:pPr>
    </w:p>
    <w:p>
      <w:pPr>
        <w:ind w:left="544" w:right="60" w:hanging="4"/>
        <w:spacing w:after="0" w:line="251" w:lineRule="auto"/>
        <w:tabs>
          <w:tab w:leader="none" w:pos="79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execution, delivery and performance (including the provision and exchange of information) of this Agreement will not (i) conflict with, require a consent, waiver or approval under, or result in a breach of or default under, any of the terms of any material contract or agreement to which such Party is a party or by which such Party is bound, or any office such Party holds, (ii) violate any order, writ, injunction, decree or statute, or any rule or regulation, applicable to such Party or any of its properties and assets, or (iii) result in the creation of, or impose any obligation on such Party to create, any lien, charge or other encumbrance of any nature whatsoever upon such Party’s properties or assets (save for those necessary to consummate the Debt Financing in connection with the Transaction); and (e) no broker, finder or investment banker is entitled to any brokerage, finder’s or other fee or commission in connection with the Transaction based upon arrangements made by or on behalf of such Party.</w:t>
      </w:r>
    </w:p>
    <w:p>
      <w:pPr>
        <w:spacing w:after="0" w:line="9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u w:val="single" w:color="auto"/>
          <w:color w:val="auto"/>
        </w:rPr>
        <w:t>Target Ordinary Shares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4" w:hanging="644"/>
        <w:spacing w:after="0" w:line="255" w:lineRule="auto"/>
        <w:tabs>
          <w:tab w:leader="none" w:pos="118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Agreement, (i) the Founder Parties hold (A) of record the number of outstanding Target Ordinary Shares set forth under the heading “Shares Held of Record” next to their names on </w:t>
      </w:r>
      <w:r>
        <w:rPr>
          <w:rFonts w:ascii="Times New Roman" w:cs="Times New Roman" w:eastAsia="Times New Roman" w:hAnsi="Times New Roman"/>
          <w:sz w:val="18"/>
          <w:szCs w:val="18"/>
          <w:b w:val="1"/>
          <w:bCs w:val="1"/>
          <w:color w:val="auto"/>
        </w:rPr>
        <w:t>Schedule B</w:t>
      </w:r>
      <w:r>
        <w:rPr>
          <w:rFonts w:ascii="Times New Roman" w:cs="Times New Roman" w:eastAsia="Times New Roman" w:hAnsi="Times New Roman"/>
          <w:sz w:val="18"/>
          <w:szCs w:val="18"/>
          <w:color w:val="auto"/>
        </w:rPr>
        <w:t xml:space="preserve"> hereto, and (B) the other Securities of Target set forth under the heading “Other Securities” next to their names on </w:t>
      </w:r>
      <w:r>
        <w:rPr>
          <w:rFonts w:ascii="Times New Roman" w:cs="Times New Roman" w:eastAsia="Times New Roman" w:hAnsi="Times New Roman"/>
          <w:sz w:val="18"/>
          <w:szCs w:val="18"/>
          <w:b w:val="1"/>
          <w:bCs w:val="1"/>
          <w:color w:val="auto"/>
        </w:rPr>
        <w:t>Schedule B</w:t>
      </w:r>
      <w:r>
        <w:rPr>
          <w:rFonts w:ascii="Times New Roman" w:cs="Times New Roman" w:eastAsia="Times New Roman" w:hAnsi="Times New Roman"/>
          <w:sz w:val="18"/>
          <w:szCs w:val="18"/>
          <w:color w:val="auto"/>
        </w:rPr>
        <w:t xml:space="preserve"> hereto, in each case free and clear of any encumbrances or restrictions; and (ii) none of the Founder Parties owns, directly or indirectly, any Target Ordinary Shares or other Securities of Target, other than the Securities set forth on </w:t>
      </w:r>
      <w:r>
        <w:rPr>
          <w:rFonts w:ascii="Times New Roman" w:cs="Times New Roman" w:eastAsia="Times New Roman" w:hAnsi="Times New Roman"/>
          <w:sz w:val="18"/>
          <w:szCs w:val="18"/>
          <w:b w:val="1"/>
          <w:bCs w:val="1"/>
          <w:color w:val="auto"/>
        </w:rPr>
        <w:t>Schedule B</w:t>
      </w:r>
      <w:r>
        <w:rPr>
          <w:rFonts w:ascii="Times New Roman" w:cs="Times New Roman" w:eastAsia="Times New Roman" w:hAnsi="Times New Roman"/>
          <w:sz w:val="18"/>
          <w:szCs w:val="18"/>
          <w:color w:val="auto"/>
        </w:rPr>
        <w:t xml:space="preserve"> hereto. For purposes of this </w:t>
      </w:r>
      <w:r>
        <w:rPr>
          <w:rFonts w:ascii="Times New Roman" w:cs="Times New Roman" w:eastAsia="Times New Roman" w:hAnsi="Times New Roman"/>
          <w:sz w:val="18"/>
          <w:szCs w:val="18"/>
          <w:u w:val="single" w:color="auto"/>
          <w:color w:val="auto"/>
        </w:rPr>
        <w:t>Section 8.2(a)(ii)</w:t>
      </w:r>
      <w:r>
        <w:rPr>
          <w:rFonts w:ascii="Times New Roman" w:cs="Times New Roman" w:eastAsia="Times New Roman" w:hAnsi="Times New Roman"/>
          <w:sz w:val="18"/>
          <w:szCs w:val="18"/>
          <w:color w:val="auto"/>
        </w:rPr>
        <w:t>, “owns” means a Founder Party (x) is the record holder of such security or (y) is the “beneficial owner” (within the meaning of Rule 13d-3 under the Exchange Act) of such security.</w:t>
      </w:r>
    </w:p>
    <w:p>
      <w:pPr>
        <w:spacing w:after="0" w:line="94" w:lineRule="exact"/>
        <w:rPr>
          <w:rFonts w:ascii="Times New Roman" w:cs="Times New Roman" w:eastAsia="Times New Roman" w:hAnsi="Times New Roman"/>
          <w:sz w:val="18"/>
          <w:szCs w:val="18"/>
          <w:color w:val="auto"/>
        </w:rPr>
      </w:pPr>
    </w:p>
    <w:p>
      <w:pPr>
        <w:ind w:left="1184" w:right="20" w:hanging="644"/>
        <w:spacing w:after="0" w:line="274" w:lineRule="auto"/>
        <w:tabs>
          <w:tab w:leader="none" w:pos="118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of the date of this Agreement, (i) the Sponsor Parties hold (A) of record the number of outstanding Target Ordinary Shares set forth under the heading “Shares Held of Record” next to its name on </w:t>
      </w:r>
      <w:r>
        <w:rPr>
          <w:rFonts w:ascii="Times New Roman" w:cs="Times New Roman" w:eastAsia="Times New Roman" w:hAnsi="Times New Roman"/>
          <w:sz w:val="17"/>
          <w:szCs w:val="17"/>
          <w:b w:val="1"/>
          <w:bCs w:val="1"/>
          <w:color w:val="auto"/>
        </w:rPr>
        <w:t>Schedule C</w:t>
      </w:r>
      <w:r>
        <w:rPr>
          <w:rFonts w:ascii="Times New Roman" w:cs="Times New Roman" w:eastAsia="Times New Roman" w:hAnsi="Times New Roman"/>
          <w:sz w:val="17"/>
          <w:szCs w:val="17"/>
          <w:color w:val="auto"/>
        </w:rPr>
        <w:t xml:space="preserve"> hereto, and (B) the other Securities of Target set forth under the heading “Other Securities” next to its name on </w:t>
      </w:r>
      <w:r>
        <w:rPr>
          <w:rFonts w:ascii="Times New Roman" w:cs="Times New Roman" w:eastAsia="Times New Roman" w:hAnsi="Times New Roman"/>
          <w:sz w:val="17"/>
          <w:szCs w:val="17"/>
          <w:b w:val="1"/>
          <w:bCs w:val="1"/>
          <w:color w:val="auto"/>
        </w:rPr>
        <w:t>Schedule C</w:t>
      </w:r>
      <w:r>
        <w:rPr>
          <w:rFonts w:ascii="Times New Roman" w:cs="Times New Roman" w:eastAsia="Times New Roman" w:hAnsi="Times New Roman"/>
          <w:sz w:val="17"/>
          <w:szCs w:val="17"/>
          <w:color w:val="auto"/>
        </w:rPr>
        <w:t xml:space="preserve"> hereto, in each case free and clear of any encumbrances or restrictions; and (ii) the Sponsor Parties do not own, directly or indirectly, any Target Ordinary Shares or other Securities of Target, other than the Securities set forth on </w:t>
      </w:r>
      <w:r>
        <w:rPr>
          <w:rFonts w:ascii="Times New Roman" w:cs="Times New Roman" w:eastAsia="Times New Roman" w:hAnsi="Times New Roman"/>
          <w:sz w:val="17"/>
          <w:szCs w:val="17"/>
          <w:b w:val="1"/>
          <w:bCs w:val="1"/>
          <w:color w:val="auto"/>
        </w:rPr>
        <w:t>Schedule C</w:t>
      </w:r>
      <w:r>
        <w:rPr>
          <w:rFonts w:ascii="Times New Roman" w:cs="Times New Roman" w:eastAsia="Times New Roman" w:hAnsi="Times New Roman"/>
          <w:sz w:val="17"/>
          <w:szCs w:val="17"/>
          <w:color w:val="auto"/>
        </w:rPr>
        <w:t xml:space="preserve"> hereto. For purposes of this </w:t>
      </w:r>
      <w:r>
        <w:rPr>
          <w:rFonts w:ascii="Times New Roman" w:cs="Times New Roman" w:eastAsia="Times New Roman" w:hAnsi="Times New Roman"/>
          <w:sz w:val="17"/>
          <w:szCs w:val="17"/>
          <w:u w:val="single" w:color="auto"/>
          <w:color w:val="auto"/>
        </w:rPr>
        <w:t>Section 8.2(b)(ii)</w:t>
      </w:r>
      <w:r>
        <w:rPr>
          <w:rFonts w:ascii="Times New Roman" w:cs="Times New Roman" w:eastAsia="Times New Roman" w:hAnsi="Times New Roman"/>
          <w:sz w:val="17"/>
          <w:szCs w:val="17"/>
          <w:color w:val="auto"/>
        </w:rPr>
        <w:t>, “owns” means a Sponsor Party (x) is the record holder of such security or (y) is the “beneficial owner” (within the meaning of Rule 13d-3 under the Exchange Act) of such security.</w:t>
      </w:r>
    </w:p>
    <w:p>
      <w:pPr>
        <w:spacing w:after="0" w:line="10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6" w:right="459" w:bottom="1440" w:gutter="0" w:footer="0" w:header="0"/>
        </w:sectPr>
      </w:pPr>
    </w:p>
    <w:bookmarkStart w:id="26" w:name="page27"/>
    <w:bookmarkEnd w:id="26"/>
    <w:p>
      <w:pPr>
        <w:ind w:left="544" w:right="5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8.3</w:t>
      </w:r>
      <w:r>
        <w:rPr>
          <w:sz w:val="20"/>
          <w:szCs w:val="20"/>
          <w:color w:val="auto"/>
        </w:rPr>
        <w:tab/>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Each Party acknowledges that the other Parties have entered into this Agreement on the basis of and reliance upon (among other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things) the representations and warranties in </w:t>
      </w: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and have been induced by them to enter into this Agreement.</w:t>
      </w:r>
    </w:p>
    <w:p>
      <w:pPr>
        <w:spacing w:after="0" w:line="306" w:lineRule="exact"/>
        <w:rPr>
          <w:sz w:val="20"/>
          <w:szCs w:val="20"/>
          <w:color w:val="auto"/>
        </w:rPr>
      </w:pPr>
    </w:p>
    <w:p>
      <w:pPr>
        <w:ind w:left="544" w:hanging="544"/>
        <w:spacing w:after="0"/>
        <w:tabs>
          <w:tab w:leader="none" w:pos="54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5"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and supersedes any previous oral or written agreements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 arrangements among them or between any of them relating to its subject matter.</w:t>
      </w:r>
    </w:p>
    <w:p>
      <w:pPr>
        <w:spacing w:after="0" w:line="67"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use commercially reasonable efforts to take, or cause to be taken, all actions, and to do, or cause to be done,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to assist and cooperate with the other Parties in doing, all things necessary, proper or advisable to carry out the intent and purposes of this Agreement.</w:t>
      </w:r>
    </w:p>
    <w:p>
      <w:pPr>
        <w:spacing w:after="0" w:line="81" w:lineRule="exact"/>
        <w:rPr>
          <w:sz w:val="20"/>
          <w:szCs w:val="20"/>
          <w:color w:val="auto"/>
        </w:rPr>
      </w:pPr>
    </w:p>
    <w:p>
      <w:pPr>
        <w:ind w:left="544" w:right="22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invalid or unenforceable for any reason, it shall be adjusted rather than voided, if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possible, in order to achieve the intent of the Parties to the maximum extent possible. In any event, the invalidity or unenforceability of any provision of this Agreement in any jurisdiction shall not affect the validity or enforceability of the remainder of this Agreement in that jurisdiction or the validity or enforceability of this Agreement, including that provision, in any other jurisdiction.</w:t>
      </w:r>
    </w:p>
    <w:p>
      <w:pPr>
        <w:spacing w:after="0" w:line="85" w:lineRule="exact"/>
        <w:rPr>
          <w:sz w:val="20"/>
          <w:szCs w:val="20"/>
          <w:color w:val="auto"/>
        </w:rPr>
      </w:pPr>
    </w:p>
    <w:p>
      <w:pPr>
        <w:ind w:left="544" w:right="4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Neither this Agreement nor any term hereof may be amended or otherwise modified other than by an instrument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writing signed by each of the Parties. No provision of this Agreement may be waived, discharged or terminated other than by an instrument in writing signed by the Party against whom the enforcement of such waiver, discharge or termination is sought. No failure or delay by any Party in exercising any right, power or privilege under this Agreement shall operate as a waiver thereof nor shall any single or partial exercise thereof preclude any other or further exercise thereof or the exercise of any other right, power or privilege.</w:t>
      </w:r>
    </w:p>
    <w:p>
      <w:pPr>
        <w:spacing w:after="0" w:line="8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u w:val="single" w:color="auto"/>
          <w:color w:val="auto"/>
        </w:rPr>
        <w:t>Language</w:t>
      </w:r>
      <w:r>
        <w:rPr>
          <w:rFonts w:ascii="Times New Roman" w:cs="Times New Roman" w:eastAsia="Times New Roman" w:hAnsi="Times New Roman"/>
          <w:sz w:val="17"/>
          <w:szCs w:val="17"/>
          <w:color w:val="auto"/>
        </w:rPr>
        <w:t>. The official text of this Agreement and any notices given or made hereunder shall be in English.</w:t>
      </w:r>
    </w:p>
    <w:p>
      <w:pPr>
        <w:spacing w:after="0" w:line="131" w:lineRule="exact"/>
        <w:rPr>
          <w:sz w:val="20"/>
          <w:szCs w:val="20"/>
          <w:color w:val="auto"/>
        </w:rPr>
      </w:pPr>
    </w:p>
    <w:p>
      <w:pPr>
        <w:ind w:left="544" w:right="2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 Other than as provided herein, the rights and obligations of each Party shall not be assigned without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the prior consent of the other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Sponsor Party may assign its rights and obligations under this Agreement, in whole or in part, to any of its Affiliates, but no such assignment shall relieve such Sponsor Party from any of its obligations hereunder. This Agreement shall be binding upon the respective heirs, successors, legal representatives and permitted assigns of the Parties. Nothing in this Agreement shall be construed as giving any person, other than the Parties and their heirs, successors, legal representatives and permitted assigns any right, remedy or claim under or by reason of this Agreement or any provision hereof.</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27" w:name="page28"/>
    <w:bookmarkEnd w:id="27"/>
    <w:p>
      <w:pPr>
        <w:ind w:left="540" w:right="6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9.7</w:t>
      </w:r>
      <w:r>
        <w:rPr>
          <w:sz w:val="20"/>
          <w:szCs w:val="20"/>
          <w:color w:val="auto"/>
        </w:rPr>
        <w:tab/>
      </w:r>
      <w:r>
        <w:rPr>
          <w:rFonts w:ascii="Times New Roman" w:cs="Times New Roman" w:eastAsia="Times New Roman" w:hAnsi="Times New Roman"/>
          <w:sz w:val="18"/>
          <w:szCs w:val="18"/>
          <w:u w:val="single" w:color="auto"/>
          <w:color w:val="auto"/>
        </w:rPr>
        <w:t>No Partnership or Agency</w:t>
      </w:r>
      <w:r>
        <w:rPr>
          <w:rFonts w:ascii="Times New Roman" w:cs="Times New Roman" w:eastAsia="Times New Roman" w:hAnsi="Times New Roman"/>
          <w:sz w:val="18"/>
          <w:szCs w:val="18"/>
          <w:color w:val="auto"/>
        </w:rPr>
        <w:t>. The Parties are independent and nothing in this Agreement constitutes a Party as the trustee, fiduciary, agent,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employee, partner or joint venturer of the other Party.</w:t>
      </w:r>
    </w:p>
    <w:p>
      <w:pPr>
        <w:spacing w:after="0" w:line="67" w:lineRule="exact"/>
        <w:rPr>
          <w:sz w:val="20"/>
          <w:szCs w:val="20"/>
          <w:color w:val="auto"/>
        </w:rPr>
      </w:pPr>
    </w:p>
    <w:p>
      <w:pPr>
        <w:ind w:left="540" w:right="4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all counterparts taken together shall constitute one document. E-mailed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copies of signatures shall be deemed to be originals for purposes of the effectiveness of this Agreement.</w:t>
      </w:r>
    </w:p>
    <w:p>
      <w:pPr>
        <w:spacing w:after="0" w:line="67" w:lineRule="exact"/>
        <w:rPr>
          <w:sz w:val="20"/>
          <w:szCs w:val="20"/>
          <w:color w:val="auto"/>
        </w:rPr>
      </w:pPr>
    </w:p>
    <w:p>
      <w:pPr>
        <w:ind w:left="540" w:right="2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Hong Kong, without giving effect to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choice of law or conflict of law rules or provisions that would cause the application of the laws of any jurisdiction other than Hong Kong.</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7"/>
          <w:szCs w:val="17"/>
          <w:u w:val="single" w:color="auto"/>
          <w:color w:val="auto"/>
        </w:rPr>
        <w:t>Dispute Resolution</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0" w:hanging="644"/>
        <w:spacing w:after="0" w:line="253" w:lineRule="auto"/>
        <w:tabs>
          <w:tab w:leader="none" w:pos="1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disputes, actions and proceedings against any Party or arising out of or in any way relating to this Agreement shall be submitted to the Hong Kong International Arbitration Centre (“</w:t>
      </w:r>
      <w:r>
        <w:rPr>
          <w:rFonts w:ascii="Times New Roman" w:cs="Times New Roman" w:eastAsia="Times New Roman" w:hAnsi="Times New Roman"/>
          <w:sz w:val="18"/>
          <w:szCs w:val="18"/>
          <w:u w:val="single" w:color="auto"/>
          <w:color w:val="auto"/>
        </w:rPr>
        <w:t>HKIAC</w:t>
      </w:r>
      <w:r>
        <w:rPr>
          <w:rFonts w:ascii="Times New Roman" w:cs="Times New Roman" w:eastAsia="Times New Roman" w:hAnsi="Times New Roman"/>
          <w:sz w:val="18"/>
          <w:szCs w:val="18"/>
          <w:color w:val="auto"/>
        </w:rPr>
        <w:t xml:space="preserve">”) and resolved in accordance with the Arbitration Rules of HKIAC in force at the relevant time and as may be amended by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The place of arbitration shall be Hong Kong. The official language of the arbitration shall be English, and the tribunal shall consist of three arbitrators (each, an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The claimant(s), irrespective of number, shall nominate jointly one Arbitrator; the respondent(s), irrespective of number, shall nominate jointly one Arbitrator; and a third Arbitrator will be nominated jointly by the first two Arbitrators and shall serve as chairman of the tribunal. In the event the claimant(s) or respondent(s) or the first two Arbitrators shall fail to nominate or agree on the joint nomination of an Arbitrator or the third Arbitrator within the time limits specified by the Rules, such Arbitrator shall be appointed promptly by the HKIAC. The tribunal shall have no authority to award punitive or other punitive-type damages. The award of the arbitration tribunal shall be final and binding upon the disputing parties. Any party to an award may apply to any court of competent jurisdiction for enforcement of such award and, for purposes of the enforcement of such award, the Parties irrevocably and unconditionally submit to the jurisdiction of any court of competent jurisdiction and waive any defenses to such enforcement based on lack of personal jurisdiction or inconvenient forum.</w:t>
      </w:r>
    </w:p>
    <w:p>
      <w:pPr>
        <w:spacing w:after="0" w:line="92" w:lineRule="exact"/>
        <w:rPr>
          <w:rFonts w:ascii="Times New Roman" w:cs="Times New Roman" w:eastAsia="Times New Roman" w:hAnsi="Times New Roman"/>
          <w:sz w:val="18"/>
          <w:szCs w:val="18"/>
          <w:color w:val="auto"/>
        </w:rPr>
      </w:pPr>
    </w:p>
    <w:p>
      <w:pPr>
        <w:ind w:left="1180" w:right="180" w:hanging="644"/>
        <w:spacing w:after="0" w:line="261" w:lineRule="auto"/>
        <w:tabs>
          <w:tab w:leader="none" w:pos="1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Parties hereby consent to and agree that in addition to any recourse to arbitration as set out in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any Party may, to the extent permitted under the rules and procedures of the HKIAC, seek an interim injunction or other form of relief from the HKIAC as provided for in its Rules. Such application shall also be governed by, and construed in accordance with, the laws of Hong Kong.</w:t>
      </w:r>
    </w:p>
    <w:p>
      <w:pPr>
        <w:spacing w:after="0" w:line="85" w:lineRule="exact"/>
        <w:rPr>
          <w:sz w:val="20"/>
          <w:szCs w:val="20"/>
          <w:color w:val="auto"/>
        </w:rPr>
      </w:pPr>
    </w:p>
    <w:p>
      <w:pPr>
        <w:ind w:left="540" w:right="10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acknowledges and agrees that the other Parties would be irreparably injured by a breach of this Agreement by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it and that money damages alone may not be an adequate remedy for actual or threatened breach of this Agreement. Accordingly, each Party shall be entitled to bring an action for specific performance and/or injunctive or other equitable relief (without posting a bond or other security) to enforce or prevent any violations of any provision of this Agreement, in addition to all other rights and remedies available at law or in equity to such Party, including the right to claim money damages for breach of any provision of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8" w:name="page29"/>
    <w:bookmarkEnd w:id="28"/>
    <w:p>
      <w:pPr>
        <w:ind w:left="544" w:right="3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9.12</w:t>
      </w:r>
      <w:r>
        <w:rPr>
          <w:sz w:val="20"/>
          <w:szCs w:val="20"/>
          <w:color w:val="auto"/>
        </w:rPr>
        <w:tab/>
      </w: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Unless otherwise specified, the obligations of each Party under this Agreement are several (and not joint or joint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several);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obligations of the Sponsor Parties under this Agreement shall be joint and several.</w:t>
      </w:r>
    </w:p>
    <w:p>
      <w:pPr>
        <w:spacing w:after="0" w:line="67" w:lineRule="exact"/>
        <w:rPr>
          <w:sz w:val="20"/>
          <w:szCs w:val="20"/>
          <w:color w:val="auto"/>
        </w:rPr>
      </w:pPr>
    </w:p>
    <w:p>
      <w:pPr>
        <w:ind w:left="544" w:right="1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8"/>
          <w:szCs w:val="18"/>
          <w:u w:val="single" w:color="auto"/>
          <w:color w:val="auto"/>
        </w:rPr>
        <w:t>Drafting Presumption</w:t>
      </w:r>
      <w:r>
        <w:rPr>
          <w:rFonts w:ascii="Times New Roman" w:cs="Times New Roman" w:eastAsia="Times New Roman" w:hAnsi="Times New Roman"/>
          <w:sz w:val="18"/>
          <w:szCs w:val="18"/>
          <w:color w:val="auto"/>
        </w:rPr>
        <w:t>. This Agreement shall be construed fairly as to each Party regardless of which party drafted it. Each Party acknowledges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agrees that each of them played a significant and essential role in the preparation, drafting and review of this Agreement.</w:t>
      </w:r>
    </w:p>
    <w:p>
      <w:pPr>
        <w:spacing w:after="0" w:line="306" w:lineRule="exact"/>
        <w:rPr>
          <w:sz w:val="20"/>
          <w:szCs w:val="20"/>
          <w:color w:val="auto"/>
        </w:rPr>
      </w:pPr>
    </w:p>
    <w:p>
      <w:pPr>
        <w:ind w:left="544" w:hanging="544"/>
        <w:spacing w:after="0"/>
        <w:tabs>
          <w:tab w:leader="none" w:pos="544"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Interpretations</w:t>
      </w:r>
    </w:p>
    <w:p>
      <w:pPr>
        <w:spacing w:after="0" w:line="135" w:lineRule="exact"/>
        <w:rPr>
          <w:sz w:val="20"/>
          <w:szCs w:val="20"/>
          <w:color w:val="auto"/>
        </w:rPr>
      </w:pPr>
    </w:p>
    <w:p>
      <w:pPr>
        <w:jc w:val="center"/>
        <w:ind w:right="5436"/>
        <w:spacing w:after="0"/>
        <w:tabs>
          <w:tab w:leader="none" w:pos="2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this Agreement, unless the context requires otherwise: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Party</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means the Target’s American depositary shares, with one ADS representing five Class A ordinary shares, par value US$0.001 per share, of the Target.</w:t>
      </w:r>
    </w:p>
    <w:p>
      <w:pPr>
        <w:spacing w:after="0" w:line="162" w:lineRule="exact"/>
        <w:rPr>
          <w:sz w:val="20"/>
          <w:szCs w:val="20"/>
          <w:color w:val="auto"/>
        </w:rPr>
      </w:pPr>
    </w:p>
    <w:p>
      <w:pPr>
        <w:ind w:left="4"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Advisors</w:t>
      </w:r>
      <w:r>
        <w:rPr>
          <w:rFonts w:ascii="Times New Roman" w:cs="Times New Roman" w:eastAsia="Times New Roman" w:hAnsi="Times New Roman"/>
          <w:sz w:val="18"/>
          <w:szCs w:val="18"/>
          <w:color w:val="auto"/>
        </w:rPr>
        <w:t>” means the advisors and/or consultants of Holdco, Merger Sub and/or the Parties, in each case appointed in connection with the Transaction.</w:t>
      </w:r>
    </w:p>
    <w:p>
      <w:pPr>
        <w:spacing w:after="0" w:line="162"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Subject Person</w:t>
      </w:r>
      <w:r>
        <w:rPr>
          <w:rFonts w:ascii="Times New Roman" w:cs="Times New Roman" w:eastAsia="Times New Roman" w:hAnsi="Times New Roman"/>
          <w:sz w:val="18"/>
          <w:szCs w:val="18"/>
          <w:color w:val="auto"/>
        </w:rPr>
        <w:t>”), (a) in the case of a person other than a natural person, any other person that, directly or indirectly, Controls, is Controlled by or is under common Control with the Subject Person and (b) in the case of a natural person, any other person that directly or indirectly is Controlled by the Subject Person or is a Relative of the Subject Person or any person directly or indirectly Controlled by such Relative.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Affiliated</w:t>
      </w:r>
      <w:r>
        <w:rPr>
          <w:rFonts w:ascii="Times New Roman" w:cs="Times New Roman" w:eastAsia="Times New Roman" w:hAnsi="Times New Roman"/>
          <w:sz w:val="18"/>
          <w:szCs w:val="18"/>
          <w:color w:val="auto"/>
        </w:rPr>
        <w:t>” shall be construed accordingly. For the avoidance of doubt, the Target should not be deemed an Affiliate of any Founder Party for the purposes of this Agreement.</w:t>
      </w:r>
    </w:p>
    <w:p>
      <w:pPr>
        <w:spacing w:after="0" w:line="183"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a Sunday) on which banks generally are open in the People’s Republic of China, Hong Kong, Cayman Islands and New York, New York, for the transaction of normal banking business.</w:t>
      </w:r>
    </w:p>
    <w:p>
      <w:pPr>
        <w:spacing w:after="0" w:line="162"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Proposal</w:t>
      </w:r>
      <w:r>
        <w:rPr>
          <w:rFonts w:ascii="Times New Roman" w:cs="Times New Roman" w:eastAsia="Times New Roman" w:hAnsi="Times New Roman"/>
          <w:sz w:val="18"/>
          <w:szCs w:val="18"/>
          <w:color w:val="auto"/>
        </w:rPr>
        <w:t>” means a proposal, offer or invitation to a member of the Target Group, any of the Sponsor Parties, any of the Founder Parties or any of their respective Affiliates (other than the Proposal), that involves the direct or indirect acquisition of Target Ordinary Shares, Securities or of equity interests of any of the Target’s material subsidiaries, a sale of all or any significant amount of the assets of the Target Group, a restructuring or recapitalization of the Target Group, or some other transaction, in each case, that could adversely affect, prevent or materially reduce the likelihood of the consummation of the Transaction with the Parties.</w:t>
      </w:r>
    </w:p>
    <w:p>
      <w:pPr>
        <w:spacing w:after="0" w:line="183" w:lineRule="exact"/>
        <w:rPr>
          <w:sz w:val="20"/>
          <w:szCs w:val="20"/>
          <w:color w:val="auto"/>
        </w:rPr>
      </w:pPr>
    </w:p>
    <w:p>
      <w:pPr>
        <w:ind w:left="4"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includes (a) all written, oral or other information obtained in confidence by one Party from any other Party in connection with this Agreement or the Transaction,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29" w:name="page30"/>
    <w:bookmarkEnd w:id="2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such information (i) is already known to such Party or to others not known by such Party to be bound by a duty of confidentiality, (ii) is or becomes publicly available other than through a breach of this Agreement by such Party, (iii) is provided to such Party by a third party which is not known by such receiving Party to be bound by a duty of confidentiality to the disclosing Party, or (iv) is developed independently by or for the receiving Party without using any Confidential Information, and (b) the existence or terms of, and any negotiations or discussions relating to, this Agreement, the Proposal, the Merger Agreement and any Definitive Documents.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Consortium</w:t>
      </w:r>
      <w:r>
        <w:rPr>
          <w:rFonts w:ascii="Times New Roman" w:cs="Times New Roman" w:eastAsia="Times New Roman" w:hAnsi="Times New Roman"/>
          <w:sz w:val="18"/>
          <w:szCs w:val="18"/>
          <w:color w:val="auto"/>
        </w:rPr>
        <w:t>” means the consortium formed by the Parties to undertake the Transaction.</w:t>
      </w:r>
    </w:p>
    <w:p>
      <w:pPr>
        <w:spacing w:after="0" w:line="225" w:lineRule="exact"/>
        <w:rPr>
          <w:sz w:val="20"/>
          <w:szCs w:val="20"/>
          <w:color w:val="auto"/>
        </w:rPr>
      </w:pPr>
    </w:p>
    <w:p>
      <w:pPr>
        <w:ind w:right="5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means the possession, directly or indirectly, of the power to direct the management and policies of a person, whether through the ownership of voting securities, by contract or otherwise. The terms “Controlled” and “Controlling” have meanings correlative to the foregoing.</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Deed of Adherence</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Exclusivity Period</w:t>
      </w:r>
      <w:r>
        <w:rPr>
          <w:rFonts w:ascii="Times New Roman" w:cs="Times New Roman" w:eastAsia="Times New Roman" w:hAnsi="Times New Roman"/>
          <w:sz w:val="18"/>
          <w:szCs w:val="18"/>
          <w:color w:val="auto"/>
        </w:rPr>
        <w:t>” means the period beginning on the date hereof and ending on the date that is six (6) months after the date hereof.</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Relative</w:t>
      </w:r>
      <w:r>
        <w:rPr>
          <w:rFonts w:ascii="Times New Roman" w:cs="Times New Roman" w:eastAsia="Times New Roman" w:hAnsi="Times New Roman"/>
          <w:sz w:val="18"/>
          <w:szCs w:val="18"/>
          <w:color w:val="auto"/>
        </w:rPr>
        <w:t>” of a natural person means the spouse (including cohabitant) of such person and any parent, grandparent, child, grandchild, sibling, uncle, aunt, nephew, niece or great-grandparent of such person or spouse.</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of a Party means such Party’s Affiliates, and such Party’s and such Affiliates’ employees, directors, officers, partners, members, nominees, agents, advisors (including, but not limited to legal counsel, accountants, consultants and financial advisors), potential sources of equity or debt financing, and any representatives of the foregoing. The Representatives shall include the Advisors.</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Respective Proportion</w:t>
      </w:r>
      <w:r>
        <w:rPr>
          <w:rFonts w:ascii="Times New Roman" w:cs="Times New Roman" w:eastAsia="Times New Roman" w:hAnsi="Times New Roman"/>
          <w:sz w:val="18"/>
          <w:szCs w:val="18"/>
          <w:color w:val="auto"/>
        </w:rPr>
        <w:t>” means, (a) with respect to the Sponsor Parties, 50%, and (b) with respect to the Founder Parties, 50%, which will be further equally allocated between Mr. Tang and Igomax on the one hand and Mr. Hsieh and Bubinga on the other hand, or any other proportion mutually agreed by the Parties in the Definitive Documents.</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shares, warrants, options and any other securities which are convertible into or exercisable for shares in the Target, including the ADSs.</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Ordinary Shares</w:t>
      </w:r>
      <w:r>
        <w:rPr>
          <w:rFonts w:ascii="Times New Roman" w:cs="Times New Roman" w:eastAsia="Times New Roman" w:hAnsi="Times New Roman"/>
          <w:sz w:val="18"/>
          <w:szCs w:val="18"/>
          <w:color w:val="auto"/>
        </w:rPr>
        <w:t>” means, collectively, the Class A ordinary shares, par value US$0.001 per share, and the Class B ordinary shares, par value US$0.001 per share, issued by the Target, including such shares represented by the ADSs.</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Section, article and paragraph headings are inserted for ease of reference only and shall not affect construction.</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executed and delivered as of the date first written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FOUNDER PARTIES: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JIAN TANG</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4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IGOMAX INC.</w:t>
      </w:r>
    </w:p>
    <w:p>
      <w:pPr>
        <w:spacing w:after="0" w:line="2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Jian Tang</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Address: 7/F, Block B, HueTeng Century Park Headquarters,</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Gaobeidian, Chaoyang District, Beijing, China</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Jian.tang@i-click.com</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Consortium Agreement</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31" w:name="page32"/>
    <w:bookmarkEnd w:id="3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WING HONG SAMMY HSIEH</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4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BUBINGA HOLDINGS LIMITED</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Wing Hong Sammy Hsieh</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Address: 15/F, Prosperity Millennia Plaza, 663 King’s Road,</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Quarry Bay, Hong Kong, China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sammy.hsieh@i-click.com</w:t>
      </w:r>
    </w:p>
    <w:p>
      <w:pPr>
        <w:spacing w:after="0" w:line="15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Consortium Agreement</w:t>
      </w:r>
      <w:r>
        <w:rPr>
          <w:rFonts w:ascii="Times New Roman" w:cs="Times New Roman" w:eastAsia="Times New Roman" w:hAnsi="Times New Roman"/>
          <w:sz w:val="18"/>
          <w:szCs w:val="18"/>
          <w:color w:val="auto"/>
        </w:rPr>
        <w:t>]</w:t>
      </w:r>
    </w:p>
    <w:p>
      <w:pPr>
        <w:sectPr>
          <w:pgSz w:w="11900" w:h="16838" w:orient="portrait"/>
          <w:cols w:equalWidth="0" w:num="1">
            <w:col w:w="9980"/>
          </w:cols>
          <w:pgMar w:left="1440" w:top="266" w:right="479" w:bottom="1440" w:gutter="0" w:footer="0" w:header="0"/>
        </w:sectPr>
      </w:pPr>
    </w:p>
    <w:bookmarkStart w:id="32" w:name="page33"/>
    <w:bookmarkEnd w:id="3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SPONSOR PARIES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HUANG JIANJUN</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4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RISE CHAIN INVESTMENT LIMITED</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Mr. Huang Jianjun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 c/o Jinyang International Consulting Limited,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Room 605, 6/F, Fa Yuen Commercial Building, 75-77 Fa</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Yuan Street, Mongkok, Kowloon, Hong Kong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admin@risechainltd.com</w:t>
      </w:r>
    </w:p>
    <w:p>
      <w:pPr>
        <w:spacing w:after="0" w:line="15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Consortium Agreement</w:t>
      </w:r>
      <w:r>
        <w:rPr>
          <w:rFonts w:ascii="Times New Roman" w:cs="Times New Roman" w:eastAsia="Times New Roman" w:hAnsi="Times New Roman"/>
          <w:sz w:val="18"/>
          <w:szCs w:val="18"/>
          <w:color w:val="auto"/>
        </w:rPr>
        <w:t>]</w:t>
      </w:r>
    </w:p>
    <w:p>
      <w:pPr>
        <w:sectPr>
          <w:pgSz w:w="11900" w:h="16838" w:orient="portrait"/>
          <w:cols w:equalWidth="0" w:num="1">
            <w:col w:w="9700"/>
          </w:cols>
          <w:pgMar w:left="1440" w:top="266" w:right="75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PROPOSAL</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A]</w:t>
      </w:r>
    </w:p>
    <w:p>
      <w:pPr>
        <w:sectPr>
          <w:pgSz w:w="11900" w:h="16838" w:orient="portrait"/>
          <w:cols w:equalWidth="0" w:num="1">
            <w:col w:w="9019"/>
          </w:cols>
          <w:pgMar w:left="1440" w:top="266"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5020" w:type="dxa"/>
            <w:vAlign w:val="bottom"/>
          </w:tcPr>
          <w:p>
            <w:pPr>
              <w:jc w:val="center"/>
              <w:ind w:left="932"/>
              <w:spacing w:after="0"/>
              <w:rPr>
                <w:sz w:val="20"/>
                <w:szCs w:val="20"/>
                <w:color w:val="auto"/>
              </w:rPr>
            </w:pPr>
            <w:r>
              <w:rPr>
                <w:rFonts w:ascii="Times New Roman" w:cs="Times New Roman" w:eastAsia="Times New Roman" w:hAnsi="Times New Roman"/>
                <w:sz w:val="18"/>
                <w:szCs w:val="18"/>
                <w:b w:val="1"/>
                <w:bCs w:val="1"/>
                <w:color w:val="auto"/>
              </w:rPr>
              <w:t>SCHEDULE B</w:t>
            </w:r>
          </w:p>
        </w:tc>
        <w:tc>
          <w:tcPr>
            <w:tcW w:w="1120" w:type="dxa"/>
            <w:vAlign w:val="bottom"/>
          </w:tcPr>
          <w:p>
            <w:pPr>
              <w:spacing w:after="0"/>
              <w:rPr>
                <w:sz w:val="20"/>
                <w:szCs w:val="20"/>
                <w:color w:val="auto"/>
              </w:rPr>
            </w:pPr>
          </w:p>
        </w:tc>
      </w:tr>
      <w:tr>
        <w:trPr>
          <w:trHeight w:val="324"/>
        </w:trPr>
        <w:tc>
          <w:tcPr>
            <w:tcW w:w="2480" w:type="dxa"/>
            <w:vAlign w:val="bottom"/>
          </w:tcPr>
          <w:p>
            <w:pPr>
              <w:spacing w:after="0"/>
              <w:rPr>
                <w:sz w:val="24"/>
                <w:szCs w:val="24"/>
                <w:color w:val="auto"/>
              </w:rPr>
            </w:pPr>
          </w:p>
        </w:tc>
        <w:tc>
          <w:tcPr>
            <w:tcW w:w="6140" w:type="dxa"/>
            <w:vAlign w:val="bottom"/>
            <w:gridSpan w:val="2"/>
          </w:tcPr>
          <w:p>
            <w:pPr>
              <w:jc w:val="center"/>
              <w:ind w:right="14"/>
              <w:spacing w:after="0"/>
              <w:rPr>
                <w:sz w:val="20"/>
                <w:szCs w:val="20"/>
                <w:color w:val="auto"/>
              </w:rPr>
            </w:pPr>
            <w:r>
              <w:rPr>
                <w:rFonts w:ascii="Times New Roman" w:cs="Times New Roman" w:eastAsia="Times New Roman" w:hAnsi="Times New Roman"/>
                <w:sz w:val="18"/>
                <w:szCs w:val="18"/>
                <w:b w:val="1"/>
                <w:bCs w:val="1"/>
                <w:color w:val="auto"/>
                <w:w w:val="99"/>
              </w:rPr>
              <w:t>SHARE OWNERSHIP SCHEDULE OF THE FOUNDER PARTIES</w:t>
            </w:r>
          </w:p>
        </w:tc>
      </w:tr>
      <w:tr>
        <w:trPr>
          <w:trHeight w:val="408"/>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2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Shares Held of Record</w:t>
            </w: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Other Securities</w:t>
            </w:r>
          </w:p>
        </w:tc>
      </w:tr>
      <w:tr>
        <w:trPr>
          <w:trHeight w:val="28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Igomax Inc.</w:t>
            </w:r>
          </w:p>
        </w:tc>
        <w:tc>
          <w:tcPr>
            <w:tcW w:w="5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2,102,263 Class B ordinary shares and 396,294</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None</w:t>
            </w: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(wholly owned by Jian Tang)</w:t>
            </w:r>
          </w:p>
        </w:tc>
        <w:tc>
          <w:tcPr>
            <w:tcW w:w="5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Class A ordinary shares</w:t>
            </w:r>
          </w:p>
        </w:tc>
        <w:tc>
          <w:tcPr>
            <w:tcW w:w="1120" w:type="dxa"/>
            <w:vAlign w:val="bottom"/>
          </w:tcPr>
          <w:p>
            <w:pPr>
              <w:spacing w:after="0"/>
              <w:rPr>
                <w:sz w:val="20"/>
                <w:szCs w:val="20"/>
                <w:color w:val="auto"/>
              </w:rPr>
            </w:pPr>
          </w:p>
        </w:tc>
      </w:tr>
      <w:tr>
        <w:trPr>
          <w:trHeight w:val="338"/>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Jian Tang</w:t>
            </w:r>
          </w:p>
        </w:tc>
        <w:tc>
          <w:tcPr>
            <w:tcW w:w="5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None</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None</w:t>
            </w:r>
          </w:p>
        </w:tc>
      </w:tr>
      <w:tr>
        <w:trPr>
          <w:trHeight w:val="30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Bubinga Holdings Limited</w:t>
            </w:r>
          </w:p>
        </w:tc>
        <w:tc>
          <w:tcPr>
            <w:tcW w:w="5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2,282,815 Class B ordinary shares</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None</w:t>
            </w:r>
          </w:p>
        </w:tc>
      </w:tr>
      <w:tr>
        <w:trPr>
          <w:trHeight w:val="234"/>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(wholly owned by Wing Hong Sammy Hsieh)</w:t>
            </w:r>
          </w:p>
        </w:tc>
        <w:tc>
          <w:tcPr>
            <w:tcW w:w="1120" w:type="dxa"/>
            <w:vAlign w:val="bottom"/>
          </w:tcPr>
          <w:p>
            <w:pPr>
              <w:spacing w:after="0"/>
              <w:rPr>
                <w:sz w:val="20"/>
                <w:szCs w:val="20"/>
                <w:color w:val="auto"/>
              </w:rPr>
            </w:pPr>
          </w:p>
        </w:tc>
      </w:tr>
      <w:tr>
        <w:trPr>
          <w:trHeight w:val="338"/>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Wing Hong Sammy Hsieh</w:t>
            </w:r>
          </w:p>
        </w:tc>
        <w:tc>
          <w:tcPr>
            <w:tcW w:w="5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241,294 Class A ordinary shares</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None</w:t>
            </w:r>
          </w:p>
        </w:tc>
      </w:tr>
      <w:tr>
        <w:trPr>
          <w:trHeight w:val="364"/>
        </w:trPr>
        <w:tc>
          <w:tcPr>
            <w:tcW w:w="2480" w:type="dxa"/>
            <w:vAlign w:val="bottom"/>
          </w:tcPr>
          <w:p>
            <w:pPr>
              <w:spacing w:after="0"/>
              <w:rPr>
                <w:sz w:val="24"/>
                <w:szCs w:val="24"/>
                <w:color w:val="auto"/>
              </w:rPr>
            </w:pPr>
          </w:p>
        </w:tc>
        <w:tc>
          <w:tcPr>
            <w:tcW w:w="502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9"/>
              </w:rPr>
              <w:t>[Schedule B]</w:t>
            </w:r>
          </w:p>
        </w:tc>
        <w:tc>
          <w:tcPr>
            <w:tcW w:w="1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5" w:name="page36"/>
    <w:bookmarkEnd w:id="35"/>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C</w:t>
      </w:r>
    </w:p>
    <w:p>
      <w:pPr>
        <w:spacing w:after="0" w:line="1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SHARE OWNERSHIP SCHEDULE OF THE SPONSOR PARTIES</w:t>
      </w:r>
    </w:p>
    <w:p>
      <w:pPr>
        <w:sectPr>
          <w:pgSz w:w="11900" w:h="16838" w:orient="portrait"/>
          <w:cols w:equalWidth="0" w:num="1">
            <w:col w:w="10019"/>
          </w:cols>
          <w:pgMar w:left="440" w:top="266" w:right="1440" w:bottom="144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Shares Held of Record</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Securities</w:t>
      </w:r>
    </w:p>
    <w:p>
      <w:pPr>
        <w:spacing w:after="0" w:line="102" w:lineRule="exact"/>
        <w:rPr>
          <w:sz w:val="20"/>
          <w:szCs w:val="20"/>
          <w:color w:val="auto"/>
        </w:rPr>
      </w:pPr>
    </w:p>
    <w:p>
      <w:pPr>
        <w:sectPr>
          <w:pgSz w:w="11900" w:h="16838" w:orient="portrait"/>
          <w:cols w:equalWidth="0" w:num="3">
            <w:col w:w="3260" w:space="720"/>
            <w:col w:w="2920" w:space="720"/>
            <w:col w:w="239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Marine Central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2,564,103 Class A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None</w:t>
      </w:r>
    </w:p>
    <w:p>
      <w:pPr>
        <w:spacing w:after="0" w:line="39" w:lineRule="exact"/>
        <w:rPr>
          <w:sz w:val="20"/>
          <w:szCs w:val="20"/>
          <w:color w:val="auto"/>
        </w:rPr>
      </w:pPr>
    </w:p>
    <w:p>
      <w:pPr>
        <w:sectPr>
          <w:pgSz w:w="11900" w:h="16838" w:orient="portrait"/>
          <w:cols w:equalWidth="0" w:num="3">
            <w:col w:w="3260" w:space="720"/>
            <w:col w:w="2920" w:space="720"/>
            <w:col w:w="239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(Jianjun Huang is the majority shareholder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director of Marine Central Limited, who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possesses power to direct the voting and disposition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shares beneficially owned by Marine Central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w:t>
      </w:r>
    </w:p>
    <w:p>
      <w:pPr>
        <w:sectPr>
          <w:pgSz w:w="11900" w:h="16838" w:orient="portrait"/>
          <w:cols w:equalWidth="0" w:num="1">
            <w:col w:w="10019"/>
          </w:cols>
          <w:pgMar w:left="440" w:top="266" w:right="1440"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Huang Jianjun</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2540"/>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69" w:lineRule="exact"/>
        <w:rPr>
          <w:sz w:val="20"/>
          <w:szCs w:val="20"/>
          <w:color w:val="auto"/>
        </w:rPr>
      </w:pPr>
    </w:p>
    <w:p>
      <w:pPr>
        <w:sectPr>
          <w:pgSz w:w="11900" w:h="16838" w:orient="portrait"/>
          <w:cols w:equalWidth="0" w:num="3">
            <w:col w:w="3260" w:space="720"/>
            <w:col w:w="2920" w:space="720"/>
            <w:col w:w="2399"/>
          </w:cols>
          <w:pgMar w:left="440" w:top="266" w:right="1440" w:bottom="1440" w:gutter="0" w:footer="0" w:header="0"/>
          <w:type w:val="continuous"/>
        </w:sectPr>
      </w:pPr>
    </w:p>
    <w:p>
      <w:pPr>
        <w:ind w:left="5040"/>
        <w:spacing w:after="0"/>
        <w:rPr>
          <w:sz w:val="20"/>
          <w:szCs w:val="20"/>
          <w:color w:val="auto"/>
        </w:rPr>
      </w:pPr>
      <w:r>
        <w:rPr>
          <w:rFonts w:ascii="Times New Roman" w:cs="Times New Roman" w:eastAsia="Times New Roman" w:hAnsi="Times New Roman"/>
          <w:sz w:val="17"/>
          <w:szCs w:val="17"/>
          <w:color w:val="auto"/>
        </w:rPr>
        <w:t>[Schedule C]</w:t>
      </w:r>
    </w:p>
    <w:p>
      <w:pPr>
        <w:sectPr>
          <w:pgSz w:w="11900" w:h="16838" w:orient="portrait"/>
          <w:cols w:equalWidth="0" w:num="1">
            <w:col w:w="10019"/>
          </w:cols>
          <w:pgMar w:left="440" w:top="266" w:right="1440" w:bottom="1440" w:gutter="0" w:footer="0" w:header="0"/>
          <w:type w:val="continuous"/>
        </w:sectPr>
      </w:pPr>
    </w:p>
    <w:bookmarkStart w:id="36" w:name="page37"/>
    <w:bookmarkEnd w:id="3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D</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DEED OF ADHERENCE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Deed of Adherence (this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is entered into on [•]</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[Additional Party], a [•] organized and existing under the laws of [•] with its registered address at [•] (the “</w:t>
      </w:r>
      <w:r>
        <w:rPr>
          <w:rFonts w:ascii="Times New Roman" w:cs="Times New Roman" w:eastAsia="Times New Roman" w:hAnsi="Times New Roman"/>
          <w:sz w:val="18"/>
          <w:szCs w:val="18"/>
          <w:b w:val="1"/>
          <w:bCs w:val="1"/>
          <w:color w:val="auto"/>
        </w:rPr>
        <w:t>Additional Party</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RECITALS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60" w:hanging="4"/>
        <w:spacing w:after="0" w:line="286" w:lineRule="auto"/>
        <w:tabs>
          <w:tab w:leader="none" w:pos="29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 2022, the parties listed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Deed (the “</w:t>
      </w:r>
      <w:r>
        <w:rPr>
          <w:rFonts w:ascii="Times New Roman" w:cs="Times New Roman" w:eastAsia="Times New Roman" w:hAnsi="Times New Roman"/>
          <w:sz w:val="18"/>
          <w:szCs w:val="18"/>
          <w:b w:val="1"/>
          <w:bCs w:val="1"/>
          <w:color w:val="auto"/>
        </w:rPr>
        <w:t>Existing Parties</w:t>
      </w:r>
      <w:r>
        <w:rPr>
          <w:rFonts w:ascii="Times New Roman" w:cs="Times New Roman" w:eastAsia="Times New Roman" w:hAnsi="Times New Roman"/>
          <w:sz w:val="18"/>
          <w:szCs w:val="18"/>
          <w:color w:val="auto"/>
        </w:rPr>
        <w:t>”) entered into a consortium agreement (the “</w:t>
      </w:r>
      <w:r>
        <w:rPr>
          <w:rFonts w:ascii="Times New Roman" w:cs="Times New Roman" w:eastAsia="Times New Roman" w:hAnsi="Times New Roman"/>
          <w:sz w:val="18"/>
          <w:szCs w:val="18"/>
          <w:b w:val="1"/>
          <w:bCs w:val="1"/>
          <w:color w:val="auto"/>
        </w:rPr>
        <w:t>Consortium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proposed to, among other things, undertake the Transaction (as defined in the Consortium Agreement).</w:t>
      </w:r>
    </w:p>
    <w:p>
      <w:pPr>
        <w:spacing w:after="0" w:line="158"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Parties may be admitted to the Consortium pursuant to [Section 1.4] of the Consortium Agreement.</w:t>
      </w:r>
    </w:p>
    <w:p>
      <w:pPr>
        <w:spacing w:after="0" w:line="225" w:lineRule="exact"/>
        <w:rPr>
          <w:rFonts w:ascii="Times New Roman" w:cs="Times New Roman" w:eastAsia="Times New Roman" w:hAnsi="Times New Roman"/>
          <w:sz w:val="18"/>
          <w:szCs w:val="18"/>
          <w:color w:val="auto"/>
        </w:rPr>
      </w:pPr>
    </w:p>
    <w:p>
      <w:pPr>
        <w:ind w:left="4" w:right="460" w:hanging="4"/>
        <w:spacing w:after="0" w:line="282" w:lineRule="auto"/>
        <w:tabs>
          <w:tab w:leader="none" w:pos="2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Party now wishes to participate in the Transaction contemplated under the Consortium Agreement, to sign this Deed, and to be bound by the terms of the Consortium Agreement as a Party thereto.</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THIS DEED WITNESSES </w:t>
      </w:r>
      <w:r>
        <w:rPr>
          <w:rFonts w:ascii="Times New Roman" w:cs="Times New Roman" w:eastAsia="Times New Roman" w:hAnsi="Times New Roman"/>
          <w:sz w:val="18"/>
          <w:szCs w:val="18"/>
          <w:color w:val="auto"/>
        </w:rPr>
        <w:t>as follows:</w:t>
      </w:r>
    </w:p>
    <w:p>
      <w:pPr>
        <w:spacing w:after="0" w:line="131" w:lineRule="exact"/>
        <w:rPr>
          <w:sz w:val="20"/>
          <w:szCs w:val="20"/>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Terms and Construction</w:t>
      </w:r>
    </w:p>
    <w:p>
      <w:pPr>
        <w:spacing w:after="0" w:line="121" w:lineRule="exact"/>
        <w:rPr>
          <w:sz w:val="20"/>
          <w:szCs w:val="20"/>
          <w:color w:val="auto"/>
        </w:rPr>
      </w:pPr>
    </w:p>
    <w:p>
      <w:pPr>
        <w:ind w:left="244" w:hanging="244"/>
        <w:spacing w:after="0"/>
        <w:tabs>
          <w:tab w:leader="none" w:pos="2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but not defined herein shall have the meaning set forth in the Consortium Agreement.</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Deed shall be incorporated into the Consortium Agreement as if expressly incorporated into the Consortium Agreement.</w:t>
      </w:r>
    </w:p>
    <w:p>
      <w:pPr>
        <w:spacing w:after="0" w:line="370" w:lineRule="exact"/>
        <w:rPr>
          <w:sz w:val="20"/>
          <w:szCs w:val="20"/>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Assumption of obligations</w:t>
      </w:r>
    </w:p>
    <w:p>
      <w:pPr>
        <w:spacing w:after="0" w:line="225"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 xml:space="preserve">The Additional Party undertakes to each other Party to the Consortium Agreement that it will, with effect from the date hereof, perform and comply with each of the obligations of a Party as if it had been a Party to the Consortium Agreement at the date of execution thereof and the Existing Parties agree that where there is a reference to a Party, it shall be deemed to include a reference to the Additional Party and with effect from the date hereof, all the rights of a Party provided under the Consortium Agreement will be accorded to the Additional Party as if the Additional Party had been a Party under the Consortium Agreement at the date of execution thereof. The proposed contribution with respect to the Additional Party is set forth in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[Schedule D]</w:t>
      </w:r>
    </w:p>
    <w:p>
      <w:pPr>
        <w:sectPr>
          <w:pgSz w:w="11900" w:h="16838" w:orient="portrait"/>
          <w:cols w:equalWidth="0" w:num="1">
            <w:col w:w="11004"/>
          </w:cols>
          <w:pgMar w:left="436" w:top="266" w:right="459" w:bottom="1440" w:gutter="0" w:footer="0" w:header="0"/>
        </w:sectPr>
      </w:pPr>
    </w:p>
    <w:bookmarkStart w:id="37" w:name="page38"/>
    <w:bookmarkEnd w:id="37"/>
    <w:p>
      <w:pPr>
        <w:ind w:left="4"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limiting the generality of the foregoing, the Additional Party undertakes to share its Pro Rata Expenses and/or reimburse each other Party’s fees and expenses in accordance with Section 3.1 (</w:t>
      </w:r>
      <w:r>
        <w:rPr>
          <w:rFonts w:ascii="Times New Roman" w:cs="Times New Roman" w:eastAsia="Times New Roman" w:hAnsi="Times New Roman"/>
          <w:sz w:val="18"/>
          <w:szCs w:val="18"/>
          <w:i w:val="1"/>
          <w:iCs w:val="1"/>
          <w:color w:val="auto"/>
        </w:rPr>
        <w:t>Expenses and Fee Sharing</w:t>
      </w:r>
      <w:r>
        <w:rPr>
          <w:rFonts w:ascii="Times New Roman" w:cs="Times New Roman" w:eastAsia="Times New Roman" w:hAnsi="Times New Roman"/>
          <w:sz w:val="18"/>
          <w:szCs w:val="18"/>
          <w:color w:val="auto"/>
        </w:rPr>
        <w:t>) of the Consortium Agreement.</w:t>
      </w:r>
    </w:p>
    <w:p>
      <w:pPr>
        <w:spacing w:after="0" w:line="306" w:lineRule="exact"/>
        <w:rPr>
          <w:sz w:val="20"/>
          <w:szCs w:val="20"/>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244" w:hanging="244"/>
        <w:spacing w:after="0"/>
        <w:tabs>
          <w:tab w:leader="none" w:pos="2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Party represents and warrants to each of the other Parties as follows:</w:t>
      </w:r>
    </w:p>
    <w:p>
      <w:pPr>
        <w:spacing w:after="0" w:line="22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Status</w:t>
      </w:r>
    </w:p>
    <w:p>
      <w:pPr>
        <w:spacing w:after="0" w:line="225"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It is a [company] duly organized, established and validly existing under the laws of the jurisdiction of its incorporation or formation and has all requisite power and authority to own, lease and operate its assets and to conduct the business which it conducts.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 Due Authorization</w:t>
      </w:r>
    </w:p>
    <w:p>
      <w:pPr>
        <w:spacing w:after="0" w:line="225" w:lineRule="exact"/>
        <w:rPr>
          <w:sz w:val="20"/>
          <w:szCs w:val="20"/>
          <w:color w:val="auto"/>
        </w:rPr>
      </w:pPr>
    </w:p>
    <w:p>
      <w:pPr>
        <w:ind w:left="4" w:right="80"/>
        <w:spacing w:after="0" w:line="312" w:lineRule="auto"/>
        <w:rPr>
          <w:sz w:val="20"/>
          <w:szCs w:val="20"/>
          <w:color w:val="auto"/>
        </w:rPr>
      </w:pPr>
      <w:r>
        <w:rPr>
          <w:rFonts w:ascii="Times New Roman" w:cs="Times New Roman" w:eastAsia="Times New Roman" w:hAnsi="Times New Roman"/>
          <w:sz w:val="17"/>
          <w:szCs w:val="17"/>
          <w:color w:val="auto"/>
        </w:rPr>
        <w:t>It has full power and authority to execute, deliver and perform this Deed. The execution, delivery and performance of this Deed by the Additional Party has been duly authorized by all necessary action on behalf of the Additional Party and no additional proceedings are necessary to approve this Deed.</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 Legal, Valid and Binding Obligation</w:t>
      </w:r>
    </w:p>
    <w:p>
      <w:pPr>
        <w:spacing w:after="0" w:line="225" w:lineRule="exact"/>
        <w:rPr>
          <w:sz w:val="20"/>
          <w:szCs w:val="20"/>
          <w:color w:val="auto"/>
        </w:rPr>
      </w:pPr>
    </w:p>
    <w:p>
      <w:pPr>
        <w:jc w:val="both"/>
        <w:ind w:left="4" w:right="160"/>
        <w:spacing w:after="0" w:line="266" w:lineRule="auto"/>
        <w:rPr>
          <w:sz w:val="20"/>
          <w:szCs w:val="20"/>
          <w:color w:val="auto"/>
        </w:rPr>
      </w:pPr>
      <w:r>
        <w:rPr>
          <w:rFonts w:ascii="Times New Roman" w:cs="Times New Roman" w:eastAsia="Times New Roman" w:hAnsi="Times New Roman"/>
          <w:sz w:val="18"/>
          <w:szCs w:val="18"/>
          <w:color w:val="auto"/>
        </w:rPr>
        <w:t>This Deed has been duly executed and delivered by the Additional Party and constitutes the legal, valid and binding obligation of the Additional Party, enforceable against it in accordance with the terms hereof except to the extent that enforcement of the rights and remedies created hereby is subject to bankruptcy, insolvency, reorganization, moratorium and other similar laws of general application and general principles of equity.</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 No Conflict.</w:t>
      </w:r>
    </w:p>
    <w:p>
      <w:pPr>
        <w:spacing w:after="0" w:line="225"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Additional Party’s execution, delivery and performance (including the provision and exchange of information) of this Deed will not (i) conflict with, require a consent, waiver or approval under, or result in a breach of or default under, any of the terms of any material contract or agreement to which the Additional Party is a party or by which the Additional Party is bound, or any office the Additional Party holds, (ii) violate any order, writ, injunction, decree or statute, or any rule or regulation, applicable to the Additional Party or any of its properties and assets, or (iii) result in the creation of, or impose any obligation on the Additional Party to create, any lien, charge or other encumbrance of any nature whatsoever upon the Additional Party’s properties or assets.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[Schedule D]</w:t>
      </w:r>
    </w:p>
    <w:p>
      <w:pPr>
        <w:sectPr>
          <w:pgSz w:w="11900" w:h="16838" w:orient="portrait"/>
          <w:cols w:equalWidth="0" w:num="1">
            <w:col w:w="11004"/>
          </w:cols>
          <w:pgMar w:left="436" w:top="270" w:right="459" w:bottom="1440" w:gutter="0" w:footer="0" w:header="0"/>
        </w:sectPr>
      </w:pPr>
    </w:p>
    <w:bookmarkStart w:id="38" w:name="page39"/>
    <w:bookmarkEnd w:id="3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 No Broker, etc.</w:t>
      </w:r>
    </w:p>
    <w:p>
      <w:pPr>
        <w:spacing w:after="0" w:line="225"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No broker, finder or investment banker is entitled to any brokerage, finder’s or other fee or commission in connection with the Transaction based upon arrangements made by or on behalf of the Additional Party.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 [Ownership</w:t>
      </w:r>
    </w:p>
    <w:p>
      <w:pPr>
        <w:spacing w:after="0" w:line="225"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 xml:space="preserve">As of the date of this Deed, (i) the Additional Party holds (A) of record the number of outstanding Target Ordinary Shares set forth under the heading “Shares Held of Record” next to its name on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hereto, and (B) the other Securities of Target set forth under the heading “Other Securities” next to its name on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hereto, in each case free and clear of any encumbrances or restrictions; and (ii) the Additional Party does not own, directly or indirectly, any Target Ordinary Shares or other Securities of Target, other than the Securities set forth on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hereto. For purposes of this Clause 3(a)(6), “owns” means the Additional Party (x) is the record holder of such security or (y) is the “beneficial owner” (within the meaning of Rule 13d-3 under the Exchange Act) of such security. The Additional Party has not taken any action described in Section 4.1 (</w:t>
      </w:r>
      <w:r>
        <w:rPr>
          <w:rFonts w:ascii="Times New Roman" w:cs="Times New Roman" w:eastAsia="Times New Roman" w:hAnsi="Times New Roman"/>
          <w:sz w:val="18"/>
          <w:szCs w:val="18"/>
          <w:i w:val="1"/>
          <w:iCs w:val="1"/>
          <w:color w:val="auto"/>
        </w:rPr>
        <w:t>Exclusivity</w:t>
      </w:r>
      <w:r>
        <w:rPr>
          <w:rFonts w:ascii="Times New Roman" w:cs="Times New Roman" w:eastAsia="Times New Roman" w:hAnsi="Times New Roman"/>
          <w:sz w:val="18"/>
          <w:szCs w:val="18"/>
          <w:color w:val="auto"/>
        </w:rPr>
        <w:t>) of the Consortium Agreement.]</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 Reliance</w:t>
      </w:r>
    </w:p>
    <w:p>
      <w:pPr>
        <w:spacing w:after="0" w:line="225"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Additional Party acknowledges that the Existing Parties have consented to the admission of the Additional Party to the Consortium on the basis of and in reliance upon (among other things) the representations and warranties in Sections 3(a)(1) to 3(a)(6) above, and the Existing Parties’ consent was induced by such representations and warranties.</w:t>
      </w:r>
    </w:p>
    <w:p>
      <w:pPr>
        <w:spacing w:after="0" w:line="320" w:lineRule="exact"/>
        <w:rPr>
          <w:sz w:val="20"/>
          <w:szCs w:val="20"/>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19" w:lineRule="exact"/>
        <w:rPr>
          <w:sz w:val="20"/>
          <w:szCs w:val="20"/>
          <w:color w:val="auto"/>
        </w:rPr>
      </w:pPr>
    </w:p>
    <w:p>
      <w:pPr>
        <w:ind w:left="4" w:right="40" w:firstLine="440"/>
        <w:spacing w:after="0" w:line="284" w:lineRule="auto"/>
        <w:rPr>
          <w:sz w:val="20"/>
          <w:szCs w:val="20"/>
          <w:color w:val="auto"/>
        </w:rPr>
      </w:pPr>
      <w:r>
        <w:rPr>
          <w:rFonts w:ascii="Times New Roman" w:cs="Times New Roman" w:eastAsia="Times New Roman" w:hAnsi="Times New Roman"/>
          <w:sz w:val="18"/>
          <w:szCs w:val="18"/>
          <w:color w:val="auto"/>
        </w:rPr>
        <w:t>Section 7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Section 9.9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Section 9.10 (</w:t>
      </w:r>
      <w:r>
        <w:rPr>
          <w:rFonts w:ascii="Times New Roman" w:cs="Times New Roman" w:eastAsia="Times New Roman" w:hAnsi="Times New Roman"/>
          <w:sz w:val="18"/>
          <w:szCs w:val="18"/>
          <w:i w:val="1"/>
          <w:iCs w:val="1"/>
          <w:color w:val="auto"/>
        </w:rPr>
        <w:t>Dispute Resolution</w:t>
      </w:r>
      <w:r>
        <w:rPr>
          <w:rFonts w:ascii="Times New Roman" w:cs="Times New Roman" w:eastAsia="Times New Roman" w:hAnsi="Times New Roman"/>
          <w:sz w:val="18"/>
          <w:szCs w:val="18"/>
          <w:color w:val="auto"/>
        </w:rPr>
        <w:t>) and Section 9.11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xml:space="preserve">) of the Consortium Agreement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Deed.</w:t>
      </w:r>
    </w:p>
    <w:p>
      <w:pPr>
        <w:spacing w:after="0" w:line="158"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[Schedule D]</w:t>
      </w:r>
    </w:p>
    <w:p>
      <w:pPr>
        <w:sectPr>
          <w:pgSz w:w="11900" w:h="16838" w:orient="portrait"/>
          <w:cols w:equalWidth="0" w:num="1">
            <w:col w:w="10884"/>
          </w:cols>
          <w:pgMar w:left="436" w:top="270" w:right="5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Additional Party has executed this Deed as a deed and delivered this Deed as of the day and year first above written.</w:t>
      </w:r>
    </w:p>
    <w:p>
      <w:pPr>
        <w:sectPr>
          <w:pgSz w:w="11900" w:h="16838" w:orient="portrait"/>
          <w:cols w:equalWidth="0" w:num="1">
            <w:col w:w="10640"/>
          </w:cols>
          <w:pgMar w:left="440" w:top="270" w:right="81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EXECUTED AS A DEED BY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Occupation: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details: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885" w:lineRule="exact"/>
        <w:rPr>
          <w:sz w:val="20"/>
          <w:szCs w:val="20"/>
          <w:color w:val="auto"/>
        </w:rPr>
      </w:pPr>
    </w:p>
    <w:p>
      <w:pPr>
        <w:sectPr>
          <w:pgSz w:w="11900" w:h="16838" w:orient="portrait"/>
          <w:cols w:equalWidth="0" w:num="2">
            <w:col w:w="2220" w:space="660"/>
            <w:col w:w="7760"/>
          </w:cols>
          <w:pgMar w:left="440" w:top="270" w:right="819" w:bottom="1440" w:gutter="0" w:footer="0" w:header="0"/>
          <w:type w:val="continuous"/>
        </w:sectPr>
      </w:pPr>
    </w:p>
    <w:p>
      <w:pPr>
        <w:jc w:val="center"/>
        <w:ind w:right="-359"/>
        <w:spacing w:after="0"/>
        <w:rPr>
          <w:sz w:val="20"/>
          <w:szCs w:val="20"/>
          <w:color w:val="auto"/>
        </w:rPr>
      </w:pPr>
      <w:r>
        <w:rPr>
          <w:rFonts w:ascii="Times New Roman" w:cs="Times New Roman" w:eastAsia="Times New Roman" w:hAnsi="Times New Roman"/>
          <w:sz w:val="18"/>
          <w:szCs w:val="18"/>
          <w:color w:val="auto"/>
        </w:rPr>
        <w:t>[Schedule D]</w:t>
      </w:r>
    </w:p>
    <w:p>
      <w:pPr>
        <w:sectPr>
          <w:pgSz w:w="11900" w:h="16838" w:orient="portrait"/>
          <w:cols w:equalWidth="0" w:num="1">
            <w:col w:w="10640"/>
          </w:cols>
          <w:pgMar w:left="440" w:top="270" w:right="819" w:bottom="1440" w:gutter="0" w:footer="0" w:header="0"/>
          <w:type w:val="continuous"/>
        </w:sectPr>
      </w:pPr>
    </w:p>
    <w:bookmarkStart w:id="40" w:name="page41"/>
    <w:bookmarkEnd w:id="40"/>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11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Existing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Jian Tang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Igomax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Wing Hong Sammy Hsieh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Bubinga Holdings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Huang Jianjun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Rise Chain Investment Limited</w:t>
      </w:r>
    </w:p>
    <w:p>
      <w:pPr>
        <w:spacing w:after="0" w:line="13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[Annex A]</w:t>
      </w:r>
    </w:p>
    <w:p>
      <w:pPr>
        <w:sectPr>
          <w:pgSz w:w="11900" w:h="16838" w:orient="portrait"/>
          <w:cols w:equalWidth="0" w:num="1">
            <w:col w:w="10019"/>
          </w:cols>
          <w:pgMar w:left="440" w:top="266"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Contribution Amount Committed by the Additional Party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w:t>
      </w:r>
    </w:p>
    <w:p>
      <w:pPr>
        <w:sectPr>
          <w:pgSz w:w="11900" w:h="16838" w:orient="portrait"/>
          <w:cols w:equalWidth="0" w:num="1">
            <w:col w:w="9019"/>
          </w:cols>
          <w:pgMar w:left="1440" w:top="266" w:right="1440" w:bottom="1440" w:gutter="0" w:footer="0" w:header="0"/>
        </w:sectPr>
      </w:pPr>
    </w:p>
    <w:bookmarkStart w:id="42" w:name="page43"/>
    <w:bookmarkEnd w:id="42"/>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C</w:t>
      </w:r>
    </w:p>
    <w:p>
      <w:pPr>
        <w:spacing w:after="0" w:line="1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SHARE OWNERSHIP SCHEDULE OF THE ADDITIONAL PARTY</w:t>
      </w:r>
    </w:p>
    <w:p>
      <w:pPr>
        <w:sectPr>
          <w:pgSz w:w="11900" w:h="16838" w:orient="portrait"/>
          <w:cols w:equalWidth="0" w:num="1">
            <w:col w:w="10019"/>
          </w:cols>
          <w:pgMar w:left="440" w:top="266" w:right="1440" w:bottom="144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Shares Held of Record</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Securities</w:t>
      </w:r>
    </w:p>
    <w:p>
      <w:pPr>
        <w:spacing w:after="0" w:line="102" w:lineRule="exact"/>
        <w:rPr>
          <w:sz w:val="20"/>
          <w:szCs w:val="20"/>
          <w:color w:val="auto"/>
        </w:rPr>
      </w:pPr>
    </w:p>
    <w:p>
      <w:pPr>
        <w:sectPr>
          <w:pgSz w:w="11900" w:h="16838" w:orient="portrait"/>
          <w:cols w:equalWidth="0" w:num="3">
            <w:col w:w="3260" w:space="720"/>
            <w:col w:w="2920" w:space="720"/>
            <w:col w:w="239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center"/>
        <w:ind w:right="27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169" w:lineRule="exact"/>
        <w:rPr>
          <w:sz w:val="20"/>
          <w:szCs w:val="20"/>
          <w:color w:val="auto"/>
        </w:rPr>
      </w:pPr>
    </w:p>
    <w:p>
      <w:pPr>
        <w:sectPr>
          <w:pgSz w:w="11900" w:h="16838" w:orient="portrait"/>
          <w:cols w:equalWidth="0" w:num="3">
            <w:col w:w="3260" w:space="720"/>
            <w:col w:w="2920" w:space="720"/>
            <w:col w:w="2399"/>
          </w:cols>
          <w:pgMar w:left="440" w:top="266" w:right="1440" w:bottom="1440" w:gutter="0" w:footer="0" w:header="0"/>
          <w:type w:val="continuous"/>
        </w:sectPr>
      </w:pPr>
    </w:p>
    <w:p>
      <w:pPr>
        <w:ind w:left="5120"/>
        <w:spacing w:after="0"/>
        <w:rPr>
          <w:sz w:val="20"/>
          <w:szCs w:val="20"/>
          <w:color w:val="auto"/>
        </w:rPr>
      </w:pPr>
      <w:r>
        <w:rPr>
          <w:rFonts w:ascii="Times New Roman" w:cs="Times New Roman" w:eastAsia="Times New Roman" w:hAnsi="Times New Roman"/>
          <w:sz w:val="17"/>
          <w:szCs w:val="17"/>
          <w:color w:val="auto"/>
        </w:rPr>
        <w:t>[Annex C]</w:t>
      </w:r>
    </w:p>
    <w:sectPr>
      <w:pgSz w:w="11900" w:h="16838" w:orient="portrait"/>
      <w:cols w:equalWidth="0" w:num="1">
        <w:col w:w="10019"/>
      </w:cols>
      <w:pgMar w:left="440" w:top="26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abstractNum>
  <w:abstractNum w:abstractNumId="1">
    <w:nsid w:val="7C3DBD3D"/>
    <w:multiLevelType w:val="hybridMultilevel"/>
    <w:lvl w:ilvl="0">
      <w:lvlJc w:val="left"/>
      <w:lvlText w:val="%1."/>
      <w:numFmt w:val="decimal"/>
      <w:start w:val="3"/>
    </w:lvl>
  </w:abstractNum>
  <w:abstractNum w:abstractNumId="2">
    <w:nsid w:val="737B8DDC"/>
    <w:multiLevelType w:val="hybridMultilevel"/>
    <w:lvl w:ilvl="0">
      <w:lvlJc w:val="left"/>
      <w:lvlText w:val="%1."/>
      <w:numFmt w:val="decimal"/>
      <w:start w:val="7"/>
    </w:lvl>
  </w:abstractNum>
  <w:abstractNum w:abstractNumId="3">
    <w:nsid w:val="6CEAF087"/>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22221A70"/>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4516DDE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3"/>
    </w:lvl>
  </w:abstractNum>
  <w:abstractNum w:abstractNumId="8">
    <w:nsid w:val="419AC241"/>
    <w:multiLevelType w:val="hybridMultilevel"/>
    <w:lvl w:ilvl="0">
      <w:lvlJc w:val="left"/>
      <w:lvlText w:val="%1."/>
      <w:numFmt w:val="decimal"/>
      <w:start w:val="7"/>
    </w:lvl>
  </w:abstractNum>
  <w:abstractNum w:abstractNumId="9">
    <w:nsid w:val="5577F8E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0">
    <w:nsid w:val="440BADFC"/>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1">
    <w:nsid w:val="507236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1."/>
      <w:numFmt w:val="decimal"/>
      <w:start w:val="7"/>
    </w:lvl>
  </w:abstractNum>
  <w:abstractNum w:abstractNumId="14">
    <w:nsid w:val="7724C67E"/>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5">
    <w:nsid w:val="5C482A97"/>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6">
    <w:nsid w:val="2463B9E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3"/>
    </w:lvl>
  </w:abstractNum>
  <w:abstractNum w:abstractNumId="19">
    <w:nsid w:val="2D517796"/>
    <w:multiLevelType w:val="hybridMultilevel"/>
    <w:lvl w:ilvl="0">
      <w:lvlJc w:val="left"/>
      <w:lvlText w:val="%1."/>
      <w:numFmt w:val="decimal"/>
      <w:start w:val="7"/>
    </w:lvl>
  </w:abstractNum>
  <w:abstractNum w:abstractNumId="20">
    <w:nsid w:val="580BD78F"/>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1">
    <w:nsid w:val="153EA438"/>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2">
    <w:nsid w:val="3855585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3">
    <w:nsid w:val="70A64E2A"/>
    <w:multiLevelType w:val="hybridMultilevel"/>
    <w:lvl w:ilvl="0">
      <w:lvlJc w:val="left"/>
      <w:lvlText w:val="(%1)"/>
      <w:numFmt w:val="lowerRoman"/>
      <w:start w:val="5"/>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2"/>
    </w:lvl>
  </w:abstractNum>
  <w:abstractNum w:abstractNumId="26">
    <w:nsid w:val="1D4ED43B"/>
    <w:multiLevelType w:val="hybridMultilevel"/>
    <w:lvl w:ilvl="0">
      <w:lvlJc w:val="left"/>
      <w:lvlText w:val="%1"/>
      <w:numFmt w:val="lowerLetter"/>
      <w:start w:val="1"/>
    </w:lvl>
    <w:lvl w:ilvl="1">
      <w:lvlJc w:val="left"/>
      <w:lvlText w:val="(%2)"/>
      <w:numFmt w:val="decimal"/>
      <w:start w:val="1"/>
    </w:lvl>
  </w:abstractNum>
  <w:abstractNum w:abstractNumId="27">
    <w:nsid w:val="725A06FB"/>
    <w:multiLevelType w:val="hybridMultilevel"/>
    <w:lvl w:ilvl="0">
      <w:lvlJc w:val="left"/>
      <w:lvlText w:val="(%1)"/>
      <w:numFmt w:val="lowerLetter"/>
      <w:start w:val="3"/>
    </w:lvl>
    <w:lvl w:ilvl="1">
      <w:lvlJc w:val="left"/>
      <w:lvlText w:val="%2"/>
      <w:numFmt w:val="decimal"/>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2"/>
    </w:lvl>
  </w:abstractNum>
  <w:abstractNum w:abstractNumId="30">
    <w:nsid w:val="7A6D8D3C"/>
    <w:multiLevelType w:val="hybridMultilevel"/>
    <w:lvl w:ilvl="0">
      <w:lvlJc w:val="left"/>
      <w:lvlText w:val="(%1)"/>
      <w:numFmt w:val="lowerLetter"/>
      <w:start w:val="2"/>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lowerLetter"/>
      <w:start w:val="1"/>
    </w:lvl>
  </w:abstractNum>
  <w:abstractNum w:abstractNumId="33">
    <w:nsid w:val="6DE91B18"/>
    <w:multiLevelType w:val="hybridMultilevel"/>
    <w:lvl w:ilvl="0">
      <w:lvlJc w:val="left"/>
      <w:lvlText w:val="%1."/>
      <w:numFmt w:val="decimal"/>
      <w:start w:val="2"/>
    </w:lvl>
  </w:abstractNum>
  <w:abstractNum w:abstractNumId="34">
    <w:nsid w:val="38437FDB"/>
    <w:multiLevelType w:val="hybridMultilevel"/>
    <w:lvl w:ilvl="0">
      <w:lvlJc w:val="left"/>
      <w:lvlText w:val="(%1)"/>
      <w:numFmt w:val="lowerLetter"/>
      <w:start w:val="4"/>
    </w:lvl>
  </w:abstractNum>
  <w:abstractNum w:abstractNumId="35">
    <w:nsid w:val="7644A45C"/>
    <w:multiLevelType w:val="hybridMultilevel"/>
    <w:lvl w:ilvl="0">
      <w:lvlJc w:val="left"/>
      <w:lvlText w:val="(%1)"/>
      <w:numFmt w:val="lowerLetter"/>
      <w:start w:val="1"/>
    </w:lvl>
  </w:abstractNum>
  <w:abstractNum w:abstractNumId="36">
    <w:nsid w:val="32FFF902"/>
    <w:multiLevelType w:val="hybridMultilevel"/>
    <w:lvl w:ilvl="0">
      <w:lvlJc w:val="left"/>
      <w:lvlText w:val="%1."/>
      <w:numFmt w:val="decimal"/>
      <w:start w:val="3"/>
    </w:lvl>
  </w:abstractNum>
  <w:abstractNum w:abstractNumId="37">
    <w:nsid w:val="684A481A"/>
    <w:multiLevelType w:val="hybridMultilevel"/>
    <w:lvl w:ilvl="0">
      <w:lvlJc w:val="left"/>
      <w:lvlText w:val="(%1)"/>
      <w:numFmt w:val="lowerLetter"/>
      <w:start w:val="1"/>
    </w:lvl>
  </w:abstractNum>
  <w:abstractNum w:abstractNumId="38">
    <w:nsid w:val="579478FE"/>
    <w:multiLevelType w:val="hybridMultilevel"/>
    <w:lvl w:ilvl="0">
      <w:lvlJc w:val="left"/>
      <w:lvlText w:val="%1"/>
      <w:numFmt w:val="decimal"/>
      <w:start w:val="1"/>
    </w:lvl>
    <w:lvl w:ilvl="1">
      <w:lvlJc w:val="left"/>
      <w:lvlText w:val="(%2)"/>
      <w:numFmt w:val="lowerLetter"/>
      <w:start w:val="3"/>
    </w:lvl>
  </w:abstractNum>
  <w:abstractNum w:abstractNumId="39">
    <w:nsid w:val="749ABB43"/>
    <w:multiLevelType w:val="hybridMultilevel"/>
    <w:lvl w:ilvl="0">
      <w:lvlJc w:val="left"/>
      <w:lvlText w:val="%1."/>
      <w:numFmt w:val="decimal"/>
      <w:start w:val="4"/>
    </w:lvl>
    <w:lvl w:ilvl="1">
      <w:lvlJc w:val="left"/>
      <w:lvlText w:val="%2"/>
      <w:numFmt w:val="lowerLetter"/>
      <w:start w:val="1"/>
    </w:lvl>
  </w:abstractNum>
  <w:abstractNum w:abstractNumId="40">
    <w:nsid w:val="3DC240FB"/>
    <w:multiLevelType w:val="hybridMultilevel"/>
    <w:lvl w:ilvl="0">
      <w:lvlJc w:val="left"/>
      <w:lvlText w:val="(%1)"/>
      <w:numFmt w:val="lowerLetter"/>
      <w:start w:val="1"/>
    </w:lvl>
  </w:abstractNum>
  <w:abstractNum w:abstractNumId="41">
    <w:nsid w:val="1BA026FA"/>
    <w:multiLevelType w:val="hybridMultilevel"/>
    <w:lvl w:ilvl="0">
      <w:lvlJc w:val="left"/>
      <w:lvlText w:val="(%1)"/>
      <w:numFmt w:val="lowerLetter"/>
      <w:start w:val="3"/>
    </w:lvl>
  </w:abstractNum>
  <w:abstractNum w:abstractNumId="42">
    <w:nsid w:val="79A1DEAA"/>
    <w:multiLevelType w:val="hybridMultilevel"/>
    <w:lvl w:ilvl="0">
      <w:lvlJc w:val="left"/>
      <w:lvlText w:val="%1."/>
      <w:numFmt w:val="decimal"/>
      <w:start w:val="5"/>
    </w:lvl>
  </w:abstractNum>
  <w:abstractNum w:abstractNumId="43">
    <w:nsid w:val="75C6C33A"/>
    <w:multiLevelType w:val="hybridMultilevel"/>
    <w:lvl w:ilvl="0">
      <w:lvlJc w:val="left"/>
      <w:lvlText w:val="%1"/>
      <w:numFmt w:val="decimal"/>
      <w:start w:val="1"/>
    </w:lvl>
    <w:lvl w:ilvl="1">
      <w:lvlJc w:val="left"/>
      <w:lvlText w:val="(%2)"/>
      <w:numFmt w:val="lowerLetter"/>
      <w:start w:val="1"/>
    </w:lvl>
  </w:abstractNum>
  <w:abstractNum w:abstractNumId="44">
    <w:nsid w:val="12E685FB"/>
    <w:multiLevelType w:val="hybridMultilevel"/>
    <w:lvl w:ilvl="0">
      <w:lvlJc w:val="left"/>
      <w:lvlText w:val="%1."/>
      <w:numFmt w:val="decimal"/>
      <w:start w:val="6"/>
    </w:lvl>
    <w:lvl w:ilvl="1">
      <w:lvlJc w:val="left"/>
      <w:lvlText w:val="%2"/>
      <w:numFmt w:val="lowerLetter"/>
      <w:start w:val="1"/>
    </w:lvl>
  </w:abstractNum>
  <w:abstractNum w:abstractNumId="45">
    <w:nsid w:val="70C6A529"/>
    <w:multiLevelType w:val="hybridMultilevel"/>
    <w:lvl w:ilvl="0">
      <w:lvlJc w:val="left"/>
      <w:lvlText w:val="(%1)"/>
      <w:numFmt w:val="lowerLetter"/>
      <w:start w:val="1"/>
    </w:lvl>
  </w:abstractNum>
  <w:abstractNum w:abstractNumId="46">
    <w:nsid w:val="520EEDD1"/>
    <w:multiLevelType w:val="hybridMultilevel"/>
    <w:lvl w:ilvl="0">
      <w:lvlJc w:val="left"/>
      <w:lvlText w:val="%1."/>
      <w:numFmt w:val="decimal"/>
      <w:start w:val="7"/>
    </w:lvl>
  </w:abstractNum>
  <w:abstractNum w:abstractNumId="47">
    <w:nsid w:val="374A3FE6"/>
    <w:multiLevelType w:val="hybridMultilevel"/>
    <w:lvl w:ilvl="0">
      <w:lvlJc w:val="left"/>
      <w:lvlText w:val="%1."/>
      <w:numFmt w:val="decimal"/>
      <w:start w:val="8"/>
    </w:lvl>
  </w:abstractNum>
  <w:abstractNum w:abstractNumId="48">
    <w:nsid w:val="4F4EF005"/>
    <w:multiLevelType w:val="hybridMultilevel"/>
    <w:lvl w:ilvl="0">
      <w:lvlJc w:val="left"/>
      <w:lvlText w:val="(%1)"/>
      <w:numFmt w:val="lowerLetter"/>
      <w:start w:val="4"/>
    </w:lvl>
  </w:abstractNum>
  <w:abstractNum w:abstractNumId="49">
    <w:nsid w:val="23F9C13C"/>
    <w:multiLevelType w:val="hybridMultilevel"/>
    <w:lvl w:ilvl="0">
      <w:lvlJc w:val="left"/>
      <w:lvlText w:val="(%1)"/>
      <w:numFmt w:val="lowerLetter"/>
      <w:start w:val="1"/>
    </w:lvl>
  </w:abstractNum>
  <w:abstractNum w:abstractNumId="50">
    <w:nsid w:val="649BB77C"/>
    <w:multiLevelType w:val="hybridMultilevel"/>
    <w:lvl w:ilvl="0">
      <w:lvlJc w:val="left"/>
      <w:lvlText w:val="%1."/>
      <w:numFmt w:val="decimal"/>
      <w:start w:val="9"/>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decimal"/>
      <w:start w:val="10"/>
    </w:lvl>
  </w:abstractNum>
  <w:abstractNum w:abstractNumId="53">
    <w:nsid w:val="1CF10FD8"/>
    <w:multiLevelType w:val="hybridMultilevel"/>
    <w:lvl w:ilvl="0">
      <w:lvlJc w:val="left"/>
      <w:lvlText w:val="(%1)"/>
      <w:numFmt w:val="upperLetter"/>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2"/>
    </w:lvl>
  </w:abstractNum>
  <w:abstractNum w:abstractNumId="57">
    <w:nsid w:val="354FE9F9"/>
    <w:multiLevelType w:val="hybridMultilevel"/>
    <w:lvl w:ilvl="0">
      <w:lvlJc w:val="left"/>
      <w:lvlText w:val="%1."/>
      <w:numFmt w:val="decimal"/>
      <w:start w:val="3"/>
    </w:lvl>
  </w:abstractNum>
  <w:abstractNum w:abstractNumId="58">
    <w:nsid w:val="15B5AF5C"/>
    <w:multiLevelType w:val="hybridMultilevel"/>
    <w:lvl w:ilvl="0">
      <w:lvlJc w:val="left"/>
      <w:lvlText w:val="(%1)"/>
      <w:numFmt w:val="lowerLetter"/>
      <w:start w:val="1"/>
    </w:lvl>
  </w:abstractNum>
  <w:abstractNum w:abstractNumId="59">
    <w:nsid w:val="741226B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2022-12-22T15:39:34Z</dcterms:created>
  <dcterms:modified xsi:type="dcterms:W3CDTF">2022-12-22T15:39:34Z</dcterms:modified>
</cp:coreProperties>
</file>