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SECURITIES AND EXCHANGE COMMISSION</w:t>
      </w:r>
    </w:p>
    <w:p>
      <w:pPr>
        <w:ind w:left="4580"/>
        <w:spacing w:after="0"/>
        <w:rPr>
          <w:sz w:val="20"/>
          <w:szCs w:val="20"/>
          <w:color w:val="auto"/>
        </w:rPr>
      </w:pPr>
      <w:r>
        <w:rPr>
          <w:rFonts w:ascii="Arial" w:cs="Arial" w:eastAsia="Arial" w:hAnsi="Arial"/>
          <w:sz w:val="20"/>
          <w:szCs w:val="20"/>
          <w:b w:val="1"/>
          <w:bCs w:val="1"/>
          <w:color w:val="auto"/>
        </w:rPr>
        <w:t>Washington, D.C. 20549</w:t>
      </w:r>
    </w:p>
    <w:p>
      <w:pPr>
        <w:spacing w:after="0" w:line="380" w:lineRule="exact"/>
        <w:rPr>
          <w:sz w:val="24"/>
          <w:szCs w:val="24"/>
          <w:color w:val="auto"/>
        </w:rPr>
      </w:pPr>
    </w:p>
    <w:p>
      <w:pPr>
        <w:ind w:left="4880"/>
        <w:spacing w:after="0"/>
        <w:rPr>
          <w:sz w:val="20"/>
          <w:szCs w:val="20"/>
          <w:color w:val="auto"/>
        </w:rPr>
      </w:pPr>
      <w:r>
        <w:rPr>
          <w:rFonts w:ascii="Arial" w:cs="Arial" w:eastAsia="Arial" w:hAnsi="Arial"/>
          <w:sz w:val="30"/>
          <w:szCs w:val="30"/>
          <w:b w:val="1"/>
          <w:bCs w:val="1"/>
          <w:color w:val="auto"/>
        </w:rPr>
        <w:t>FORM 6-K</w:t>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REPORT OF FOREIGN PRIVATE ISSUER</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PURSUANT TO RULE 13a-16 OR 15d-16</w:t>
      </w:r>
    </w:p>
    <w:p>
      <w:pPr>
        <w:jc w:val="center"/>
        <w:ind w:right="-112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For the month of January 2022</w:t>
      </w:r>
    </w:p>
    <w:p>
      <w:pPr>
        <w:spacing w:after="0" w:line="21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Commission File Number: 001-38313</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iClick Interactive Asia Group Limited</w:t>
      </w:r>
    </w:p>
    <w:p>
      <w:pPr>
        <w:spacing w:after="0" w:line="37"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(Translation of registrant’s name into English)</w:t>
      </w:r>
    </w:p>
    <w:p>
      <w:pPr>
        <w:spacing w:after="0" w:line="200" w:lineRule="exact"/>
        <w:rPr>
          <w:sz w:val="24"/>
          <w:szCs w:val="24"/>
          <w:color w:val="auto"/>
        </w:rPr>
      </w:pP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15/F</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Tel: +852 3700 9000</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(Address of principal executive office)</w:t>
      </w:r>
    </w:p>
    <w:p>
      <w:pPr>
        <w:spacing w:after="0" w:line="3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files or will file annual reports under cover of Form 20-F or Form 40-F. 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100" w:type="dxa"/>
            <w:vAlign w:val="bottom"/>
          </w:tcPr>
          <w:p>
            <w:pPr>
              <w:ind w:left="1840"/>
              <w:spacing w:after="0"/>
              <w:rPr>
                <w:sz w:val="20"/>
                <w:szCs w:val="20"/>
                <w:color w:val="auto"/>
              </w:rPr>
            </w:pPr>
            <w:r>
              <w:rPr>
                <w:rFonts w:ascii="Arial" w:cs="Arial" w:eastAsia="Arial" w:hAnsi="Arial"/>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Arial" w:cs="Arial" w:eastAsia="Arial" w:hAnsi="Arial"/>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rFonts w:ascii="Arial" w:cs="Arial" w:eastAsia="Arial" w:hAnsi="Arial"/>
                <w:sz w:val="17"/>
                <w:szCs w:val="17"/>
                <w:color w:val="0000EE"/>
                <w:w w:val="82"/>
              </w:rPr>
            </w:pPr>
            <w:hyperlink w:anchor="page4">
              <w:r>
                <w:rPr>
                  <w:rFonts w:ascii="Arial" w:cs="Arial" w:eastAsia="Arial" w:hAnsi="Arial"/>
                  <w:sz w:val="17"/>
                  <w:szCs w:val="17"/>
                  <w:color w:val="0000EE"/>
                  <w:w w:val="82"/>
                </w:rPr>
                <w:t>Press release</w:t>
              </w:r>
            </w:hyperlink>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450215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640" w:type="dxa"/>
        <w:tblCellMar>
          <w:top w:w="0" w:type="dxa"/>
          <w:left w:w="0" w:type="dxa"/>
          <w:bottom w:w="0" w:type="dxa"/>
          <w:right w:w="0" w:type="dxa"/>
        </w:tblCellMar>
      </w:tblPr>
      <w:tr>
        <w:trPr>
          <w:trHeight w:val="249"/>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Jian Tang</w:t>
            </w:r>
          </w:p>
        </w:tc>
      </w:tr>
      <w:tr>
        <w:trPr>
          <w:trHeight w:val="183"/>
        </w:trPr>
        <w:tc>
          <w:tcPr>
            <w:tcW w:w="70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4900" w:type="dxa"/>
            <w:vAlign w:val="bottom"/>
          </w:tcPr>
          <w:p>
            <w:pPr>
              <w:spacing w:after="0" w:line="183" w:lineRule="exact"/>
              <w:rPr>
                <w:sz w:val="20"/>
                <w:szCs w:val="20"/>
                <w:color w:val="auto"/>
              </w:rPr>
            </w:pPr>
            <w:r>
              <w:rPr>
                <w:rFonts w:ascii="Arial" w:cs="Arial" w:eastAsia="Arial" w:hAnsi="Arial"/>
                <w:sz w:val="17"/>
                <w:szCs w:val="17"/>
                <w:color w:val="auto"/>
              </w:rPr>
              <w:t>Jian Tang</w:t>
            </w:r>
          </w:p>
        </w:tc>
      </w:tr>
      <w:tr>
        <w:trPr>
          <w:trHeight w:val="214"/>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January 25, 2022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288290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iClick Appoints Mr. David Zhang as Chief Financial Officer and Board Director</w:t>
      </w:r>
    </w:p>
    <w:p>
      <w:pPr>
        <w:spacing w:after="0" w:line="212" w:lineRule="exact"/>
        <w:rPr>
          <w:sz w:val="20"/>
          <w:szCs w:val="20"/>
          <w:color w:val="auto"/>
        </w:rPr>
      </w:pPr>
    </w:p>
    <w:p>
      <w:pPr>
        <w:jc w:val="both"/>
        <w:ind w:left="20" w:hanging="11"/>
        <w:spacing w:after="0" w:line="269" w:lineRule="auto"/>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 January 25, 2022 — iClick Interactive Asia Group Limited, (NASDAQ: ICLK, “iClick” or the “Company”), a leading enterprise</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cloud platform in China that empowers worldwide brands with full-stack consumer lifecycle solutions, appointed Mr. David Tiezhu Zhang as Chief Financial Officer and to the Board of Directors of the Company, effective January 31, 2022.</w:t>
      </w:r>
    </w:p>
    <w:p>
      <w:pPr>
        <w:spacing w:after="0" w:line="169" w:lineRule="exact"/>
        <w:rPr>
          <w:sz w:val="20"/>
          <w:szCs w:val="20"/>
          <w:color w:val="auto"/>
        </w:rPr>
      </w:pPr>
    </w:p>
    <w:p>
      <w:pPr>
        <w:jc w:val="both"/>
        <w:ind w:left="20" w:hanging="11"/>
        <w:spacing w:after="0" w:line="243" w:lineRule="auto"/>
        <w:rPr>
          <w:sz w:val="20"/>
          <w:szCs w:val="20"/>
          <w:color w:val="auto"/>
        </w:rPr>
      </w:pPr>
      <w:r>
        <w:rPr>
          <w:rFonts w:ascii="Arial" w:cs="Arial" w:eastAsia="Arial" w:hAnsi="Arial"/>
          <w:sz w:val="19"/>
          <w:szCs w:val="19"/>
          <w:color w:val="auto"/>
        </w:rPr>
        <w:t>Mr. Zhang is currently Senior Vice President of Finance at iClick, where he leads the Company’s finance and legal teams. He brings over 25 years of experience in financial management, investment, and business operations to his new positions. Mr. Zhang succeeds Mr. Terence Li who will step down from his roles as Chief Financial Officer and Director both effective January 31, 2022. Mr. Li will continue to work closely with iClick as the Chief Strategy Advisor and focus more on the Company’s new business development.</w:t>
      </w:r>
    </w:p>
    <w:p>
      <w:pPr>
        <w:spacing w:after="0" w:line="192" w:lineRule="exact"/>
        <w:rPr>
          <w:sz w:val="20"/>
          <w:szCs w:val="20"/>
          <w:color w:val="auto"/>
        </w:rPr>
      </w:pPr>
    </w:p>
    <w:p>
      <w:pPr>
        <w:jc w:val="both"/>
        <w:ind w:left="20" w:hanging="11"/>
        <w:spacing w:after="0" w:line="246" w:lineRule="auto"/>
        <w:rPr>
          <w:sz w:val="20"/>
          <w:szCs w:val="20"/>
          <w:color w:val="auto"/>
        </w:rPr>
      </w:pPr>
      <w:r>
        <w:rPr>
          <w:rFonts w:ascii="Arial" w:cs="Arial" w:eastAsia="Arial" w:hAnsi="Arial"/>
          <w:sz w:val="19"/>
          <w:szCs w:val="19"/>
          <w:color w:val="auto"/>
        </w:rPr>
        <w:t>“We are pleased to congratulate David on his appointment as Chief Financial Officer and director of the Company. His breadth of integrated professional knowledge and experience makes him a strong addition to the management team as we continue to implement our long-term growth strategy,” said Jian Tang, Chairman, Chief Executive Officer and Co-Founder of iClick.</w:t>
      </w:r>
    </w:p>
    <w:p>
      <w:pPr>
        <w:spacing w:after="0" w:line="189" w:lineRule="exact"/>
        <w:rPr>
          <w:sz w:val="20"/>
          <w:szCs w:val="20"/>
          <w:color w:val="auto"/>
        </w:rPr>
      </w:pPr>
    </w:p>
    <w:p>
      <w:pPr>
        <w:jc w:val="both"/>
        <w:ind w:left="20" w:hanging="11"/>
        <w:spacing w:after="0" w:line="246" w:lineRule="auto"/>
        <w:rPr>
          <w:sz w:val="20"/>
          <w:szCs w:val="20"/>
          <w:color w:val="auto"/>
        </w:rPr>
      </w:pPr>
      <w:r>
        <w:rPr>
          <w:rFonts w:ascii="Arial" w:cs="Arial" w:eastAsia="Arial" w:hAnsi="Arial"/>
          <w:sz w:val="19"/>
          <w:szCs w:val="19"/>
          <w:color w:val="auto"/>
        </w:rPr>
        <w:t>“We want to express our gratitude to Terence for his professionalism and contributions to iClick, where he has served as our director since July 2019, Chief Financial Officer since January 2019 and as head of finance since 2018. We also thank him for his continued support in his new role,” Mr. Tang added.</w:t>
      </w:r>
    </w:p>
    <w:p>
      <w:pPr>
        <w:spacing w:after="0" w:line="189" w:lineRule="exact"/>
        <w:rPr>
          <w:sz w:val="20"/>
          <w:szCs w:val="20"/>
          <w:color w:val="auto"/>
        </w:rPr>
      </w:pPr>
    </w:p>
    <w:p>
      <w:pPr>
        <w:jc w:val="both"/>
        <w:ind w:left="20" w:hanging="11"/>
        <w:spacing w:after="0" w:line="243" w:lineRule="auto"/>
        <w:rPr>
          <w:sz w:val="20"/>
          <w:szCs w:val="20"/>
          <w:color w:val="auto"/>
        </w:rPr>
      </w:pPr>
      <w:r>
        <w:rPr>
          <w:rFonts w:ascii="Arial" w:cs="Arial" w:eastAsia="Arial" w:hAnsi="Arial"/>
          <w:sz w:val="19"/>
          <w:szCs w:val="19"/>
          <w:color w:val="auto"/>
        </w:rPr>
        <w:t>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81" w:lineRule="auto"/>
        <w:rPr>
          <w:sz w:val="20"/>
          <w:szCs w:val="20"/>
          <w:color w:val="auto"/>
        </w:rPr>
      </w:pPr>
      <w:r>
        <w:rPr>
          <w:rFonts w:ascii="Arial" w:cs="Arial" w:eastAsia="Arial" w:hAnsi="Arial"/>
          <w:sz w:val="17"/>
          <w:szCs w:val="17"/>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Safe-Harbor Statement</w:t>
      </w:r>
    </w:p>
    <w:p>
      <w:pPr>
        <w:spacing w:after="0" w:line="17" w:lineRule="exact"/>
        <w:rPr>
          <w:sz w:val="20"/>
          <w:szCs w:val="20"/>
          <w:color w:val="auto"/>
        </w:rPr>
      </w:pPr>
    </w:p>
    <w:p>
      <w:pPr>
        <w:jc w:val="both"/>
        <w:ind w:left="20"/>
        <w:spacing w:after="0" w:line="238" w:lineRule="auto"/>
        <w:rPr>
          <w:sz w:val="20"/>
          <w:szCs w:val="20"/>
          <w:color w:val="auto"/>
        </w:rPr>
      </w:pPr>
      <w:r>
        <w:rPr>
          <w:rFonts w:ascii="Arial" w:cs="Arial" w:eastAsia="Arial" w:hAnsi="Arial"/>
          <w:sz w:val="19"/>
          <w:szCs w:val="19"/>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71824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 w:name="page5"/>
    <w:bookmarkEnd w:id="4"/>
    <w:p>
      <w:pPr>
        <w:ind w:left="10380"/>
        <w:spacing w:after="0"/>
        <w:rPr>
          <w:sz w:val="20"/>
          <w:szCs w:val="20"/>
          <w:color w:val="auto"/>
        </w:rPr>
      </w:pPr>
      <w:r>
        <w:rPr>
          <w:rFonts w:ascii="Arial" w:cs="Arial" w:eastAsia="Arial" w:hAnsi="Arial"/>
          <w:sz w:val="15"/>
          <w:szCs w:val="15"/>
          <w:b w:val="1"/>
          <w:bCs w:val="1"/>
          <w:color w:val="auto"/>
        </w:rPr>
        <w:t>Exhibit 99.1</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19"/>
                <w:szCs w:val="19"/>
                <w:b w:val="1"/>
                <w:bCs w:val="1"/>
                <w:color w:val="auto"/>
              </w:rPr>
              <w:t>For investor and media inquiries, please contact:</w:t>
            </w: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4"/>
        </w:trPr>
        <w:tc>
          <w:tcPr>
            <w:tcW w:w="4960" w:type="dxa"/>
            <w:vAlign w:val="bottom"/>
          </w:tcPr>
          <w:p>
            <w:pPr>
              <w:spacing w:after="0"/>
              <w:rPr>
                <w:sz w:val="20"/>
                <w:szCs w:val="20"/>
                <w:color w:val="auto"/>
              </w:rPr>
            </w:pPr>
            <w:r>
              <w:rPr>
                <w:rFonts w:ascii="Arial" w:cs="Arial" w:eastAsia="Arial" w:hAnsi="Arial"/>
                <w:sz w:val="19"/>
                <w:szCs w:val="19"/>
                <w:b w:val="1"/>
                <w:bCs w:val="1"/>
                <w:color w:val="auto"/>
              </w:rPr>
              <w:t>In China:</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In the United States:</w:t>
            </w:r>
          </w:p>
        </w:tc>
      </w:tr>
      <w:tr>
        <w:trPr>
          <w:trHeight w:val="219"/>
        </w:trPr>
        <w:tc>
          <w:tcPr>
            <w:tcW w:w="4960" w:type="dxa"/>
            <w:vAlign w:val="bottom"/>
          </w:tcPr>
          <w:p>
            <w:pPr>
              <w:spacing w:after="0"/>
              <w:rPr>
                <w:sz w:val="20"/>
                <w:szCs w:val="20"/>
                <w:color w:val="auto"/>
              </w:rPr>
            </w:pPr>
            <w:r>
              <w:rPr>
                <w:rFonts w:ascii="Arial" w:cs="Arial" w:eastAsia="Arial" w:hAnsi="Arial"/>
                <w:sz w:val="19"/>
                <w:szCs w:val="19"/>
                <w:b w:val="1"/>
                <w:bCs w:val="1"/>
                <w:color w:val="auto"/>
              </w:rPr>
              <w:t>iClick Interactive Asia Group Limited</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Core IR</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Lisa Li</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Tom Caden</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Phone: +86-21-3230-3931 #866</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Tel: +1-516-222-2560</w:t>
            </w:r>
          </w:p>
        </w:tc>
      </w:tr>
      <w:tr>
        <w:trPr>
          <w:trHeight w:val="194"/>
        </w:trPr>
        <w:tc>
          <w:tcPr>
            <w:tcW w:w="4960" w:type="dxa"/>
            <w:vAlign w:val="bottom"/>
          </w:tcPr>
          <w:p>
            <w:pPr>
              <w:spacing w:after="0" w:line="194" w:lineRule="exact"/>
              <w:rPr>
                <w:sz w:val="20"/>
                <w:szCs w:val="20"/>
                <w:color w:val="auto"/>
              </w:rPr>
            </w:pPr>
            <w:r>
              <w:rPr>
                <w:rFonts w:ascii="Arial" w:cs="Arial" w:eastAsia="Arial" w:hAnsi="Arial"/>
                <w:sz w:val="19"/>
                <w:szCs w:val="19"/>
                <w:color w:val="auto"/>
              </w:rPr>
              <w:t>E-mail: ir@i-click.com</w:t>
            </w:r>
          </w:p>
        </w:tc>
        <w:tc>
          <w:tcPr>
            <w:tcW w:w="3020" w:type="dxa"/>
            <w:vAlign w:val="bottom"/>
            <w:gridSpan w:val="2"/>
          </w:tcPr>
          <w:p>
            <w:pPr>
              <w:ind w:left="1080"/>
              <w:spacing w:after="0" w:line="194" w:lineRule="exact"/>
              <w:rPr>
                <w:sz w:val="20"/>
                <w:szCs w:val="20"/>
                <w:color w:val="auto"/>
              </w:rPr>
            </w:pPr>
            <w:r>
              <w:rPr>
                <w:rFonts w:ascii="Arial" w:cs="Arial" w:eastAsia="Arial" w:hAnsi="Arial"/>
                <w:sz w:val="19"/>
                <w:szCs w:val="19"/>
                <w:color w:val="auto"/>
                <w:w w:val="89"/>
              </w:rPr>
              <w:t>E-mail: tomc@coreir.com</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2022-01-25T15:12:48Z</dcterms:created>
  <dcterms:modified xsi:type="dcterms:W3CDTF">2022-01-25T15:12:48Z</dcterms:modified>
</cp:coreProperties>
</file>