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 2023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Jennifer Thompson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Re:</w:t>
        <w:tab/>
        <w:t>iClick Interactive Asia Group Limited (the “Company”)</w:t>
      </w:r>
    </w:p>
    <w:p>
      <w:pPr>
        <w:spacing w:after="0" w:line="3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Form 20-F for the Year Ended December 31, 2022 (“FY 2022 20-F”)</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Filed May 11, 2023</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File No. 001-38313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Wiley and Ms. Thompson:</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confirms receipt of the comments on its FY 2022 20-F from the Securities and Exchange Commission dated July 20, 2023 (the “Comment Letter”). The Company respectfully requests an extension to respond to the Comment Letter and will provide its responses via EDGAR as soon as possible, and in any event no later than August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additional questions regarding the FY 2022 20-F, please contact Mr. David Zhang, the Chief Financial Officer of iClick Interactive Asia Group Limited, by telephone at +852 3700 9000 or via e-mail at david.zhang@i-click.com.</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Shuang Zhao, Partner,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2024-01-15T00:19:16Z</dcterms:created>
  <dcterms:modified xsi:type="dcterms:W3CDTF">2024-01-15T00:19:16Z</dcterms:modified>
</cp:coreProperties>
</file>