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CLEARY GOTTLIEB STEEN &amp; HAMILTON LLP</w:t>
      </w:r>
    </w:p>
    <w:p>
      <w:pPr>
        <w:sectPr>
          <w:pgSz w:w="11900" w:h="16838" w:orient="portrait"/>
          <w:cols w:equalWidth="0" w:num="1">
            <w:col w:w="11240"/>
          </w:cols>
          <w:pgMar w:left="320" w:top="225" w:right="339" w:bottom="1440" w:gutter="0" w:footer="0" w:header="0"/>
        </w:sectPr>
      </w:pP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PARIS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BRUSSELS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LONDON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FRANKFURT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COLOGNE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MOSCOW</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VIA EDGAR AND OVERNIGHT COURIER</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Barbara C. Jacobs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Office of Information Technologies and Services</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20549-7561</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27" w:lineRule="exact"/>
        <w:rPr>
          <w:sz w:val="24"/>
          <w:szCs w:val="24"/>
          <w:color w:val="auto"/>
        </w:rPr>
      </w:pPr>
    </w:p>
    <w:p>
      <w:pPr>
        <w:jc w:val="center"/>
        <w:ind w:right="2760"/>
        <w:spacing w:after="0"/>
        <w:rPr>
          <w:sz w:val="20"/>
          <w:szCs w:val="20"/>
          <w:color w:val="auto"/>
        </w:rPr>
      </w:pPr>
      <w:r>
        <w:rPr>
          <w:rFonts w:ascii="Times New Roman" w:cs="Times New Roman" w:eastAsia="Times New Roman" w:hAnsi="Times New Roman"/>
          <w:sz w:val="17"/>
          <w:szCs w:val="17"/>
          <w:color w:val="auto"/>
        </w:rPr>
        <w:t>New York, NY 10006-1470</w:t>
      </w:r>
    </w:p>
    <w:p>
      <w:pPr>
        <w:spacing w:after="0" w:line="20" w:lineRule="exact"/>
        <w:rPr>
          <w:sz w:val="24"/>
          <w:szCs w:val="24"/>
          <w:color w:val="auto"/>
        </w:rPr>
      </w:pPr>
    </w:p>
    <w:p>
      <w:pPr>
        <w:ind w:left="480" w:hanging="198"/>
        <w:spacing w:after="0"/>
        <w:tabs>
          <w:tab w:leader="none" w:pos="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+1 212 225 2000</w:t>
      </w:r>
    </w:p>
    <w:p>
      <w:pPr>
        <w:spacing w:after="0" w:line="8" w:lineRule="exact"/>
        <w:rPr>
          <w:rFonts w:ascii="Times New Roman" w:cs="Times New Roman" w:eastAsia="Times New Roman" w:hAnsi="Times New Roman"/>
          <w:sz w:val="18"/>
          <w:szCs w:val="18"/>
          <w:color w:val="auto"/>
        </w:rPr>
      </w:pPr>
    </w:p>
    <w:p>
      <w:pPr>
        <w:ind w:left="480" w:hanging="197"/>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+1 212 225 3999</w:t>
      </w:r>
    </w:p>
    <w:p>
      <w:pPr>
        <w:spacing w:after="0" w:line="11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clearygottlieb.com</w:t>
      </w:r>
    </w:p>
    <w:p>
      <w:pPr>
        <w:spacing w:after="0" w:line="130" w:lineRule="exact"/>
        <w:rPr>
          <w:sz w:val="24"/>
          <w:szCs w:val="24"/>
          <w:color w:val="auto"/>
        </w:rPr>
      </w:pPr>
    </w:p>
    <w:p>
      <w:pPr>
        <w:ind w:left="360" w:right="3040" w:hanging="70"/>
        <w:spacing w:after="0" w:line="281" w:lineRule="auto"/>
        <w:tabs>
          <w:tab w:leader="none" w:pos="5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+852 2532 3783 szhao@cgsh.com</w:t>
      </w:r>
    </w:p>
    <w:p>
      <w:pPr>
        <w:spacing w:after="0" w:line="17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22, 2017</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ROME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MILAN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BEIJING</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BUENOS AIRES</w:t>
      </w:r>
    </w:p>
    <w:p>
      <w:pPr>
        <w:spacing w:after="0" w:line="2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SÃO PAULO</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ABU DHABI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SEOUL</w:t>
      </w:r>
    </w:p>
    <w:p>
      <w:pPr>
        <w:spacing w:after="0" w:line="2826" w:lineRule="exact"/>
        <w:rPr>
          <w:sz w:val="24"/>
          <w:szCs w:val="24"/>
          <w:color w:val="auto"/>
        </w:rPr>
      </w:pPr>
    </w:p>
    <w:p>
      <w:pPr>
        <w:sectPr>
          <w:pgSz w:w="11900" w:h="16838" w:orient="portrait"/>
          <w:cols w:equalWidth="0" w:num="3">
            <w:col w:w="4020" w:space="720"/>
            <w:col w:w="4740" w:space="480"/>
            <w:col w:w="1280"/>
          </w:cols>
          <w:pgMar w:left="320" w:top="225" w:right="339" w:bottom="1440" w:gutter="0" w:footer="0" w:header="0"/>
          <w:type w:val="continuous"/>
        </w:sectPr>
      </w:pPr>
    </w:p>
    <w:p>
      <w:pPr>
        <w:spacing w:after="0" w:line="28" w:lineRule="exact"/>
        <w:rPr>
          <w:sz w:val="24"/>
          <w:szCs w:val="24"/>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iClick Interactive Asia Group Limited</w:t>
      </w:r>
    </w:p>
    <w:p>
      <w:pPr>
        <w:spacing w:after="0" w:line="31"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Amendment No. 1 to Registration Statement on Form F-1 (File No: 333-221034)</w:t>
      </w:r>
    </w:p>
    <w:p>
      <w:pPr>
        <w:spacing w:after="0" w:line="9"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CIK No. 0001697818</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Jacobs:</w:t>
      </w:r>
    </w:p>
    <w:p>
      <w:pPr>
        <w:spacing w:after="0" w:line="224" w:lineRule="exact"/>
        <w:rPr>
          <w:sz w:val="24"/>
          <w:szCs w:val="24"/>
          <w:color w:val="auto"/>
        </w:rPr>
      </w:pPr>
    </w:p>
    <w:p>
      <w:pPr>
        <w:ind w:right="100" w:firstLine="899"/>
        <w:spacing w:after="0" w:line="260" w:lineRule="auto"/>
        <w:rPr>
          <w:sz w:val="20"/>
          <w:szCs w:val="20"/>
          <w:color w:val="auto"/>
        </w:rPr>
      </w:pPr>
      <w:r>
        <w:rPr>
          <w:rFonts w:ascii="Times New Roman" w:cs="Times New Roman" w:eastAsia="Times New Roman" w:hAnsi="Times New Roman"/>
          <w:sz w:val="18"/>
          <w:szCs w:val="18"/>
          <w:color w:val="auto"/>
        </w:rPr>
        <w:t>On behalf of our client, iClick Interactive Asia Group Limited, a company organized under the laws of the Cayman Islands (the “Company”), we are filing herewith the Amendment No. 1 to the Company’s registration statement on Form F-1 (the “Registration Statement”) via EDGAR to the Securities and Exchange Commission (the “Commission”). To facilitate your review, we have separately delivered to you today four courtesy copies of the Registration Statement, marked to show changes to the registration statement publicly filed with the Commission on October 20, 2017.</w:t>
      </w:r>
    </w:p>
    <w:p>
      <w:pPr>
        <w:spacing w:after="0" w:line="181" w:lineRule="exact"/>
        <w:rPr>
          <w:sz w:val="24"/>
          <w:szCs w:val="24"/>
          <w:color w:val="auto"/>
        </w:rPr>
      </w:pPr>
    </w:p>
    <w:p>
      <w:pPr>
        <w:jc w:val="both"/>
        <w:ind w:right="240" w:firstLine="899"/>
        <w:spacing w:after="0" w:line="265" w:lineRule="auto"/>
        <w:rPr>
          <w:sz w:val="20"/>
          <w:szCs w:val="20"/>
          <w:color w:val="auto"/>
        </w:rPr>
      </w:pPr>
      <w:r>
        <w:rPr>
          <w:rFonts w:ascii="Times New Roman" w:cs="Times New Roman" w:eastAsia="Times New Roman" w:hAnsi="Times New Roman"/>
          <w:sz w:val="18"/>
          <w:szCs w:val="18"/>
          <w:color w:val="auto"/>
        </w:rPr>
        <w:t>The Company has also updated the reconciliation of gross billing, net revenues, rebates, incentives, and cost of revenues by specified–action model, cost-plus model and sales agency model with the nine months ended September 30, 2017 financials. The reconciliation table is attached hereto as Annex A. Capitalized terms used but not otherwise defined herein have the meanings set forth in the Registration Statement.</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Cleary Gottlieb Steen &amp; Hamilton LLP or an affiliated entity has an office in each of the cities listed above.</w:t>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4</w:t>
      </w:r>
    </w:p>
    <w:p>
      <w:pPr>
        <w:spacing w:after="0" w:line="138" w:lineRule="exact"/>
        <w:rPr>
          <w:sz w:val="20"/>
          <w:szCs w:val="20"/>
          <w:color w:val="auto"/>
        </w:rPr>
      </w:pPr>
    </w:p>
    <w:p>
      <w:pPr>
        <w:ind w:firstLine="899"/>
        <w:spacing w:after="0" w:line="281" w:lineRule="auto"/>
        <w:rPr>
          <w:sz w:val="20"/>
          <w:szCs w:val="20"/>
          <w:color w:val="auto"/>
        </w:rPr>
      </w:pPr>
      <w:r>
        <w:rPr>
          <w:rFonts w:ascii="Times New Roman" w:cs="Times New Roman" w:eastAsia="Times New Roman" w:hAnsi="Times New Roman"/>
          <w:sz w:val="18"/>
          <w:szCs w:val="18"/>
          <w:color w:val="auto"/>
        </w:rPr>
        <w:t>The Company expects to file an amendment to the Registration Statement containing the estimated price range and offering size and launch the road show on or around November 30, 2017 and would appreciate the Staff’s prompt feedbacks to this filing.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00"/>
          </w:cols>
          <w:pgMar w:left="320" w:top="269"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 of 4</w:t>
      </w:r>
    </w:p>
    <w:p>
      <w:pPr>
        <w:spacing w:after="0" w:line="138" w:lineRule="exact"/>
        <w:rPr>
          <w:sz w:val="20"/>
          <w:szCs w:val="20"/>
          <w:color w:val="auto"/>
        </w:rPr>
      </w:pPr>
    </w:p>
    <w:p>
      <w:pPr>
        <w:ind w:firstLine="899"/>
        <w:spacing w:after="0" w:line="281" w:lineRule="auto"/>
        <w:rPr>
          <w:sz w:val="20"/>
          <w:szCs w:val="20"/>
          <w:color w:val="auto"/>
        </w:rPr>
      </w:pPr>
      <w:r>
        <w:rPr>
          <w:rFonts w:ascii="Times New Roman" w:cs="Times New Roman" w:eastAsia="Times New Roman" w:hAnsi="Times New Roman"/>
          <w:sz w:val="18"/>
          <w:szCs w:val="18"/>
          <w:color w:val="auto"/>
        </w:rPr>
        <w:t>Should you have any questions about the responses contained herein, please contact the undersigned by phone at +852-2532-3783 or via e-mail at szhao@cgsh.com.</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24" w:lineRule="exact"/>
        <w:rPr>
          <w:sz w:val="20"/>
          <w:szCs w:val="20"/>
          <w:color w:val="auto"/>
        </w:rPr>
      </w:pPr>
    </w:p>
    <w:p>
      <w:pPr>
        <w:ind w:left="6760"/>
        <w:spacing w:after="0"/>
        <w:tabs>
          <w:tab w:leader="none" w:pos="8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Shuang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4520565</wp:posOffset>
            </wp:positionH>
            <wp:positionV relativeFrom="paragraph">
              <wp:posOffset>17145</wp:posOffset>
            </wp:positionV>
            <wp:extent cx="2616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6835" cy="8255"/>
                    </a:xfrm>
                    <a:prstGeom prst="rect">
                      <a:avLst/>
                    </a:prstGeom>
                    <a:noFill/>
                  </pic:spPr>
                </pic:pic>
              </a:graphicData>
            </a:graphic>
          </wp:anchor>
        </w:drawing>
      </w:r>
    </w:p>
    <w:p>
      <w:pPr>
        <w:spacing w:after="0" w:line="15"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Shuang ZHAO, a Partner</w:t>
      </w:r>
    </w:p>
    <w:p>
      <w:pPr>
        <w:spacing w:after="0" w:line="251" w:lineRule="exact"/>
        <w:rPr>
          <w:sz w:val="20"/>
          <w:szCs w:val="20"/>
          <w:color w:val="auto"/>
        </w:rPr>
      </w:pPr>
    </w:p>
    <w:p>
      <w:pPr>
        <w:ind w:left="460" w:right="4060" w:hanging="452"/>
        <w:spacing w:after="0" w:line="260"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Sammy Hsieh, Chairman and Chief Executive Officer, iClick Interactive Asia Group Limited Jill Jiao, Chief Financial Officer, iClick Interactive Asia Group Limited</w:t>
      </w:r>
    </w:p>
    <w:p>
      <w:pPr>
        <w:ind w:left="460" w:right="59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Shuang Zhao, Esq., Partner, Cleary Gottlieb Steen &amp; Hamilton LLP James C. Lin, Esq., Partner, Davis Polk &amp; Wardwell LLP Wilson Chow, Partner, PricewaterhouseCoopers</w:t>
      </w:r>
    </w:p>
    <w:p>
      <w:pPr>
        <w:sectPr>
          <w:pgSz w:w="11900" w:h="16838" w:orient="portrait"/>
          <w:cols w:equalWidth="0" w:num="1">
            <w:col w:w="11220"/>
          </w:cols>
          <w:pgMar w:left="320" w:top="269"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22,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 of 4</w:t>
      </w:r>
    </w:p>
    <w:p>
      <w:pPr>
        <w:spacing w:after="0" w:line="13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40"/>
              <w:spacing w:after="0"/>
              <w:rPr>
                <w:sz w:val="20"/>
                <w:szCs w:val="20"/>
                <w:color w:val="auto"/>
              </w:rPr>
            </w:pPr>
            <w:r>
              <w:rPr>
                <w:rFonts w:ascii="Times New Roman" w:cs="Times New Roman" w:eastAsia="Times New Roman" w:hAnsi="Times New Roman"/>
                <w:sz w:val="14"/>
                <w:szCs w:val="14"/>
                <w:color w:val="auto"/>
              </w:rPr>
              <w:t>Specified-Actions</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color w:val="auto"/>
              </w:rPr>
              <w:t>Cost-Plus</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color w:val="auto"/>
              </w:rPr>
              <w:t>Sales Agent</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Years Ended December 31,</w:t>
            </w:r>
          </w:p>
        </w:tc>
        <w:tc>
          <w:tcPr>
            <w:tcW w:w="1400" w:type="dxa"/>
            <w:vAlign w:val="bottom"/>
            <w:gridSpan w:val="3"/>
          </w:tcPr>
          <w:p>
            <w:pPr>
              <w:jc w:val="right"/>
              <w:ind w:right="32"/>
              <w:spacing w:after="0" w:line="119" w:lineRule="exact"/>
              <w:rPr>
                <w:sz w:val="20"/>
                <w:szCs w:val="20"/>
                <w:color w:val="auto"/>
              </w:rPr>
            </w:pPr>
            <w:r>
              <w:rPr>
                <w:rFonts w:ascii="Times New Roman" w:cs="Times New Roman" w:eastAsia="Times New Roman" w:hAnsi="Times New Roman"/>
                <w:sz w:val="13"/>
                <w:szCs w:val="13"/>
                <w:color w:val="auto"/>
              </w:rPr>
              <w:t>Nine Months Ended</w:t>
            </w:r>
          </w:p>
        </w:tc>
        <w:tc>
          <w:tcPr>
            <w:tcW w:w="160" w:type="dxa"/>
            <w:vAlign w:val="bottom"/>
          </w:tcPr>
          <w:p>
            <w:pPr>
              <w:spacing w:after="0"/>
              <w:rPr>
                <w:sz w:val="10"/>
                <w:szCs w:val="10"/>
                <w:color w:val="auto"/>
              </w:rPr>
            </w:pPr>
          </w:p>
        </w:tc>
        <w:tc>
          <w:tcPr>
            <w:tcW w:w="17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Years Ended December 31,</w:t>
            </w:r>
          </w:p>
        </w:tc>
        <w:tc>
          <w:tcPr>
            <w:tcW w:w="1420" w:type="dxa"/>
            <w:vAlign w:val="bottom"/>
            <w:gridSpan w:val="3"/>
          </w:tcPr>
          <w:p>
            <w:pPr>
              <w:jc w:val="right"/>
              <w:ind w:right="52"/>
              <w:spacing w:after="0" w:line="119" w:lineRule="exact"/>
              <w:rPr>
                <w:sz w:val="20"/>
                <w:szCs w:val="20"/>
                <w:color w:val="auto"/>
              </w:rPr>
            </w:pPr>
            <w:r>
              <w:rPr>
                <w:rFonts w:ascii="Times New Roman" w:cs="Times New Roman" w:eastAsia="Times New Roman" w:hAnsi="Times New Roman"/>
                <w:sz w:val="13"/>
                <w:szCs w:val="13"/>
                <w:color w:val="auto"/>
              </w:rPr>
              <w:t>Nine Months Ended</w:t>
            </w:r>
          </w:p>
        </w:tc>
        <w:tc>
          <w:tcPr>
            <w:tcW w:w="160" w:type="dxa"/>
            <w:vAlign w:val="bottom"/>
          </w:tcPr>
          <w:p>
            <w:pPr>
              <w:spacing w:after="0"/>
              <w:rPr>
                <w:sz w:val="10"/>
                <w:szCs w:val="10"/>
                <w:color w:val="auto"/>
              </w:rPr>
            </w:pPr>
          </w:p>
        </w:tc>
        <w:tc>
          <w:tcPr>
            <w:tcW w:w="174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Years Ended December 31,</w:t>
            </w:r>
          </w:p>
        </w:tc>
        <w:tc>
          <w:tcPr>
            <w:tcW w:w="1400" w:type="dxa"/>
            <w:vAlign w:val="bottom"/>
            <w:gridSpan w:val="3"/>
          </w:tcPr>
          <w:p>
            <w:pPr>
              <w:jc w:val="right"/>
              <w:ind w:right="32"/>
              <w:spacing w:after="0" w:line="119" w:lineRule="exact"/>
              <w:rPr>
                <w:sz w:val="20"/>
                <w:szCs w:val="20"/>
                <w:color w:val="auto"/>
              </w:rPr>
            </w:pPr>
            <w:r>
              <w:rPr>
                <w:rFonts w:ascii="Times New Roman" w:cs="Times New Roman" w:eastAsia="Times New Roman" w:hAnsi="Times New Roman"/>
                <w:sz w:val="13"/>
                <w:szCs w:val="13"/>
                <w:color w:val="auto"/>
              </w:rPr>
              <w:t>Nine Months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560" w:type="dxa"/>
            <w:vAlign w:val="bottom"/>
            <w:gridSpan w:val="4"/>
          </w:tcPr>
          <w:p>
            <w:pPr>
              <w:jc w:val="right"/>
              <w:ind w:right="460"/>
              <w:spacing w:after="0" w:line="148" w:lineRule="exact"/>
              <w:rPr>
                <w:sz w:val="20"/>
                <w:szCs w:val="20"/>
                <w:color w:val="auto"/>
              </w:rPr>
            </w:pPr>
            <w:r>
              <w:rPr>
                <w:rFonts w:ascii="Times New Roman" w:cs="Times New Roman" w:eastAsia="Times New Roman" w:hAnsi="Times New Roman"/>
                <w:sz w:val="14"/>
                <w:szCs w:val="14"/>
                <w:color w:val="auto"/>
              </w:rPr>
              <w:t>September 30,</w:t>
            </w:r>
          </w:p>
        </w:tc>
        <w:tc>
          <w:tcPr>
            <w:tcW w:w="1740" w:type="dxa"/>
            <w:vAlign w:val="bottom"/>
            <w:gridSpan w:val="4"/>
            <w:vMerge w:val="continue"/>
          </w:tcPr>
          <w:p>
            <w:pPr>
              <w:spacing w:after="0"/>
              <w:rPr>
                <w:sz w:val="12"/>
                <w:szCs w:val="12"/>
                <w:color w:val="auto"/>
              </w:rPr>
            </w:pPr>
          </w:p>
        </w:tc>
        <w:tc>
          <w:tcPr>
            <w:tcW w:w="1580" w:type="dxa"/>
            <w:vAlign w:val="bottom"/>
            <w:gridSpan w:val="4"/>
          </w:tcPr>
          <w:p>
            <w:pPr>
              <w:jc w:val="right"/>
              <w:ind w:right="460"/>
              <w:spacing w:after="0" w:line="148" w:lineRule="exact"/>
              <w:rPr>
                <w:sz w:val="20"/>
                <w:szCs w:val="20"/>
                <w:color w:val="auto"/>
              </w:rPr>
            </w:pPr>
            <w:r>
              <w:rPr>
                <w:rFonts w:ascii="Times New Roman" w:cs="Times New Roman" w:eastAsia="Times New Roman" w:hAnsi="Times New Roman"/>
                <w:sz w:val="14"/>
                <w:szCs w:val="14"/>
                <w:color w:val="auto"/>
              </w:rPr>
              <w:t>September 30,</w:t>
            </w:r>
          </w:p>
        </w:tc>
        <w:tc>
          <w:tcPr>
            <w:tcW w:w="1740" w:type="dxa"/>
            <w:vAlign w:val="bottom"/>
            <w:gridSpan w:val="4"/>
            <w:vMerge w:val="continue"/>
          </w:tcPr>
          <w:p>
            <w:pPr>
              <w:spacing w:after="0"/>
              <w:rPr>
                <w:sz w:val="12"/>
                <w:szCs w:val="12"/>
                <w:color w:val="auto"/>
              </w:rPr>
            </w:pPr>
          </w:p>
        </w:tc>
        <w:tc>
          <w:tcPr>
            <w:tcW w:w="1500" w:type="dxa"/>
            <w:vAlign w:val="bottom"/>
            <w:gridSpan w:val="4"/>
          </w:tcPr>
          <w:p>
            <w:pPr>
              <w:jc w:val="right"/>
              <w:ind w:right="380"/>
              <w:spacing w:after="0" w:line="148" w:lineRule="exact"/>
              <w:rPr>
                <w:sz w:val="20"/>
                <w:szCs w:val="20"/>
                <w:color w:val="auto"/>
              </w:rPr>
            </w:pPr>
            <w:r>
              <w:rPr>
                <w:rFonts w:ascii="Times New Roman" w:cs="Times New Roman" w:eastAsia="Times New Roman" w:hAnsi="Times New Roman"/>
                <w:sz w:val="14"/>
                <w:szCs w:val="14"/>
                <w:color w:val="auto"/>
              </w:rPr>
              <w:t>September 30,</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2015</w:t>
            </w:r>
          </w:p>
        </w:tc>
        <w:tc>
          <w:tcPr>
            <w:tcW w:w="18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2016</w:t>
            </w:r>
          </w:p>
        </w:tc>
        <w:tc>
          <w:tcPr>
            <w:tcW w:w="160" w:type="dxa"/>
            <w:vAlign w:val="bottom"/>
          </w:tcPr>
          <w:p>
            <w:pPr>
              <w:spacing w:after="0"/>
              <w:rPr>
                <w:sz w:val="14"/>
                <w:szCs w:val="14"/>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2016</w:t>
            </w:r>
          </w:p>
        </w:tc>
        <w:tc>
          <w:tcPr>
            <w:tcW w:w="160" w:type="dxa"/>
            <w:vAlign w:val="bottom"/>
          </w:tcPr>
          <w:p>
            <w:pPr>
              <w:spacing w:after="0"/>
              <w:rPr>
                <w:sz w:val="14"/>
                <w:szCs w:val="14"/>
                <w:color w:val="auto"/>
              </w:rPr>
            </w:pP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4"/>
                <w:szCs w:val="14"/>
                <w:color w:val="auto"/>
              </w:rPr>
              <w:t>2017</w:t>
            </w:r>
          </w:p>
        </w:tc>
        <w:tc>
          <w:tcPr>
            <w:tcW w:w="1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2015</w:t>
            </w:r>
          </w:p>
        </w:tc>
        <w:tc>
          <w:tcPr>
            <w:tcW w:w="16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2016</w:t>
            </w:r>
          </w:p>
        </w:tc>
        <w:tc>
          <w:tcPr>
            <w:tcW w:w="160" w:type="dxa"/>
            <w:vAlign w:val="bottom"/>
          </w:tcPr>
          <w:p>
            <w:pPr>
              <w:spacing w:after="0"/>
              <w:rPr>
                <w:sz w:val="14"/>
                <w:szCs w:val="14"/>
                <w:color w:val="auto"/>
              </w:rPr>
            </w:pPr>
          </w:p>
        </w:tc>
        <w:tc>
          <w:tcPr>
            <w:tcW w:w="640" w:type="dxa"/>
            <w:vAlign w:val="bottom"/>
          </w:tcPr>
          <w:p>
            <w:pPr>
              <w:jc w:val="right"/>
              <w:ind w:right="95"/>
              <w:spacing w:after="0"/>
              <w:rPr>
                <w:sz w:val="20"/>
                <w:szCs w:val="20"/>
                <w:color w:val="auto"/>
              </w:rPr>
            </w:pPr>
            <w:r>
              <w:rPr>
                <w:rFonts w:ascii="Times New Roman" w:cs="Times New Roman" w:eastAsia="Times New Roman" w:hAnsi="Times New Roman"/>
                <w:sz w:val="14"/>
                <w:szCs w:val="14"/>
                <w:color w:val="auto"/>
              </w:rPr>
              <w:t>2016</w:t>
            </w:r>
          </w:p>
        </w:tc>
        <w:tc>
          <w:tcPr>
            <w:tcW w:w="160" w:type="dxa"/>
            <w:vAlign w:val="bottom"/>
          </w:tcPr>
          <w:p>
            <w:pPr>
              <w:spacing w:after="0"/>
              <w:rPr>
                <w:sz w:val="14"/>
                <w:szCs w:val="14"/>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2017</w:t>
            </w:r>
          </w:p>
        </w:tc>
        <w:tc>
          <w:tcPr>
            <w:tcW w:w="160" w:type="dxa"/>
            <w:vAlign w:val="bottom"/>
          </w:tcPr>
          <w:p>
            <w:pPr>
              <w:spacing w:after="0"/>
              <w:rPr>
                <w:sz w:val="14"/>
                <w:szCs w:val="14"/>
                <w:color w:val="auto"/>
              </w:rPr>
            </w:pPr>
          </w:p>
        </w:tc>
        <w:tc>
          <w:tcPr>
            <w:tcW w:w="680" w:type="dxa"/>
            <w:vAlign w:val="bottom"/>
          </w:tcPr>
          <w:p>
            <w:pPr>
              <w:jc w:val="right"/>
              <w:ind w:right="114"/>
              <w:spacing w:after="0"/>
              <w:rPr>
                <w:sz w:val="20"/>
                <w:szCs w:val="20"/>
                <w:color w:val="auto"/>
              </w:rPr>
            </w:pPr>
            <w:r>
              <w:rPr>
                <w:rFonts w:ascii="Times New Roman" w:cs="Times New Roman" w:eastAsia="Times New Roman" w:hAnsi="Times New Roman"/>
                <w:sz w:val="14"/>
                <w:szCs w:val="14"/>
                <w:color w:val="auto"/>
              </w:rPr>
              <w:t>2015</w:t>
            </w:r>
          </w:p>
        </w:tc>
        <w:tc>
          <w:tcPr>
            <w:tcW w:w="18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4"/>
                <w:szCs w:val="14"/>
                <w:color w:val="auto"/>
              </w:rPr>
              <w:t>2016</w:t>
            </w:r>
          </w:p>
        </w:tc>
        <w:tc>
          <w:tcPr>
            <w:tcW w:w="160" w:type="dxa"/>
            <w:vAlign w:val="bottom"/>
          </w:tcPr>
          <w:p>
            <w:pPr>
              <w:spacing w:after="0"/>
              <w:rPr>
                <w:sz w:val="14"/>
                <w:szCs w:val="14"/>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4"/>
                <w:szCs w:val="14"/>
                <w:color w:val="auto"/>
              </w:rPr>
              <w:t>2016</w:t>
            </w:r>
          </w:p>
        </w:tc>
        <w:tc>
          <w:tcPr>
            <w:tcW w:w="160" w:type="dxa"/>
            <w:vAlign w:val="bottom"/>
          </w:tcPr>
          <w:p>
            <w:pPr>
              <w:spacing w:after="0"/>
              <w:rPr>
                <w:sz w:val="14"/>
                <w:szCs w:val="14"/>
                <w:color w:val="auto"/>
              </w:rPr>
            </w:pP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480" w:type="dxa"/>
            <w:vAlign w:val="bottom"/>
            <w:gridSpan w:val="4"/>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Gross billings from</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marketers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42,716</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80,449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57,730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82,035</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120,380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131,097</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101,601</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67,610</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35,142</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45,400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35,610</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28,867</w:t>
            </w:r>
          </w:p>
        </w:tc>
        <w:tc>
          <w:tcPr>
            <w:tcW w:w="0" w:type="dxa"/>
            <w:vAlign w:val="bottom"/>
          </w:tcPr>
          <w:p>
            <w:pPr>
              <w:spacing w:after="0"/>
              <w:rPr>
                <w:sz w:val="1"/>
                <w:szCs w:val="1"/>
                <w:color w:val="auto"/>
              </w:rPr>
            </w:pPr>
          </w:p>
        </w:tc>
      </w:tr>
      <w:tr>
        <w:trPr>
          <w:trHeight w:val="197"/>
        </w:trPr>
        <w:tc>
          <w:tcPr>
            <w:tcW w:w="1480" w:type="dxa"/>
            <w:vAlign w:val="bottom"/>
            <w:gridSpan w:val="4"/>
          </w:tcPr>
          <w:p>
            <w:pPr>
              <w:spacing w:after="0" w:line="197" w:lineRule="exact"/>
              <w:rPr>
                <w:sz w:val="20"/>
                <w:szCs w:val="20"/>
                <w:color w:val="auto"/>
              </w:rPr>
            </w:pPr>
            <w:r>
              <w:rPr>
                <w:rFonts w:ascii="Times New Roman" w:cs="Times New Roman" w:eastAsia="Times New Roman" w:hAnsi="Times New Roman"/>
                <w:sz w:val="18"/>
                <w:szCs w:val="18"/>
                <w:color w:val="auto"/>
              </w:rPr>
              <w:t>Rebates to</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marketers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(4,032)</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(9,575)</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(13,733)</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(7,243)</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(5,243)</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1480" w:type="dxa"/>
            <w:vAlign w:val="bottom"/>
            <w:gridSpan w:val="4"/>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Gross media cost</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publishers</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(111,617)</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(121,273)</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(94,944)</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(62,977)</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(35,142)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(45,400)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(35,610)</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(28,867)</w:t>
            </w:r>
          </w:p>
        </w:tc>
        <w:tc>
          <w:tcPr>
            <w:tcW w:w="0" w:type="dxa"/>
            <w:vAlign w:val="bottom"/>
          </w:tcPr>
          <w:p>
            <w:pPr>
              <w:spacing w:after="0"/>
              <w:rPr>
                <w:sz w:val="1"/>
                <w:szCs w:val="1"/>
                <w:color w:val="auto"/>
              </w:rPr>
            </w:pPr>
          </w:p>
        </w:tc>
      </w:tr>
      <w:tr>
        <w:trPr>
          <w:trHeight w:val="197"/>
        </w:trPr>
        <w:tc>
          <w:tcPr>
            <w:tcW w:w="1480" w:type="dxa"/>
            <w:vAlign w:val="bottom"/>
            <w:gridSpan w:val="4"/>
          </w:tcPr>
          <w:p>
            <w:pPr>
              <w:spacing w:after="0" w:line="197" w:lineRule="exact"/>
              <w:rPr>
                <w:sz w:val="20"/>
                <w:szCs w:val="20"/>
                <w:color w:val="auto"/>
              </w:rPr>
            </w:pPr>
            <w:r>
              <w:rPr>
                <w:rFonts w:ascii="Times New Roman" w:cs="Times New Roman" w:eastAsia="Times New Roman" w:hAnsi="Times New Roman"/>
                <w:sz w:val="18"/>
                <w:szCs w:val="18"/>
                <w:color w:val="auto"/>
              </w:rPr>
              <w:t>Rebates from</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publishers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24,430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15,285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1480" w:type="dxa"/>
            <w:vAlign w:val="bottom"/>
            <w:gridSpan w:val="4"/>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Incentives from the</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publisher</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7,098</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7,924</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6,595</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6,011</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3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72,055</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72,460</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19,460</w:t>
            </w:r>
          </w:p>
        </w:tc>
        <w:tc>
          <w:tcPr>
            <w:tcW w:w="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15,378</w:t>
            </w:r>
          </w:p>
        </w:tc>
        <w:tc>
          <w:tcPr>
            <w:tcW w:w="1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11,124</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7,924</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24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Included as cost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of revenues:</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media cost</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to publishers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(29,471)</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(59,914)</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(43,286)</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(71,782)</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1480" w:type="dxa"/>
            <w:vAlign w:val="bottom"/>
            <w:gridSpan w:val="4"/>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Rebates from</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publishers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531</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6,037</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3,832</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11,286</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1480" w:type="dxa"/>
            <w:vAlign w:val="bottom"/>
            <w:gridSpan w:val="4"/>
          </w:tcPr>
          <w:p>
            <w:pPr>
              <w:spacing w:after="0" w:line="197" w:lineRule="exact"/>
              <w:rPr>
                <w:sz w:val="20"/>
                <w:szCs w:val="20"/>
                <w:color w:val="auto"/>
              </w:rPr>
            </w:pPr>
            <w:r>
              <w:rPr>
                <w:rFonts w:ascii="Times New Roman" w:cs="Times New Roman" w:eastAsia="Times New Roman" w:hAnsi="Times New Roman"/>
                <w:sz w:val="18"/>
                <w:szCs w:val="18"/>
                <w:color w:val="auto"/>
              </w:rPr>
              <w:t>Rebates to</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marketers</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(3,291)</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(2,568)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(1,943)</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40"/>
      </w:cols>
      <w:pgMar w:left="320" w:top="2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0"/>
    </w:lvl>
  </w:abstractNum>
  <w:abstractNum w:abstractNumId="1">
    <w:nsid w:val="19495CFF"/>
    <w:multiLevelType w:val="hybridMultilevel"/>
    <w:lvl w:ilvl="0">
      <w:lvlJc w:val="left"/>
      <w:lvlText w:val="%1:"/>
      <w:numFmt w:val="upperLetter"/>
      <w:start w:val="6"/>
    </w:lvl>
  </w:abstractNum>
  <w:abstractNum w:abstractNumId="2">
    <w:nsid w:val="2AE8944A"/>
    <w:multiLevelType w:val="hybridMultilevel"/>
    <w:lvl w:ilvl="0">
      <w:lvlJc w:val="left"/>
      <w:lvlText w:val="%1:"/>
      <w:numFmt w:val="upperLetter"/>
      <w:start w:val="4"/>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2020-10-07T22:51:54Z</dcterms:created>
  <dcterms:modified xsi:type="dcterms:W3CDTF">2020-10-07T22:51:54Z</dcterms:modified>
</cp:coreProperties>
</file>