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SCHEDULE 13G</w:t>
      </w:r>
    </w:p>
    <w:p>
      <w:pPr>
        <w:spacing w:after="0" w:line="21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iClick Interactive Asia Group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Class A Ordinary Shares</w:t>
      </w:r>
    </w:p>
    <w:p>
      <w:pPr>
        <w:spacing w:after="0" w:line="31"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Class B Ordinary Shares</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G47048106</w:t>
      </w:r>
    </w:p>
    <w:p>
      <w:pPr>
        <w:spacing w:after="0" w:line="5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2017</w:t>
      </w:r>
    </w:p>
    <w:p>
      <w:pPr>
        <w:spacing w:after="0" w:line="4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13d-1(b)</w:t>
      </w:r>
    </w:p>
    <w:p>
      <w:pPr>
        <w:spacing w:after="0" w:line="117" w:lineRule="exact"/>
        <w:rPr>
          <w:rFonts w:ascii="Times New Roman" w:cs="Times New Roman" w:eastAsia="Times New Roman" w:hAnsi="Times New Roman"/>
          <w:sz w:val="18"/>
          <w:szCs w:val="18"/>
          <w:color w:val="auto"/>
        </w:rPr>
      </w:pPr>
    </w:p>
    <w:p>
      <w:pPr>
        <w:ind w:left="1140" w:hanging="637"/>
        <w:spacing w:after="0"/>
        <w:tabs>
          <w:tab w:leader="none" w:pos="11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13d-1(c)</w:t>
      </w:r>
    </w:p>
    <w:p>
      <w:pPr>
        <w:spacing w:after="0" w:line="117"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xRule 13d-1(d)</w:t>
      </w:r>
    </w:p>
    <w:p>
      <w:pPr>
        <w:spacing w:after="0" w:line="279"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CUSIP No. G47048106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right="8340" w:hanging="620"/>
        <w:spacing w:after="0" w:line="282" w:lineRule="auto"/>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 Czerny Holdings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11430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58" w:lineRule="exact"/>
        <w:rPr>
          <w:sz w:val="24"/>
          <w:szCs w:val="24"/>
          <w:color w:val="auto"/>
        </w:rPr>
      </w:pPr>
    </w:p>
    <w:p>
      <w:pPr>
        <w:ind w:left="1060" w:hanging="620"/>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17" w:lineRule="exact"/>
        <w:rPr>
          <w:rFonts w:ascii="Times New Roman" w:cs="Times New Roman" w:eastAsia="Times New Roman" w:hAnsi="Times New Roman"/>
          <w:sz w:val="18"/>
          <w:szCs w:val="18"/>
          <w:color w:val="auto"/>
        </w:rPr>
      </w:pPr>
    </w:p>
    <w:p>
      <w:pPr>
        <w:ind w:left="2220" w:hanging="1159"/>
        <w:spacing w:after="0"/>
        <w:tabs>
          <w:tab w:leader="none" w:pos="22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130" w:lineRule="exact"/>
        <w:rPr>
          <w:rFonts w:ascii="Times New Roman" w:cs="Times New Roman" w:eastAsia="Times New Roman" w:hAnsi="Times New Roman"/>
          <w:sz w:val="18"/>
          <w:szCs w:val="18"/>
          <w:color w:val="auto"/>
        </w:rPr>
      </w:pPr>
    </w:p>
    <w:p>
      <w:pPr>
        <w:ind w:left="2220" w:hanging="1159"/>
        <w:spacing w:after="0"/>
        <w:tabs>
          <w:tab w:leader="none" w:pos="22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1377315</wp:posOffset>
            </wp:positionH>
            <wp:positionV relativeFrom="paragraph">
              <wp:posOffset>51435</wp:posOffset>
            </wp:positionV>
            <wp:extent cx="58743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-161925</wp:posOffset>
            </wp:positionV>
            <wp:extent cx="58743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ind w:left="1060" w:hanging="620"/>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51435</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ind w:left="1060" w:right="7720" w:hanging="620"/>
        <w:spacing w:after="0" w:line="282" w:lineRule="auto"/>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British Virgin Islands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11430</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400"/>
          </w:cols>
          <w:pgMar w:left="240" w:top="432" w:right="259" w:bottom="0" w:gutter="0" w:footer="0" w:header="0"/>
        </w:sectPr>
      </w:pPr>
    </w:p>
    <w:p>
      <w:pPr>
        <w:spacing w:after="0" w:line="391"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73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26"/>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2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26"/>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Reporting</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2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Sole Voting Power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Shared Voting Power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887,616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Sole Dispositive Power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Shared Dispositive Power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887,616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2040" w:space="720"/>
            <w:col w:w="8640"/>
          </w:cols>
          <w:pgMar w:left="240" w:top="432" w:right="259" w:bottom="0" w:gutter="0" w:footer="0" w:header="0"/>
          <w:type w:val="continuous"/>
        </w:sectPr>
      </w:pPr>
    </w:p>
    <w:p>
      <w:pPr>
        <w:spacing w:after="0" w:line="223" w:lineRule="exact"/>
        <w:rPr>
          <w:sz w:val="24"/>
          <w:szCs w:val="24"/>
          <w:color w:val="auto"/>
        </w:rPr>
      </w:pPr>
    </w:p>
    <w:p>
      <w:pPr>
        <w:ind w:left="1060" w:hanging="620"/>
        <w:spacing w:after="0"/>
        <w:tabs>
          <w:tab w:leader="none" w:pos="10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w:t>
      </w:r>
    </w:p>
    <w:p>
      <w:pPr>
        <w:sectPr>
          <w:pgSz w:w="11900" w:h="16838" w:orient="portrait"/>
          <w:cols w:equalWidth="0" w:num="1">
            <w:col w:w="11400"/>
          </w:cols>
          <w:pgMar w:left="240" w:top="432" w:right="259" w:bottom="0" w:gutter="0" w:footer="0" w:header="0"/>
          <w:type w:val="continuous"/>
        </w:sectPr>
      </w:pPr>
    </w:p>
    <w:bookmarkStart w:id="1" w:name="page2"/>
    <w:bookmarkEnd w:id="1"/>
    <w:p>
      <w:pPr>
        <w:ind w:left="1052"/>
        <w:spacing w:after="0"/>
        <w:rPr>
          <w:sz w:val="20"/>
          <w:szCs w:val="20"/>
          <w:color w:val="auto"/>
        </w:rPr>
      </w:pPr>
      <w:r>
        <w:rPr>
          <w:rFonts w:ascii="Times New Roman" w:cs="Times New Roman" w:eastAsia="Times New Roman" w:hAnsi="Times New Roman"/>
          <w:sz w:val="18"/>
          <w:szCs w:val="18"/>
          <w:color w:val="auto"/>
        </w:rPr>
        <w:t>887,616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51435</wp:posOffset>
            </wp:positionV>
            <wp:extent cx="6612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2" w:hanging="620"/>
        <w:spacing w:after="0"/>
        <w:tabs>
          <w:tab w:leader="none" w:pos="105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 o</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052" w:hanging="620"/>
        <w:spacing w:after="0"/>
        <w:tabs>
          <w:tab w:leader="none" w:pos="105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10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(1)</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1052" w:hanging="620"/>
        <w:spacing w:after="0"/>
        <w:tabs>
          <w:tab w:leader="none" w:pos="105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10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0" w:lineRule="exact"/>
        <w:rPr>
          <w:rFonts w:ascii="Times New Roman" w:cs="Times New Roman" w:eastAsia="Times New Roman" w:hAnsi="Times New Roman"/>
          <w:sz w:val="18"/>
          <w:szCs w:val="18"/>
          <w:color w:val="auto"/>
        </w:rPr>
      </w:pPr>
    </w:p>
    <w:p>
      <w:pPr>
        <w:spacing w:after="0" w:line="303" w:lineRule="exact"/>
        <w:rPr>
          <w:rFonts w:ascii="Times New Roman" w:cs="Times New Roman" w:eastAsia="Times New Roman" w:hAnsi="Times New Roman"/>
          <w:sz w:val="18"/>
          <w:szCs w:val="18"/>
          <w:color w:val="auto"/>
        </w:rPr>
      </w:pPr>
    </w:p>
    <w:p>
      <w:pPr>
        <w:ind w:left="-8" w:firstLine="8"/>
        <w:spacing w:after="0" w:line="256" w:lineRule="auto"/>
        <w:tabs>
          <w:tab w:leader="none" w:pos="2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on 25,778,183 Ordinary Shares, comprised of 20,957,575 Class A Ordinary Shares and 4,820,608 Class B Ordinary Shares, reported as outstanding by iClick Interactive Asia Group Limited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immediately following the Issuer’s offering in its prospectus on Form 424B4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December 22, 2017. Each share of Class B Ordinary Shares is convertible at the option of the holder into one share of Class A Ordinary Share. The rights of the holders of Class A Ordinary Shares and Class B Ordinary Shares are identical, except with respect to conversion rights (noted above) and voting rights. Each share of Class B Ordinary Share is entitled to twenty votes per share, whereas each share of Class A Ordinary Share is entitled to one vote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-1120775</wp:posOffset>
            </wp:positionV>
            <wp:extent cx="6612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-1669415</wp:posOffset>
            </wp:positionV>
            <wp:extent cx="6612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-2218055</wp:posOffset>
            </wp:positionV>
            <wp:extent cx="6612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-906145</wp:posOffset>
            </wp:positionV>
            <wp:extent cx="18268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8"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
        <w:spacing w:after="0"/>
        <w:rPr>
          <w:sz w:val="20"/>
          <w:szCs w:val="20"/>
          <w:color w:val="auto"/>
        </w:rPr>
      </w:pPr>
      <w:r>
        <w:rPr>
          <w:rFonts w:ascii="Times New Roman" w:cs="Times New Roman" w:eastAsia="Times New Roman" w:hAnsi="Times New Roman"/>
          <w:sz w:val="18"/>
          <w:szCs w:val="18"/>
          <w:color w:val="auto"/>
        </w:rPr>
        <w:t>CUSIP No. G47048106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both"/>
        <w:ind w:left="1052" w:right="8280" w:hanging="620"/>
        <w:spacing w:after="0" w:line="282" w:lineRule="auto"/>
        <w:tabs>
          <w:tab w:leader="none" w:pos="10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 Cervetto Holdings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11430</wp:posOffset>
            </wp:positionV>
            <wp:extent cx="6612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58" w:lineRule="exact"/>
        <w:rPr>
          <w:sz w:val="20"/>
          <w:szCs w:val="20"/>
          <w:color w:val="auto"/>
        </w:rPr>
      </w:pPr>
    </w:p>
    <w:p>
      <w:pPr>
        <w:ind w:left="1052" w:hanging="620"/>
        <w:spacing w:after="0"/>
        <w:tabs>
          <w:tab w:leader="none" w:pos="10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17" w:lineRule="exact"/>
        <w:rPr>
          <w:rFonts w:ascii="Times New Roman" w:cs="Times New Roman" w:eastAsia="Times New Roman" w:hAnsi="Times New Roman"/>
          <w:sz w:val="18"/>
          <w:szCs w:val="18"/>
          <w:color w:val="auto"/>
        </w:rPr>
      </w:pPr>
    </w:p>
    <w:p>
      <w:pPr>
        <w:ind w:left="2212" w:hanging="1159"/>
        <w:spacing w:after="0"/>
        <w:tabs>
          <w:tab w:leader="none" w:pos="221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130" w:lineRule="exact"/>
        <w:rPr>
          <w:rFonts w:ascii="Times New Roman" w:cs="Times New Roman" w:eastAsia="Times New Roman" w:hAnsi="Times New Roman"/>
          <w:sz w:val="18"/>
          <w:szCs w:val="18"/>
          <w:color w:val="auto"/>
        </w:rPr>
      </w:pPr>
    </w:p>
    <w:p>
      <w:pPr>
        <w:ind w:left="2212" w:hanging="1159"/>
        <w:spacing w:after="0"/>
        <w:tabs>
          <w:tab w:leader="none" w:pos="221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1372235</wp:posOffset>
            </wp:positionH>
            <wp:positionV relativeFrom="paragraph">
              <wp:posOffset>51435</wp:posOffset>
            </wp:positionV>
            <wp:extent cx="58743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-161925</wp:posOffset>
            </wp:positionV>
            <wp:extent cx="58743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2" w:hanging="620"/>
        <w:spacing w:after="0"/>
        <w:tabs>
          <w:tab w:leader="none" w:pos="10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51435</wp:posOffset>
            </wp:positionV>
            <wp:extent cx="66122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2" w:right="7660" w:hanging="620"/>
        <w:spacing w:after="0" w:line="282" w:lineRule="auto"/>
        <w:tabs>
          <w:tab w:leader="none" w:pos="10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British Virgin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11430</wp:posOffset>
            </wp:positionV>
            <wp:extent cx="6612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32"/>
          </w:cols>
          <w:pgMar w:left="248" w:top="121" w:right="319" w:bottom="0" w:gutter="0" w:footer="0" w:header="0"/>
        </w:sectPr>
      </w:pPr>
    </w:p>
    <w:p>
      <w:pPr>
        <w:spacing w:after="0" w:line="391" w:lineRule="exact"/>
        <w:rPr>
          <w:sz w:val="20"/>
          <w:szCs w:val="20"/>
          <w:color w:val="auto"/>
        </w:rPr>
      </w:pPr>
    </w:p>
    <w:tbl>
      <w:tblPr>
        <w:tblLayout w:type="fixed"/>
        <w:tblInd w:w="52"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73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26"/>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2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26"/>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Reporting</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2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Voting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Shared Voting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1,599,186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Dispositive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Shared Dispositive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1,599,186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32" w:space="720"/>
            <w:col w:w="8580"/>
          </w:cols>
          <w:pgMar w:left="248" w:top="121" w:right="319" w:bottom="0" w:gutter="0" w:footer="0" w:header="0"/>
          <w:type w:val="continuous"/>
        </w:sectPr>
      </w:pPr>
    </w:p>
    <w:p>
      <w:pPr>
        <w:spacing w:after="0" w:line="223" w:lineRule="exact"/>
        <w:rPr>
          <w:sz w:val="20"/>
          <w:szCs w:val="20"/>
          <w:color w:val="auto"/>
        </w:rPr>
      </w:pPr>
    </w:p>
    <w:p>
      <w:pPr>
        <w:ind w:left="1052" w:right="5480" w:hanging="620"/>
        <w:spacing w:after="0" w:line="282" w:lineRule="auto"/>
        <w:tabs>
          <w:tab w:leader="none" w:pos="105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1,599,186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11430</wp:posOffset>
            </wp:positionV>
            <wp:extent cx="6612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58" w:lineRule="exact"/>
        <w:rPr>
          <w:sz w:val="20"/>
          <w:szCs w:val="20"/>
          <w:color w:val="auto"/>
        </w:rPr>
      </w:pPr>
    </w:p>
    <w:p>
      <w:pPr>
        <w:ind w:left="1052" w:hanging="620"/>
        <w:spacing w:after="0"/>
        <w:tabs>
          <w:tab w:leader="none" w:pos="105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 o</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052" w:right="6400" w:hanging="620"/>
        <w:spacing w:after="0" w:line="282" w:lineRule="auto"/>
        <w:tabs>
          <w:tab w:leader="none" w:pos="105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6.2%(1)</w:t>
      </w:r>
    </w:p>
    <w:p>
      <w:pPr>
        <w:spacing w:after="0" w:line="377" w:lineRule="exact"/>
        <w:rPr>
          <w:rFonts w:ascii="Times New Roman" w:cs="Times New Roman" w:eastAsia="Times New Roman" w:hAnsi="Times New Roman"/>
          <w:sz w:val="18"/>
          <w:szCs w:val="18"/>
          <w:color w:val="auto"/>
        </w:rPr>
      </w:pPr>
    </w:p>
    <w:p>
      <w:pPr>
        <w:ind w:left="1052" w:hanging="620"/>
        <w:spacing w:after="0"/>
        <w:tabs>
          <w:tab w:leader="none" w:pos="105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10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40005</wp:posOffset>
            </wp:positionV>
            <wp:extent cx="6612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-508000</wp:posOffset>
            </wp:positionV>
            <wp:extent cx="6612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-1057275</wp:posOffset>
            </wp:positionV>
            <wp:extent cx="6612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32"/>
          </w:cols>
          <w:pgMar w:left="248" w:top="121" w:right="319" w:bottom="0" w:gutter="0" w:footer="0" w:header="0"/>
          <w:type w:val="continuous"/>
        </w:sectPr>
      </w:pPr>
    </w:p>
    <w:bookmarkStart w:id="2" w:name="page3"/>
    <w:bookmarkEnd w:id="2"/>
    <w:p>
      <w:pPr>
        <w:ind w:left="-8" w:right="100" w:firstLine="8"/>
        <w:spacing w:after="0" w:line="258" w:lineRule="auto"/>
        <w:tabs>
          <w:tab w:leader="none" w:pos="2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8268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26895" cy="8890"/>
                    </a:xfrm>
                    <a:prstGeom prst="rect">
                      <a:avLst/>
                    </a:prstGeom>
                    <a:noFill/>
                  </pic:spPr>
                </pic:pic>
              </a:graphicData>
            </a:graphic>
          </wp:anchor>
        </w:drawing>
        <w:t>This percentage is calculated based on 25,778,183 Ordinary Shares, comprised of 20,957,575 Class A Ordinary Shares and 4,820,608 Class B Ordinary Shares, reported as outstanding by the Issuer immediately following the Issuer’s offering in its prospectus on Form 424B4 filed with the SEC December 22, 2017. Each share of Class B Ordinary Shares is convertible at the option of the holder into one share of Class A Ordinary Share. The rights of the holders of Class A Ordinary Shares and Class B Ordinary Shares are identical, except with respect to conversion rights (noted above) and voting rights. Each share of Class B Ordinary Share is entitled to twenty votes per share, whereas each share of Class A Ordinary Share is entitled to one vote per share.</w:t>
      </w:r>
    </w:p>
    <w:p>
      <w:pPr>
        <w:spacing w:after="0" w:line="184"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
        <w:spacing w:after="0"/>
        <w:rPr>
          <w:sz w:val="20"/>
          <w:szCs w:val="20"/>
          <w:color w:val="auto"/>
        </w:rPr>
      </w:pPr>
      <w:r>
        <w:rPr>
          <w:rFonts w:ascii="Times New Roman" w:cs="Times New Roman" w:eastAsia="Times New Roman" w:hAnsi="Times New Roman"/>
          <w:sz w:val="18"/>
          <w:szCs w:val="18"/>
          <w:color w:val="auto"/>
        </w:rPr>
        <w:t>CUSIP No. G47048106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52" w:hanging="620"/>
        <w:spacing w:after="0"/>
        <w:tabs>
          <w:tab w:leader="none" w:pos="105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10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SSG Capital Partners I Side Pocket,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40005</wp:posOffset>
            </wp:positionV>
            <wp:extent cx="66122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052" w:hanging="620"/>
        <w:spacing w:after="0"/>
        <w:tabs>
          <w:tab w:leader="none" w:pos="105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17" w:lineRule="exact"/>
        <w:rPr>
          <w:rFonts w:ascii="Times New Roman" w:cs="Times New Roman" w:eastAsia="Times New Roman" w:hAnsi="Times New Roman"/>
          <w:sz w:val="18"/>
          <w:szCs w:val="18"/>
          <w:color w:val="auto"/>
        </w:rPr>
      </w:pPr>
    </w:p>
    <w:p>
      <w:pPr>
        <w:ind w:left="2212" w:hanging="1159"/>
        <w:spacing w:after="0"/>
        <w:tabs>
          <w:tab w:leader="none" w:pos="221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130" w:lineRule="exact"/>
        <w:rPr>
          <w:rFonts w:ascii="Times New Roman" w:cs="Times New Roman" w:eastAsia="Times New Roman" w:hAnsi="Times New Roman"/>
          <w:sz w:val="18"/>
          <w:szCs w:val="18"/>
          <w:color w:val="auto"/>
        </w:rPr>
      </w:pPr>
    </w:p>
    <w:p>
      <w:pPr>
        <w:ind w:left="2212" w:hanging="1159"/>
        <w:spacing w:after="0"/>
        <w:tabs>
          <w:tab w:leader="none" w:pos="221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1372235</wp:posOffset>
            </wp:positionH>
            <wp:positionV relativeFrom="paragraph">
              <wp:posOffset>51435</wp:posOffset>
            </wp:positionV>
            <wp:extent cx="58743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-161925</wp:posOffset>
            </wp:positionV>
            <wp:extent cx="58743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2" w:hanging="620"/>
        <w:spacing w:after="0"/>
        <w:tabs>
          <w:tab w:leader="none" w:pos="10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51435</wp:posOffset>
            </wp:positionV>
            <wp:extent cx="66122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2" w:right="7700" w:hanging="620"/>
        <w:spacing w:after="0" w:line="282" w:lineRule="auto"/>
        <w:tabs>
          <w:tab w:leader="none" w:pos="105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11430</wp:posOffset>
            </wp:positionV>
            <wp:extent cx="66122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72"/>
          </w:cols>
          <w:pgMar w:left="248" w:top="243" w:right="279" w:bottom="455" w:gutter="0" w:footer="0" w:header="0"/>
        </w:sectPr>
      </w:pPr>
    </w:p>
    <w:p>
      <w:pPr>
        <w:spacing w:after="0" w:line="391" w:lineRule="exact"/>
        <w:rPr>
          <w:sz w:val="20"/>
          <w:szCs w:val="20"/>
          <w:color w:val="auto"/>
        </w:rPr>
      </w:pPr>
    </w:p>
    <w:tbl>
      <w:tblPr>
        <w:tblLayout w:type="fixed"/>
        <w:tblInd w:w="52"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73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26"/>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2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26"/>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Reporting</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2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Voting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Shared Voting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887,616(1)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Dispositive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Shared Dispositive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887,616(1)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32" w:space="720"/>
            <w:col w:w="8620"/>
          </w:cols>
          <w:pgMar w:left="248" w:top="243" w:right="279" w:bottom="455" w:gutter="0" w:footer="0" w:header="0"/>
          <w:type w:val="continuous"/>
        </w:sectPr>
      </w:pPr>
    </w:p>
    <w:p>
      <w:pPr>
        <w:spacing w:after="0" w:line="223" w:lineRule="exact"/>
        <w:rPr>
          <w:sz w:val="20"/>
          <w:szCs w:val="20"/>
          <w:color w:val="auto"/>
        </w:rPr>
      </w:pPr>
    </w:p>
    <w:p>
      <w:pPr>
        <w:ind w:left="1052" w:right="5520" w:hanging="620"/>
        <w:spacing w:after="0" w:line="282" w:lineRule="auto"/>
        <w:tabs>
          <w:tab w:leader="none" w:pos="105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887,616(1)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11430</wp:posOffset>
            </wp:positionV>
            <wp:extent cx="66122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58" w:lineRule="exact"/>
        <w:rPr>
          <w:sz w:val="20"/>
          <w:szCs w:val="20"/>
          <w:color w:val="auto"/>
        </w:rPr>
      </w:pPr>
    </w:p>
    <w:p>
      <w:pPr>
        <w:ind w:left="1052" w:hanging="620"/>
        <w:spacing w:after="0"/>
        <w:tabs>
          <w:tab w:leader="none" w:pos="105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 o</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052" w:hanging="620"/>
        <w:spacing w:after="0"/>
        <w:tabs>
          <w:tab w:leader="none" w:pos="105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10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3.4%(2)</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1052" w:hanging="620"/>
        <w:spacing w:after="0"/>
        <w:tabs>
          <w:tab w:leader="none" w:pos="105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10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00" w:lineRule="exact"/>
        <w:rPr>
          <w:rFonts w:ascii="Times New Roman" w:cs="Times New Roman" w:eastAsia="Times New Roman" w:hAnsi="Times New Roman"/>
          <w:sz w:val="18"/>
          <w:szCs w:val="18"/>
          <w:color w:val="auto"/>
        </w:rPr>
      </w:pPr>
    </w:p>
    <w:p>
      <w:pPr>
        <w:spacing w:after="0" w:line="303" w:lineRule="exact"/>
        <w:rPr>
          <w:rFonts w:ascii="Times New Roman" w:cs="Times New Roman" w:eastAsia="Times New Roman" w:hAnsi="Times New Roman"/>
          <w:sz w:val="18"/>
          <w:szCs w:val="18"/>
          <w:color w:val="auto"/>
        </w:rPr>
      </w:pPr>
    </w:p>
    <w:p>
      <w:pPr>
        <w:ind w:left="252" w:right="100" w:hanging="252"/>
        <w:spacing w:after="0" w:line="261" w:lineRule="auto"/>
        <w:tabs>
          <w:tab w:leader="none" w:pos="24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887,616 Class A Ordinary Shares held by Czerny Holdings Limited (“</w:t>
      </w:r>
      <w:r>
        <w:rPr>
          <w:rFonts w:ascii="Times New Roman" w:cs="Times New Roman" w:eastAsia="Times New Roman" w:hAnsi="Times New Roman"/>
          <w:sz w:val="18"/>
          <w:szCs w:val="18"/>
          <w:u w:val="single" w:color="auto"/>
          <w:color w:val="auto"/>
        </w:rPr>
        <w:t>Czerny</w:t>
      </w:r>
      <w:r>
        <w:rPr>
          <w:rFonts w:ascii="Times New Roman" w:cs="Times New Roman" w:eastAsia="Times New Roman" w:hAnsi="Times New Roman"/>
          <w:sz w:val="18"/>
          <w:szCs w:val="18"/>
          <w:color w:val="auto"/>
        </w:rPr>
        <w:t>”). Czerny is a wholly-owned subsidiary of SSG Capital Partners I Side Pocket, L.P. (“</w:t>
      </w:r>
      <w:r>
        <w:rPr>
          <w:rFonts w:ascii="Times New Roman" w:cs="Times New Roman" w:eastAsia="Times New Roman" w:hAnsi="Times New Roman"/>
          <w:sz w:val="18"/>
          <w:szCs w:val="18"/>
          <w:u w:val="single" w:color="auto"/>
          <w:color w:val="auto"/>
        </w:rPr>
        <w:t>SSG I</w:t>
      </w:r>
      <w:r>
        <w:rPr>
          <w:rFonts w:ascii="Times New Roman" w:cs="Times New Roman" w:eastAsia="Times New Roman" w:hAnsi="Times New Roman"/>
          <w:sz w:val="18"/>
          <w:szCs w:val="18"/>
          <w:color w:val="auto"/>
        </w:rPr>
        <w:t>”).</w:t>
      </w:r>
    </w:p>
    <w:p>
      <w:pPr>
        <w:ind w:left="252" w:hanging="252"/>
        <w:spacing w:after="0" w:line="252" w:lineRule="auto"/>
        <w:tabs>
          <w:tab w:leader="none" w:pos="24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on 25,778,183 Ordinary Shares, comprised of 20,957,575 Class A Ordinary Shares and 4,820,608 Class B Ordinary Shares, reported as issued and outstanding by the Issuer immediately following the Issuer’s offering in its prospectus on Form 424B4 filed with the SEC December 22, 2017. Each share of Class B Ordinary Shares is convertible at the option of the holder into one share of Class A Ordinary Share. The rights of the holders of Class A Ordinary Shares and Class B Ordinary Shares are identical, except with respect to conversion rights (noted above) and voting rights. Each share of Class B Ordinary Share is entitled to twenty votes per share, whereas each share of Class A Ordinary Share is entitled to one vote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-1393190</wp:posOffset>
            </wp:positionV>
            <wp:extent cx="66122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-1942465</wp:posOffset>
            </wp:positionV>
            <wp:extent cx="66122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-2491105</wp:posOffset>
            </wp:positionV>
            <wp:extent cx="66122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-1179195</wp:posOffset>
            </wp:positionV>
            <wp:extent cx="18268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70"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72"/>
          </w:cols>
          <w:pgMar w:left="248" w:top="243" w:right="279" w:bottom="455" w:gutter="0" w:footer="0" w:header="0"/>
          <w:type w:val="continuous"/>
        </w:sectPr>
      </w:pPr>
    </w:p>
    <w:bookmarkStart w:id="3" w:name="page4"/>
    <w:bookmarkEnd w:id="3"/>
    <w:p>
      <w:pPr>
        <w:ind w:left="52"/>
        <w:spacing w:after="0"/>
        <w:rPr>
          <w:sz w:val="20"/>
          <w:szCs w:val="20"/>
          <w:color w:val="auto"/>
        </w:rPr>
      </w:pPr>
      <w:r>
        <w:rPr>
          <w:rFonts w:ascii="Times New Roman" w:cs="Times New Roman" w:eastAsia="Times New Roman" w:hAnsi="Times New Roman"/>
          <w:sz w:val="18"/>
          <w:szCs w:val="18"/>
          <w:color w:val="auto"/>
        </w:rPr>
        <w:t>CUSIP No. G47048106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52" w:right="8260" w:hanging="620"/>
        <w:spacing w:after="0" w:line="313" w:lineRule="auto"/>
        <w:tabs>
          <w:tab w:leader="none" w:pos="1052"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Persons SSG Capital Partners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-2540</wp:posOffset>
            </wp:positionV>
            <wp:extent cx="66122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34" w:lineRule="exact"/>
        <w:rPr>
          <w:sz w:val="20"/>
          <w:szCs w:val="20"/>
          <w:color w:val="auto"/>
        </w:rPr>
      </w:pPr>
    </w:p>
    <w:p>
      <w:pPr>
        <w:ind w:left="1052" w:hanging="620"/>
        <w:spacing w:after="0"/>
        <w:tabs>
          <w:tab w:leader="none" w:pos="1052"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Box if a Member of a Group (See Instructions)</w:t>
      </w:r>
    </w:p>
    <w:p>
      <w:pPr>
        <w:spacing w:after="0" w:line="128" w:lineRule="exact"/>
        <w:rPr>
          <w:rFonts w:ascii="Times New Roman" w:cs="Times New Roman" w:eastAsia="Times New Roman" w:hAnsi="Times New Roman"/>
          <w:sz w:val="17"/>
          <w:szCs w:val="17"/>
          <w:color w:val="auto"/>
        </w:rPr>
      </w:pPr>
    </w:p>
    <w:p>
      <w:pPr>
        <w:ind w:left="2212" w:hanging="1159"/>
        <w:spacing w:after="0"/>
        <w:tabs>
          <w:tab w:leader="none" w:pos="221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130" w:lineRule="exact"/>
        <w:rPr>
          <w:rFonts w:ascii="Times New Roman" w:cs="Times New Roman" w:eastAsia="Times New Roman" w:hAnsi="Times New Roman"/>
          <w:sz w:val="18"/>
          <w:szCs w:val="18"/>
          <w:color w:val="auto"/>
        </w:rPr>
      </w:pPr>
    </w:p>
    <w:p>
      <w:pPr>
        <w:ind w:left="2212" w:hanging="1159"/>
        <w:spacing w:after="0"/>
        <w:tabs>
          <w:tab w:leader="none" w:pos="221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1372235</wp:posOffset>
            </wp:positionH>
            <wp:positionV relativeFrom="paragraph">
              <wp:posOffset>51435</wp:posOffset>
            </wp:positionV>
            <wp:extent cx="58743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-161925</wp:posOffset>
            </wp:positionV>
            <wp:extent cx="58743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2" w:hanging="620"/>
        <w:spacing w:after="0"/>
        <w:tabs>
          <w:tab w:leader="none" w:pos="105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51435</wp:posOffset>
            </wp:positionV>
            <wp:extent cx="66122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2" w:right="7700" w:hanging="620"/>
        <w:spacing w:after="0" w:line="282" w:lineRule="auto"/>
        <w:tabs>
          <w:tab w:leader="none" w:pos="105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11430</wp:posOffset>
            </wp:positionV>
            <wp:extent cx="66122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72"/>
          </w:cols>
          <w:pgMar w:left="248" w:top="121" w:right="279" w:bottom="0" w:gutter="0" w:footer="0" w:header="0"/>
        </w:sectPr>
      </w:pPr>
    </w:p>
    <w:p>
      <w:pPr>
        <w:spacing w:after="0" w:line="391" w:lineRule="exact"/>
        <w:rPr>
          <w:sz w:val="20"/>
          <w:szCs w:val="20"/>
          <w:color w:val="auto"/>
        </w:rPr>
      </w:pPr>
    </w:p>
    <w:tbl>
      <w:tblPr>
        <w:tblLayout w:type="fixed"/>
        <w:tblInd w:w="52"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73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26"/>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2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26"/>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Reporting</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2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Voting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Shared Voting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1,599,186(1)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Dispositive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Shared Dispositive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1,599,186(1)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32" w:space="720"/>
            <w:col w:w="8620"/>
          </w:cols>
          <w:pgMar w:left="248" w:top="121" w:right="279" w:bottom="0" w:gutter="0" w:footer="0" w:header="0"/>
          <w:type w:val="continuous"/>
        </w:sectPr>
      </w:pPr>
    </w:p>
    <w:p>
      <w:pPr>
        <w:spacing w:after="0" w:line="223" w:lineRule="exact"/>
        <w:rPr>
          <w:sz w:val="20"/>
          <w:szCs w:val="20"/>
          <w:color w:val="auto"/>
        </w:rPr>
      </w:pPr>
    </w:p>
    <w:p>
      <w:pPr>
        <w:ind w:left="1052" w:right="5520" w:hanging="620"/>
        <w:spacing w:after="0" w:line="282" w:lineRule="auto"/>
        <w:tabs>
          <w:tab w:leader="none" w:pos="105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1,599,186(1)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11430</wp:posOffset>
            </wp:positionV>
            <wp:extent cx="66122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58" w:lineRule="exact"/>
        <w:rPr>
          <w:sz w:val="20"/>
          <w:szCs w:val="20"/>
          <w:color w:val="auto"/>
        </w:rPr>
      </w:pPr>
    </w:p>
    <w:p>
      <w:pPr>
        <w:ind w:left="1052" w:hanging="620"/>
        <w:spacing w:after="0"/>
        <w:tabs>
          <w:tab w:leader="none" w:pos="1052"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 o</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052" w:hanging="620"/>
        <w:spacing w:after="0"/>
        <w:tabs>
          <w:tab w:leader="none" w:pos="1052"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10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6.2%(2)</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1052" w:hanging="620"/>
        <w:spacing w:after="0"/>
        <w:tabs>
          <w:tab w:leader="none" w:pos="1052"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10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00" w:lineRule="exact"/>
        <w:rPr>
          <w:rFonts w:ascii="Times New Roman" w:cs="Times New Roman" w:eastAsia="Times New Roman" w:hAnsi="Times New Roman"/>
          <w:sz w:val="18"/>
          <w:szCs w:val="18"/>
          <w:color w:val="auto"/>
        </w:rPr>
      </w:pPr>
    </w:p>
    <w:p>
      <w:pPr>
        <w:spacing w:after="0" w:line="303" w:lineRule="exact"/>
        <w:rPr>
          <w:rFonts w:ascii="Times New Roman" w:cs="Times New Roman" w:eastAsia="Times New Roman" w:hAnsi="Times New Roman"/>
          <w:sz w:val="18"/>
          <w:szCs w:val="18"/>
          <w:color w:val="auto"/>
        </w:rPr>
      </w:pPr>
    </w:p>
    <w:p>
      <w:pPr>
        <w:ind w:left="252" w:right="360" w:hanging="252"/>
        <w:spacing w:after="0" w:line="261" w:lineRule="auto"/>
        <w:tabs>
          <w:tab w:leader="none" w:pos="24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1,599,186 Class A Ordinary Shares held by Cervetto Holdings Limited (“</w:t>
      </w:r>
      <w:r>
        <w:rPr>
          <w:rFonts w:ascii="Times New Roman" w:cs="Times New Roman" w:eastAsia="Times New Roman" w:hAnsi="Times New Roman"/>
          <w:sz w:val="18"/>
          <w:szCs w:val="18"/>
          <w:u w:val="single" w:color="auto"/>
          <w:color w:val="auto"/>
        </w:rPr>
        <w:t>Cervetto</w:t>
      </w:r>
      <w:r>
        <w:rPr>
          <w:rFonts w:ascii="Times New Roman" w:cs="Times New Roman" w:eastAsia="Times New Roman" w:hAnsi="Times New Roman"/>
          <w:sz w:val="18"/>
          <w:szCs w:val="18"/>
          <w:color w:val="auto"/>
        </w:rPr>
        <w:t>”). Cervetto is a wholly-owned subsidiary of SSG Capital Partners II, L.P. (“</w:t>
      </w:r>
      <w:r>
        <w:rPr>
          <w:rFonts w:ascii="Times New Roman" w:cs="Times New Roman" w:eastAsia="Times New Roman" w:hAnsi="Times New Roman"/>
          <w:sz w:val="18"/>
          <w:szCs w:val="18"/>
          <w:u w:val="single" w:color="auto"/>
          <w:color w:val="auto"/>
        </w:rPr>
        <w:t>SSG II</w:t>
      </w:r>
      <w:r>
        <w:rPr>
          <w:rFonts w:ascii="Times New Roman" w:cs="Times New Roman" w:eastAsia="Times New Roman" w:hAnsi="Times New Roman"/>
          <w:sz w:val="18"/>
          <w:szCs w:val="18"/>
          <w:color w:val="auto"/>
        </w:rPr>
        <w:t>”).</w:t>
      </w:r>
    </w:p>
    <w:p>
      <w:pPr>
        <w:ind w:left="252" w:hanging="252"/>
        <w:spacing w:after="0" w:line="252" w:lineRule="auto"/>
        <w:tabs>
          <w:tab w:leader="none" w:pos="24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on 25,778,183 Ordinary Shares, comprised of 20,957,575 Class A Ordinary Shares and 4,820,608 Class B Ordinary Shares, reported as issued and outstanding by the Issuer immediately following the Issuer’s offering in its prospectus on Form 424B4 filed with the SEC December 22, 2017. Each share of Class B Ordinary Shares is convertible at the option of the holder into one share of Class A Ordinary Share. The rights of the holders of Class A Ordinary Shares and Class B Ordinary Shares are identical, except with respect to conversion rights (noted above) and voting rights. Each share of Class B Ordinary Share is entitled to twenty votes per share, whereas each share of Class A Ordinary Share is entitled to one vote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-1393190</wp:posOffset>
            </wp:positionV>
            <wp:extent cx="66122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-1942465</wp:posOffset>
            </wp:positionV>
            <wp:extent cx="66122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-2491105</wp:posOffset>
            </wp:positionV>
            <wp:extent cx="66122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-1179195</wp:posOffset>
            </wp:positionV>
            <wp:extent cx="18268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70"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
        <w:spacing w:after="0"/>
        <w:rPr>
          <w:sz w:val="20"/>
          <w:szCs w:val="20"/>
          <w:color w:val="auto"/>
        </w:rPr>
      </w:pPr>
      <w:r>
        <w:rPr>
          <w:rFonts w:ascii="Times New Roman" w:cs="Times New Roman" w:eastAsia="Times New Roman" w:hAnsi="Times New Roman"/>
          <w:sz w:val="18"/>
          <w:szCs w:val="18"/>
          <w:color w:val="auto"/>
        </w:rPr>
        <w:t>CUSIP No. G47048106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52" w:right="8060" w:hanging="620"/>
        <w:spacing w:after="0" w:line="313" w:lineRule="auto"/>
        <w:tabs>
          <w:tab w:leader="none" w:pos="1052"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Persons SSG Capital Partners 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-2540</wp:posOffset>
            </wp:positionV>
            <wp:extent cx="66122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34" w:lineRule="exact"/>
        <w:rPr>
          <w:sz w:val="20"/>
          <w:szCs w:val="20"/>
          <w:color w:val="auto"/>
        </w:rPr>
      </w:pPr>
    </w:p>
    <w:p>
      <w:pPr>
        <w:ind w:left="1052" w:hanging="620"/>
        <w:spacing w:after="0"/>
        <w:tabs>
          <w:tab w:leader="none" w:pos="105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17" w:lineRule="exact"/>
        <w:rPr>
          <w:rFonts w:ascii="Times New Roman" w:cs="Times New Roman" w:eastAsia="Times New Roman" w:hAnsi="Times New Roman"/>
          <w:sz w:val="18"/>
          <w:szCs w:val="18"/>
          <w:color w:val="auto"/>
        </w:rPr>
      </w:pPr>
    </w:p>
    <w:p>
      <w:pPr>
        <w:ind w:left="2212" w:hanging="1159"/>
        <w:spacing w:after="0"/>
        <w:tabs>
          <w:tab w:leader="none" w:pos="221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130" w:lineRule="exact"/>
        <w:rPr>
          <w:rFonts w:ascii="Times New Roman" w:cs="Times New Roman" w:eastAsia="Times New Roman" w:hAnsi="Times New Roman"/>
          <w:sz w:val="18"/>
          <w:szCs w:val="18"/>
          <w:color w:val="auto"/>
        </w:rPr>
      </w:pPr>
    </w:p>
    <w:p>
      <w:pPr>
        <w:ind w:left="2212" w:hanging="1159"/>
        <w:spacing w:after="0"/>
        <w:tabs>
          <w:tab w:leader="none" w:pos="2212"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1372235</wp:posOffset>
            </wp:positionH>
            <wp:positionV relativeFrom="paragraph">
              <wp:posOffset>51435</wp:posOffset>
            </wp:positionV>
            <wp:extent cx="587438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-161925</wp:posOffset>
            </wp:positionV>
            <wp:extent cx="587438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ectPr>
          <w:pgSz w:w="11900" w:h="16838" w:orient="portrait"/>
          <w:cols w:equalWidth="0" w:num="1">
            <w:col w:w="11372"/>
          </w:cols>
          <w:pgMar w:left="248" w:top="121" w:right="279" w:bottom="0" w:gutter="0" w:footer="0" w:header="0"/>
          <w:type w:val="continuous"/>
        </w:sectPr>
      </w:pPr>
    </w:p>
    <w:bookmarkStart w:id="4" w:name="page5"/>
    <w:bookmarkEnd w:id="4"/>
    <w:p>
      <w:pPr>
        <w:ind w:left="1060" w:hanging="620"/>
        <w:spacing w:after="0"/>
        <w:tabs>
          <w:tab w:leader="none" w:pos="10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51435</wp:posOffset>
            </wp:positionV>
            <wp:extent cx="66122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right="7740" w:hanging="620"/>
        <w:spacing w:after="0" w:line="282" w:lineRule="auto"/>
        <w:tabs>
          <w:tab w:leader="none" w:pos="10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11430</wp:posOffset>
            </wp:positionV>
            <wp:extent cx="66122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420"/>
          </w:cols>
          <w:pgMar w:left="240" w:top="459" w:right="239" w:bottom="0" w:gutter="0" w:footer="0" w:header="0"/>
        </w:sectPr>
      </w:pPr>
    </w:p>
    <w:p>
      <w:pPr>
        <w:spacing w:after="0" w:line="391"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73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26"/>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2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26"/>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Reporting</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2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Voting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Shared Voting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887,616(1)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Dispositive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Shared Dispositive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887,616(1)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40" w:space="720"/>
            <w:col w:w="8660"/>
          </w:cols>
          <w:pgMar w:left="240" w:top="459" w:right="239" w:bottom="0" w:gutter="0" w:footer="0" w:header="0"/>
          <w:type w:val="continuous"/>
        </w:sectPr>
      </w:pPr>
    </w:p>
    <w:p>
      <w:pPr>
        <w:spacing w:after="0" w:line="223" w:lineRule="exact"/>
        <w:rPr>
          <w:sz w:val="20"/>
          <w:szCs w:val="20"/>
          <w:color w:val="auto"/>
        </w:rPr>
      </w:pPr>
    </w:p>
    <w:p>
      <w:pPr>
        <w:ind w:left="1060" w:right="5560" w:hanging="620"/>
        <w:spacing w:after="0" w:line="282" w:lineRule="auto"/>
        <w:tabs>
          <w:tab w:leader="none" w:pos="10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887,616(1)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11430</wp:posOffset>
            </wp:positionV>
            <wp:extent cx="66122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58" w:lineRule="exact"/>
        <w:rPr>
          <w:sz w:val="20"/>
          <w:szCs w:val="20"/>
          <w:color w:val="auto"/>
        </w:rPr>
      </w:pPr>
    </w:p>
    <w:p>
      <w:pPr>
        <w:ind w:left="1060" w:hanging="620"/>
        <w:spacing w:after="0"/>
        <w:tabs>
          <w:tab w:leader="none" w:pos="10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 o</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060" w:hanging="620"/>
        <w:spacing w:after="0"/>
        <w:tabs>
          <w:tab w:leader="none" w:pos="10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1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3.4%(2)</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1060" w:hanging="620"/>
        <w:spacing w:after="0"/>
        <w:tabs>
          <w:tab w:leader="none" w:pos="10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1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00" w:lineRule="exact"/>
        <w:rPr>
          <w:rFonts w:ascii="Times New Roman" w:cs="Times New Roman" w:eastAsia="Times New Roman" w:hAnsi="Times New Roman"/>
          <w:sz w:val="18"/>
          <w:szCs w:val="18"/>
          <w:color w:val="auto"/>
        </w:rPr>
      </w:pPr>
    </w:p>
    <w:p>
      <w:pPr>
        <w:spacing w:after="0" w:line="303" w:lineRule="exact"/>
        <w:rPr>
          <w:rFonts w:ascii="Times New Roman" w:cs="Times New Roman" w:eastAsia="Times New Roman" w:hAnsi="Times New Roman"/>
          <w:sz w:val="18"/>
          <w:szCs w:val="18"/>
          <w:color w:val="auto"/>
        </w:rPr>
      </w:pPr>
    </w:p>
    <w:p>
      <w:pPr>
        <w:ind w:left="260" w:right="460" w:hanging="252"/>
        <w:spacing w:after="0" w:line="261" w:lineRule="auto"/>
        <w:tabs>
          <w:tab w:leader="none" w:pos="25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887,616 Class A Ordinary Shares held by Czerny. Czerny is a wholly-owned subsidiary of SSG I. SSG Capital Partners I GP, L.P. (“</w:t>
      </w:r>
      <w:r>
        <w:rPr>
          <w:rFonts w:ascii="Times New Roman" w:cs="Times New Roman" w:eastAsia="Times New Roman" w:hAnsi="Times New Roman"/>
          <w:sz w:val="18"/>
          <w:szCs w:val="18"/>
          <w:u w:val="single" w:color="auto"/>
          <w:color w:val="auto"/>
        </w:rPr>
        <w:t>SSG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GPLP</w:t>
      </w:r>
      <w:r>
        <w:rPr>
          <w:rFonts w:ascii="Times New Roman" w:cs="Times New Roman" w:eastAsia="Times New Roman" w:hAnsi="Times New Roman"/>
          <w:sz w:val="18"/>
          <w:szCs w:val="18"/>
          <w:color w:val="auto"/>
        </w:rPr>
        <w:t>”) is the general partner of SSG I and may be deemed to have shared voting control over securities owned by Czerny.</w:t>
      </w:r>
    </w:p>
    <w:p>
      <w:pPr>
        <w:ind w:left="260" w:right="40" w:hanging="252"/>
        <w:spacing w:after="0" w:line="252" w:lineRule="auto"/>
        <w:tabs>
          <w:tab w:leader="none" w:pos="25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on 25,778,183 Ordinary Shares, comprised of 20,957,575 Class A Ordinary Shares and 4,820,608 Class B Ordinary Shares, reported as issued and outstanding by the Issuer immediately following the Issuer’s offering in its prospectus on Form 424B4 filed with the SEC December 22, 2017. Each share of Class B Ordinary Shares is convertible at the option of the holder into one share of Class A Ordinary Share. The rights of the holders of Class A Ordinary Shares and Class B Ordinary Shares are identical, except with respect to conversion rights (noted above) and voting rights. Each share of Class B Ordinary Share is entitled to twenty votes per share, whereas each share of Class A Ordinary Share is entitled to one vote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-1393190</wp:posOffset>
            </wp:positionV>
            <wp:extent cx="66122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-1942465</wp:posOffset>
            </wp:positionV>
            <wp:extent cx="661225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-2491105</wp:posOffset>
            </wp:positionV>
            <wp:extent cx="661225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-1179195</wp:posOffset>
            </wp:positionV>
            <wp:extent cx="182689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CUSIP No. G47048106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60" w:right="8040" w:hanging="620"/>
        <w:spacing w:after="0" w:line="313" w:lineRule="auto"/>
        <w:tabs>
          <w:tab w:leader="none" w:pos="10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Persons SSG Capital Partners 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-2540</wp:posOffset>
            </wp:positionV>
            <wp:extent cx="66122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34" w:lineRule="exact"/>
        <w:rPr>
          <w:sz w:val="20"/>
          <w:szCs w:val="20"/>
          <w:color w:val="auto"/>
        </w:rPr>
      </w:pPr>
    </w:p>
    <w:p>
      <w:pPr>
        <w:ind w:left="1060" w:hanging="620"/>
        <w:spacing w:after="0"/>
        <w:tabs>
          <w:tab w:leader="none" w:pos="10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17" w:lineRule="exact"/>
        <w:rPr>
          <w:rFonts w:ascii="Times New Roman" w:cs="Times New Roman" w:eastAsia="Times New Roman" w:hAnsi="Times New Roman"/>
          <w:sz w:val="18"/>
          <w:szCs w:val="18"/>
          <w:color w:val="auto"/>
        </w:rPr>
      </w:pPr>
    </w:p>
    <w:p>
      <w:pPr>
        <w:ind w:left="2220" w:hanging="1159"/>
        <w:spacing w:after="0"/>
        <w:tabs>
          <w:tab w:leader="none" w:pos="22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130" w:lineRule="exact"/>
        <w:rPr>
          <w:rFonts w:ascii="Times New Roman" w:cs="Times New Roman" w:eastAsia="Times New Roman" w:hAnsi="Times New Roman"/>
          <w:sz w:val="18"/>
          <w:szCs w:val="18"/>
          <w:color w:val="auto"/>
        </w:rPr>
      </w:pPr>
    </w:p>
    <w:p>
      <w:pPr>
        <w:ind w:left="2220" w:hanging="1159"/>
        <w:spacing w:after="0"/>
        <w:tabs>
          <w:tab w:leader="none" w:pos="22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51435</wp:posOffset>
            </wp:positionV>
            <wp:extent cx="587438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-161925</wp:posOffset>
            </wp:positionV>
            <wp:extent cx="587438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hanging="620"/>
        <w:spacing w:after="0"/>
        <w:tabs>
          <w:tab w:leader="none" w:pos="10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51435</wp:posOffset>
            </wp:positionV>
            <wp:extent cx="661225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right="7740" w:hanging="620"/>
        <w:spacing w:after="0" w:line="282" w:lineRule="auto"/>
        <w:tabs>
          <w:tab w:leader="none" w:pos="10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11430</wp:posOffset>
            </wp:positionV>
            <wp:extent cx="66122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7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14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5</w:t>
            </w:r>
          </w:p>
        </w:tc>
        <w:tc>
          <w:tcPr>
            <w:tcW w:w="8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r>
      <w:tr>
        <w:trPr>
          <w:trHeight w:val="23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144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r>
      <w:tr>
        <w:trPr>
          <w:trHeight w:val="54"/>
        </w:trPr>
        <w:tc>
          <w:tcPr>
            <w:tcW w:w="1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459" w:right="239" w:bottom="0" w:gutter="0" w:footer="0" w:header="0"/>
          <w:type w:val="continuous"/>
        </w:sectPr>
      </w:pPr>
    </w:p>
    <w:bookmarkStart w:id="5" w:name="page6"/>
    <w:bookmarkEnd w:id="5"/>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140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1400" w:type="dxa"/>
            <w:vAlign w:val="bottom"/>
            <w:vMerge w:val="restart"/>
          </w:tcPr>
          <w:p>
            <w:pPr>
              <w:jc w:val="right"/>
              <w:ind w:right="850"/>
              <w:spacing w:after="0"/>
              <w:rPr>
                <w:sz w:val="20"/>
                <w:szCs w:val="20"/>
                <w:color w:val="auto"/>
              </w:rPr>
            </w:pPr>
            <w:r>
              <w:rPr>
                <w:rFonts w:ascii="Times New Roman" w:cs="Times New Roman" w:eastAsia="Times New Roman" w:hAnsi="Times New Roman"/>
                <w:sz w:val="18"/>
                <w:szCs w:val="18"/>
                <w:color w:val="auto"/>
              </w:rPr>
              <w:t>6</w:t>
            </w:r>
          </w:p>
        </w:tc>
        <w:tc>
          <w:tcPr>
            <w:tcW w:w="87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2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Each</w:t>
            </w:r>
          </w:p>
        </w:tc>
        <w:tc>
          <w:tcPr>
            <w:tcW w:w="1400" w:type="dxa"/>
            <w:vAlign w:val="bottom"/>
            <w:vMerge w:val="continue"/>
          </w:tcPr>
          <w:p>
            <w:pPr>
              <w:spacing w:after="0"/>
              <w:rPr>
                <w:sz w:val="15"/>
                <w:szCs w:val="15"/>
                <w:color w:val="auto"/>
              </w:rPr>
            </w:pPr>
          </w:p>
        </w:tc>
        <w:tc>
          <w:tcPr>
            <w:tcW w:w="8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1400" w:type="dxa"/>
            <w:vAlign w:val="bottom"/>
          </w:tcPr>
          <w:p>
            <w:pPr>
              <w:spacing w:after="0"/>
              <w:rPr>
                <w:sz w:val="23"/>
                <w:szCs w:val="23"/>
                <w:color w:val="auto"/>
              </w:rPr>
            </w:pPr>
          </w:p>
        </w:tc>
        <w:tc>
          <w:tcPr>
            <w:tcW w:w="87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1,599,186(1)</w:t>
            </w:r>
          </w:p>
        </w:tc>
        <w:tc>
          <w:tcPr>
            <w:tcW w:w="0" w:type="dxa"/>
            <w:vAlign w:val="bottom"/>
          </w:tcPr>
          <w:p>
            <w:pPr>
              <w:spacing w:after="0"/>
              <w:rPr>
                <w:sz w:val="1"/>
                <w:szCs w:val="1"/>
                <w:color w:val="auto"/>
              </w:rPr>
            </w:pPr>
          </w:p>
        </w:tc>
      </w:tr>
      <w:tr>
        <w:trPr>
          <w:trHeight w:val="21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1400" w:type="dxa"/>
            <w:vAlign w:val="bottom"/>
            <w:vMerge w:val="restart"/>
          </w:tcPr>
          <w:p>
            <w:pPr>
              <w:jc w:val="right"/>
              <w:ind w:right="850"/>
              <w:spacing w:after="0"/>
              <w:rPr>
                <w:sz w:val="20"/>
                <w:szCs w:val="20"/>
                <w:color w:val="auto"/>
              </w:rPr>
            </w:pPr>
            <w:r>
              <w:rPr>
                <w:rFonts w:ascii="Times New Roman" w:cs="Times New Roman" w:eastAsia="Times New Roman" w:hAnsi="Times New Roman"/>
                <w:sz w:val="18"/>
                <w:szCs w:val="18"/>
                <w:color w:val="auto"/>
              </w:rPr>
              <w:t>7</w:t>
            </w:r>
          </w:p>
        </w:tc>
        <w:tc>
          <w:tcPr>
            <w:tcW w:w="87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342"/>
        </w:trPr>
        <w:tc>
          <w:tcPr>
            <w:tcW w:w="124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8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56"/>
        </w:trPr>
        <w:tc>
          <w:tcPr>
            <w:tcW w:w="1240" w:type="dxa"/>
            <w:vAlign w:val="bottom"/>
          </w:tcPr>
          <w:p>
            <w:pPr>
              <w:spacing w:after="0"/>
              <w:rPr>
                <w:sz w:val="24"/>
                <w:szCs w:val="24"/>
                <w:color w:val="auto"/>
              </w:rPr>
            </w:pPr>
          </w:p>
        </w:tc>
        <w:tc>
          <w:tcPr>
            <w:tcW w:w="140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8</w:t>
            </w:r>
          </w:p>
        </w:tc>
        <w:tc>
          <w:tcPr>
            <w:tcW w:w="8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1,599,186(1)</w:t>
            </w: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1060" w:right="5560" w:hanging="620"/>
        <w:spacing w:after="0" w:line="282" w:lineRule="auto"/>
        <w:tabs>
          <w:tab w:leader="none" w:pos="10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1,599,186(1)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11430</wp:posOffset>
            </wp:positionV>
            <wp:extent cx="66122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58" w:lineRule="exact"/>
        <w:rPr>
          <w:sz w:val="20"/>
          <w:szCs w:val="20"/>
          <w:color w:val="auto"/>
        </w:rPr>
      </w:pPr>
    </w:p>
    <w:p>
      <w:pPr>
        <w:ind w:left="1060" w:hanging="620"/>
        <w:spacing w:after="0"/>
        <w:tabs>
          <w:tab w:leader="none" w:pos="106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 o</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060" w:hanging="620"/>
        <w:spacing w:after="0"/>
        <w:tabs>
          <w:tab w:leader="none" w:pos="106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1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6.2%(2)</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1060" w:hanging="620"/>
        <w:spacing w:after="0"/>
        <w:tabs>
          <w:tab w:leader="none" w:pos="106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1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00" w:lineRule="exact"/>
        <w:rPr>
          <w:rFonts w:ascii="Times New Roman" w:cs="Times New Roman" w:eastAsia="Times New Roman" w:hAnsi="Times New Roman"/>
          <w:sz w:val="18"/>
          <w:szCs w:val="18"/>
          <w:color w:val="auto"/>
        </w:rPr>
      </w:pPr>
    </w:p>
    <w:p>
      <w:pPr>
        <w:spacing w:after="0" w:line="303" w:lineRule="exact"/>
        <w:rPr>
          <w:rFonts w:ascii="Times New Roman" w:cs="Times New Roman" w:eastAsia="Times New Roman" w:hAnsi="Times New Roman"/>
          <w:sz w:val="18"/>
          <w:szCs w:val="18"/>
          <w:color w:val="auto"/>
        </w:rPr>
      </w:pPr>
    </w:p>
    <w:p>
      <w:pPr>
        <w:ind w:left="260" w:right="120" w:hanging="252"/>
        <w:spacing w:after="0" w:line="261" w:lineRule="auto"/>
        <w:tabs>
          <w:tab w:leader="none" w:pos="25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1,599,186 Class A Ordinary Shares held by Cervetto. Cervetto is a wholly-owned subsidiary of SSG II. SSG Capital Partners II GP, L.P (“</w:t>
      </w:r>
      <w:r>
        <w:rPr>
          <w:rFonts w:ascii="Times New Roman" w:cs="Times New Roman" w:eastAsia="Times New Roman" w:hAnsi="Times New Roman"/>
          <w:sz w:val="18"/>
          <w:szCs w:val="18"/>
          <w:u w:val="single" w:color="auto"/>
          <w:color w:val="auto"/>
        </w:rPr>
        <w:t>SSG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 GPLP</w:t>
      </w:r>
      <w:r>
        <w:rPr>
          <w:rFonts w:ascii="Times New Roman" w:cs="Times New Roman" w:eastAsia="Times New Roman" w:hAnsi="Times New Roman"/>
          <w:sz w:val="18"/>
          <w:szCs w:val="18"/>
          <w:color w:val="auto"/>
        </w:rPr>
        <w:t>”) is the general partner of SSG II and may be deemed to have shared voting control over securities owned by Cervetto.</w:t>
      </w:r>
    </w:p>
    <w:p>
      <w:pPr>
        <w:ind w:left="260" w:right="40" w:hanging="252"/>
        <w:spacing w:after="0" w:line="252" w:lineRule="auto"/>
        <w:tabs>
          <w:tab w:leader="none" w:pos="25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on 25,778,183 Ordinary Shares, comprised of 20,957,575 Class A Ordinary Shares and 4,820,608 Class B Ordinary Shares, reported as issued and outstanding by the Issuer immediately following the Issuer’s offering in its prospectus on Form 424B4 filed with the SEC December 22, 2017. Each share of Class B Ordinary Shares is convertible at the option of the holder into one share of Class A Ordinary Share. The rights of the holders of Class A Ordinary Shares and Class B Ordinary Shares are identical, except with respect to conversion rights (noted above) and voting rights. Each share of Class B Ordinary Share is entitled to twenty votes per share, whereas each share of Class A Ordinary Share is entitled to one vote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-1393190</wp:posOffset>
            </wp:positionV>
            <wp:extent cx="66122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-1942465</wp:posOffset>
            </wp:positionV>
            <wp:extent cx="66122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-2491105</wp:posOffset>
            </wp:positionV>
            <wp:extent cx="661225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-1179195</wp:posOffset>
            </wp:positionV>
            <wp:extent cx="182689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CUSIP No. G47048106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60" w:hanging="620"/>
        <w:spacing w:after="0"/>
        <w:tabs>
          <w:tab w:leader="none" w:pos="10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1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SSG Capital Partners I GPGP,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060" w:hanging="620"/>
        <w:spacing w:after="0"/>
        <w:tabs>
          <w:tab w:leader="none" w:pos="10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17" w:lineRule="exact"/>
        <w:rPr>
          <w:rFonts w:ascii="Times New Roman" w:cs="Times New Roman" w:eastAsia="Times New Roman" w:hAnsi="Times New Roman"/>
          <w:sz w:val="18"/>
          <w:szCs w:val="18"/>
          <w:color w:val="auto"/>
        </w:rPr>
      </w:pPr>
    </w:p>
    <w:p>
      <w:pPr>
        <w:ind w:left="2220" w:hanging="1159"/>
        <w:spacing w:after="0"/>
        <w:tabs>
          <w:tab w:leader="none" w:pos="22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130" w:lineRule="exact"/>
        <w:rPr>
          <w:rFonts w:ascii="Times New Roman" w:cs="Times New Roman" w:eastAsia="Times New Roman" w:hAnsi="Times New Roman"/>
          <w:sz w:val="18"/>
          <w:szCs w:val="18"/>
          <w:color w:val="auto"/>
        </w:rPr>
      </w:pPr>
    </w:p>
    <w:p>
      <w:pPr>
        <w:ind w:left="2220" w:hanging="1159"/>
        <w:spacing w:after="0"/>
        <w:tabs>
          <w:tab w:leader="none" w:pos="22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51435</wp:posOffset>
            </wp:positionV>
            <wp:extent cx="587438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-161925</wp:posOffset>
            </wp:positionV>
            <wp:extent cx="587438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hanging="620"/>
        <w:spacing w:after="0"/>
        <w:tabs>
          <w:tab w:leader="none" w:pos="10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51435</wp:posOffset>
            </wp:positionV>
            <wp:extent cx="661225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60" w:right="7740" w:hanging="620"/>
        <w:spacing w:after="0" w:line="282" w:lineRule="auto"/>
        <w:tabs>
          <w:tab w:leader="none" w:pos="10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11430</wp:posOffset>
            </wp:positionV>
            <wp:extent cx="66122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420"/>
          </w:cols>
          <w:pgMar w:left="240" w:top="121" w:right="239" w:bottom="396" w:gutter="0" w:footer="0" w:header="0"/>
        </w:sectPr>
      </w:pPr>
    </w:p>
    <w:p>
      <w:pPr>
        <w:spacing w:after="0" w:line="39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460" w:type="dxa"/>
            <w:vAlign w:val="bottom"/>
          </w:tcPr>
          <w:p>
            <w:pPr>
              <w:spacing w:after="0"/>
              <w:rPr>
                <w:sz w:val="18"/>
                <w:szCs w:val="18"/>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460" w:type="dxa"/>
            <w:vAlign w:val="bottom"/>
          </w:tcPr>
          <w:p>
            <w:pPr>
              <w:spacing w:after="0"/>
              <w:rPr>
                <w:sz w:val="18"/>
                <w:szCs w:val="18"/>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460" w:type="dxa"/>
            <w:vAlign w:val="bottom"/>
          </w:tcPr>
          <w:p>
            <w:pPr>
              <w:spacing w:after="0"/>
              <w:rPr>
                <w:sz w:val="18"/>
                <w:szCs w:val="18"/>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460" w:type="dxa"/>
            <w:vAlign w:val="bottom"/>
          </w:tcPr>
          <w:p>
            <w:pPr>
              <w:spacing w:after="0"/>
              <w:rPr>
                <w:sz w:val="18"/>
                <w:szCs w:val="18"/>
                <w:color w:val="auto"/>
              </w:rPr>
            </w:pP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460" w:type="dxa"/>
            <w:vAlign w:val="bottom"/>
          </w:tcPr>
          <w:p>
            <w:pPr>
              <w:spacing w:after="0"/>
              <w:rPr>
                <w:sz w:val="20"/>
                <w:szCs w:val="20"/>
                <w:color w:val="auto"/>
              </w:rPr>
            </w:pPr>
          </w:p>
        </w:tc>
      </w:tr>
      <w:tr>
        <w:trPr>
          <w:trHeight w:val="432"/>
        </w:trPr>
        <w:tc>
          <w:tcPr>
            <w:tcW w:w="1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bl>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Voting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Shared Voting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887,616(1)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Dispositive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ectPr>
          <w:pgSz w:w="11900" w:h="16838" w:orient="portrait"/>
          <w:cols w:equalWidth="0" w:num="2">
            <w:col w:w="2040" w:space="720"/>
            <w:col w:w="8660"/>
          </w:cols>
          <w:pgMar w:left="240" w:top="121" w:right="239" w:bottom="396" w:gutter="0" w:footer="0" w:header="0"/>
          <w:type w:val="continuous"/>
        </w:sectPr>
      </w:pPr>
    </w:p>
    <w:bookmarkStart w:id="6" w:name="page7"/>
    <w:bookmarkEnd w:id="6"/>
    <w:p>
      <w:pPr>
        <w:ind w:left="2752" w:right="6740" w:hanging="1091"/>
        <w:spacing w:after="0" w:line="282" w:lineRule="auto"/>
        <w:tabs>
          <w:tab w:leader="none" w:pos="275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887,616(1)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1715135</wp:posOffset>
            </wp:positionH>
            <wp:positionV relativeFrom="paragraph">
              <wp:posOffset>11430</wp:posOffset>
            </wp:positionV>
            <wp:extent cx="553148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358" w:lineRule="exact"/>
        <w:rPr>
          <w:sz w:val="20"/>
          <w:szCs w:val="20"/>
          <w:color w:val="auto"/>
        </w:rPr>
      </w:pPr>
    </w:p>
    <w:p>
      <w:pPr>
        <w:ind w:left="1052" w:right="5520" w:hanging="620"/>
        <w:spacing w:after="0" w:line="282" w:lineRule="auto"/>
        <w:tabs>
          <w:tab w:leader="none" w:pos="105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887,616(1)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11430</wp:posOffset>
            </wp:positionV>
            <wp:extent cx="66122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58" w:lineRule="exact"/>
        <w:rPr>
          <w:sz w:val="20"/>
          <w:szCs w:val="20"/>
          <w:color w:val="auto"/>
        </w:rPr>
      </w:pPr>
    </w:p>
    <w:p>
      <w:pPr>
        <w:ind w:left="1052" w:hanging="620"/>
        <w:spacing w:after="0"/>
        <w:tabs>
          <w:tab w:leader="none" w:pos="1052"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 o</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052" w:hanging="620"/>
        <w:spacing w:after="0"/>
        <w:tabs>
          <w:tab w:leader="none" w:pos="1052"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10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3.4%(2)</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1052" w:hanging="620"/>
        <w:spacing w:after="0"/>
        <w:tabs>
          <w:tab w:leader="none" w:pos="1052"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10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0" w:lineRule="exact"/>
        <w:rPr>
          <w:rFonts w:ascii="Times New Roman" w:cs="Times New Roman" w:eastAsia="Times New Roman" w:hAnsi="Times New Roman"/>
          <w:sz w:val="18"/>
          <w:szCs w:val="18"/>
          <w:color w:val="auto"/>
        </w:rPr>
      </w:pPr>
    </w:p>
    <w:p>
      <w:pPr>
        <w:spacing w:after="0" w:line="303" w:lineRule="exact"/>
        <w:rPr>
          <w:rFonts w:ascii="Times New Roman" w:cs="Times New Roman" w:eastAsia="Times New Roman" w:hAnsi="Times New Roman"/>
          <w:sz w:val="18"/>
          <w:szCs w:val="18"/>
          <w:color w:val="auto"/>
        </w:rPr>
      </w:pPr>
    </w:p>
    <w:p>
      <w:pPr>
        <w:ind w:left="252" w:right="80" w:hanging="252"/>
        <w:spacing w:after="0" w:line="257" w:lineRule="auto"/>
        <w:tabs>
          <w:tab w:leader="none" w:pos="24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887,616 Class A Ordinary Shares held by Czerny. Czerny is a wholly-owned subsidiary of SSG I. SSG I GPLP is the general partner of SSG . SSG Capital Partners I GPGP, Ltd (“</w:t>
      </w:r>
      <w:r>
        <w:rPr>
          <w:rFonts w:ascii="Times New Roman" w:cs="Times New Roman" w:eastAsia="Times New Roman" w:hAnsi="Times New Roman"/>
          <w:sz w:val="18"/>
          <w:szCs w:val="18"/>
          <w:u w:val="single" w:color="auto"/>
          <w:color w:val="auto"/>
        </w:rPr>
        <w:t>SSG I GPGP</w:t>
      </w:r>
      <w:r>
        <w:rPr>
          <w:rFonts w:ascii="Times New Roman" w:cs="Times New Roman" w:eastAsia="Times New Roman" w:hAnsi="Times New Roman"/>
          <w:sz w:val="18"/>
          <w:szCs w:val="18"/>
          <w:color w:val="auto"/>
        </w:rPr>
        <w:t>”) is the general partner of SSG I GPLP. SSG I, SSG I GPLP and SSG I GPGP may be deemed to have shared voting control over securities owned by Czerny.</w:t>
      </w:r>
    </w:p>
    <w:p>
      <w:pPr>
        <w:spacing w:after="0" w:line="1" w:lineRule="exact"/>
        <w:rPr>
          <w:rFonts w:ascii="Times New Roman" w:cs="Times New Roman" w:eastAsia="Times New Roman" w:hAnsi="Times New Roman"/>
          <w:sz w:val="18"/>
          <w:szCs w:val="18"/>
          <w:color w:val="auto"/>
        </w:rPr>
      </w:pPr>
    </w:p>
    <w:p>
      <w:pPr>
        <w:ind w:left="252" w:hanging="252"/>
        <w:spacing w:after="0" w:line="252" w:lineRule="auto"/>
        <w:tabs>
          <w:tab w:leader="none" w:pos="24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on 25,778,183 Ordinary Shares, comprised of 20,957,575 Class A Ordinary Shares and 4,820,608 Class B Ordinary Shares, reported as issued and outstanding by the Issuer immediately following the Issuer’s offering in its prospectus on Form 424B4 filed with the SEC December 22, 2017. Each share of Class B Ordinary Shares is convertible at the option of the holder into one share of Class A Ordinary Share. The rights of the holders of Class A Ordinary Shares and Class B Ordinary Shares are identical, except with respect to conversion rights (noted above) and voting rights. Each share of Class B Ordinary Share is entitled to twenty votes per share, whereas each share of Class A Ordinary Share is entitled to one vote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-1530350</wp:posOffset>
            </wp:positionV>
            <wp:extent cx="66122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-2079625</wp:posOffset>
            </wp:positionV>
            <wp:extent cx="661225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-2628265</wp:posOffset>
            </wp:positionV>
            <wp:extent cx="66122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-1316355</wp:posOffset>
            </wp:positionV>
            <wp:extent cx="182689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70"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
        <w:spacing w:after="0"/>
        <w:rPr>
          <w:sz w:val="20"/>
          <w:szCs w:val="20"/>
          <w:color w:val="auto"/>
        </w:rPr>
      </w:pPr>
      <w:r>
        <w:rPr>
          <w:rFonts w:ascii="Times New Roman" w:cs="Times New Roman" w:eastAsia="Times New Roman" w:hAnsi="Times New Roman"/>
          <w:sz w:val="18"/>
          <w:szCs w:val="18"/>
          <w:color w:val="auto"/>
        </w:rPr>
        <w:t>CUSIP No. G47048106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52" w:hanging="620"/>
        <w:spacing w:after="0"/>
        <w:tabs>
          <w:tab w:leader="none" w:pos="105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10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SSG Capital Partners II GPGP,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40005</wp:posOffset>
            </wp:positionV>
            <wp:extent cx="661225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052" w:hanging="620"/>
        <w:spacing w:after="0"/>
        <w:tabs>
          <w:tab w:leader="none" w:pos="105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17" w:lineRule="exact"/>
        <w:rPr>
          <w:rFonts w:ascii="Times New Roman" w:cs="Times New Roman" w:eastAsia="Times New Roman" w:hAnsi="Times New Roman"/>
          <w:sz w:val="18"/>
          <w:szCs w:val="18"/>
          <w:color w:val="auto"/>
        </w:rPr>
      </w:pPr>
    </w:p>
    <w:p>
      <w:pPr>
        <w:ind w:left="2212" w:hanging="1159"/>
        <w:spacing w:after="0"/>
        <w:tabs>
          <w:tab w:leader="none" w:pos="2212"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130" w:lineRule="exact"/>
        <w:rPr>
          <w:rFonts w:ascii="Times New Roman" w:cs="Times New Roman" w:eastAsia="Times New Roman" w:hAnsi="Times New Roman"/>
          <w:sz w:val="18"/>
          <w:szCs w:val="18"/>
          <w:color w:val="auto"/>
        </w:rPr>
      </w:pPr>
    </w:p>
    <w:p>
      <w:pPr>
        <w:ind w:left="2212" w:hanging="1159"/>
        <w:spacing w:after="0"/>
        <w:tabs>
          <w:tab w:leader="none" w:pos="2212"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1372235</wp:posOffset>
            </wp:positionH>
            <wp:positionV relativeFrom="paragraph">
              <wp:posOffset>51435</wp:posOffset>
            </wp:positionV>
            <wp:extent cx="587438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-161925</wp:posOffset>
            </wp:positionV>
            <wp:extent cx="587438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2" w:hanging="620"/>
        <w:spacing w:after="0"/>
        <w:tabs>
          <w:tab w:leader="none" w:pos="105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51435</wp:posOffset>
            </wp:positionV>
            <wp:extent cx="661225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2" w:right="7700" w:hanging="620"/>
        <w:spacing w:after="0" w:line="282" w:lineRule="auto"/>
        <w:tabs>
          <w:tab w:leader="none" w:pos="105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11430</wp:posOffset>
            </wp:positionV>
            <wp:extent cx="661225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72"/>
          </w:cols>
          <w:pgMar w:left="248" w:top="175" w:right="279" w:bottom="0" w:gutter="0" w:footer="0" w:header="0"/>
        </w:sectPr>
      </w:pPr>
    </w:p>
    <w:p>
      <w:pPr>
        <w:spacing w:after="0" w:line="391" w:lineRule="exact"/>
        <w:rPr>
          <w:sz w:val="20"/>
          <w:szCs w:val="20"/>
          <w:color w:val="auto"/>
        </w:rPr>
      </w:pPr>
    </w:p>
    <w:tbl>
      <w:tblPr>
        <w:tblLayout w:type="fixed"/>
        <w:tblInd w:w="52"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73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26"/>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2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26"/>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Reporting</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2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Voting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Shared Voting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1,599,186(1)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Dispositive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Shared Dispositive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1,599,186(1)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32" w:space="720"/>
            <w:col w:w="8620"/>
          </w:cols>
          <w:pgMar w:left="248" w:top="175" w:right="279" w:bottom="0" w:gutter="0" w:footer="0" w:header="0"/>
          <w:type w:val="continuous"/>
        </w:sectPr>
      </w:pPr>
    </w:p>
    <w:p>
      <w:pPr>
        <w:spacing w:after="0" w:line="223" w:lineRule="exact"/>
        <w:rPr>
          <w:sz w:val="20"/>
          <w:szCs w:val="20"/>
          <w:color w:val="auto"/>
        </w:rPr>
      </w:pPr>
    </w:p>
    <w:p>
      <w:pPr>
        <w:ind w:left="1052" w:right="5520" w:hanging="620"/>
        <w:spacing w:after="0" w:line="282" w:lineRule="auto"/>
        <w:tabs>
          <w:tab w:leader="none" w:pos="105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1,599,186(1)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11430</wp:posOffset>
            </wp:positionV>
            <wp:extent cx="661225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72"/>
          </w:cols>
          <w:pgMar w:left="248" w:top="175" w:right="279" w:bottom="0" w:gutter="0" w:footer="0" w:header="0"/>
          <w:type w:val="continuous"/>
        </w:sectPr>
      </w:pPr>
    </w:p>
    <w:p>
      <w:pPr>
        <w:spacing w:after="0" w:line="378" w:lineRule="exact"/>
        <w:rPr>
          <w:sz w:val="20"/>
          <w:szCs w:val="20"/>
          <w:color w:val="auto"/>
        </w:rPr>
      </w:pPr>
    </w:p>
    <w:p>
      <w:pPr>
        <w:ind w:left="432"/>
        <w:spacing w:after="0"/>
        <w:tabs>
          <w:tab w:leader="none" w:pos="1032"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(11) Excludes Certain Shares (See Instructions)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51435</wp:posOffset>
            </wp:positionV>
            <wp:extent cx="661225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72"/>
          </w:cols>
          <w:pgMar w:left="248" w:top="175" w:right="279" w:bottom="0" w:gutter="0" w:footer="0" w:header="0"/>
          <w:type w:val="continuous"/>
        </w:sectPr>
      </w:pPr>
    </w:p>
    <w:bookmarkStart w:id="7" w:name="page8"/>
    <w:bookmarkEnd w:id="7"/>
    <w:p>
      <w:pPr>
        <w:ind w:left="1052" w:hanging="620"/>
        <w:spacing w:after="0"/>
        <w:tabs>
          <w:tab w:leader="none" w:pos="1052"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10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6.2%(2)</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1052" w:hanging="620"/>
        <w:spacing w:after="0"/>
        <w:tabs>
          <w:tab w:leader="none" w:pos="1052"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10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0" w:lineRule="exact"/>
        <w:rPr>
          <w:rFonts w:ascii="Times New Roman" w:cs="Times New Roman" w:eastAsia="Times New Roman" w:hAnsi="Times New Roman"/>
          <w:sz w:val="18"/>
          <w:szCs w:val="18"/>
          <w:color w:val="auto"/>
        </w:rPr>
      </w:pPr>
    </w:p>
    <w:p>
      <w:pPr>
        <w:spacing w:after="0" w:line="303" w:lineRule="exact"/>
        <w:rPr>
          <w:rFonts w:ascii="Times New Roman" w:cs="Times New Roman" w:eastAsia="Times New Roman" w:hAnsi="Times New Roman"/>
          <w:sz w:val="18"/>
          <w:szCs w:val="18"/>
          <w:color w:val="auto"/>
        </w:rPr>
      </w:pPr>
    </w:p>
    <w:p>
      <w:pPr>
        <w:ind w:left="252" w:right="160" w:hanging="252"/>
        <w:spacing w:after="0" w:line="257" w:lineRule="auto"/>
        <w:tabs>
          <w:tab w:leader="none" w:pos="24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1,599,186 Class A Ordinary Shares held by Cervetto. Cervetto is a wholly-owned subsidiary of SSG II. SSG II GPLP is the general partner of SSG II. SSG Capital Partners II GPGP, Ltd. (“</w:t>
      </w:r>
      <w:r>
        <w:rPr>
          <w:rFonts w:ascii="Times New Roman" w:cs="Times New Roman" w:eastAsia="Times New Roman" w:hAnsi="Times New Roman"/>
          <w:sz w:val="18"/>
          <w:szCs w:val="18"/>
          <w:u w:val="single" w:color="auto"/>
          <w:color w:val="auto"/>
        </w:rPr>
        <w:t>SSG II GPGP</w:t>
      </w:r>
      <w:r>
        <w:rPr>
          <w:rFonts w:ascii="Times New Roman" w:cs="Times New Roman" w:eastAsia="Times New Roman" w:hAnsi="Times New Roman"/>
          <w:sz w:val="18"/>
          <w:szCs w:val="18"/>
          <w:color w:val="auto"/>
        </w:rPr>
        <w:t>”) is the general partner of SSG II GPLP. SSG II, SSG II GPLP and SSG II GPGP may be deemed to have shared voting control over securities owned by Cervetto.</w:t>
      </w:r>
    </w:p>
    <w:p>
      <w:pPr>
        <w:spacing w:after="0" w:line="1" w:lineRule="exact"/>
        <w:rPr>
          <w:rFonts w:ascii="Times New Roman" w:cs="Times New Roman" w:eastAsia="Times New Roman" w:hAnsi="Times New Roman"/>
          <w:sz w:val="18"/>
          <w:szCs w:val="18"/>
          <w:color w:val="auto"/>
        </w:rPr>
      </w:pPr>
    </w:p>
    <w:p>
      <w:pPr>
        <w:ind w:left="252" w:hanging="252"/>
        <w:spacing w:after="0" w:line="252" w:lineRule="auto"/>
        <w:tabs>
          <w:tab w:leader="none" w:pos="24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on 25,778,183 Ordinary Shares, comprised of 20,957,575 Class A Ordinary Shares and 4,820,608 Class B Ordinary Shares, reported as issued and outstanding by the Issuer immediately following the Issuer’s offering in its prospectus on Form 424B4 filed with the SEC December 22, 2017. Each share of Class B Ordinary Shares is convertible at the option of the holder into one share of Class A Ordinary Share. The rights of the holders of Class A Ordinary Shares and Class B Ordinary Shares are identical, except with respect to conversion rights (noted above) and voting rights. Each share of Class B Ordinary Share is entitled to twenty votes per share, whereas each share of Class A Ordinary Share is entitled to one vote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-1530350</wp:posOffset>
            </wp:positionV>
            <wp:extent cx="661225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-2079625</wp:posOffset>
            </wp:positionV>
            <wp:extent cx="661225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-1316355</wp:posOffset>
            </wp:positionV>
            <wp:extent cx="182689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70"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
        <w:spacing w:after="0"/>
        <w:rPr>
          <w:sz w:val="20"/>
          <w:szCs w:val="20"/>
          <w:color w:val="auto"/>
        </w:rPr>
      </w:pPr>
      <w:r>
        <w:rPr>
          <w:rFonts w:ascii="Times New Roman" w:cs="Times New Roman" w:eastAsia="Times New Roman" w:hAnsi="Times New Roman"/>
          <w:sz w:val="18"/>
          <w:szCs w:val="18"/>
          <w:color w:val="auto"/>
        </w:rPr>
        <w:t>CUSIP No. G47048106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52" w:right="8100" w:hanging="620"/>
        <w:spacing w:after="0" w:line="282" w:lineRule="auto"/>
        <w:tabs>
          <w:tab w:leader="none" w:pos="105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 SSG Capital Holdings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11430</wp:posOffset>
            </wp:positionV>
            <wp:extent cx="661225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58" w:lineRule="exact"/>
        <w:rPr>
          <w:sz w:val="20"/>
          <w:szCs w:val="20"/>
          <w:color w:val="auto"/>
        </w:rPr>
      </w:pPr>
    </w:p>
    <w:p>
      <w:pPr>
        <w:ind w:left="1052" w:hanging="620"/>
        <w:spacing w:after="0"/>
        <w:tabs>
          <w:tab w:leader="none" w:pos="105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17" w:lineRule="exact"/>
        <w:rPr>
          <w:rFonts w:ascii="Times New Roman" w:cs="Times New Roman" w:eastAsia="Times New Roman" w:hAnsi="Times New Roman"/>
          <w:sz w:val="18"/>
          <w:szCs w:val="18"/>
          <w:color w:val="auto"/>
        </w:rPr>
      </w:pPr>
    </w:p>
    <w:p>
      <w:pPr>
        <w:ind w:left="2212" w:hanging="1159"/>
        <w:spacing w:after="0"/>
        <w:tabs>
          <w:tab w:leader="none" w:pos="2212"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130" w:lineRule="exact"/>
        <w:rPr>
          <w:rFonts w:ascii="Times New Roman" w:cs="Times New Roman" w:eastAsia="Times New Roman" w:hAnsi="Times New Roman"/>
          <w:sz w:val="18"/>
          <w:szCs w:val="18"/>
          <w:color w:val="auto"/>
        </w:rPr>
      </w:pPr>
    </w:p>
    <w:p>
      <w:pPr>
        <w:ind w:left="2212" w:hanging="1159"/>
        <w:spacing w:after="0"/>
        <w:tabs>
          <w:tab w:leader="none" w:pos="2212"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1372235</wp:posOffset>
            </wp:positionH>
            <wp:positionV relativeFrom="paragraph">
              <wp:posOffset>51435</wp:posOffset>
            </wp:positionV>
            <wp:extent cx="587438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-161925</wp:posOffset>
            </wp:positionV>
            <wp:extent cx="587438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2" w:hanging="620"/>
        <w:spacing w:after="0"/>
        <w:tabs>
          <w:tab w:leader="none" w:pos="105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51435</wp:posOffset>
            </wp:positionV>
            <wp:extent cx="661225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2" w:right="7700" w:hanging="620"/>
        <w:spacing w:after="0" w:line="282" w:lineRule="auto"/>
        <w:tabs>
          <w:tab w:leader="none" w:pos="105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11430</wp:posOffset>
            </wp:positionV>
            <wp:extent cx="661225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72"/>
          </w:cols>
          <w:pgMar w:left="248" w:top="445" w:right="279" w:bottom="234" w:gutter="0" w:footer="0" w:header="0"/>
        </w:sectPr>
      </w:pPr>
    </w:p>
    <w:p>
      <w:pPr>
        <w:spacing w:after="0" w:line="391" w:lineRule="exact"/>
        <w:rPr>
          <w:sz w:val="20"/>
          <w:szCs w:val="20"/>
          <w:color w:val="auto"/>
        </w:rPr>
      </w:pPr>
    </w:p>
    <w:tbl>
      <w:tblPr>
        <w:tblLayout w:type="fixed"/>
        <w:tblInd w:w="52"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73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26"/>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2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26"/>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Reporting</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2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Voting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Shared Voting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2,486,802(1)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Dispositive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Shared Dispositive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2,486,802(1)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32" w:space="720"/>
            <w:col w:w="8620"/>
          </w:cols>
          <w:pgMar w:left="248" w:top="445" w:right="279" w:bottom="234" w:gutter="0" w:footer="0" w:header="0"/>
          <w:type w:val="continuous"/>
        </w:sectPr>
      </w:pPr>
    </w:p>
    <w:p>
      <w:pPr>
        <w:spacing w:after="0" w:line="223" w:lineRule="exact"/>
        <w:rPr>
          <w:sz w:val="20"/>
          <w:szCs w:val="20"/>
          <w:color w:val="auto"/>
        </w:rPr>
      </w:pPr>
    </w:p>
    <w:p>
      <w:pPr>
        <w:ind w:left="1052" w:right="5520" w:hanging="620"/>
        <w:spacing w:after="0" w:line="282" w:lineRule="auto"/>
        <w:tabs>
          <w:tab w:leader="none" w:pos="105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2,486,802(1)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11430</wp:posOffset>
            </wp:positionV>
            <wp:extent cx="661225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58" w:lineRule="exact"/>
        <w:rPr>
          <w:sz w:val="20"/>
          <w:szCs w:val="20"/>
          <w:color w:val="auto"/>
        </w:rPr>
      </w:pPr>
    </w:p>
    <w:p>
      <w:pPr>
        <w:ind w:left="1052" w:hanging="620"/>
        <w:spacing w:after="0"/>
        <w:tabs>
          <w:tab w:leader="none" w:pos="105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 o</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052" w:right="6440" w:hanging="620"/>
        <w:spacing w:after="0" w:line="282" w:lineRule="auto"/>
        <w:tabs>
          <w:tab w:leader="none" w:pos="105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9.6%(2)</w:t>
      </w:r>
    </w:p>
    <w:p>
      <w:pPr>
        <w:spacing w:after="0" w:line="377" w:lineRule="exact"/>
        <w:rPr>
          <w:rFonts w:ascii="Times New Roman" w:cs="Times New Roman" w:eastAsia="Times New Roman" w:hAnsi="Times New Roman"/>
          <w:sz w:val="18"/>
          <w:szCs w:val="18"/>
          <w:color w:val="auto"/>
        </w:rPr>
      </w:pPr>
    </w:p>
    <w:p>
      <w:pPr>
        <w:ind w:left="1052" w:hanging="620"/>
        <w:spacing w:after="0"/>
        <w:tabs>
          <w:tab w:leader="none" w:pos="105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10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40005</wp:posOffset>
            </wp:positionV>
            <wp:extent cx="661225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-508000</wp:posOffset>
            </wp:positionV>
            <wp:extent cx="661225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-1057275</wp:posOffset>
            </wp:positionV>
            <wp:extent cx="661225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254635</wp:posOffset>
            </wp:positionV>
            <wp:extent cx="182689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72"/>
          </w:cols>
          <w:pgMar w:left="248" w:top="445" w:right="279" w:bottom="234" w:gutter="0" w:footer="0" w:header="0"/>
          <w:type w:val="continuous"/>
        </w:sectPr>
      </w:pPr>
    </w:p>
    <w:bookmarkStart w:id="8" w:name="page9"/>
    <w:bookmarkEnd w:id="8"/>
    <w:p>
      <w:pPr>
        <w:ind w:left="252" w:right="200" w:hanging="252"/>
        <w:spacing w:after="0" w:line="254" w:lineRule="auto"/>
        <w:tabs>
          <w:tab w:leader="none" w:pos="24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887,616 Class A Ordinary Shares held by Czerny and (b) 1,599,186 Class A Ordinary Shares held by Cervetto. Czerny is a wholly-owned subsidiary of SSG I, SSG I GPLP is the general partner of SSG I and SSG I GPGP is the general partner of SSG I GPLP. Cervetto is a wholly-owned subsidiary of SSG II, SSG II GPLP is the general partner of SSG II and SSG II GPGP is the general partner of SSG II GPLP. Each of SSG I GPGP and SSG II GPGP is a wholly-owned subsidiary of SSG Capital Holdings Limited (“</w:t>
      </w:r>
      <w:r>
        <w:rPr>
          <w:rFonts w:ascii="Times New Roman" w:cs="Times New Roman" w:eastAsia="Times New Roman" w:hAnsi="Times New Roman"/>
          <w:sz w:val="18"/>
          <w:szCs w:val="18"/>
          <w:u w:val="single" w:color="auto"/>
          <w:color w:val="auto"/>
        </w:rPr>
        <w:t>SSG Hold Co</w:t>
      </w:r>
      <w:r>
        <w:rPr>
          <w:rFonts w:ascii="Times New Roman" w:cs="Times New Roman" w:eastAsia="Times New Roman" w:hAnsi="Times New Roman"/>
          <w:sz w:val="18"/>
          <w:szCs w:val="18"/>
          <w:color w:val="auto"/>
        </w:rPr>
        <w:t>”), and SSG Hold Co may also be deemed to have shared voting control over securities owned by Czerny and Cervetto.</w:t>
      </w:r>
    </w:p>
    <w:p>
      <w:pPr>
        <w:spacing w:after="0" w:line="3" w:lineRule="exact"/>
        <w:rPr>
          <w:rFonts w:ascii="Times New Roman" w:cs="Times New Roman" w:eastAsia="Times New Roman" w:hAnsi="Times New Roman"/>
          <w:sz w:val="18"/>
          <w:szCs w:val="18"/>
          <w:color w:val="auto"/>
        </w:rPr>
      </w:pPr>
    </w:p>
    <w:p>
      <w:pPr>
        <w:ind w:left="252" w:hanging="252"/>
        <w:spacing w:after="0" w:line="252" w:lineRule="auto"/>
        <w:tabs>
          <w:tab w:leader="none" w:pos="24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on 25,778,183 Ordinary Shares, comprised of 20,957,575 Class A Ordinary Shares and 4,820,608 Class B Ordinary Shares, reported as issued and outstanding by the Issuer immediately following the Issuer’s offering in its prospectus on Form 424B4 filed with the SEC December 22, 2017. Each share of Class B Ordinary Shares is convertible at the option of the holder into one share of Class A Ordinary Share. The rights of the holders of Class A Ordinary Shares and Class B Ordinary Shares are identical, except with respect to conversion rights (noted above) and voting rights. Each share of Class B Ordinary Share is entitled to twenty votes per share, whereas each share of Class A Ordinary Share is entitled to one vote per share.</w:t>
      </w:r>
    </w:p>
    <w:p>
      <w:pPr>
        <w:spacing w:after="0" w:line="190"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
        <w:spacing w:after="0"/>
        <w:rPr>
          <w:sz w:val="20"/>
          <w:szCs w:val="20"/>
          <w:color w:val="auto"/>
        </w:rPr>
      </w:pPr>
      <w:r>
        <w:rPr>
          <w:rFonts w:ascii="Times New Roman" w:cs="Times New Roman" w:eastAsia="Times New Roman" w:hAnsi="Times New Roman"/>
          <w:sz w:val="18"/>
          <w:szCs w:val="18"/>
          <w:color w:val="auto"/>
        </w:rPr>
        <w:t>CUSIP No. G47048106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52" w:right="8320" w:hanging="620"/>
        <w:spacing w:after="0" w:line="282" w:lineRule="auto"/>
        <w:tabs>
          <w:tab w:leader="none" w:pos="105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 Wong Ching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11430</wp:posOffset>
            </wp:positionV>
            <wp:extent cx="661225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58" w:lineRule="exact"/>
        <w:rPr>
          <w:sz w:val="20"/>
          <w:szCs w:val="20"/>
          <w:color w:val="auto"/>
        </w:rPr>
      </w:pPr>
    </w:p>
    <w:p>
      <w:pPr>
        <w:ind w:left="1052" w:hanging="620"/>
        <w:spacing w:after="0"/>
        <w:tabs>
          <w:tab w:leader="none" w:pos="105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17" w:lineRule="exact"/>
        <w:rPr>
          <w:rFonts w:ascii="Times New Roman" w:cs="Times New Roman" w:eastAsia="Times New Roman" w:hAnsi="Times New Roman"/>
          <w:sz w:val="18"/>
          <w:szCs w:val="18"/>
          <w:color w:val="auto"/>
        </w:rPr>
      </w:pPr>
    </w:p>
    <w:p>
      <w:pPr>
        <w:ind w:left="2212" w:hanging="1159"/>
        <w:spacing w:after="0"/>
        <w:tabs>
          <w:tab w:leader="none" w:pos="2212"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130" w:lineRule="exact"/>
        <w:rPr>
          <w:rFonts w:ascii="Times New Roman" w:cs="Times New Roman" w:eastAsia="Times New Roman" w:hAnsi="Times New Roman"/>
          <w:sz w:val="18"/>
          <w:szCs w:val="18"/>
          <w:color w:val="auto"/>
        </w:rPr>
      </w:pPr>
    </w:p>
    <w:p>
      <w:pPr>
        <w:ind w:left="2212" w:hanging="1159"/>
        <w:spacing w:after="0"/>
        <w:tabs>
          <w:tab w:leader="none" w:pos="2212"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1372235</wp:posOffset>
            </wp:positionH>
            <wp:positionV relativeFrom="paragraph">
              <wp:posOffset>51435</wp:posOffset>
            </wp:positionV>
            <wp:extent cx="587438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-161925</wp:posOffset>
            </wp:positionV>
            <wp:extent cx="587438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2" w:hanging="620"/>
        <w:spacing w:after="0"/>
        <w:tabs>
          <w:tab w:leader="none" w:pos="105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51435</wp:posOffset>
            </wp:positionV>
            <wp:extent cx="661225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2" w:right="7700" w:hanging="620"/>
        <w:spacing w:after="0" w:line="282" w:lineRule="auto"/>
        <w:tabs>
          <w:tab w:leader="none" w:pos="105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Hong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11430</wp:posOffset>
            </wp:positionV>
            <wp:extent cx="661225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72"/>
          </w:cols>
          <w:pgMar w:left="248" w:top="121" w:right="279" w:bottom="0" w:gutter="0" w:footer="0" w:header="0"/>
        </w:sectPr>
      </w:pPr>
    </w:p>
    <w:p>
      <w:pPr>
        <w:spacing w:after="0" w:line="391" w:lineRule="exact"/>
        <w:rPr>
          <w:sz w:val="20"/>
          <w:szCs w:val="20"/>
          <w:color w:val="auto"/>
        </w:rPr>
      </w:pPr>
    </w:p>
    <w:tbl>
      <w:tblPr>
        <w:tblLayout w:type="fixed"/>
        <w:tblInd w:w="52"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73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26"/>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2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26"/>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Reporting</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2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Voting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Shared Voting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2,486,802(1)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Dispositive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Shared Dispositive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2,486,802(1)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32" w:space="720"/>
            <w:col w:w="8620"/>
          </w:cols>
          <w:pgMar w:left="248" w:top="121" w:right="279" w:bottom="0" w:gutter="0" w:footer="0" w:header="0"/>
          <w:type w:val="continuous"/>
        </w:sectPr>
      </w:pPr>
    </w:p>
    <w:p>
      <w:pPr>
        <w:spacing w:after="0" w:line="223" w:lineRule="exact"/>
        <w:rPr>
          <w:sz w:val="20"/>
          <w:szCs w:val="20"/>
          <w:color w:val="auto"/>
        </w:rPr>
      </w:pPr>
    </w:p>
    <w:p>
      <w:pPr>
        <w:ind w:left="1052" w:right="5520" w:hanging="620"/>
        <w:spacing w:after="0" w:line="282" w:lineRule="auto"/>
        <w:tabs>
          <w:tab w:leader="none" w:pos="105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2,486,802(1)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11430</wp:posOffset>
            </wp:positionV>
            <wp:extent cx="661225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58" w:lineRule="exact"/>
        <w:rPr>
          <w:sz w:val="20"/>
          <w:szCs w:val="20"/>
          <w:color w:val="auto"/>
        </w:rPr>
      </w:pPr>
    </w:p>
    <w:p>
      <w:pPr>
        <w:ind w:left="1052" w:hanging="620"/>
        <w:spacing w:after="0"/>
        <w:tabs>
          <w:tab w:leader="none" w:pos="1052"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 o</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052" w:hanging="620"/>
        <w:spacing w:after="0"/>
        <w:tabs>
          <w:tab w:leader="none" w:pos="1052"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10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9.6%(2)</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1052" w:hanging="620"/>
        <w:spacing w:after="0"/>
        <w:tabs>
          <w:tab w:leader="none" w:pos="1052"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10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00" w:lineRule="exact"/>
        <w:rPr>
          <w:rFonts w:ascii="Times New Roman" w:cs="Times New Roman" w:eastAsia="Times New Roman" w:hAnsi="Times New Roman"/>
          <w:sz w:val="18"/>
          <w:szCs w:val="18"/>
          <w:color w:val="auto"/>
        </w:rPr>
      </w:pPr>
    </w:p>
    <w:p>
      <w:pPr>
        <w:spacing w:after="0" w:line="303" w:lineRule="exact"/>
        <w:rPr>
          <w:rFonts w:ascii="Times New Roman" w:cs="Times New Roman" w:eastAsia="Times New Roman" w:hAnsi="Times New Roman"/>
          <w:sz w:val="18"/>
          <w:szCs w:val="18"/>
          <w:color w:val="auto"/>
        </w:rPr>
      </w:pPr>
    </w:p>
    <w:p>
      <w:pPr>
        <w:ind w:left="252" w:right="220" w:hanging="252"/>
        <w:spacing w:after="0" w:line="254" w:lineRule="auto"/>
        <w:tabs>
          <w:tab w:leader="none" w:pos="24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887,616 Class A Ordinary Shares held by Czerny and (b) 1,599,186 Class A Ordinary Shares held by Cervetto. Czerny is a wholly-owned subsidiary of SSG I, SSG I GPLP is the general partner of SSG I and SSG I GPGP is the general partner of SSG I GPLP. Cervetto is a wholly-owned subsidiary of SSG II, SSG II GPLP is the general partner of SSG II and SSG II GPGP is the general partner of SSG II GPLP. Each of SSG I GPGP and SSG II GPGP is a wholly-owned subsidiary of SSG Hold Co. Wong Ching Him, with Shyam Maheshwari and Andreas Vourloumis, holds all voting power over SSG Hold Co and may be deemed to have shared voting control over securities owned by Czerny and Cervetto.</w:t>
      </w:r>
    </w:p>
    <w:p>
      <w:pPr>
        <w:spacing w:after="0" w:line="3" w:lineRule="exact"/>
        <w:rPr>
          <w:rFonts w:ascii="Times New Roman" w:cs="Times New Roman" w:eastAsia="Times New Roman" w:hAnsi="Times New Roman"/>
          <w:sz w:val="18"/>
          <w:szCs w:val="18"/>
          <w:color w:val="auto"/>
        </w:rPr>
      </w:pPr>
    </w:p>
    <w:p>
      <w:pPr>
        <w:ind w:left="252" w:right="20" w:hanging="252"/>
        <w:spacing w:after="0" w:line="255" w:lineRule="auto"/>
        <w:tabs>
          <w:tab w:leader="none" w:pos="24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on 25,778,183 Ordinary Shares, comprised of 20,957,575 Class A Ordinary Shares and 4,820,608 Class B Ordinary Shares, reported as issued and outstanding by the Issuer immediately following the Issuer’s offering in its prospectus on Form 424B4 filed with the SEC December 22, 2017. Each share of Class B Ordinary Shares is convertible at the option of the holder into one share of Class A Ordinary Share. The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-1395730</wp:posOffset>
            </wp:positionV>
            <wp:extent cx="661225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-1945005</wp:posOffset>
            </wp:positionV>
            <wp:extent cx="661225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-2493645</wp:posOffset>
            </wp:positionV>
            <wp:extent cx="661225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-1181735</wp:posOffset>
            </wp:positionV>
            <wp:extent cx="182689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72"/>
          </w:cols>
          <w:pgMar w:left="248" w:top="121" w:right="279" w:bottom="0" w:gutter="0" w:footer="0" w:header="0"/>
          <w:type w:val="continuous"/>
        </w:sectPr>
      </w:pPr>
    </w:p>
    <w:bookmarkStart w:id="9" w:name="page10"/>
    <w:bookmarkEnd w:id="9"/>
    <w:p>
      <w:pPr>
        <w:ind w:left="252"/>
        <w:spacing w:after="0" w:line="266" w:lineRule="auto"/>
        <w:rPr>
          <w:sz w:val="20"/>
          <w:szCs w:val="20"/>
          <w:color w:val="auto"/>
        </w:rPr>
      </w:pPr>
      <w:r>
        <w:rPr>
          <w:rFonts w:ascii="Times New Roman" w:cs="Times New Roman" w:eastAsia="Times New Roman" w:hAnsi="Times New Roman"/>
          <w:sz w:val="18"/>
          <w:szCs w:val="18"/>
          <w:color w:val="auto"/>
        </w:rPr>
        <w:t>of the holders of Class A Ordinary Shares and Class B Ordinary Shares are identical, except with respect to conversion rights (noted above) and voting rights. Each share of Class B Ordinary Share is entitled to twenty votes per share, whereas each share of Class A Ordinary Share is entitled to one vote per share.</w:t>
      </w:r>
    </w:p>
    <w:p>
      <w:pPr>
        <w:spacing w:after="0" w:line="176"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
        <w:spacing w:after="0"/>
        <w:rPr>
          <w:sz w:val="20"/>
          <w:szCs w:val="20"/>
          <w:color w:val="auto"/>
        </w:rPr>
      </w:pPr>
      <w:r>
        <w:rPr>
          <w:rFonts w:ascii="Times New Roman" w:cs="Times New Roman" w:eastAsia="Times New Roman" w:hAnsi="Times New Roman"/>
          <w:sz w:val="18"/>
          <w:szCs w:val="18"/>
          <w:color w:val="auto"/>
        </w:rPr>
        <w:t>CUSIP No. G47048106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52" w:right="8320" w:hanging="620"/>
        <w:spacing w:after="0" w:line="282" w:lineRule="auto"/>
        <w:tabs>
          <w:tab w:leader="none" w:pos="105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 Shyam Maheshwari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11430</wp:posOffset>
            </wp:positionV>
            <wp:extent cx="661225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58" w:lineRule="exact"/>
        <w:rPr>
          <w:sz w:val="20"/>
          <w:szCs w:val="20"/>
          <w:color w:val="auto"/>
        </w:rPr>
      </w:pPr>
    </w:p>
    <w:p>
      <w:pPr>
        <w:ind w:left="1052" w:hanging="620"/>
        <w:spacing w:after="0"/>
        <w:tabs>
          <w:tab w:leader="none" w:pos="105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17" w:lineRule="exact"/>
        <w:rPr>
          <w:rFonts w:ascii="Times New Roman" w:cs="Times New Roman" w:eastAsia="Times New Roman" w:hAnsi="Times New Roman"/>
          <w:sz w:val="18"/>
          <w:szCs w:val="18"/>
          <w:color w:val="auto"/>
        </w:rPr>
      </w:pPr>
    </w:p>
    <w:p>
      <w:pPr>
        <w:ind w:left="2212" w:hanging="1159"/>
        <w:spacing w:after="0"/>
        <w:tabs>
          <w:tab w:leader="none" w:pos="2212"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130" w:lineRule="exact"/>
        <w:rPr>
          <w:rFonts w:ascii="Times New Roman" w:cs="Times New Roman" w:eastAsia="Times New Roman" w:hAnsi="Times New Roman"/>
          <w:sz w:val="18"/>
          <w:szCs w:val="18"/>
          <w:color w:val="auto"/>
        </w:rPr>
      </w:pPr>
    </w:p>
    <w:p>
      <w:pPr>
        <w:ind w:left="2212" w:hanging="1159"/>
        <w:spacing w:after="0"/>
        <w:tabs>
          <w:tab w:leader="none" w:pos="2212"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1372235</wp:posOffset>
            </wp:positionH>
            <wp:positionV relativeFrom="paragraph">
              <wp:posOffset>51435</wp:posOffset>
            </wp:positionV>
            <wp:extent cx="587438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-161925</wp:posOffset>
            </wp:positionV>
            <wp:extent cx="587438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2" w:hanging="620"/>
        <w:spacing w:after="0"/>
        <w:tabs>
          <w:tab w:leader="none" w:pos="105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51435</wp:posOffset>
            </wp:positionV>
            <wp:extent cx="661225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2" w:right="7700" w:hanging="620"/>
        <w:spacing w:after="0" w:line="282" w:lineRule="auto"/>
        <w:tabs>
          <w:tab w:leader="none" w:pos="105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India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11430</wp:posOffset>
            </wp:positionV>
            <wp:extent cx="661225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72"/>
          </w:cols>
          <w:pgMar w:left="248" w:top="121" w:right="279" w:bottom="360" w:gutter="0" w:footer="0" w:header="0"/>
        </w:sectPr>
      </w:pPr>
    </w:p>
    <w:p>
      <w:pPr>
        <w:spacing w:after="0" w:line="391" w:lineRule="exact"/>
        <w:rPr>
          <w:sz w:val="20"/>
          <w:szCs w:val="20"/>
          <w:color w:val="auto"/>
        </w:rPr>
      </w:pPr>
    </w:p>
    <w:tbl>
      <w:tblPr>
        <w:tblLayout w:type="fixed"/>
        <w:tblInd w:w="52"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73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26"/>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2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26"/>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Reporting</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2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Voting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Shared Voting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2,486,802(1)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Dispositive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Shared Dispositive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2,486,802(1)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32" w:space="720"/>
            <w:col w:w="8620"/>
          </w:cols>
          <w:pgMar w:left="248" w:top="121" w:right="279" w:bottom="360" w:gutter="0" w:footer="0" w:header="0"/>
          <w:type w:val="continuous"/>
        </w:sectPr>
      </w:pPr>
    </w:p>
    <w:p>
      <w:pPr>
        <w:spacing w:after="0" w:line="223" w:lineRule="exact"/>
        <w:rPr>
          <w:sz w:val="20"/>
          <w:szCs w:val="20"/>
          <w:color w:val="auto"/>
        </w:rPr>
      </w:pPr>
    </w:p>
    <w:p>
      <w:pPr>
        <w:ind w:left="1052" w:right="5520" w:hanging="620"/>
        <w:spacing w:after="0" w:line="282" w:lineRule="auto"/>
        <w:tabs>
          <w:tab w:leader="none" w:pos="105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2,486,802(1)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11430</wp:posOffset>
            </wp:positionV>
            <wp:extent cx="661225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58" w:lineRule="exact"/>
        <w:rPr>
          <w:sz w:val="20"/>
          <w:szCs w:val="20"/>
          <w:color w:val="auto"/>
        </w:rPr>
      </w:pPr>
    </w:p>
    <w:p>
      <w:pPr>
        <w:ind w:left="1052" w:hanging="620"/>
        <w:spacing w:after="0"/>
        <w:tabs>
          <w:tab w:leader="none" w:pos="105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 o</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052" w:hanging="620"/>
        <w:spacing w:after="0"/>
        <w:tabs>
          <w:tab w:leader="none" w:pos="105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10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9.6%(2)</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1052" w:hanging="620"/>
        <w:spacing w:after="0"/>
        <w:tabs>
          <w:tab w:leader="none" w:pos="1052"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10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00" w:lineRule="exact"/>
        <w:rPr>
          <w:rFonts w:ascii="Times New Roman" w:cs="Times New Roman" w:eastAsia="Times New Roman" w:hAnsi="Times New Roman"/>
          <w:sz w:val="18"/>
          <w:szCs w:val="18"/>
          <w:color w:val="auto"/>
        </w:rPr>
      </w:pPr>
    </w:p>
    <w:p>
      <w:pPr>
        <w:spacing w:after="0" w:line="303" w:lineRule="exact"/>
        <w:rPr>
          <w:rFonts w:ascii="Times New Roman" w:cs="Times New Roman" w:eastAsia="Times New Roman" w:hAnsi="Times New Roman"/>
          <w:sz w:val="18"/>
          <w:szCs w:val="18"/>
          <w:color w:val="auto"/>
        </w:rPr>
      </w:pPr>
    </w:p>
    <w:p>
      <w:pPr>
        <w:ind w:left="252" w:right="220" w:hanging="252"/>
        <w:spacing w:after="0" w:line="254" w:lineRule="auto"/>
        <w:tabs>
          <w:tab w:leader="none" w:pos="24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887,616 Class A Ordinary Shares held by Czerny and (b) 1,599,186 Class A Ordinary Shares held by Cervetto. Czerny is a wholly-owned subsidiary of SSG I, SSG I GPLP is the general partner of SSG I and SSG I GPGP is the general partner of SSG I GPLP. Cervetto is a wholly-owned subsidiary of SSG II, SSG II GPLP is the general partner of SSG II and SSG II GPGP is the general partner of SSG II GPLP. Each of SSG I GPGP and SSG II GPGP is a wholly-owned subsidiary of SSG Hold Co. Shyam Maheshwari, with Wong Ching Him and Andreas Vourloumis, holds all voting power over SSG Hold Co and may be deemed to have shared voting control over securities owned by Czerny and Cervetto.</w:t>
      </w:r>
    </w:p>
    <w:p>
      <w:pPr>
        <w:spacing w:after="0" w:line="3" w:lineRule="exact"/>
        <w:rPr>
          <w:rFonts w:ascii="Times New Roman" w:cs="Times New Roman" w:eastAsia="Times New Roman" w:hAnsi="Times New Roman"/>
          <w:sz w:val="18"/>
          <w:szCs w:val="18"/>
          <w:color w:val="auto"/>
        </w:rPr>
      </w:pPr>
    </w:p>
    <w:p>
      <w:pPr>
        <w:ind w:left="252" w:hanging="252"/>
        <w:spacing w:after="0" w:line="252" w:lineRule="auto"/>
        <w:tabs>
          <w:tab w:leader="none" w:pos="24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on 25,778,183 Ordinary Shares, comprised of 20,957,575 Class A Ordinary Shares and 4,820,608 Class B Ordinary Shares, reported as issued and outstanding by the Issuer immediately following the Issuer’s offering in its prospectus on Form 424B4 filed with the SEC December 22, 2017. Each share of Class B Ordinary Shares is convertible at the option of the holder into one share of Class A Ordinary Share. The rights of the holders of Class A Ordinary Shares and Class B Ordinary Shares are identical, except with respect to conversion rights (noted above) and voting rights. Each share of Class B Ordinary Share is entitled to twenty votes per share, whereas each share of Class A Ordinary Share is entitled to one vote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-1805305</wp:posOffset>
            </wp:positionV>
            <wp:extent cx="661225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-2353945</wp:posOffset>
            </wp:positionV>
            <wp:extent cx="661225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-2902585</wp:posOffset>
            </wp:positionV>
            <wp:extent cx="661225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-1590675</wp:posOffset>
            </wp:positionV>
            <wp:extent cx="182689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70"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72"/>
          </w:cols>
          <w:pgMar w:left="248" w:top="121" w:right="279" w:bottom="360" w:gutter="0" w:footer="0" w:header="0"/>
          <w:type w:val="continuous"/>
        </w:sectPr>
      </w:pPr>
    </w:p>
    <w:bookmarkStart w:id="10" w:name="page11"/>
    <w:bookmarkEnd w:id="10"/>
    <w:p>
      <w:pPr>
        <w:ind w:left="52"/>
        <w:spacing w:after="0"/>
        <w:rPr>
          <w:sz w:val="20"/>
          <w:szCs w:val="20"/>
          <w:color w:val="auto"/>
        </w:rPr>
      </w:pPr>
      <w:r>
        <w:rPr>
          <w:rFonts w:ascii="Times New Roman" w:cs="Times New Roman" w:eastAsia="Times New Roman" w:hAnsi="Times New Roman"/>
          <w:sz w:val="18"/>
          <w:szCs w:val="18"/>
          <w:color w:val="auto"/>
        </w:rPr>
        <w:t>CUSIP No. G47048106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52" w:right="8320" w:hanging="620"/>
        <w:spacing w:after="0" w:line="282" w:lineRule="auto"/>
        <w:tabs>
          <w:tab w:leader="none" w:pos="105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 Andreas Vourloumis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11430</wp:posOffset>
            </wp:positionV>
            <wp:extent cx="661225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58" w:lineRule="exact"/>
        <w:rPr>
          <w:sz w:val="20"/>
          <w:szCs w:val="20"/>
          <w:color w:val="auto"/>
        </w:rPr>
      </w:pPr>
    </w:p>
    <w:p>
      <w:pPr>
        <w:ind w:left="1052" w:hanging="620"/>
        <w:spacing w:after="0"/>
        <w:tabs>
          <w:tab w:leader="none" w:pos="1052"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Box if a Member of a Group (See Instructions)</w:t>
      </w:r>
    </w:p>
    <w:p>
      <w:pPr>
        <w:spacing w:after="0" w:line="128" w:lineRule="exact"/>
        <w:rPr>
          <w:rFonts w:ascii="Times New Roman" w:cs="Times New Roman" w:eastAsia="Times New Roman" w:hAnsi="Times New Roman"/>
          <w:sz w:val="17"/>
          <w:szCs w:val="17"/>
          <w:color w:val="auto"/>
        </w:rPr>
      </w:pPr>
    </w:p>
    <w:p>
      <w:pPr>
        <w:ind w:left="2212" w:hanging="1159"/>
        <w:spacing w:after="0"/>
        <w:tabs>
          <w:tab w:leader="none" w:pos="2212"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130" w:lineRule="exact"/>
        <w:rPr>
          <w:rFonts w:ascii="Times New Roman" w:cs="Times New Roman" w:eastAsia="Times New Roman" w:hAnsi="Times New Roman"/>
          <w:sz w:val="18"/>
          <w:szCs w:val="18"/>
          <w:color w:val="auto"/>
        </w:rPr>
      </w:pPr>
    </w:p>
    <w:p>
      <w:pPr>
        <w:ind w:left="2212" w:hanging="1159"/>
        <w:spacing w:after="0"/>
        <w:tabs>
          <w:tab w:leader="none" w:pos="2212"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1372235</wp:posOffset>
            </wp:positionH>
            <wp:positionV relativeFrom="paragraph">
              <wp:posOffset>51435</wp:posOffset>
            </wp:positionV>
            <wp:extent cx="587438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-161925</wp:posOffset>
            </wp:positionV>
            <wp:extent cx="587438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2" w:hanging="620"/>
        <w:spacing w:after="0"/>
        <w:tabs>
          <w:tab w:leader="none" w:pos="105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51435</wp:posOffset>
            </wp:positionV>
            <wp:extent cx="661225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52" w:right="7700" w:hanging="620"/>
        <w:spacing w:after="0" w:line="282" w:lineRule="auto"/>
        <w:tabs>
          <w:tab w:leader="none" w:pos="105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Indonesia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11430</wp:posOffset>
            </wp:positionV>
            <wp:extent cx="661225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72"/>
          </w:cols>
          <w:pgMar w:left="248" w:top="121" w:right="279" w:bottom="112" w:gutter="0" w:footer="0" w:header="0"/>
        </w:sectPr>
      </w:pPr>
    </w:p>
    <w:p>
      <w:pPr>
        <w:spacing w:after="0" w:line="391" w:lineRule="exact"/>
        <w:rPr>
          <w:sz w:val="20"/>
          <w:szCs w:val="20"/>
          <w:color w:val="auto"/>
        </w:rPr>
      </w:pPr>
    </w:p>
    <w:tbl>
      <w:tblPr>
        <w:tblLayout w:type="fixed"/>
        <w:tblInd w:w="52"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73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26"/>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2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Each</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26"/>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Reporting</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2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Voting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Shared Voting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2,486,802(1)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Dispositive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Shared Dispositive Power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2,486,802(1)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32" w:space="720"/>
            <w:col w:w="8620"/>
          </w:cols>
          <w:pgMar w:left="248" w:top="121" w:right="279" w:bottom="112" w:gutter="0" w:footer="0" w:header="0"/>
          <w:type w:val="continuous"/>
        </w:sectPr>
      </w:pPr>
    </w:p>
    <w:p>
      <w:pPr>
        <w:spacing w:after="0" w:line="223" w:lineRule="exact"/>
        <w:rPr>
          <w:sz w:val="20"/>
          <w:szCs w:val="20"/>
          <w:color w:val="auto"/>
        </w:rPr>
      </w:pPr>
    </w:p>
    <w:p>
      <w:pPr>
        <w:ind w:left="1052" w:right="5520" w:hanging="620"/>
        <w:spacing w:after="0" w:line="282" w:lineRule="auto"/>
        <w:tabs>
          <w:tab w:leader="none" w:pos="105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2,486,802(1)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11430</wp:posOffset>
            </wp:positionV>
            <wp:extent cx="661225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58" w:lineRule="exact"/>
        <w:rPr>
          <w:sz w:val="20"/>
          <w:szCs w:val="20"/>
          <w:color w:val="auto"/>
        </w:rPr>
      </w:pPr>
    </w:p>
    <w:p>
      <w:pPr>
        <w:ind w:left="1052" w:hanging="620"/>
        <w:spacing w:after="0"/>
        <w:tabs>
          <w:tab w:leader="none" w:pos="1052"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 o</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052" w:hanging="620"/>
        <w:spacing w:after="0"/>
        <w:tabs>
          <w:tab w:leader="none" w:pos="1052"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10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9.6%(2)</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1052" w:hanging="620"/>
        <w:spacing w:after="0"/>
        <w:tabs>
          <w:tab w:leader="none" w:pos="1052"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10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00" w:lineRule="exact"/>
        <w:rPr>
          <w:rFonts w:ascii="Times New Roman" w:cs="Times New Roman" w:eastAsia="Times New Roman" w:hAnsi="Times New Roman"/>
          <w:sz w:val="18"/>
          <w:szCs w:val="18"/>
          <w:color w:val="auto"/>
        </w:rPr>
      </w:pPr>
    </w:p>
    <w:p>
      <w:pPr>
        <w:spacing w:after="0" w:line="303" w:lineRule="exact"/>
        <w:rPr>
          <w:rFonts w:ascii="Times New Roman" w:cs="Times New Roman" w:eastAsia="Times New Roman" w:hAnsi="Times New Roman"/>
          <w:sz w:val="18"/>
          <w:szCs w:val="18"/>
          <w:color w:val="auto"/>
        </w:rPr>
      </w:pPr>
    </w:p>
    <w:p>
      <w:pPr>
        <w:ind w:left="252" w:right="220" w:hanging="252"/>
        <w:spacing w:after="0" w:line="254" w:lineRule="auto"/>
        <w:tabs>
          <w:tab w:leader="none" w:pos="24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887,616 Class A Ordinary Shares held by Czerny and (b) 1,599,186 Class A Ordinary Shares held by Cervetto. Czerny is a wholly-owned subsidiary of SSG I, SSG I GPLP is the general partner of SSG I and SSG I GPGP is the general partner of SSG I GPLP. Cervetto is a wholly-owned subsidiary of SSG II, SSG II GPLP is the general partner of SSG II and SSG II GPGP is the general partner of SSG II GPLP. Each of SSG I GPGP and SSG II GPGP is a wholly-owned subsidiary of SSG Hold Co. Andreas Vourloumis, with Wong Ching Him and Shyam Maheshwari, holds all voting power over SSG Hold Co and may be deemed to have shared voting control over securities owned by Czerny and Cervetto.</w:t>
      </w:r>
    </w:p>
    <w:p>
      <w:pPr>
        <w:spacing w:after="0" w:line="3" w:lineRule="exact"/>
        <w:rPr>
          <w:rFonts w:ascii="Times New Roman" w:cs="Times New Roman" w:eastAsia="Times New Roman" w:hAnsi="Times New Roman"/>
          <w:sz w:val="18"/>
          <w:szCs w:val="18"/>
          <w:color w:val="auto"/>
        </w:rPr>
      </w:pPr>
    </w:p>
    <w:p>
      <w:pPr>
        <w:ind w:left="252" w:hanging="252"/>
        <w:spacing w:after="0" w:line="252" w:lineRule="auto"/>
        <w:tabs>
          <w:tab w:leader="none" w:pos="24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on 25,778,183 Ordinary Shares, comprised of 20,957,575 Class A Ordinary Shares and 4,820,608 Class B Ordinary Shares, reported as issued and outstanding by the Issuer immediately following the Issuer’s offering in its prospectus on Form 424B4 filed with the SEC December 22, 2017. Each share of Class B Ordinary Shares is convertible at the option of the holder into one share of Class A Ordinary Share. The rights of the holders of Class A Ordinary Shares and Class B Ordinary Shares are identical, except with respect to conversion rights (noted above) and voting rights. Each share of Class B Ordinary Share is entitled to twenty votes per share, whereas each share of Class A Ordinary Share is entitled to one vote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-1805305</wp:posOffset>
            </wp:positionV>
            <wp:extent cx="661225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-2353945</wp:posOffset>
            </wp:positionV>
            <wp:extent cx="661225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-2902585</wp:posOffset>
            </wp:positionV>
            <wp:extent cx="661225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-1590675</wp:posOffset>
            </wp:positionV>
            <wp:extent cx="182689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70"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2"/>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121" w:lineRule="exact"/>
        <w:rPr>
          <w:sz w:val="20"/>
          <w:szCs w:val="20"/>
          <w:color w:val="auto"/>
        </w:rPr>
      </w:pPr>
    </w:p>
    <w:p>
      <w:pPr>
        <w:ind w:left="1492" w:hanging="493"/>
        <w:spacing w:after="0"/>
        <w:tabs>
          <w:tab w:leader="none" w:pos="149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7" w:lineRule="exact"/>
        <w:rPr>
          <w:rFonts w:ascii="Times New Roman" w:cs="Times New Roman" w:eastAsia="Times New Roman" w:hAnsi="Times New Roman"/>
          <w:sz w:val="18"/>
          <w:szCs w:val="18"/>
          <w:color w:val="auto"/>
        </w:rPr>
      </w:pPr>
    </w:p>
    <w:p>
      <w:pPr>
        <w:ind w:left="14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iClick Interactive Asia Group Limited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ind w:left="1492" w:hanging="493"/>
        <w:spacing w:after="0"/>
        <w:tabs>
          <w:tab w:leader="none" w:pos="149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27" w:lineRule="exact"/>
        <w:rPr>
          <w:rFonts w:ascii="Times New Roman" w:cs="Times New Roman" w:eastAsia="Times New Roman" w:hAnsi="Times New Roman"/>
          <w:sz w:val="18"/>
          <w:szCs w:val="18"/>
          <w:color w:val="auto"/>
        </w:rPr>
      </w:pPr>
    </w:p>
    <w:p>
      <w:pPr>
        <w:ind w:left="14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15/F, Prosperity Millennia Plaza, 663 King’s Road, Quarry Bay, Hong Kong 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917575</wp:posOffset>
            </wp:positionH>
            <wp:positionV relativeFrom="paragraph">
              <wp:posOffset>40005</wp:posOffset>
            </wp:positionV>
            <wp:extent cx="632904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917575</wp:posOffset>
            </wp:positionH>
            <wp:positionV relativeFrom="paragraph">
              <wp:posOffset>-311150</wp:posOffset>
            </wp:positionV>
            <wp:extent cx="632904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ectPr>
          <w:pgSz w:w="11900" w:h="16838" w:orient="portrait"/>
          <w:cols w:equalWidth="0" w:num="1">
            <w:col w:w="11372"/>
          </w:cols>
          <w:pgMar w:left="248" w:top="121" w:right="279" w:bottom="112"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121" w:lineRule="exact"/>
        <w:rPr>
          <w:sz w:val="20"/>
          <w:szCs w:val="20"/>
          <w:color w:val="auto"/>
        </w:rPr>
      </w:pPr>
    </w:p>
    <w:p>
      <w:pPr>
        <w:ind w:left="1440" w:hanging="493"/>
        <w:spacing w:after="0"/>
        <w:tabs>
          <w:tab w:leader="none" w:pos="14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7" w:lineRule="exact"/>
        <w:rPr>
          <w:rFonts w:ascii="Times New Roman" w:cs="Times New Roman" w:eastAsia="Times New Roman" w:hAnsi="Times New Roman"/>
          <w:sz w:val="18"/>
          <w:szCs w:val="18"/>
          <w:color w:val="auto"/>
        </w:rPr>
      </w:pPr>
    </w:p>
    <w:p>
      <w:pPr>
        <w:ind w:left="1440" w:right="5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Schedule 13G is jointly filed, pursuant to a Joint Filing Agreement attached hereto as </w:t>
      </w:r>
      <w:r>
        <w:rPr>
          <w:rFonts w:ascii="Times New Roman" w:cs="Times New Roman" w:eastAsia="Times New Roman" w:hAnsi="Times New Roman"/>
          <w:sz w:val="18"/>
          <w:szCs w:val="18"/>
          <w:u w:val="single" w:color="auto"/>
          <w:color w:val="auto"/>
        </w:rPr>
        <w:t>Exhibit 99.1</w:t>
      </w:r>
      <w:r>
        <w:rPr>
          <w:rFonts w:ascii="Times New Roman" w:cs="Times New Roman" w:eastAsia="Times New Roman" w:hAnsi="Times New Roman"/>
          <w:sz w:val="18"/>
          <w:szCs w:val="18"/>
          <w:color w:val="auto"/>
        </w:rPr>
        <w:t>, by the following persons (collectively, the “</w:t>
      </w:r>
      <w:r>
        <w:rPr>
          <w:rFonts w:ascii="Times New Roman" w:cs="Times New Roman" w:eastAsia="Times New Roman" w:hAnsi="Times New Roman"/>
          <w:sz w:val="18"/>
          <w:szCs w:val="18"/>
          <w:u w:val="single" w:color="auto"/>
          <w:color w:val="auto"/>
        </w:rPr>
        <w:t>Reporting Persons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440" w:right="69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Czerny Holdings Limited (“</w:t>
      </w:r>
      <w:r>
        <w:rPr>
          <w:rFonts w:ascii="Times New Roman" w:cs="Times New Roman" w:eastAsia="Times New Roman" w:hAnsi="Times New Roman"/>
          <w:sz w:val="18"/>
          <w:szCs w:val="18"/>
          <w:u w:val="single" w:color="auto"/>
          <w:color w:val="auto"/>
        </w:rPr>
        <w:t>Czerny</w:t>
      </w:r>
      <w:r>
        <w:rPr>
          <w:rFonts w:ascii="Times New Roman" w:cs="Times New Roman" w:eastAsia="Times New Roman" w:hAnsi="Times New Roman"/>
          <w:sz w:val="18"/>
          <w:szCs w:val="18"/>
          <w:color w:val="auto"/>
        </w:rPr>
        <w:t>”) Cervetto Holdings Limited (“</w:t>
      </w:r>
      <w:r>
        <w:rPr>
          <w:rFonts w:ascii="Times New Roman" w:cs="Times New Roman" w:eastAsia="Times New Roman" w:hAnsi="Times New Roman"/>
          <w:sz w:val="18"/>
          <w:szCs w:val="18"/>
          <w:u w:val="single" w:color="auto"/>
          <w:color w:val="auto"/>
        </w:rPr>
        <w:t>Cervetto</w:t>
      </w:r>
      <w:r>
        <w:rPr>
          <w:rFonts w:ascii="Times New Roman" w:cs="Times New Roman" w:eastAsia="Times New Roman" w:hAnsi="Times New Roman"/>
          <w:sz w:val="18"/>
          <w:szCs w:val="18"/>
          <w:color w:val="auto"/>
        </w:rPr>
        <w:t>”)</w:t>
      </w:r>
    </w:p>
    <w:p>
      <w:pPr>
        <w:ind w:left="1440" w:right="61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SSG Capital Partners I Side Pocket, L.P. (“</w:t>
      </w:r>
      <w:r>
        <w:rPr>
          <w:rFonts w:ascii="Times New Roman" w:cs="Times New Roman" w:eastAsia="Times New Roman" w:hAnsi="Times New Roman"/>
          <w:sz w:val="18"/>
          <w:szCs w:val="18"/>
          <w:u w:val="single" w:color="auto"/>
          <w:color w:val="auto"/>
        </w:rPr>
        <w:t>SSG I</w:t>
      </w:r>
      <w:r>
        <w:rPr>
          <w:rFonts w:ascii="Times New Roman" w:cs="Times New Roman" w:eastAsia="Times New Roman" w:hAnsi="Times New Roman"/>
          <w:sz w:val="18"/>
          <w:szCs w:val="18"/>
          <w:color w:val="auto"/>
        </w:rPr>
        <w:t>”) SSG Capital Partners II, L.P. (“</w:t>
      </w:r>
      <w:r>
        <w:rPr>
          <w:rFonts w:ascii="Times New Roman" w:cs="Times New Roman" w:eastAsia="Times New Roman" w:hAnsi="Times New Roman"/>
          <w:sz w:val="18"/>
          <w:szCs w:val="18"/>
          <w:u w:val="single" w:color="auto"/>
          <w:color w:val="auto"/>
        </w:rPr>
        <w:t>SSG II</w:t>
      </w:r>
      <w:r>
        <w:rPr>
          <w:rFonts w:ascii="Times New Roman" w:cs="Times New Roman" w:eastAsia="Times New Roman" w:hAnsi="Times New Roman"/>
          <w:sz w:val="18"/>
          <w:szCs w:val="18"/>
          <w:color w:val="auto"/>
        </w:rPr>
        <w:t>”)</w:t>
      </w:r>
    </w:p>
    <w:p>
      <w:pPr>
        <w:ind w:left="1440" w:right="59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SSG Capital Partners I GP, L.P. (“</w:t>
      </w:r>
      <w:r>
        <w:rPr>
          <w:rFonts w:ascii="Times New Roman" w:cs="Times New Roman" w:eastAsia="Times New Roman" w:hAnsi="Times New Roman"/>
          <w:sz w:val="18"/>
          <w:szCs w:val="18"/>
          <w:u w:val="single" w:color="auto"/>
          <w:color w:val="auto"/>
        </w:rPr>
        <w:t>SSG I GPLP</w:t>
      </w:r>
      <w:r>
        <w:rPr>
          <w:rFonts w:ascii="Times New Roman" w:cs="Times New Roman" w:eastAsia="Times New Roman" w:hAnsi="Times New Roman"/>
          <w:sz w:val="18"/>
          <w:szCs w:val="18"/>
          <w:color w:val="auto"/>
        </w:rPr>
        <w:t>”) SSG Capital Partners II GP, L.P. (“</w:t>
      </w:r>
      <w:r>
        <w:rPr>
          <w:rFonts w:ascii="Times New Roman" w:cs="Times New Roman" w:eastAsia="Times New Roman" w:hAnsi="Times New Roman"/>
          <w:sz w:val="18"/>
          <w:szCs w:val="18"/>
          <w:u w:val="single" w:color="auto"/>
          <w:color w:val="auto"/>
        </w:rPr>
        <w:t>SSG II GPLP</w:t>
      </w:r>
      <w:r>
        <w:rPr>
          <w:rFonts w:ascii="Times New Roman" w:cs="Times New Roman" w:eastAsia="Times New Roman" w:hAnsi="Times New Roman"/>
          <w:sz w:val="18"/>
          <w:szCs w:val="18"/>
          <w:color w:val="auto"/>
        </w:rPr>
        <w:t>”) SSG Capital Partners I GPGP, Ltd. (“</w:t>
      </w:r>
      <w:r>
        <w:rPr>
          <w:rFonts w:ascii="Times New Roman" w:cs="Times New Roman" w:eastAsia="Times New Roman" w:hAnsi="Times New Roman"/>
          <w:sz w:val="18"/>
          <w:szCs w:val="18"/>
          <w:u w:val="single" w:color="auto"/>
          <w:color w:val="auto"/>
        </w:rPr>
        <w:t>SSG I GPGP</w:t>
      </w:r>
      <w:r>
        <w:rPr>
          <w:rFonts w:ascii="Times New Roman" w:cs="Times New Roman" w:eastAsia="Times New Roman" w:hAnsi="Times New Roman"/>
          <w:sz w:val="18"/>
          <w:szCs w:val="18"/>
          <w:color w:val="auto"/>
        </w:rPr>
        <w:t>”) SSG Capital Partners II GPGP, Ltd. (“</w:t>
      </w:r>
      <w:r>
        <w:rPr>
          <w:rFonts w:ascii="Times New Roman" w:cs="Times New Roman" w:eastAsia="Times New Roman" w:hAnsi="Times New Roman"/>
          <w:sz w:val="18"/>
          <w:szCs w:val="18"/>
          <w:u w:val="single" w:color="auto"/>
          <w:color w:val="auto"/>
        </w:rPr>
        <w:t>SSG II GPGP</w:t>
      </w:r>
      <w:r>
        <w:rPr>
          <w:rFonts w:ascii="Times New Roman" w:cs="Times New Roman" w:eastAsia="Times New Roman" w:hAnsi="Times New Roman"/>
          <w:sz w:val="18"/>
          <w:szCs w:val="18"/>
          <w:color w:val="auto"/>
        </w:rPr>
        <w:t>”) SSG Capital Holdings Limited (“</w:t>
      </w:r>
      <w:r>
        <w:rPr>
          <w:rFonts w:ascii="Times New Roman" w:cs="Times New Roman" w:eastAsia="Times New Roman" w:hAnsi="Times New Roman"/>
          <w:sz w:val="18"/>
          <w:szCs w:val="18"/>
          <w:u w:val="single" w:color="auto"/>
          <w:color w:val="auto"/>
        </w:rPr>
        <w:t>SSG Hold Co</w:t>
      </w:r>
      <w:r>
        <w:rPr>
          <w:rFonts w:ascii="Times New Roman" w:cs="Times New Roman" w:eastAsia="Times New Roman" w:hAnsi="Times New Roman"/>
          <w:sz w:val="18"/>
          <w:szCs w:val="18"/>
          <w:color w:val="auto"/>
        </w:rPr>
        <w:t>”) Wong Ching Him</w:t>
      </w:r>
    </w:p>
    <w:p>
      <w:pPr>
        <w:spacing w:after="0" w:line="2" w:lineRule="exact"/>
        <w:rPr>
          <w:rFonts w:ascii="Times New Roman" w:cs="Times New Roman" w:eastAsia="Times New Roman" w:hAnsi="Times New Roman"/>
          <w:sz w:val="18"/>
          <w:szCs w:val="18"/>
          <w:color w:val="auto"/>
        </w:rPr>
      </w:pPr>
    </w:p>
    <w:p>
      <w:pPr>
        <w:jc w:val="both"/>
        <w:ind w:left="1440" w:right="836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Shyam Maheshwari Andreas Vourloumis</w:t>
      </w:r>
    </w:p>
    <w:p>
      <w:pPr>
        <w:spacing w:after="0" w:line="157" w:lineRule="exact"/>
        <w:rPr>
          <w:rFonts w:ascii="Times New Roman" w:cs="Times New Roman" w:eastAsia="Times New Roman" w:hAnsi="Times New Roman"/>
          <w:sz w:val="18"/>
          <w:szCs w:val="18"/>
          <w:color w:val="auto"/>
        </w:rPr>
      </w:pPr>
    </w:p>
    <w:p>
      <w:pPr>
        <w:ind w:left="1440" w:right="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Czerny directly holds 887,616 Class A Ordinary Shares and Cerveto directly holds 1,599,186 Class A Ordinary Shares. Czerny is a wholly-owned subsidiary of SSG I, SSG I GPLP is the general partner of SSG I and SSG I GPGP is the general partner of SSG I GPLP. Cervetto is a wholly-owned subsidiary of SSG II, SSG II GPLP is the general partner of SSG II and SSG II GPGP is the general partner of SSG II GPLP. Each of SSG I GPGP and SSG II GPGP is a wholly-owned subsidiary of SSG Hold Co. Andreas Vourloumis, Wong Ching Him and Shyam Maheshwari jointly hold all voting power over SSG Hold Co.</w:t>
      </w:r>
    </w:p>
    <w:p>
      <w:pPr>
        <w:spacing w:after="0" w:line="183" w:lineRule="exact"/>
        <w:rPr>
          <w:rFonts w:ascii="Times New Roman" w:cs="Times New Roman" w:eastAsia="Times New Roman" w:hAnsi="Times New Roman"/>
          <w:sz w:val="18"/>
          <w:szCs w:val="18"/>
          <w:color w:val="auto"/>
        </w:rPr>
      </w:pPr>
    </w:p>
    <w:p>
      <w:pPr>
        <w:ind w:left="1440" w:right="2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Reporting Persons have entered into a Joint Filing Agreement, dated as of the date hereof, which is filed with this Schedule 13G as </w:t>
      </w:r>
      <w:r>
        <w:rPr>
          <w:rFonts w:ascii="Times New Roman" w:cs="Times New Roman" w:eastAsia="Times New Roman" w:hAnsi="Times New Roman"/>
          <w:sz w:val="18"/>
          <w:szCs w:val="18"/>
          <w:u w:val="single" w:color="auto"/>
          <w:color w:val="auto"/>
        </w:rPr>
        <w:t>Exhibit 99.1</w:t>
      </w:r>
      <w:r>
        <w:rPr>
          <w:rFonts w:ascii="Times New Roman" w:cs="Times New Roman" w:eastAsia="Times New Roman" w:hAnsi="Times New Roman"/>
          <w:sz w:val="18"/>
          <w:szCs w:val="18"/>
          <w:color w:val="auto"/>
        </w:rPr>
        <w:t xml:space="preserve"> and incorporated into this Item 2 by reference, pursuant to which the Reporting Persons have agreed to file this statement jointly in accordance with the provisions of Rule 13d-1(k)(1) under the Act. Information with respect to each Reporting Person is given solely by such Reporting Person, and no Reporting Person assumes responsibility for the accuracy or completeness of the information furnished by another Reporting Person. The Reporting Persons expressly disclaim that they have agreed to act as a group other than as described in this Schedule 13G. Pursuant to Rule 13d-4 of the Act, the Reporting Persons expressly declare that the filing of this statement shall not be construed as an admission that any such person is, for the purposes of Section 13(d) or Section 13(g) of the Act or otherwise, the beneficial owner of any securities covered by this Schedule 13G held by any other person and such beneficial ownership is expressly disclaimed</w:t>
      </w:r>
    </w:p>
    <w:p>
      <w:pPr>
        <w:spacing w:after="0" w:line="94" w:lineRule="exact"/>
        <w:rPr>
          <w:rFonts w:ascii="Times New Roman" w:cs="Times New Roman" w:eastAsia="Times New Roman" w:hAnsi="Times New Roman"/>
          <w:sz w:val="18"/>
          <w:szCs w:val="18"/>
          <w:color w:val="auto"/>
        </w:rPr>
      </w:pPr>
    </w:p>
    <w:p>
      <w:pPr>
        <w:ind w:left="1440" w:hanging="493"/>
        <w:spacing w:after="0"/>
        <w:tabs>
          <w:tab w:leader="none" w:pos="14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w:t>
      </w:r>
    </w:p>
    <w:p>
      <w:pPr>
        <w:spacing w:after="0" w:line="27" w:lineRule="exact"/>
        <w:rPr>
          <w:rFonts w:ascii="Times New Roman" w:cs="Times New Roman" w:eastAsia="Times New Roman" w:hAnsi="Times New Roman"/>
          <w:sz w:val="18"/>
          <w:szCs w:val="18"/>
          <w:color w:val="auto"/>
        </w:rPr>
      </w:pPr>
    </w:p>
    <w:p>
      <w:pPr>
        <w:ind w:left="14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principal business office of each of Czerny and Cervetto is Vistra Corporate Services Centre, Wickhams Cay II, Road Town, Tortola, British Virgin Islands.</w:t>
      </w:r>
    </w:p>
    <w:p>
      <w:pPr>
        <w:spacing w:after="0" w:line="179" w:lineRule="exact"/>
        <w:rPr>
          <w:rFonts w:ascii="Times New Roman" w:cs="Times New Roman" w:eastAsia="Times New Roman" w:hAnsi="Times New Roman"/>
          <w:sz w:val="18"/>
          <w:szCs w:val="18"/>
          <w:color w:val="auto"/>
        </w:rPr>
      </w:pPr>
    </w:p>
    <w:p>
      <w:pPr>
        <w:ind w:left="1440" w:right="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principal business office of each of SSG I, SSG II, SSG I GPLP, SSG II GPLP, SSG I GPGP, SSG II GPGP, and SSG Hold Co is Buckingham Square 2nd Floor, PO Box 11735, 720 West Bay Road, Grand Cayman KY1-1009, Cayman Islands.</w:t>
      </w:r>
    </w:p>
    <w:p>
      <w:pPr>
        <w:spacing w:after="0" w:line="161" w:lineRule="exact"/>
        <w:rPr>
          <w:rFonts w:ascii="Times New Roman" w:cs="Times New Roman" w:eastAsia="Times New Roman" w:hAnsi="Times New Roman"/>
          <w:sz w:val="18"/>
          <w:szCs w:val="18"/>
          <w:color w:val="auto"/>
        </w:rPr>
      </w:pPr>
    </w:p>
    <w:p>
      <w:pPr>
        <w:jc w:val="both"/>
        <w:ind w:left="1440" w:right="4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principal business office of each of Wong Ching Him, Shyam Maheshwari, and Andreas Vourloumis is c/o SSG Capital Management (Hong Kong) Limited, Room 4202, 42/F, Gloucester Tower, The Landmark, 15 Queen’s Road Central, Hong Kong.</w:t>
      </w:r>
    </w:p>
    <w:p>
      <w:pPr>
        <w:spacing w:after="0" w:line="81" w:lineRule="exact"/>
        <w:rPr>
          <w:rFonts w:ascii="Times New Roman" w:cs="Times New Roman" w:eastAsia="Times New Roman" w:hAnsi="Times New Roman"/>
          <w:sz w:val="18"/>
          <w:szCs w:val="18"/>
          <w:color w:val="auto"/>
        </w:rPr>
      </w:pPr>
    </w:p>
    <w:p>
      <w:pPr>
        <w:ind w:left="1440" w:hanging="493"/>
        <w:spacing w:after="0"/>
        <w:tabs>
          <w:tab w:leader="none" w:pos="14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7" w:lineRule="exact"/>
        <w:rPr>
          <w:rFonts w:ascii="Times New Roman" w:cs="Times New Roman" w:eastAsia="Times New Roman" w:hAnsi="Times New Roman"/>
          <w:sz w:val="18"/>
          <w:szCs w:val="18"/>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Czerny and Cervetto are entities organized under the laws of the British Virgin Islands.</w:t>
      </w:r>
    </w:p>
    <w:p>
      <w:pPr>
        <w:spacing w:after="0" w:line="206" w:lineRule="exact"/>
        <w:rPr>
          <w:rFonts w:ascii="Times New Roman" w:cs="Times New Roman" w:eastAsia="Times New Roman" w:hAnsi="Times New Roman"/>
          <w:sz w:val="18"/>
          <w:szCs w:val="18"/>
          <w:color w:val="auto"/>
        </w:rPr>
      </w:pPr>
    </w:p>
    <w:p>
      <w:pPr>
        <w:ind w:left="1440" w:right="2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SSG I, SSG II, SSG I GPLP, SSG II GPLP, SSG I GPGP, SSG II GPGP and SSG Hold Co are entities organized under the laws of the Cayman Islands</w:t>
      </w:r>
    </w:p>
    <w:p>
      <w:pPr>
        <w:spacing w:after="0" w:line="161" w:lineRule="exact"/>
        <w:rPr>
          <w:rFonts w:ascii="Times New Roman" w:cs="Times New Roman" w:eastAsia="Times New Roman" w:hAnsi="Times New Roman"/>
          <w:sz w:val="18"/>
          <w:szCs w:val="18"/>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Wong Ching Him, Shyam Maheshwari and Andreas Vourloumis are citizens of Hong Kong, India, and Indonesia, respectively.</w:t>
      </w:r>
    </w:p>
    <w:p>
      <w:pPr>
        <w:spacing w:after="0" w:line="130" w:lineRule="exact"/>
        <w:rPr>
          <w:rFonts w:ascii="Times New Roman" w:cs="Times New Roman" w:eastAsia="Times New Roman" w:hAnsi="Times New Roman"/>
          <w:sz w:val="18"/>
          <w:szCs w:val="18"/>
          <w:color w:val="auto"/>
        </w:rPr>
      </w:pPr>
    </w:p>
    <w:p>
      <w:pPr>
        <w:ind w:left="1440" w:hanging="493"/>
        <w:spacing w:after="0"/>
        <w:tabs>
          <w:tab w:leader="none" w:pos="14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w:t>
      </w:r>
    </w:p>
    <w:p>
      <w:pPr>
        <w:spacing w:after="0" w:line="27" w:lineRule="exact"/>
        <w:rPr>
          <w:rFonts w:ascii="Times New Roman" w:cs="Times New Roman" w:eastAsia="Times New Roman" w:hAnsi="Times New Roman"/>
          <w:sz w:val="18"/>
          <w:szCs w:val="18"/>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par value $0.001, and Class B Ordinary Shares, par value $0.001 (collectively,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w:t>
      </w:r>
    </w:p>
    <w:p>
      <w:pPr>
        <w:spacing w:after="0" w:line="112" w:lineRule="exact"/>
        <w:rPr>
          <w:rFonts w:ascii="Times New Roman" w:cs="Times New Roman" w:eastAsia="Times New Roman" w:hAnsi="Times New Roman"/>
          <w:sz w:val="18"/>
          <w:szCs w:val="18"/>
          <w:color w:val="auto"/>
        </w:rPr>
      </w:pPr>
    </w:p>
    <w:p>
      <w:pPr>
        <w:ind w:left="1440" w:right="8640" w:hanging="493"/>
        <w:spacing w:after="0" w:line="282" w:lineRule="auto"/>
        <w:tabs>
          <w:tab w:leader="none" w:pos="14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 G47048106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11430</wp:posOffset>
            </wp:positionV>
            <wp:extent cx="632904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-339725</wp:posOffset>
            </wp:positionV>
            <wp:extent cx="632904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-690880</wp:posOffset>
            </wp:positionV>
            <wp:extent cx="632904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-1728470</wp:posOffset>
            </wp:positionV>
            <wp:extent cx="632904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-3178175</wp:posOffset>
            </wp:positionV>
            <wp:extent cx="632904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5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§§240.13d-1(b), or §§240.13d-2(b) or (c), check whether the person filing is a:</w:t>
      </w:r>
    </w:p>
    <w:p>
      <w:pPr>
        <w:spacing w:after="0" w:line="175" w:lineRule="exact"/>
        <w:rPr>
          <w:sz w:val="20"/>
          <w:szCs w:val="20"/>
          <w:color w:val="auto"/>
        </w:rPr>
      </w:pPr>
    </w:p>
    <w:p>
      <w:pPr>
        <w:ind w:left="1440" w:hanging="493"/>
        <w:spacing w:after="0"/>
        <w:tabs>
          <w:tab w:leader="none" w:pos="14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oBroker or dealer registered under section 15 of the Act.</w:t>
      </w:r>
    </w:p>
    <w:p>
      <w:pPr>
        <w:spacing w:after="0" w:line="225" w:lineRule="exact"/>
        <w:rPr>
          <w:rFonts w:ascii="Times New Roman" w:cs="Times New Roman" w:eastAsia="Times New Roman" w:hAnsi="Times New Roman"/>
          <w:sz w:val="18"/>
          <w:szCs w:val="18"/>
          <w:color w:val="auto"/>
        </w:rPr>
      </w:pPr>
    </w:p>
    <w:p>
      <w:pPr>
        <w:ind w:left="1440" w:hanging="493"/>
        <w:spacing w:after="0"/>
        <w:tabs>
          <w:tab w:leader="none" w:pos="14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oBank as defined in section 3(a)(6) of the Act.</w:t>
      </w:r>
    </w:p>
    <w:p>
      <w:pPr>
        <w:spacing w:after="0" w:line="225" w:lineRule="exact"/>
        <w:rPr>
          <w:rFonts w:ascii="Times New Roman" w:cs="Times New Roman" w:eastAsia="Times New Roman" w:hAnsi="Times New Roman"/>
          <w:sz w:val="18"/>
          <w:szCs w:val="18"/>
          <w:color w:val="auto"/>
        </w:rPr>
      </w:pPr>
    </w:p>
    <w:p>
      <w:pPr>
        <w:ind w:left="1440" w:hanging="493"/>
        <w:spacing w:after="0"/>
        <w:tabs>
          <w:tab w:leader="none" w:pos="14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Insurance company as defined in section 3(a)(19) of the Act.</w:t>
      </w:r>
    </w:p>
    <w:p>
      <w:pPr>
        <w:spacing w:after="0" w:line="225" w:lineRule="exact"/>
        <w:rPr>
          <w:rFonts w:ascii="Times New Roman" w:cs="Times New Roman" w:eastAsia="Times New Roman" w:hAnsi="Times New Roman"/>
          <w:sz w:val="18"/>
          <w:szCs w:val="18"/>
          <w:color w:val="auto"/>
        </w:rPr>
      </w:pPr>
    </w:p>
    <w:p>
      <w:pPr>
        <w:ind w:left="1440" w:hanging="493"/>
        <w:spacing w:after="0"/>
        <w:tabs>
          <w:tab w:leader="none" w:pos="14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Investment company registered under section 8 of the Investment Company Act of 1940.</w:t>
      </w:r>
    </w:p>
    <w:p>
      <w:pPr>
        <w:spacing w:after="0" w:line="225" w:lineRule="exact"/>
        <w:rPr>
          <w:rFonts w:ascii="Times New Roman" w:cs="Times New Roman" w:eastAsia="Times New Roman" w:hAnsi="Times New Roman"/>
          <w:sz w:val="18"/>
          <w:szCs w:val="18"/>
          <w:color w:val="auto"/>
        </w:rPr>
      </w:pPr>
    </w:p>
    <w:p>
      <w:pPr>
        <w:ind w:left="1440" w:hanging="493"/>
        <w:spacing w:after="0"/>
        <w:tabs>
          <w:tab w:leader="none" w:pos="14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An investment adviser in accordance with §240.13d-1(b)(1)(ii)(E).</w:t>
      </w:r>
    </w:p>
    <w:p>
      <w:pPr>
        <w:spacing w:after="0" w:line="225" w:lineRule="exact"/>
        <w:rPr>
          <w:rFonts w:ascii="Times New Roman" w:cs="Times New Roman" w:eastAsia="Times New Roman" w:hAnsi="Times New Roman"/>
          <w:sz w:val="18"/>
          <w:szCs w:val="18"/>
          <w:color w:val="auto"/>
        </w:rPr>
      </w:pPr>
    </w:p>
    <w:p>
      <w:pPr>
        <w:ind w:left="1440" w:hanging="493"/>
        <w:spacing w:after="0"/>
        <w:tabs>
          <w:tab w:leader="none" w:pos="14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oAn employee benefit plan or endowment fund in accordance with §240.13d-1(b)(1)(ii)(F).</w:t>
      </w:r>
    </w:p>
    <w:p>
      <w:pPr>
        <w:spacing w:after="0" w:line="225" w:lineRule="exact"/>
        <w:rPr>
          <w:rFonts w:ascii="Times New Roman" w:cs="Times New Roman" w:eastAsia="Times New Roman" w:hAnsi="Times New Roman"/>
          <w:sz w:val="18"/>
          <w:szCs w:val="18"/>
          <w:color w:val="auto"/>
        </w:rPr>
      </w:pPr>
    </w:p>
    <w:p>
      <w:pPr>
        <w:ind w:left="1440" w:hanging="493"/>
        <w:spacing w:after="0"/>
        <w:tabs>
          <w:tab w:leader="none" w:pos="14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A parent holding company or control person in accordance with §240.13d-1(b)(1)(ii)(G).</w:t>
      </w:r>
    </w:p>
    <w:p>
      <w:pPr>
        <w:spacing w:after="0" w:line="225" w:lineRule="exact"/>
        <w:rPr>
          <w:rFonts w:ascii="Times New Roman" w:cs="Times New Roman" w:eastAsia="Times New Roman" w:hAnsi="Times New Roman"/>
          <w:sz w:val="18"/>
          <w:szCs w:val="18"/>
          <w:color w:val="auto"/>
        </w:rPr>
      </w:pPr>
    </w:p>
    <w:p>
      <w:pPr>
        <w:ind w:left="1440" w:hanging="493"/>
        <w:spacing w:after="0"/>
        <w:tabs>
          <w:tab w:leader="none" w:pos="14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 savings association as defined in Section 3(b) of the Federal Deposit Insurance Act.</w:t>
      </w:r>
    </w:p>
    <w:p>
      <w:pPr>
        <w:sectPr>
          <w:pgSz w:w="11900" w:h="16838" w:orient="portrait"/>
          <w:cols w:equalWidth="0" w:num="1">
            <w:col w:w="11280"/>
          </w:cols>
          <w:pgMar w:left="300" w:top="117" w:right="319" w:bottom="0" w:gutter="0" w:footer="0" w:header="0"/>
        </w:sectPr>
      </w:pPr>
    </w:p>
    <w:bookmarkStart w:id="12" w:name="page13"/>
    <w:bookmarkEnd w:id="12"/>
    <w:p>
      <w:pPr>
        <w:spacing w:after="0" w:line="54" w:lineRule="exact"/>
        <w:rPr>
          <w:sz w:val="20"/>
          <w:szCs w:val="20"/>
          <w:color w:val="auto"/>
        </w:rPr>
      </w:pPr>
    </w:p>
    <w:p>
      <w:pPr>
        <w:ind w:left="2020" w:right="200" w:hanging="1013"/>
        <w:spacing w:after="0" w:line="282" w:lineRule="auto"/>
        <w:tabs>
          <w:tab w:leader="none" w:pos="150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 church plan that is excluded from the definition of an investment company under section 3(c)(14) of the Investment Company Act.</w:t>
      </w:r>
    </w:p>
    <w:p>
      <w:pPr>
        <w:spacing w:after="0" w:line="161" w:lineRule="exact"/>
        <w:rPr>
          <w:rFonts w:ascii="Times New Roman" w:cs="Times New Roman" w:eastAsia="Times New Roman" w:hAnsi="Times New Roman"/>
          <w:sz w:val="18"/>
          <w:szCs w:val="18"/>
          <w:color w:val="auto"/>
        </w:rPr>
      </w:pPr>
    </w:p>
    <w:p>
      <w:pPr>
        <w:ind w:left="1500" w:hanging="493"/>
        <w:spacing w:after="0"/>
        <w:tabs>
          <w:tab w:leader="none" w:pos="15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A non-U.S. institution in accordance with § 240.13d–1(b)(1)(ii)(J).</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vMerge w:val="restart"/>
          </w:tcPr>
          <w:p>
            <w:pPr>
              <w:ind w:left="1000"/>
              <w:spacing w:after="0"/>
              <w:rPr>
                <w:sz w:val="20"/>
                <w:szCs w:val="20"/>
                <w:color w:val="auto"/>
              </w:rPr>
            </w:pPr>
            <w:r>
              <w:rPr>
                <w:rFonts w:ascii="Times New Roman" w:cs="Times New Roman" w:eastAsia="Times New Roman" w:hAnsi="Times New Roman"/>
                <w:sz w:val="18"/>
                <w:szCs w:val="18"/>
                <w:color w:val="auto"/>
              </w:rPr>
              <w:t>(k)</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o</w:t>
            </w:r>
          </w:p>
        </w:tc>
        <w:tc>
          <w:tcPr>
            <w:tcW w:w="9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Group, in accordance with § 240.13d–1(b)(1)(ii)(K). If filing as a non-U.S. institution in accordance with</w:t>
            </w:r>
          </w:p>
        </w:tc>
        <w:tc>
          <w:tcPr>
            <w:tcW w:w="0" w:type="dxa"/>
            <w:vAlign w:val="bottom"/>
          </w:tcPr>
          <w:p>
            <w:pPr>
              <w:spacing w:after="0"/>
              <w:rPr>
                <w:sz w:val="1"/>
                <w:szCs w:val="1"/>
                <w:color w:val="auto"/>
              </w:rPr>
            </w:pPr>
          </w:p>
        </w:tc>
      </w:tr>
      <w:tr>
        <w:trPr>
          <w:trHeight w:val="135"/>
        </w:trPr>
        <w:tc>
          <w:tcPr>
            <w:tcW w:w="136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96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 240.13d–1(b)(1)(ii)(J), please specify the type of institution:____________________________</w:t>
            </w:r>
          </w:p>
        </w:tc>
        <w:tc>
          <w:tcPr>
            <w:tcW w:w="0" w:type="dxa"/>
            <w:vAlign w:val="bottom"/>
          </w:tcPr>
          <w:p>
            <w:pPr>
              <w:spacing w:after="0"/>
              <w:rPr>
                <w:sz w:val="1"/>
                <w:szCs w:val="1"/>
                <w:color w:val="auto"/>
              </w:rPr>
            </w:pPr>
          </w:p>
        </w:tc>
      </w:tr>
      <w:tr>
        <w:trPr>
          <w:trHeight w:val="135"/>
        </w:trPr>
        <w:tc>
          <w:tcPr>
            <w:tcW w:w="1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0"/>
        </w:trPr>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60" w:type="dxa"/>
            <w:vAlign w:val="bottom"/>
          </w:tcPr>
          <w:p>
            <w:pPr>
              <w:jc w:val="right"/>
              <w:ind w:right="557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32"/>
        </w:trPr>
        <w:tc>
          <w:tcPr>
            <w:tcW w:w="13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96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6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175" w:lineRule="exact"/>
        <w:rPr>
          <w:sz w:val="20"/>
          <w:szCs w:val="20"/>
          <w:color w:val="auto"/>
        </w:rPr>
      </w:pPr>
    </w:p>
    <w:p>
      <w:pPr>
        <w:ind w:left="1660" w:hanging="394"/>
        <w:spacing w:after="0"/>
        <w:tabs>
          <w:tab w:leader="none" w:pos="1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63" w:lineRule="exact"/>
        <w:rPr>
          <w:rFonts w:ascii="Times New Roman" w:cs="Times New Roman" w:eastAsia="Times New Roman" w:hAnsi="Times New Roman"/>
          <w:sz w:val="18"/>
          <w:szCs w:val="18"/>
          <w:color w:val="auto"/>
        </w:rPr>
      </w:pPr>
    </w:p>
    <w:p>
      <w:pPr>
        <w:ind w:left="1660" w:right="1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Item 9 of the cover pages to this Schedule 13G for the aggregate number of Shares that are beneficially owned by each Reporting Person as of February 13, 2018.</w:t>
      </w:r>
    </w:p>
    <w:p>
      <w:pPr>
        <w:spacing w:after="0" w:line="175" w:lineRule="exact"/>
        <w:rPr>
          <w:rFonts w:ascii="Times New Roman" w:cs="Times New Roman" w:eastAsia="Times New Roman" w:hAnsi="Times New Roman"/>
          <w:sz w:val="18"/>
          <w:szCs w:val="18"/>
          <w:color w:val="auto"/>
        </w:rPr>
      </w:pPr>
    </w:p>
    <w:p>
      <w:pPr>
        <w:ind w:left="1660" w:hanging="400"/>
        <w:spacing w:after="0"/>
        <w:tabs>
          <w:tab w:leader="none" w:pos="1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63" w:lineRule="exact"/>
        <w:rPr>
          <w:rFonts w:ascii="Times New Roman" w:cs="Times New Roman" w:eastAsia="Times New Roman" w:hAnsi="Times New Roman"/>
          <w:sz w:val="18"/>
          <w:szCs w:val="18"/>
          <w:color w:val="auto"/>
        </w:rPr>
      </w:pPr>
    </w:p>
    <w:p>
      <w:pPr>
        <w:ind w:left="1660" w:right="1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Item 11of the cover pages to this Schedule 13G for the percentage of Shares that are beneficially owned by each Reporting Person as of February 13, 2018.</w:t>
      </w:r>
    </w:p>
    <w:p>
      <w:pPr>
        <w:spacing w:after="0" w:line="175" w:lineRule="exact"/>
        <w:rPr>
          <w:rFonts w:ascii="Times New Roman" w:cs="Times New Roman" w:eastAsia="Times New Roman" w:hAnsi="Times New Roman"/>
          <w:sz w:val="18"/>
          <w:szCs w:val="18"/>
          <w:color w:val="auto"/>
        </w:rPr>
      </w:pPr>
    </w:p>
    <w:p>
      <w:pPr>
        <w:ind w:left="1660" w:hanging="394"/>
        <w:spacing w:after="0"/>
        <w:tabs>
          <w:tab w:leader="none" w:pos="1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257810</wp:posOffset>
            </wp:positionV>
            <wp:extent cx="623443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-196215</wp:posOffset>
            </wp:positionV>
            <wp:extent cx="623443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-788035</wp:posOffset>
            </wp:positionV>
            <wp:extent cx="623443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80" w:hanging="453"/>
        <w:spacing w:after="0"/>
        <w:tabs>
          <w:tab w:leader="none" w:pos="22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257810</wp:posOffset>
            </wp:positionV>
            <wp:extent cx="584009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80" w:hanging="478"/>
        <w:spacing w:after="0"/>
        <w:tabs>
          <w:tab w:leader="none" w:pos="22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257810</wp:posOffset>
            </wp:positionV>
            <wp:extent cx="584009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80" w:hanging="503"/>
        <w:spacing w:after="0"/>
        <w:tabs>
          <w:tab w:leader="none" w:pos="22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200" w:lineRule="exact"/>
        <w:rPr>
          <w:rFonts w:ascii="Times New Roman" w:cs="Times New Roman" w:eastAsia="Times New Roman" w:hAnsi="Times New Roman"/>
          <w:sz w:val="18"/>
          <w:szCs w:val="18"/>
          <w:color w:val="auto"/>
        </w:rPr>
      </w:pPr>
    </w:p>
    <w:p>
      <w:pPr>
        <w:spacing w:after="0" w:line="308" w:lineRule="exact"/>
        <w:rPr>
          <w:rFonts w:ascii="Times New Roman" w:cs="Times New Roman" w:eastAsia="Times New Roman" w:hAnsi="Times New Roman"/>
          <w:sz w:val="18"/>
          <w:szCs w:val="18"/>
          <w:color w:val="auto"/>
        </w:rPr>
      </w:pPr>
    </w:p>
    <w:p>
      <w:pPr>
        <w:ind w:left="2280" w:hanging="498"/>
        <w:spacing w:after="0"/>
        <w:tabs>
          <w:tab w:leader="none" w:pos="22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63" w:lineRule="exact"/>
        <w:rPr>
          <w:rFonts w:ascii="Times New Roman" w:cs="Times New Roman" w:eastAsia="Times New Roman" w:hAnsi="Times New Roman"/>
          <w:sz w:val="18"/>
          <w:szCs w:val="18"/>
          <w:color w:val="auto"/>
        </w:rPr>
      </w:pPr>
    </w:p>
    <w:p>
      <w:pPr>
        <w:ind w:left="2280" w:right="2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Items 5 through 8 of the cover pages to this Schedule 13G for the number of Shares that are beneficially owned by each Reporting Person as of February 13, 2018 as to which there is sole or shared power to vote or direct the vote, and sole or shared power to dispose or direct the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54610</wp:posOffset>
            </wp:positionV>
            <wp:extent cx="584009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-673735</wp:posOffset>
            </wp:positionV>
            <wp:extent cx="584009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6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121" w:lineRule="exact"/>
        <w:rPr>
          <w:sz w:val="20"/>
          <w:szCs w:val="20"/>
          <w:color w:val="auto"/>
        </w:rPr>
      </w:pPr>
    </w:p>
    <w:p>
      <w:pPr>
        <w:ind w:left="60" w:right="120"/>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374" w:lineRule="exact"/>
        <w:rPr>
          <w:sz w:val="20"/>
          <w:szCs w:val="20"/>
          <w:color w:val="auto"/>
        </w:rPr>
      </w:pPr>
    </w:p>
    <w:p>
      <w:pPr>
        <w:ind w:left="6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Ownership of More than Five Percent on Behalf of Another Person.</w:t>
      </w:r>
    </w:p>
    <w:p>
      <w:pPr>
        <w:spacing w:after="0" w:line="1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180" w:right="120" w:hanging="1120"/>
        <w:spacing w:after="0" w:line="286" w:lineRule="auto"/>
        <w:tabs>
          <w:tab w:leader="none" w:pos="11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1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1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92" w:orient="portrait"/>
          <w:cols w:equalWidth="0" w:num="1">
            <w:col w:w="11460"/>
          </w:cols>
          <w:pgMar w:left="240" w:top="121" w:right="199" w:bottom="0" w:gutter="0" w:footer="0" w:header="0"/>
        </w:sectPr>
      </w:pPr>
    </w:p>
    <w:bookmarkStart w:id="13" w:name="page14"/>
    <w:bookmarkEnd w:id="13"/>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13, 2018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Czerny Holdings Limited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Viswanand Nursimloo</w:t>
            </w:r>
          </w:p>
        </w:tc>
      </w:tr>
      <w:tr>
        <w:trPr>
          <w:trHeight w:val="191"/>
        </w:trPr>
        <w:tc>
          <w:tcPr>
            <w:tcW w:w="580" w:type="dxa"/>
            <w:vAlign w:val="bottom"/>
          </w:tcPr>
          <w:p>
            <w:pPr>
              <w:spacing w:after="0"/>
              <w:rPr>
                <w:sz w:val="16"/>
                <w:szCs w:val="16"/>
                <w:color w:val="auto"/>
              </w:rPr>
            </w:pPr>
          </w:p>
        </w:tc>
        <w:tc>
          <w:tcPr>
            <w:tcW w:w="6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0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Viswanand Nursimloo</w:t>
            </w:r>
          </w:p>
        </w:tc>
      </w:tr>
      <w:tr>
        <w:trPr>
          <w:trHeight w:val="234"/>
        </w:trPr>
        <w:tc>
          <w:tcPr>
            <w:tcW w:w="58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Czerny Holdings Limited</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Viswanand Nursimloo</w:t>
            </w:r>
          </w:p>
        </w:tc>
      </w:tr>
      <w:tr>
        <w:trPr>
          <w:trHeight w:val="191"/>
        </w:trPr>
        <w:tc>
          <w:tcPr>
            <w:tcW w:w="580" w:type="dxa"/>
            <w:vAlign w:val="bottom"/>
          </w:tcPr>
          <w:p>
            <w:pPr>
              <w:spacing w:after="0"/>
              <w:rPr>
                <w:sz w:val="16"/>
                <w:szCs w:val="16"/>
                <w:color w:val="auto"/>
              </w:rPr>
            </w:pPr>
          </w:p>
        </w:tc>
        <w:tc>
          <w:tcPr>
            <w:tcW w:w="6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0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Viswanand Nursimloo</w:t>
            </w:r>
          </w:p>
        </w:tc>
      </w:tr>
      <w:tr>
        <w:trPr>
          <w:trHeight w:val="234"/>
        </w:trPr>
        <w:tc>
          <w:tcPr>
            <w:tcW w:w="58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SSG Capital Partners I Side Pocket,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SSG Capital Partners I, GP, L.P., its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SSG Capital Partners I, GPGP, Ltd, its general partner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Nigel David Stead</w:t>
            </w:r>
          </w:p>
        </w:tc>
      </w:tr>
      <w:tr>
        <w:trPr>
          <w:trHeight w:val="191"/>
        </w:trPr>
        <w:tc>
          <w:tcPr>
            <w:tcW w:w="580" w:type="dxa"/>
            <w:vAlign w:val="bottom"/>
          </w:tcPr>
          <w:p>
            <w:pPr>
              <w:spacing w:after="0"/>
              <w:rPr>
                <w:sz w:val="16"/>
                <w:szCs w:val="16"/>
                <w:color w:val="auto"/>
              </w:rPr>
            </w:pPr>
          </w:p>
        </w:tc>
        <w:tc>
          <w:tcPr>
            <w:tcW w:w="6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0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Nigel David Stead</w:t>
            </w:r>
          </w:p>
        </w:tc>
      </w:tr>
      <w:tr>
        <w:trPr>
          <w:trHeight w:val="234"/>
        </w:trPr>
        <w:tc>
          <w:tcPr>
            <w:tcW w:w="58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SSG Capital Partners II,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SSG Capital Partners II, GP, L.P., its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SSG Capital Partners II, GPGP, Ltd, its general partner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Nigel David Stead</w:t>
            </w:r>
          </w:p>
        </w:tc>
      </w:tr>
      <w:tr>
        <w:trPr>
          <w:trHeight w:val="191"/>
        </w:trPr>
        <w:tc>
          <w:tcPr>
            <w:tcW w:w="580" w:type="dxa"/>
            <w:vAlign w:val="bottom"/>
          </w:tcPr>
          <w:p>
            <w:pPr>
              <w:spacing w:after="0"/>
              <w:rPr>
                <w:sz w:val="16"/>
                <w:szCs w:val="16"/>
                <w:color w:val="auto"/>
              </w:rPr>
            </w:pPr>
          </w:p>
        </w:tc>
        <w:tc>
          <w:tcPr>
            <w:tcW w:w="6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0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Nigel David Stead</w:t>
            </w:r>
          </w:p>
        </w:tc>
      </w:tr>
      <w:tr>
        <w:trPr>
          <w:trHeight w:val="234"/>
        </w:trPr>
        <w:tc>
          <w:tcPr>
            <w:tcW w:w="58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SSG Capital Partners I GP,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SSG Capital Partners I, GPGP, Ltd, its general partner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Nigel David Stead</w:t>
            </w:r>
          </w:p>
        </w:tc>
      </w:tr>
      <w:tr>
        <w:trPr>
          <w:trHeight w:val="191"/>
        </w:trPr>
        <w:tc>
          <w:tcPr>
            <w:tcW w:w="580" w:type="dxa"/>
            <w:vAlign w:val="bottom"/>
          </w:tcPr>
          <w:p>
            <w:pPr>
              <w:spacing w:after="0"/>
              <w:rPr>
                <w:sz w:val="16"/>
                <w:szCs w:val="16"/>
                <w:color w:val="auto"/>
              </w:rPr>
            </w:pPr>
          </w:p>
        </w:tc>
        <w:tc>
          <w:tcPr>
            <w:tcW w:w="6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0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Nigel David Stead</w:t>
            </w:r>
          </w:p>
        </w:tc>
      </w:tr>
      <w:tr>
        <w:trPr>
          <w:trHeight w:val="234"/>
        </w:trPr>
        <w:tc>
          <w:tcPr>
            <w:tcW w:w="58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SSG Capital Partners II GP,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SSG Capital Partners II, GPGP, Ltd, its general partner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Nigel David Stead</w:t>
            </w:r>
          </w:p>
        </w:tc>
      </w:tr>
      <w:tr>
        <w:trPr>
          <w:trHeight w:val="191"/>
        </w:trPr>
        <w:tc>
          <w:tcPr>
            <w:tcW w:w="580" w:type="dxa"/>
            <w:vAlign w:val="bottom"/>
          </w:tcPr>
          <w:p>
            <w:pPr>
              <w:spacing w:after="0"/>
              <w:rPr>
                <w:sz w:val="16"/>
                <w:szCs w:val="16"/>
                <w:color w:val="auto"/>
              </w:rPr>
            </w:pPr>
          </w:p>
        </w:tc>
        <w:tc>
          <w:tcPr>
            <w:tcW w:w="6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0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Nigel David Stead</w:t>
            </w:r>
          </w:p>
        </w:tc>
      </w:tr>
      <w:tr>
        <w:trPr>
          <w:trHeight w:val="234"/>
        </w:trPr>
        <w:tc>
          <w:tcPr>
            <w:tcW w:w="58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SSG Capital Partners I GPGP, Ltd.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Nigel David Stead</w:t>
            </w:r>
          </w:p>
        </w:tc>
      </w:tr>
      <w:tr>
        <w:trPr>
          <w:trHeight w:val="191"/>
        </w:trPr>
        <w:tc>
          <w:tcPr>
            <w:tcW w:w="580" w:type="dxa"/>
            <w:vAlign w:val="bottom"/>
          </w:tcPr>
          <w:p>
            <w:pPr>
              <w:spacing w:after="0"/>
              <w:rPr>
                <w:sz w:val="16"/>
                <w:szCs w:val="16"/>
                <w:color w:val="auto"/>
              </w:rPr>
            </w:pPr>
          </w:p>
        </w:tc>
        <w:tc>
          <w:tcPr>
            <w:tcW w:w="6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0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Nigel David Stead</w:t>
            </w:r>
          </w:p>
        </w:tc>
      </w:tr>
      <w:tr>
        <w:trPr>
          <w:trHeight w:val="234"/>
        </w:trPr>
        <w:tc>
          <w:tcPr>
            <w:tcW w:w="58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SSG Capital Partners II GPGP, Ltd.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Nigel David Stead</w:t>
            </w:r>
          </w:p>
        </w:tc>
      </w:tr>
      <w:tr>
        <w:trPr>
          <w:trHeight w:val="191"/>
        </w:trPr>
        <w:tc>
          <w:tcPr>
            <w:tcW w:w="580" w:type="dxa"/>
            <w:vAlign w:val="bottom"/>
          </w:tcPr>
          <w:p>
            <w:pPr>
              <w:spacing w:after="0"/>
              <w:rPr>
                <w:sz w:val="16"/>
                <w:szCs w:val="16"/>
                <w:color w:val="auto"/>
              </w:rPr>
            </w:pPr>
          </w:p>
        </w:tc>
        <w:tc>
          <w:tcPr>
            <w:tcW w:w="6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0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Nigel David Stead</w:t>
            </w:r>
          </w:p>
        </w:tc>
      </w:tr>
      <w:tr>
        <w:trPr>
          <w:trHeight w:val="234"/>
        </w:trPr>
        <w:tc>
          <w:tcPr>
            <w:tcW w:w="58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SSG Capital Holdings Limited</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Wong Ching Him</w:t>
            </w:r>
          </w:p>
        </w:tc>
      </w:tr>
      <w:tr>
        <w:trPr>
          <w:trHeight w:val="191"/>
        </w:trPr>
        <w:tc>
          <w:tcPr>
            <w:tcW w:w="580" w:type="dxa"/>
            <w:vAlign w:val="bottom"/>
          </w:tcPr>
          <w:p>
            <w:pPr>
              <w:spacing w:after="0"/>
              <w:rPr>
                <w:sz w:val="16"/>
                <w:szCs w:val="16"/>
                <w:color w:val="auto"/>
              </w:rPr>
            </w:pPr>
          </w:p>
        </w:tc>
        <w:tc>
          <w:tcPr>
            <w:tcW w:w="6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0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Wong Ching Him</w:t>
            </w:r>
          </w:p>
        </w:tc>
      </w:tr>
      <w:tr>
        <w:trPr>
          <w:trHeight w:val="234"/>
        </w:trPr>
        <w:tc>
          <w:tcPr>
            <w:tcW w:w="58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Wong Ching Him</w:t>
      </w:r>
    </w:p>
    <w:p>
      <w:pPr>
        <w:sectPr>
          <w:pgSz w:w="11900" w:h="16838" w:orient="portrait"/>
          <w:cols w:equalWidth="0" w:num="1">
            <w:col w:w="11200"/>
          </w:cols>
          <w:pgMar w:left="240" w:top="549" w:right="459" w:bottom="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b w:val="1"/>
                <w:bCs w:val="1"/>
                <w:color w:val="auto"/>
              </w:rPr>
              <w:t>Wong Ching Him</w:t>
            </w:r>
          </w:p>
        </w:tc>
      </w:tr>
      <w:tr>
        <w:trPr>
          <w:trHeight w:val="232"/>
        </w:trPr>
        <w:tc>
          <w:tcPr>
            <w:tcW w:w="58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Wong Ching Him</w:t>
            </w:r>
          </w:p>
        </w:tc>
      </w:tr>
      <w:tr>
        <w:trPr>
          <w:trHeight w:val="410"/>
        </w:trPr>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Shyam Maheshwari</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b w:val="1"/>
                <w:bCs w:val="1"/>
                <w:color w:val="auto"/>
              </w:rPr>
              <w:t>Shyam Maheshwari</w:t>
            </w:r>
          </w:p>
        </w:tc>
      </w:tr>
      <w:tr>
        <w:trPr>
          <w:trHeight w:val="232"/>
        </w:trPr>
        <w:tc>
          <w:tcPr>
            <w:tcW w:w="58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Shyam Maheshwari</w:t>
            </w:r>
          </w:p>
        </w:tc>
      </w:tr>
      <w:tr>
        <w:trPr>
          <w:trHeight w:val="410"/>
        </w:trPr>
        <w:tc>
          <w:tcPr>
            <w:tcW w:w="5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Andreas Vourloumis</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b w:val="1"/>
                <w:bCs w:val="1"/>
                <w:color w:val="auto"/>
              </w:rPr>
              <w:t>Andreas Vourloumis</w:t>
            </w:r>
          </w:p>
        </w:tc>
      </w:tr>
      <w:tr>
        <w:trPr>
          <w:trHeight w:val="232"/>
        </w:trPr>
        <w:tc>
          <w:tcPr>
            <w:tcW w:w="58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Andreas Vourloumis</w:t>
            </w:r>
          </w:p>
        </w:tc>
      </w:tr>
    </w:tbl>
    <w:p>
      <w:pPr>
        <w:spacing w:after="0" w:line="1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jc w:val="center"/>
              <w:ind w:right="1396"/>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40" w:type="dxa"/>
            <w:vAlign w:val="bottom"/>
          </w:tcPr>
          <w:p>
            <w:pPr>
              <w:spacing w:after="0"/>
              <w:rPr>
                <w:sz w:val="20"/>
                <w:szCs w:val="20"/>
                <w:color w:val="auto"/>
              </w:rPr>
            </w:pPr>
          </w:p>
        </w:tc>
      </w:tr>
      <w:tr>
        <w:trPr>
          <w:trHeight w:val="365"/>
        </w:trPr>
        <w:tc>
          <w:tcPr>
            <w:tcW w:w="1160" w:type="dxa"/>
            <w:vAlign w:val="bottom"/>
            <w:gridSpan w:val="2"/>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40" w:type="dxa"/>
            <w:vAlign w:val="bottom"/>
          </w:tcPr>
          <w:p>
            <w:pPr>
              <w:spacing w:after="0"/>
              <w:rPr>
                <w:sz w:val="24"/>
                <w:szCs w:val="24"/>
                <w:color w:val="auto"/>
              </w:rPr>
            </w:pPr>
          </w:p>
        </w:tc>
        <w:tc>
          <w:tcPr>
            <w:tcW w:w="9920" w:type="dxa"/>
            <w:vAlign w:val="bottom"/>
          </w:tcPr>
          <w:p>
            <w:pPr>
              <w:ind w:left="46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24"/>
                <w:szCs w:val="24"/>
                <w:color w:val="auto"/>
              </w:rPr>
            </w:pPr>
          </w:p>
        </w:tc>
      </w:tr>
      <w:tr>
        <w:trPr>
          <w:trHeight w:val="191"/>
        </w:trPr>
        <w:tc>
          <w:tcPr>
            <w:tcW w:w="20" w:type="dxa"/>
            <w:vAlign w:val="bottom"/>
          </w:tcPr>
          <w:p>
            <w:pPr>
              <w:spacing w:after="0"/>
              <w:rPr>
                <w:sz w:val="16"/>
                <w:szCs w:val="16"/>
                <w:color w:val="auto"/>
              </w:rPr>
            </w:pPr>
          </w:p>
        </w:tc>
        <w:tc>
          <w:tcPr>
            <w:tcW w:w="1140" w:type="dxa"/>
            <w:vAlign w:val="bottom"/>
            <w:tcBorders>
              <w:top w:val="single" w:sz="8" w:color="auto"/>
            </w:tcBorders>
          </w:tcPr>
          <w:p>
            <w:pPr>
              <w:jc w:val="right"/>
              <w:ind w:right="330"/>
              <w:spacing w:after="0" w:line="191" w:lineRule="exact"/>
              <w:rPr>
                <w:sz w:val="20"/>
                <w:szCs w:val="20"/>
                <w:color w:val="auto"/>
              </w:rPr>
            </w:pPr>
            <w:r>
              <w:rPr>
                <w:rFonts w:ascii="Times New Roman" w:cs="Times New Roman" w:eastAsia="Times New Roman" w:hAnsi="Times New Roman"/>
                <w:sz w:val="18"/>
                <w:szCs w:val="18"/>
                <w:b w:val="1"/>
                <w:bCs w:val="1"/>
                <w:color w:val="auto"/>
              </w:rPr>
              <w:t>99.1</w:t>
            </w:r>
          </w:p>
        </w:tc>
        <w:tc>
          <w:tcPr>
            <w:tcW w:w="340" w:type="dxa"/>
            <w:vAlign w:val="bottom"/>
          </w:tcPr>
          <w:p>
            <w:pPr>
              <w:spacing w:after="0"/>
              <w:rPr>
                <w:sz w:val="16"/>
                <w:szCs w:val="16"/>
                <w:color w:val="auto"/>
              </w:rPr>
            </w:pPr>
          </w:p>
        </w:tc>
        <w:tc>
          <w:tcPr>
            <w:tcW w:w="9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Joint Filing Agreement, dated February 13, 2018, by and among Czerny Holdings Limited, Cervetto Holdings Limited, SSG Capital</w:t>
            </w: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9"/>
              </w:rPr>
              <w:t>Partners I Side Pocket, L.P., SSG Capital Partners II, L.P., SSG Capital Partners I GP, L.P., SSG Capital Partners II GP, L.P., SSG Capital</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Partners I GPGP, Ltd. SSG Capital Partners II GPGP, Ltd., SSG Capital Holdings Limited, Wong Ching Him, Shyam Maheshwari, and</w:t>
            </w:r>
          </w:p>
        </w:tc>
        <w:tc>
          <w:tcPr>
            <w:tcW w:w="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Andreas Vourloumis.</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60" w:type="dxa"/>
            <w:vAlign w:val="bottom"/>
            <w:gridSpan w:val="2"/>
          </w:tcPr>
          <w:p>
            <w:pPr>
              <w:jc w:val="right"/>
              <w:ind w:right="5536"/>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15" w:name="page16"/>
    <w:bookmarkEnd w:id="15"/>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Rule 13d-1(k)(1) promulgated under the Securities Exchange Act of 1934, as amended, the undersigned agree that the Statement on Schedule 13G and any amendments thereto to which this exhibit is attached is filed on behalf of each of them.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13, 2018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Czerny Holdings Limited</w:t>
      </w:r>
    </w:p>
    <w:p>
      <w:pPr>
        <w:spacing w:after="0" w:line="22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Viswanand Nursimloo</w:t>
      </w:r>
    </w:p>
    <w:p>
      <w:pPr>
        <w:spacing w:after="0" w:line="27" w:lineRule="exact"/>
        <w:rPr>
          <w:sz w:val="20"/>
          <w:szCs w:val="20"/>
          <w:color w:val="auto"/>
        </w:rPr>
      </w:pPr>
    </w:p>
    <w:p>
      <w:pPr>
        <w:ind w:left="500"/>
        <w:spacing w:after="0"/>
        <w:tabs>
          <w:tab w:leader="none" w:pos="13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Viswanand Nursimloo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13880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3" w:lineRule="exact"/>
        <w:rPr>
          <w:sz w:val="20"/>
          <w:szCs w:val="20"/>
          <w:color w:val="auto"/>
        </w:rPr>
      </w:pPr>
    </w:p>
    <w:p>
      <w:pPr>
        <w:ind w:left="500"/>
        <w:spacing w:after="0"/>
        <w:tabs>
          <w:tab w:leader="none" w:pos="13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Czerny Holdings Limited</w:t>
      </w:r>
    </w:p>
    <w:p>
      <w:pPr>
        <w:spacing w:after="0" w:line="22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Viswanand Nursimloo</w:t>
      </w:r>
    </w:p>
    <w:p>
      <w:pPr>
        <w:spacing w:after="0" w:line="27" w:lineRule="exact"/>
        <w:rPr>
          <w:sz w:val="20"/>
          <w:szCs w:val="20"/>
          <w:color w:val="auto"/>
        </w:rPr>
      </w:pPr>
    </w:p>
    <w:p>
      <w:pPr>
        <w:ind w:left="500"/>
        <w:spacing w:after="0"/>
        <w:tabs>
          <w:tab w:leader="none" w:pos="13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Viswanand Nursimloo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13880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3" w:lineRule="exact"/>
        <w:rPr>
          <w:sz w:val="20"/>
          <w:szCs w:val="20"/>
          <w:color w:val="auto"/>
        </w:rPr>
      </w:pPr>
    </w:p>
    <w:p>
      <w:pPr>
        <w:ind w:left="500"/>
        <w:spacing w:after="0"/>
        <w:tabs>
          <w:tab w:leader="none" w:pos="13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SSG Capital Partners I Side Pocket,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SSG Capital Partners I, GP, L.P., its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SSG Capital Partners I, GPGP, Ltd, its general partner</w:t>
      </w:r>
    </w:p>
    <w:p>
      <w:pPr>
        <w:spacing w:after="0" w:line="20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Nigel David Stead</w:t>
      </w:r>
    </w:p>
    <w:p>
      <w:pPr>
        <w:spacing w:after="0" w:line="27" w:lineRule="exact"/>
        <w:rPr>
          <w:sz w:val="20"/>
          <w:szCs w:val="20"/>
          <w:color w:val="auto"/>
        </w:rPr>
      </w:pPr>
    </w:p>
    <w:tbl>
      <w:tblPr>
        <w:tblLayout w:type="fixed"/>
        <w:tblInd w:w="500" w:type="dxa"/>
        <w:tblCellMar>
          <w:top w:w="0" w:type="dxa"/>
          <w:left w:w="0" w:type="dxa"/>
          <w:bottom w:w="0" w:type="dxa"/>
          <w:right w:w="0" w:type="dxa"/>
        </w:tblCellMar>
      </w:tblPr>
      <w:tr>
        <w:trPr>
          <w:trHeight w:val="191"/>
        </w:trPr>
        <w:tc>
          <w:tcPr>
            <w:tcW w:w="6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280" w:type="dxa"/>
            <w:vAlign w:val="bottom"/>
            <w:tcBorders>
              <w:top w:val="single" w:sz="8" w:color="auto"/>
            </w:tcBorders>
          </w:tcPr>
          <w:p>
            <w:pPr>
              <w:ind w:left="200"/>
              <w:spacing w:after="0" w:line="191" w:lineRule="exact"/>
              <w:rPr>
                <w:sz w:val="20"/>
                <w:szCs w:val="20"/>
                <w:color w:val="auto"/>
              </w:rPr>
            </w:pPr>
            <w:r>
              <w:rPr>
                <w:rFonts w:ascii="Times New Roman" w:cs="Times New Roman" w:eastAsia="Times New Roman" w:hAnsi="Times New Roman"/>
                <w:sz w:val="18"/>
                <w:szCs w:val="18"/>
                <w:color w:val="auto"/>
              </w:rPr>
              <w:t>Nigel David Stead</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SSG Capital Partners II,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SSG Capital Partners II, GP, L.P., its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SSG Capital Partners II, GPGP, Ltd, its general partner</w:t>
      </w:r>
    </w:p>
    <w:p>
      <w:pPr>
        <w:spacing w:after="0" w:line="20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Nigel David Stead</w:t>
      </w:r>
    </w:p>
    <w:p>
      <w:pPr>
        <w:spacing w:after="0" w:line="27" w:lineRule="exact"/>
        <w:rPr>
          <w:sz w:val="20"/>
          <w:szCs w:val="20"/>
          <w:color w:val="auto"/>
        </w:rPr>
      </w:pPr>
    </w:p>
    <w:tbl>
      <w:tblPr>
        <w:tblLayout w:type="fixed"/>
        <w:tblInd w:w="500" w:type="dxa"/>
        <w:tblCellMar>
          <w:top w:w="0" w:type="dxa"/>
          <w:left w:w="0" w:type="dxa"/>
          <w:bottom w:w="0" w:type="dxa"/>
          <w:right w:w="0" w:type="dxa"/>
        </w:tblCellMar>
      </w:tblPr>
      <w:tr>
        <w:trPr>
          <w:trHeight w:val="191"/>
        </w:trPr>
        <w:tc>
          <w:tcPr>
            <w:tcW w:w="6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280" w:type="dxa"/>
            <w:vAlign w:val="bottom"/>
            <w:tcBorders>
              <w:top w:val="single" w:sz="8" w:color="auto"/>
            </w:tcBorders>
          </w:tcPr>
          <w:p>
            <w:pPr>
              <w:ind w:left="200"/>
              <w:spacing w:after="0" w:line="191" w:lineRule="exact"/>
              <w:rPr>
                <w:sz w:val="20"/>
                <w:szCs w:val="20"/>
                <w:color w:val="auto"/>
              </w:rPr>
            </w:pPr>
            <w:r>
              <w:rPr>
                <w:rFonts w:ascii="Times New Roman" w:cs="Times New Roman" w:eastAsia="Times New Roman" w:hAnsi="Times New Roman"/>
                <w:sz w:val="18"/>
                <w:szCs w:val="18"/>
                <w:color w:val="auto"/>
              </w:rPr>
              <w:t>Nigel David Stead</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SSG Capital Partners I GP,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SSG Capital Partners I, GPGP, Ltd, its general partner</w:t>
      </w:r>
    </w:p>
    <w:p>
      <w:pPr>
        <w:spacing w:after="0" w:line="20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Nigel David Stead</w:t>
      </w:r>
    </w:p>
    <w:p>
      <w:pPr>
        <w:spacing w:after="0" w:line="27" w:lineRule="exact"/>
        <w:rPr>
          <w:sz w:val="20"/>
          <w:szCs w:val="20"/>
          <w:color w:val="auto"/>
        </w:rPr>
      </w:pPr>
    </w:p>
    <w:tbl>
      <w:tblPr>
        <w:tblLayout w:type="fixed"/>
        <w:tblInd w:w="500" w:type="dxa"/>
        <w:tblCellMar>
          <w:top w:w="0" w:type="dxa"/>
          <w:left w:w="0" w:type="dxa"/>
          <w:bottom w:w="0" w:type="dxa"/>
          <w:right w:w="0" w:type="dxa"/>
        </w:tblCellMar>
      </w:tblPr>
      <w:tr>
        <w:trPr>
          <w:trHeight w:val="191"/>
        </w:trPr>
        <w:tc>
          <w:tcPr>
            <w:tcW w:w="6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280" w:type="dxa"/>
            <w:vAlign w:val="bottom"/>
            <w:tcBorders>
              <w:top w:val="single" w:sz="8" w:color="auto"/>
            </w:tcBorders>
          </w:tcPr>
          <w:p>
            <w:pPr>
              <w:ind w:left="200"/>
              <w:spacing w:after="0" w:line="191" w:lineRule="exact"/>
              <w:rPr>
                <w:sz w:val="20"/>
                <w:szCs w:val="20"/>
                <w:color w:val="auto"/>
              </w:rPr>
            </w:pPr>
            <w:r>
              <w:rPr>
                <w:rFonts w:ascii="Times New Roman" w:cs="Times New Roman" w:eastAsia="Times New Roman" w:hAnsi="Times New Roman"/>
                <w:sz w:val="18"/>
                <w:szCs w:val="18"/>
                <w:color w:val="auto"/>
              </w:rPr>
              <w:t>Nigel David Stead</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SSG Capital Partners II GP,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SSG Capital Partners II, GPGP, Ltd, its general partner</w:t>
      </w:r>
    </w:p>
    <w:p>
      <w:pPr>
        <w:spacing w:after="0" w:line="20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Nigel David Stead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00" w:type="dxa"/>
            <w:vAlign w:val="bottom"/>
          </w:tcPr>
          <w:p>
            <w:pPr>
              <w:spacing w:after="0"/>
              <w:rPr>
                <w:sz w:val="16"/>
                <w:szCs w:val="16"/>
                <w:color w:val="auto"/>
              </w:rPr>
            </w:pPr>
          </w:p>
        </w:tc>
        <w:tc>
          <w:tcPr>
            <w:tcW w:w="6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280" w:type="dxa"/>
            <w:vAlign w:val="bottom"/>
            <w:tcBorders>
              <w:top w:val="single" w:sz="8" w:color="auto"/>
            </w:tcBorders>
          </w:tcPr>
          <w:p>
            <w:pPr>
              <w:ind w:left="200"/>
              <w:spacing w:after="0" w:line="191" w:lineRule="exact"/>
              <w:rPr>
                <w:sz w:val="20"/>
                <w:szCs w:val="20"/>
                <w:color w:val="auto"/>
              </w:rPr>
            </w:pPr>
            <w:r>
              <w:rPr>
                <w:rFonts w:ascii="Times New Roman" w:cs="Times New Roman" w:eastAsia="Times New Roman" w:hAnsi="Times New Roman"/>
                <w:sz w:val="18"/>
                <w:szCs w:val="18"/>
                <w:color w:val="auto"/>
              </w:rPr>
              <w:t>Nigel David Stead</w:t>
            </w:r>
          </w:p>
        </w:tc>
        <w:tc>
          <w:tcPr>
            <w:tcW w:w="6020" w:type="dxa"/>
            <w:vAlign w:val="bottom"/>
          </w:tcPr>
          <w:p>
            <w:pPr>
              <w:spacing w:after="0"/>
              <w:rPr>
                <w:sz w:val="16"/>
                <w:szCs w:val="16"/>
                <w:color w:val="auto"/>
              </w:rPr>
            </w:pPr>
          </w:p>
        </w:tc>
      </w:tr>
      <w:tr>
        <w:trPr>
          <w:trHeight w:val="234"/>
        </w:trPr>
        <w:tc>
          <w:tcPr>
            <w:tcW w:w="50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6020" w:type="dxa"/>
            <w:vAlign w:val="bottom"/>
          </w:tcPr>
          <w:p>
            <w:pPr>
              <w:spacing w:after="0"/>
              <w:rPr>
                <w:sz w:val="20"/>
                <w:szCs w:val="20"/>
                <w:color w:val="auto"/>
              </w:rPr>
            </w:pPr>
          </w:p>
        </w:tc>
      </w:tr>
      <w:tr>
        <w:trPr>
          <w:trHeight w:val="348"/>
        </w:trPr>
        <w:tc>
          <w:tcPr>
            <w:tcW w:w="5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4280" w:type="dxa"/>
            <w:vAlign w:val="bottom"/>
            <w:tcBorders>
              <w:bottom w:val="single" w:sz="8" w:color="808080"/>
            </w:tcBorders>
          </w:tcPr>
          <w:p>
            <w:pPr>
              <w:spacing w:after="0"/>
              <w:rPr>
                <w:sz w:val="24"/>
                <w:szCs w:val="24"/>
                <w:color w:val="auto"/>
              </w:rPr>
            </w:pPr>
          </w:p>
        </w:tc>
        <w:tc>
          <w:tcPr>
            <w:tcW w:w="60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SSG Capital Partners I GPGP, Ltd.</w:t>
      </w:r>
    </w:p>
    <w:p>
      <w:pPr>
        <w:spacing w:after="0" w:line="22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Nigel David Stead</w:t>
      </w:r>
    </w:p>
    <w:p>
      <w:pPr>
        <w:spacing w:after="0" w:line="27" w:lineRule="exact"/>
        <w:rPr>
          <w:sz w:val="20"/>
          <w:szCs w:val="20"/>
          <w:color w:val="auto"/>
        </w:rPr>
      </w:pPr>
    </w:p>
    <w:tbl>
      <w:tblPr>
        <w:tblLayout w:type="fixed"/>
        <w:tblInd w:w="500" w:type="dxa"/>
        <w:tblCellMar>
          <w:top w:w="0" w:type="dxa"/>
          <w:left w:w="0" w:type="dxa"/>
          <w:bottom w:w="0" w:type="dxa"/>
          <w:right w:w="0" w:type="dxa"/>
        </w:tblCellMar>
      </w:tblPr>
      <w:tr>
        <w:trPr>
          <w:trHeight w:val="191"/>
        </w:trPr>
        <w:tc>
          <w:tcPr>
            <w:tcW w:w="6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280" w:type="dxa"/>
            <w:vAlign w:val="bottom"/>
            <w:tcBorders>
              <w:top w:val="single" w:sz="8" w:color="auto"/>
            </w:tcBorders>
          </w:tcPr>
          <w:p>
            <w:pPr>
              <w:ind w:left="200"/>
              <w:spacing w:after="0" w:line="191" w:lineRule="exact"/>
              <w:rPr>
                <w:sz w:val="20"/>
                <w:szCs w:val="20"/>
                <w:color w:val="auto"/>
              </w:rPr>
            </w:pPr>
            <w:r>
              <w:rPr>
                <w:rFonts w:ascii="Times New Roman" w:cs="Times New Roman" w:eastAsia="Times New Roman" w:hAnsi="Times New Roman"/>
                <w:sz w:val="18"/>
                <w:szCs w:val="18"/>
                <w:color w:val="auto"/>
              </w:rPr>
              <w:t>Nigel David Stead</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SSG Capital Partners II GPGP, Ltd.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Nigel David Stead</w:t>
            </w:r>
          </w:p>
        </w:tc>
      </w:tr>
      <w:tr>
        <w:trPr>
          <w:trHeight w:val="191"/>
        </w:trPr>
        <w:tc>
          <w:tcPr>
            <w:tcW w:w="500" w:type="dxa"/>
            <w:vAlign w:val="bottom"/>
          </w:tcPr>
          <w:p>
            <w:pPr>
              <w:spacing w:after="0"/>
              <w:rPr>
                <w:sz w:val="16"/>
                <w:szCs w:val="16"/>
                <w:color w:val="auto"/>
              </w:rPr>
            </w:pPr>
          </w:p>
        </w:tc>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28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Nigel David Stead</w:t>
            </w:r>
          </w:p>
        </w:tc>
      </w:tr>
      <w:tr>
        <w:trPr>
          <w:trHeight w:val="234"/>
        </w:trPr>
        <w:tc>
          <w:tcPr>
            <w:tcW w:w="50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SSG Capital Holdings Limited</w:t>
            </w: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Wong Ching Him</w:t>
            </w:r>
          </w:p>
        </w:tc>
      </w:tr>
      <w:tr>
        <w:trPr>
          <w:trHeight w:val="191"/>
        </w:trPr>
        <w:tc>
          <w:tcPr>
            <w:tcW w:w="500" w:type="dxa"/>
            <w:vAlign w:val="bottom"/>
          </w:tcPr>
          <w:p>
            <w:pPr>
              <w:spacing w:after="0"/>
              <w:rPr>
                <w:sz w:val="16"/>
                <w:szCs w:val="16"/>
                <w:color w:val="auto"/>
              </w:rPr>
            </w:pPr>
          </w:p>
        </w:tc>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28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Wong Ching Him</w:t>
            </w:r>
          </w:p>
        </w:tc>
      </w:tr>
      <w:tr>
        <w:trPr>
          <w:trHeight w:val="234"/>
        </w:trPr>
        <w:tc>
          <w:tcPr>
            <w:tcW w:w="50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Wong Ching Him</w:t>
      </w:r>
    </w:p>
    <w:p>
      <w:pPr>
        <w:sectPr>
          <w:pgSz w:w="11900" w:h="16838" w:orient="portrait"/>
          <w:cols w:equalWidth="0" w:num="1">
            <w:col w:w="11460"/>
          </w:cols>
          <w:pgMar w:left="240" w:top="117" w:right="199" w:bottom="0" w:gutter="0" w:footer="0" w:header="0"/>
        </w:sectPr>
      </w:pPr>
    </w:p>
    <w:bookmarkStart w:id="16" w:name="page17"/>
    <w:bookmarkEnd w:id="16"/>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 xml:space="preserve">/s/ </w:t>
      </w:r>
      <w:r>
        <w:rPr>
          <w:rFonts w:ascii="Times New Roman" w:cs="Times New Roman" w:eastAsia="Times New Roman" w:hAnsi="Times New Roman"/>
          <w:sz w:val="18"/>
          <w:szCs w:val="18"/>
          <w:b w:val="1"/>
          <w:bCs w:val="1"/>
          <w:color w:val="auto"/>
        </w:rPr>
        <w:t>Wong Ching Him</w:t>
      </w:r>
    </w:p>
    <w:p>
      <w:pPr>
        <w:spacing w:after="0" w:line="31" w:lineRule="exact"/>
        <w:rPr>
          <w:sz w:val="20"/>
          <w:szCs w:val="20"/>
          <w:color w:val="auto"/>
        </w:rPr>
      </w:pPr>
    </w:p>
    <w:p>
      <w:pPr>
        <w:ind w:left="500"/>
        <w:spacing w:after="0"/>
        <w:tabs>
          <w:tab w:leader="none" w:pos="13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b w:val="1"/>
          <w:bCs w:val="1"/>
          <w:color w:val="auto"/>
        </w:rPr>
        <w:t>Wong Ching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13880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Shyam Maheshwari</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 xml:space="preserve">/s/ </w:t>
      </w:r>
      <w:r>
        <w:rPr>
          <w:rFonts w:ascii="Times New Roman" w:cs="Times New Roman" w:eastAsia="Times New Roman" w:hAnsi="Times New Roman"/>
          <w:sz w:val="18"/>
          <w:szCs w:val="18"/>
          <w:b w:val="1"/>
          <w:bCs w:val="1"/>
          <w:color w:val="auto"/>
        </w:rPr>
        <w:t>Shyam Maheshwari</w:t>
      </w:r>
    </w:p>
    <w:p>
      <w:pPr>
        <w:spacing w:after="0" w:line="31" w:lineRule="exact"/>
        <w:rPr>
          <w:sz w:val="20"/>
          <w:szCs w:val="20"/>
          <w:color w:val="auto"/>
        </w:rPr>
      </w:pPr>
    </w:p>
    <w:p>
      <w:pPr>
        <w:ind w:left="500"/>
        <w:spacing w:after="0"/>
        <w:tabs>
          <w:tab w:leader="none" w:pos="13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b w:val="1"/>
          <w:bCs w:val="1"/>
          <w:color w:val="auto"/>
        </w:rPr>
        <w:t>Shyam Maheshwari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13880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Andreas Vourloumis</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 xml:space="preserve">/s/ </w:t>
      </w:r>
      <w:r>
        <w:rPr>
          <w:rFonts w:ascii="Times New Roman" w:cs="Times New Roman" w:eastAsia="Times New Roman" w:hAnsi="Times New Roman"/>
          <w:sz w:val="18"/>
          <w:szCs w:val="18"/>
          <w:b w:val="1"/>
          <w:bCs w:val="1"/>
          <w:color w:val="auto"/>
        </w:rPr>
        <w:t>Andreas Vourloumis</w:t>
      </w:r>
    </w:p>
    <w:p>
      <w:pPr>
        <w:spacing w:after="0" w:line="31" w:lineRule="exact"/>
        <w:rPr>
          <w:sz w:val="20"/>
          <w:szCs w:val="20"/>
          <w:color w:val="auto"/>
        </w:rPr>
      </w:pPr>
    </w:p>
    <w:p>
      <w:pPr>
        <w:jc w:val="both"/>
        <w:ind w:left="500"/>
        <w:spacing w:after="0"/>
        <w:tabs>
          <w:tab w:leader="none" w:pos="13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b w:val="1"/>
          <w:bCs w:val="1"/>
          <w:color w:val="auto"/>
        </w:rPr>
        <w:t>Andreas Vourloumis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13880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13880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355600</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19"/>
      </w:cols>
      <w:pgMar w:left="2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8437FDB"/>
    <w:multiLevelType w:val="hybridMultilevel"/>
    <w:lvl w:ilvl="0">
      <w:lvlJc w:val="left"/>
      <w:lvlText w:val="o"/>
      <w:numFmt w:val="bullet"/>
      <w:start w:val="1"/>
    </w:lvl>
  </w:abstractNum>
  <w:abstractNum w:abstractNumId="1">
    <w:nsid w:val="7644A45C"/>
    <w:multiLevelType w:val="hybridMultilevel"/>
    <w:lvl w:ilvl="0">
      <w:lvlJc w:val="left"/>
      <w:lvlText w:val="1"/>
      <w:numFmt w:val="bullet"/>
      <w:start w:val="1"/>
    </w:lvl>
  </w:abstractNum>
  <w:abstractNum w:abstractNumId="2">
    <w:nsid w:val="32FFF902"/>
    <w:multiLevelType w:val="hybridMultilevel"/>
    <w:lvl w:ilvl="0">
      <w:lvlJc w:val="left"/>
      <w:lvlText w:val="2"/>
      <w:numFmt w:val="bullet"/>
      <w:start w:val="1"/>
    </w:lvl>
    <w:lvl w:ilvl="1">
      <w:lvlJc w:val="left"/>
      <w:lvlText w:val="(%2)"/>
      <w:numFmt w:val="lowerLetter"/>
      <w:start w:val="1"/>
    </w:lvl>
  </w:abstractNum>
  <w:abstractNum w:abstractNumId="3">
    <w:nsid w:val="684A481A"/>
    <w:multiLevelType w:val="hybridMultilevel"/>
    <w:lvl w:ilvl="0">
      <w:lvlJc w:val="left"/>
      <w:lvlText w:val="3"/>
      <w:numFmt w:val="bullet"/>
      <w:start w:val="1"/>
    </w:lvl>
  </w:abstractNum>
  <w:abstractNum w:abstractNumId="4">
    <w:nsid w:val="579478FE"/>
    <w:multiLevelType w:val="hybridMultilevel"/>
    <w:lvl w:ilvl="0">
      <w:lvlJc w:val="left"/>
      <w:lvlText w:val="4"/>
      <w:numFmt w:val="bullet"/>
      <w:start w:val="1"/>
    </w:lvl>
  </w:abstractNum>
  <w:abstractNum w:abstractNumId="5">
    <w:nsid w:val="749ABB43"/>
    <w:multiLevelType w:val="hybridMultilevel"/>
    <w:lvl w:ilvl="0">
      <w:lvlJc w:val="left"/>
      <w:lvlText w:val="9"/>
      <w:numFmt w:val="bullet"/>
      <w:start w:val="1"/>
    </w:lvl>
  </w:abstractNum>
  <w:abstractNum w:abstractNumId="6">
    <w:nsid w:val="3DC240FB"/>
    <w:multiLevelType w:val="hybridMultilevel"/>
    <w:lvl w:ilvl="0">
      <w:lvlJc w:val="left"/>
      <w:lvlText w:val="%1"/>
      <w:numFmt w:val="decimal"/>
      <w:start w:val="1"/>
    </w:lvl>
    <w:lvl w:ilvl="1">
      <w:lvlJc w:val="left"/>
      <w:lvlText w:val="%2"/>
      <w:numFmt w:val="decimal"/>
      <w:start w:val="10"/>
    </w:lvl>
  </w:abstractNum>
  <w:abstractNum w:abstractNumId="7">
    <w:nsid w:val="1BA026FA"/>
    <w:multiLevelType w:val="hybridMultilevel"/>
    <w:lvl w:ilvl="0">
      <w:lvlJc w:val="left"/>
      <w:lvlText w:val="(%1)"/>
      <w:numFmt w:val="decimal"/>
      <w:start w:val="1"/>
    </w:lvl>
    <w:lvl w:ilvl="1">
      <w:lvlJc w:val="left"/>
      <w:lvlText w:val="%2"/>
      <w:numFmt w:val="decimal"/>
      <w:start w:val="1"/>
    </w:lvl>
  </w:abstractNum>
  <w:abstractNum w:abstractNumId="8">
    <w:nsid w:val="79A1DEAA"/>
    <w:multiLevelType w:val="hybridMultilevel"/>
    <w:lvl w:ilvl="0">
      <w:lvlJc w:val="left"/>
      <w:lvlText w:val="1"/>
      <w:numFmt w:val="bullet"/>
      <w:start w:val="1"/>
    </w:lvl>
  </w:abstractNum>
  <w:abstractNum w:abstractNumId="9">
    <w:nsid w:val="75C6C33A"/>
    <w:multiLevelType w:val="hybridMultilevel"/>
    <w:lvl w:ilvl="0">
      <w:lvlJc w:val="left"/>
      <w:lvlText w:val="2"/>
      <w:numFmt w:val="bullet"/>
      <w:start w:val="1"/>
    </w:lvl>
    <w:lvl w:ilvl="1">
      <w:lvlJc w:val="left"/>
      <w:lvlText w:val="(%2)"/>
      <w:numFmt w:val="lowerLetter"/>
      <w:start w:val="1"/>
    </w:lvl>
  </w:abstractNum>
  <w:abstractNum w:abstractNumId="10">
    <w:nsid w:val="12E685FB"/>
    <w:multiLevelType w:val="hybridMultilevel"/>
    <w:lvl w:ilvl="0">
      <w:lvlJc w:val="left"/>
      <w:lvlText w:val="3"/>
      <w:numFmt w:val="bullet"/>
      <w:start w:val="1"/>
    </w:lvl>
  </w:abstractNum>
  <w:abstractNum w:abstractNumId="11">
    <w:nsid w:val="70C6A529"/>
    <w:multiLevelType w:val="hybridMultilevel"/>
    <w:lvl w:ilvl="0">
      <w:lvlJc w:val="left"/>
      <w:lvlText w:val="4"/>
      <w:numFmt w:val="bullet"/>
      <w:start w:val="1"/>
    </w:lvl>
  </w:abstractNum>
  <w:abstractNum w:abstractNumId="12">
    <w:nsid w:val="520EEDD1"/>
    <w:multiLevelType w:val="hybridMultilevel"/>
    <w:lvl w:ilvl="0">
      <w:lvlJc w:val="left"/>
      <w:lvlText w:val="9"/>
      <w:numFmt w:val="bullet"/>
      <w:start w:val="1"/>
    </w:lvl>
  </w:abstractNum>
  <w:abstractNum w:abstractNumId="13">
    <w:nsid w:val="374A3FE6"/>
    <w:multiLevelType w:val="hybridMultilevel"/>
    <w:lvl w:ilvl="0">
      <w:lvlJc w:val="left"/>
      <w:lvlText w:val="%1"/>
      <w:numFmt w:val="decimal"/>
      <w:start w:val="10"/>
    </w:lvl>
  </w:abstractNum>
  <w:abstractNum w:abstractNumId="14">
    <w:nsid w:val="4F4EF005"/>
    <w:multiLevelType w:val="hybridMultilevel"/>
    <w:lvl w:ilvl="0">
      <w:lvlJc w:val="left"/>
      <w:lvlText w:val="(%1)"/>
      <w:numFmt w:val="decimal"/>
      <w:start w:val="1"/>
    </w:lvl>
  </w:abstractNum>
  <w:abstractNum w:abstractNumId="15">
    <w:nsid w:val="23F9C13C"/>
    <w:multiLevelType w:val="hybridMultilevel"/>
    <w:lvl w:ilvl="0">
      <w:lvlJc w:val="left"/>
      <w:lvlText w:val="1"/>
      <w:numFmt w:val="bullet"/>
      <w:start w:val="1"/>
    </w:lvl>
  </w:abstractNum>
  <w:abstractNum w:abstractNumId="16">
    <w:nsid w:val="649BB77C"/>
    <w:multiLevelType w:val="hybridMultilevel"/>
    <w:lvl w:ilvl="0">
      <w:lvlJc w:val="left"/>
      <w:lvlText w:val="2"/>
      <w:numFmt w:val="bullet"/>
      <w:start w:val="1"/>
    </w:lvl>
    <w:lvl w:ilvl="1">
      <w:lvlJc w:val="left"/>
      <w:lvlText w:val="(%2)"/>
      <w:numFmt w:val="lowerLetter"/>
      <w:start w:val="1"/>
    </w:lvl>
  </w:abstractNum>
  <w:abstractNum w:abstractNumId="17">
    <w:nsid w:val="275AC794"/>
    <w:multiLevelType w:val="hybridMultilevel"/>
    <w:lvl w:ilvl="0">
      <w:lvlJc w:val="left"/>
      <w:lvlText w:val="3"/>
      <w:numFmt w:val="bullet"/>
      <w:start w:val="1"/>
    </w:lvl>
  </w:abstractNum>
  <w:abstractNum w:abstractNumId="18">
    <w:nsid w:val="39386575"/>
    <w:multiLevelType w:val="hybridMultilevel"/>
    <w:lvl w:ilvl="0">
      <w:lvlJc w:val="left"/>
      <w:lvlText w:val="4"/>
      <w:numFmt w:val="bullet"/>
      <w:start w:val="1"/>
    </w:lvl>
  </w:abstractNum>
  <w:abstractNum w:abstractNumId="19">
    <w:nsid w:val="1CF10FD8"/>
    <w:multiLevelType w:val="hybridMultilevel"/>
    <w:lvl w:ilvl="0">
      <w:lvlJc w:val="left"/>
      <w:lvlText w:val="9"/>
      <w:numFmt w:val="bullet"/>
      <w:start w:val="1"/>
    </w:lvl>
  </w:abstractNum>
  <w:abstractNum w:abstractNumId="20">
    <w:nsid w:val="180115BE"/>
    <w:multiLevelType w:val="hybridMultilevel"/>
    <w:lvl w:ilvl="0">
      <w:lvlJc w:val="left"/>
      <w:lvlText w:val="%1"/>
      <w:numFmt w:val="decimal"/>
      <w:start w:val="1"/>
    </w:lvl>
    <w:lvl w:ilvl="1">
      <w:lvlJc w:val="left"/>
      <w:lvlText w:val="%2"/>
      <w:numFmt w:val="decimal"/>
      <w:start w:val="10"/>
    </w:lvl>
  </w:abstractNum>
  <w:abstractNum w:abstractNumId="21">
    <w:nsid w:val="235BA861"/>
    <w:multiLevelType w:val="hybridMultilevel"/>
    <w:lvl w:ilvl="0">
      <w:lvlJc w:val="left"/>
      <w:lvlText w:val="(%1)"/>
      <w:numFmt w:val="decimal"/>
      <w:start w:val="1"/>
    </w:lvl>
    <w:lvl w:ilvl="1">
      <w:lvlJc w:val="left"/>
      <w:lvlText w:val="%2"/>
      <w:numFmt w:val="decimal"/>
      <w:start w:val="1"/>
    </w:lvl>
  </w:abstractNum>
  <w:abstractNum w:abstractNumId="22">
    <w:nsid w:val="47398C89"/>
    <w:multiLevelType w:val="hybridMultilevel"/>
    <w:lvl w:ilvl="0">
      <w:lvlJc w:val="left"/>
      <w:lvlText w:val="1"/>
      <w:numFmt w:val="bullet"/>
      <w:start w:val="1"/>
    </w:lvl>
  </w:abstractNum>
  <w:abstractNum w:abstractNumId="23">
    <w:nsid w:val="354FE9F9"/>
    <w:multiLevelType w:val="hybridMultilevel"/>
    <w:lvl w:ilvl="0">
      <w:lvlJc w:val="left"/>
      <w:lvlText w:val="2"/>
      <w:numFmt w:val="bullet"/>
      <w:start w:val="1"/>
    </w:lvl>
    <w:lvl w:ilvl="1">
      <w:lvlJc w:val="left"/>
      <w:lvlText w:val="(%2)"/>
      <w:numFmt w:val="lowerLetter"/>
      <w:start w:val="1"/>
    </w:lvl>
  </w:abstractNum>
  <w:abstractNum w:abstractNumId="24">
    <w:nsid w:val="15B5AF5C"/>
    <w:multiLevelType w:val="hybridMultilevel"/>
    <w:lvl w:ilvl="0">
      <w:lvlJc w:val="left"/>
      <w:lvlText w:val="3"/>
      <w:numFmt w:val="bullet"/>
      <w:start w:val="1"/>
    </w:lvl>
  </w:abstractNum>
  <w:abstractNum w:abstractNumId="25">
    <w:nsid w:val="741226BB"/>
    <w:multiLevelType w:val="hybridMultilevel"/>
    <w:lvl w:ilvl="0">
      <w:lvlJc w:val="left"/>
      <w:lvlText w:val="4"/>
      <w:numFmt w:val="bullet"/>
      <w:start w:val="1"/>
    </w:lvl>
  </w:abstractNum>
  <w:abstractNum w:abstractNumId="26">
    <w:nsid w:val="D34B6A8"/>
    <w:multiLevelType w:val="hybridMultilevel"/>
    <w:lvl w:ilvl="0">
      <w:lvlJc w:val="left"/>
      <w:lvlText w:val="9"/>
      <w:numFmt w:val="bullet"/>
      <w:start w:val="1"/>
    </w:lvl>
  </w:abstractNum>
  <w:abstractNum w:abstractNumId="27">
    <w:nsid w:val="10233C99"/>
    <w:multiLevelType w:val="hybridMultilevel"/>
    <w:lvl w:ilvl="0">
      <w:lvlJc w:val="left"/>
      <w:lvlText w:val="%1"/>
      <w:numFmt w:val="decimal"/>
      <w:start w:val="1"/>
    </w:lvl>
    <w:lvl w:ilvl="1">
      <w:lvlJc w:val="left"/>
      <w:lvlText w:val="%2"/>
      <w:numFmt w:val="decimal"/>
      <w:start w:val="10"/>
    </w:lvl>
  </w:abstractNum>
  <w:abstractNum w:abstractNumId="28">
    <w:nsid w:val="3F6AB60F"/>
    <w:multiLevelType w:val="hybridMultilevel"/>
    <w:lvl w:ilvl="0">
      <w:lvlJc w:val="left"/>
      <w:lvlText w:val="(%1)"/>
      <w:numFmt w:val="decimal"/>
      <w:start w:val="1"/>
    </w:lvl>
    <w:lvl w:ilvl="1">
      <w:lvlJc w:val="left"/>
      <w:lvlText w:val="%2"/>
      <w:numFmt w:val="decimal"/>
      <w:start w:val="1"/>
    </w:lvl>
  </w:abstractNum>
  <w:abstractNum w:abstractNumId="29">
    <w:nsid w:val="61574095"/>
    <w:multiLevelType w:val="hybridMultilevel"/>
    <w:lvl w:ilvl="0">
      <w:lvlJc w:val="left"/>
      <w:lvlText w:val="1"/>
      <w:numFmt w:val="bullet"/>
      <w:start w:val="1"/>
    </w:lvl>
  </w:abstractNum>
  <w:abstractNum w:abstractNumId="30">
    <w:nsid w:val="7E0C57B1"/>
    <w:multiLevelType w:val="hybridMultilevel"/>
    <w:lvl w:ilvl="0">
      <w:lvlJc w:val="left"/>
      <w:lvlText w:val="2"/>
      <w:numFmt w:val="bullet"/>
      <w:start w:val="1"/>
    </w:lvl>
    <w:lvl w:ilvl="1">
      <w:lvlJc w:val="left"/>
      <w:lvlText w:val="(%2)"/>
      <w:numFmt w:val="lowerLetter"/>
      <w:start w:val="1"/>
    </w:lvl>
  </w:abstractNum>
  <w:abstractNum w:abstractNumId="31">
    <w:nsid w:val="77AE35EB"/>
    <w:multiLevelType w:val="hybridMultilevel"/>
    <w:lvl w:ilvl="0">
      <w:lvlJc w:val="left"/>
      <w:lvlText w:val="3"/>
      <w:numFmt w:val="bullet"/>
      <w:start w:val="1"/>
    </w:lvl>
  </w:abstractNum>
  <w:abstractNum w:abstractNumId="32">
    <w:nsid w:val="579BE4F1"/>
    <w:multiLevelType w:val="hybridMultilevel"/>
    <w:lvl w:ilvl="0">
      <w:lvlJc w:val="left"/>
      <w:lvlText w:val="4"/>
      <w:numFmt w:val="bullet"/>
      <w:start w:val="1"/>
    </w:lvl>
  </w:abstractNum>
  <w:abstractNum w:abstractNumId="33">
    <w:nsid w:val="310C50B3"/>
    <w:multiLevelType w:val="hybridMultilevel"/>
    <w:lvl w:ilvl="0">
      <w:lvlJc w:val="left"/>
      <w:lvlText w:val="9"/>
      <w:numFmt w:val="bullet"/>
      <w:start w:val="1"/>
    </w:lvl>
  </w:abstractNum>
  <w:abstractNum w:abstractNumId="34">
    <w:nsid w:val="5FF87E05"/>
    <w:multiLevelType w:val="hybridMultilevel"/>
    <w:lvl w:ilvl="0">
      <w:lvlJc w:val="left"/>
      <w:lvlText w:val="%1"/>
      <w:numFmt w:val="decimal"/>
      <w:start w:val="1"/>
    </w:lvl>
    <w:lvl w:ilvl="1">
      <w:lvlJc w:val="left"/>
      <w:lvlText w:val="%2"/>
      <w:numFmt w:val="decimal"/>
      <w:start w:val="10"/>
    </w:lvl>
  </w:abstractNum>
  <w:abstractNum w:abstractNumId="35">
    <w:nsid w:val="2F305DEF"/>
    <w:multiLevelType w:val="hybridMultilevel"/>
    <w:lvl w:ilvl="0">
      <w:lvlJc w:val="left"/>
      <w:lvlText w:val="(%1)"/>
      <w:numFmt w:val="decimal"/>
      <w:start w:val="1"/>
    </w:lvl>
    <w:lvl w:ilvl="1">
      <w:lvlJc w:val="left"/>
      <w:lvlText w:val="%2"/>
      <w:numFmt w:val="decimal"/>
      <w:start w:val="1"/>
    </w:lvl>
  </w:abstractNum>
  <w:abstractNum w:abstractNumId="36">
    <w:nsid w:val="25A70BF7"/>
    <w:multiLevelType w:val="hybridMultilevel"/>
    <w:lvl w:ilvl="0">
      <w:lvlJc w:val="left"/>
      <w:lvlText w:val="1"/>
      <w:numFmt w:val="bullet"/>
      <w:start w:val="1"/>
    </w:lvl>
  </w:abstractNum>
  <w:abstractNum w:abstractNumId="37">
    <w:nsid w:val="1DBABF00"/>
    <w:multiLevelType w:val="hybridMultilevel"/>
    <w:lvl w:ilvl="0">
      <w:lvlJc w:val="left"/>
      <w:lvlText w:val="2"/>
      <w:numFmt w:val="bullet"/>
      <w:start w:val="1"/>
    </w:lvl>
    <w:lvl w:ilvl="1">
      <w:lvlJc w:val="left"/>
      <w:lvlText w:val="(%2)"/>
      <w:numFmt w:val="lowerLetter"/>
      <w:start w:val="1"/>
    </w:lvl>
  </w:abstractNum>
  <w:abstractNum w:abstractNumId="38">
    <w:nsid w:val="4AD084E9"/>
    <w:multiLevelType w:val="hybridMultilevel"/>
    <w:lvl w:ilvl="0">
      <w:lvlJc w:val="left"/>
      <w:lvlText w:val="3"/>
      <w:numFmt w:val="bullet"/>
      <w:start w:val="1"/>
    </w:lvl>
  </w:abstractNum>
  <w:abstractNum w:abstractNumId="39">
    <w:nsid w:val="1F48EAA1"/>
    <w:multiLevelType w:val="hybridMultilevel"/>
    <w:lvl w:ilvl="0">
      <w:lvlJc w:val="left"/>
      <w:lvlText w:val="4"/>
      <w:numFmt w:val="bullet"/>
      <w:start w:val="1"/>
    </w:lvl>
  </w:abstractNum>
  <w:abstractNum w:abstractNumId="40">
    <w:nsid w:val="1381823A"/>
    <w:multiLevelType w:val="hybridMultilevel"/>
    <w:lvl w:ilvl="0">
      <w:lvlJc w:val="left"/>
      <w:lvlText w:val="9"/>
      <w:numFmt w:val="bullet"/>
      <w:start w:val="1"/>
    </w:lvl>
  </w:abstractNum>
  <w:abstractNum w:abstractNumId="41">
    <w:nsid w:val="5DB70AE5"/>
    <w:multiLevelType w:val="hybridMultilevel"/>
    <w:lvl w:ilvl="0">
      <w:lvlJc w:val="left"/>
      <w:lvlText w:val="%1"/>
      <w:numFmt w:val="decimal"/>
      <w:start w:val="1"/>
    </w:lvl>
    <w:lvl w:ilvl="1">
      <w:lvlJc w:val="left"/>
      <w:lvlText w:val="%2"/>
      <w:numFmt w:val="upperLetter"/>
      <w:start w:val="1"/>
    </w:lvl>
    <w:lvl w:ilvl="2">
      <w:lvlJc w:val="left"/>
      <w:lvlText w:val="%3"/>
      <w:numFmt w:val="decimal"/>
      <w:start w:val="10"/>
    </w:lvl>
  </w:abstractNum>
  <w:abstractNum w:abstractNumId="42">
    <w:nsid w:val="100F8FCA"/>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43">
    <w:nsid w:val="6590700B"/>
    <w:multiLevelType w:val="hybridMultilevel"/>
    <w:lvl w:ilvl="0">
      <w:lvlJc w:val="left"/>
      <w:lvlText w:val="1"/>
      <w:numFmt w:val="bullet"/>
      <w:start w:val="1"/>
    </w:lvl>
  </w:abstractNum>
  <w:abstractNum w:abstractNumId="44">
    <w:nsid w:val="15014ACB"/>
    <w:multiLevelType w:val="hybridMultilevel"/>
    <w:lvl w:ilvl="0">
      <w:lvlJc w:val="left"/>
      <w:lvlText w:val="2"/>
      <w:numFmt w:val="bullet"/>
      <w:start w:val="1"/>
    </w:lvl>
    <w:lvl w:ilvl="1">
      <w:lvlJc w:val="left"/>
      <w:lvlText w:val="(%2)"/>
      <w:numFmt w:val="lowerLetter"/>
      <w:start w:val="1"/>
    </w:lvl>
  </w:abstractNum>
  <w:abstractNum w:abstractNumId="45">
    <w:nsid w:val="5F5E7FD0"/>
    <w:multiLevelType w:val="hybridMultilevel"/>
    <w:lvl w:ilvl="0">
      <w:lvlJc w:val="left"/>
      <w:lvlText w:val="3"/>
      <w:numFmt w:val="bullet"/>
      <w:start w:val="1"/>
    </w:lvl>
  </w:abstractNum>
  <w:abstractNum w:abstractNumId="46">
    <w:nsid w:val="98A3148"/>
    <w:multiLevelType w:val="hybridMultilevel"/>
    <w:lvl w:ilvl="0">
      <w:lvlJc w:val="left"/>
      <w:lvlText w:val="4"/>
      <w:numFmt w:val="bullet"/>
      <w:start w:val="1"/>
    </w:lvl>
  </w:abstractNum>
  <w:abstractNum w:abstractNumId="47">
    <w:nsid w:val="799D0247"/>
    <w:multiLevelType w:val="hybridMultilevel"/>
    <w:lvl w:ilvl="0">
      <w:lvlJc w:val="left"/>
      <w:lvlText w:val="8"/>
      <w:numFmt w:val="bullet"/>
      <w:start w:val="1"/>
    </w:lvl>
  </w:abstractNum>
  <w:abstractNum w:abstractNumId="48">
    <w:nsid w:val="6B94764"/>
    <w:multiLevelType w:val="hybridMultilevel"/>
    <w:lvl w:ilvl="0">
      <w:lvlJc w:val="left"/>
      <w:lvlText w:val="9"/>
      <w:numFmt w:val="bullet"/>
      <w:start w:val="1"/>
    </w:lvl>
  </w:abstractNum>
  <w:abstractNum w:abstractNumId="49">
    <w:nsid w:val="42C296BD"/>
    <w:multiLevelType w:val="hybridMultilevel"/>
    <w:lvl w:ilvl="0">
      <w:lvlJc w:val="left"/>
      <w:lvlText w:val="%1"/>
      <w:numFmt w:val="decimal"/>
      <w:start w:val="1"/>
    </w:lvl>
    <w:lvl w:ilvl="1">
      <w:lvlJc w:val="left"/>
      <w:lvlText w:val="%2"/>
      <w:numFmt w:val="decimal"/>
      <w:start w:val="10"/>
    </w:lvl>
  </w:abstractNum>
  <w:abstractNum w:abstractNumId="50">
    <w:nsid w:val="168E121F"/>
    <w:multiLevelType w:val="hybridMultilevel"/>
    <w:lvl w:ilvl="0">
      <w:lvlJc w:val="left"/>
      <w:lvlText w:val="(%1)"/>
      <w:numFmt w:val="decimal"/>
      <w:start w:val="1"/>
    </w:lvl>
    <w:lvl w:ilvl="1">
      <w:lvlJc w:val="left"/>
      <w:lvlText w:val="%2"/>
      <w:numFmt w:val="decimal"/>
      <w:start w:val="1"/>
    </w:lvl>
  </w:abstractNum>
  <w:abstractNum w:abstractNumId="51">
    <w:nsid w:val="1EBA5D23"/>
    <w:multiLevelType w:val="hybridMultilevel"/>
    <w:lvl w:ilvl="0">
      <w:lvlJc w:val="left"/>
      <w:lvlText w:val="1"/>
      <w:numFmt w:val="bullet"/>
      <w:start w:val="1"/>
    </w:lvl>
  </w:abstractNum>
  <w:abstractNum w:abstractNumId="52">
    <w:nsid w:val="661E3F1E"/>
    <w:multiLevelType w:val="hybridMultilevel"/>
    <w:lvl w:ilvl="0">
      <w:lvlJc w:val="left"/>
      <w:lvlText w:val="2"/>
      <w:numFmt w:val="bullet"/>
      <w:start w:val="1"/>
    </w:lvl>
    <w:lvl w:ilvl="1">
      <w:lvlJc w:val="left"/>
      <w:lvlText w:val="(%2)"/>
      <w:numFmt w:val="lowerLetter"/>
      <w:start w:val="1"/>
    </w:lvl>
  </w:abstractNum>
  <w:abstractNum w:abstractNumId="53">
    <w:nsid w:val="5DC79EA8"/>
    <w:multiLevelType w:val="hybridMultilevel"/>
    <w:lvl w:ilvl="0">
      <w:lvlJc w:val="left"/>
      <w:lvlText w:val="3"/>
      <w:numFmt w:val="bullet"/>
      <w:start w:val="1"/>
    </w:lvl>
  </w:abstractNum>
  <w:abstractNum w:abstractNumId="54">
    <w:nsid w:val="540A471C"/>
    <w:multiLevelType w:val="hybridMultilevel"/>
    <w:lvl w:ilvl="0">
      <w:lvlJc w:val="left"/>
      <w:lvlText w:val="4"/>
      <w:numFmt w:val="bullet"/>
      <w:start w:val="1"/>
    </w:lvl>
  </w:abstractNum>
  <w:abstractNum w:abstractNumId="55">
    <w:nsid w:val="7BD3EE7B"/>
    <w:multiLevelType w:val="hybridMultilevel"/>
    <w:lvl w:ilvl="0">
      <w:lvlJc w:val="left"/>
      <w:lvlText w:val="9"/>
      <w:numFmt w:val="bullet"/>
      <w:start w:val="1"/>
    </w:lvl>
  </w:abstractNum>
  <w:abstractNum w:abstractNumId="56">
    <w:nsid w:val="51D9C564"/>
    <w:multiLevelType w:val="hybridMultilevel"/>
    <w:lvl w:ilvl="0">
      <w:lvlJc w:val="left"/>
      <w:lvlText w:val="%1"/>
      <w:numFmt w:val="decimal"/>
      <w:start w:val="1"/>
    </w:lvl>
    <w:lvl w:ilvl="1">
      <w:lvlJc w:val="left"/>
      <w:lvlText w:val="%2"/>
      <w:numFmt w:val="decimal"/>
      <w:start w:val="11"/>
    </w:lvl>
  </w:abstractNum>
  <w:abstractNum w:abstractNumId="57">
    <w:nsid w:val="613EFDC5"/>
    <w:multiLevelType w:val="hybridMultilevel"/>
    <w:lvl w:ilvl="0">
      <w:lvlJc w:val="left"/>
      <w:lvlText w:val="(%1)"/>
      <w:numFmt w:val="decimal"/>
      <w:start w:val="1"/>
    </w:lvl>
    <w:lvl w:ilvl="1">
      <w:lvlJc w:val="left"/>
      <w:lvlText w:val="%2"/>
      <w:numFmt w:val="decimal"/>
      <w:start w:val="1"/>
    </w:lvl>
  </w:abstractNum>
  <w:abstractNum w:abstractNumId="58">
    <w:nsid w:val="BF72B14"/>
    <w:multiLevelType w:val="hybridMultilevel"/>
    <w:lvl w:ilvl="0">
      <w:lvlJc w:val="left"/>
      <w:lvlText w:val="1"/>
      <w:numFmt w:val="bullet"/>
      <w:start w:val="1"/>
    </w:lvl>
  </w:abstractNum>
  <w:abstractNum w:abstractNumId="59">
    <w:nsid w:val="11447B73"/>
    <w:multiLevelType w:val="hybridMultilevel"/>
    <w:lvl w:ilvl="0">
      <w:lvlJc w:val="left"/>
      <w:lvlText w:val="2"/>
      <w:numFmt w:val="bullet"/>
      <w:start w:val="1"/>
    </w:lvl>
    <w:lvl w:ilvl="1">
      <w:lvlJc w:val="left"/>
      <w:lvlText w:val="(%2)"/>
      <w:numFmt w:val="lowerLetter"/>
      <w:start w:val="1"/>
    </w:lvl>
  </w:abstractNum>
  <w:abstractNum w:abstractNumId="60">
    <w:nsid w:val="42963E5A"/>
    <w:multiLevelType w:val="hybridMultilevel"/>
    <w:lvl w:ilvl="0">
      <w:lvlJc w:val="left"/>
      <w:lvlText w:val="3"/>
      <w:numFmt w:val="bullet"/>
      <w:start w:val="1"/>
    </w:lvl>
  </w:abstractNum>
  <w:abstractNum w:abstractNumId="61">
    <w:nsid w:val="A0382C5"/>
    <w:multiLevelType w:val="hybridMultilevel"/>
    <w:lvl w:ilvl="0">
      <w:lvlJc w:val="left"/>
      <w:lvlText w:val="4"/>
      <w:numFmt w:val="bullet"/>
      <w:start w:val="1"/>
    </w:lvl>
  </w:abstractNum>
  <w:abstractNum w:abstractNumId="62">
    <w:nsid w:val="8F2B15E"/>
    <w:multiLevelType w:val="hybridMultilevel"/>
    <w:lvl w:ilvl="0">
      <w:lvlJc w:val="left"/>
      <w:lvlText w:val="9"/>
      <w:numFmt w:val="bullet"/>
      <w:start w:val="1"/>
    </w:lvl>
  </w:abstractNum>
  <w:abstractNum w:abstractNumId="63">
    <w:nsid w:val="1A32234B"/>
    <w:multiLevelType w:val="hybridMultilevel"/>
    <w:lvl w:ilvl="0">
      <w:lvlJc w:val="left"/>
      <w:lvlText w:val="%1"/>
      <w:numFmt w:val="decimal"/>
      <w:start w:val="10"/>
    </w:lvl>
  </w:abstractNum>
  <w:abstractNum w:abstractNumId="64">
    <w:nsid w:val="3B0FD379"/>
    <w:multiLevelType w:val="hybridMultilevel"/>
    <w:lvl w:ilvl="0">
      <w:lvlJc w:val="left"/>
      <w:lvlText w:val="(%1)"/>
      <w:numFmt w:val="decimal"/>
      <w:start w:val="1"/>
    </w:lvl>
  </w:abstractNum>
  <w:abstractNum w:abstractNumId="65">
    <w:nsid w:val="68EB2F63"/>
    <w:multiLevelType w:val="hybridMultilevel"/>
    <w:lvl w:ilvl="0">
      <w:lvlJc w:val="left"/>
      <w:lvlText w:val="1"/>
      <w:numFmt w:val="bullet"/>
      <w:start w:val="1"/>
    </w:lvl>
  </w:abstractNum>
  <w:abstractNum w:abstractNumId="66">
    <w:nsid w:val="4962813B"/>
    <w:multiLevelType w:val="hybridMultilevel"/>
    <w:lvl w:ilvl="0">
      <w:lvlJc w:val="left"/>
      <w:lvlText w:val="2"/>
      <w:numFmt w:val="bullet"/>
      <w:start w:val="1"/>
    </w:lvl>
    <w:lvl w:ilvl="1">
      <w:lvlJc w:val="left"/>
      <w:lvlText w:val="(%2)"/>
      <w:numFmt w:val="lowerLetter"/>
      <w:start w:val="1"/>
    </w:lvl>
  </w:abstractNum>
  <w:abstractNum w:abstractNumId="67">
    <w:nsid w:val="60B6DF70"/>
    <w:multiLevelType w:val="hybridMultilevel"/>
    <w:lvl w:ilvl="0">
      <w:lvlJc w:val="left"/>
      <w:lvlText w:val="3"/>
      <w:numFmt w:val="bullet"/>
      <w:start w:val="1"/>
    </w:lvl>
  </w:abstractNum>
  <w:abstractNum w:abstractNumId="68">
    <w:nsid w:val="6A5EE64"/>
    <w:multiLevelType w:val="hybridMultilevel"/>
    <w:lvl w:ilvl="0">
      <w:lvlJc w:val="left"/>
      <w:lvlText w:val="4"/>
      <w:numFmt w:val="bullet"/>
      <w:start w:val="1"/>
    </w:lvl>
  </w:abstractNum>
  <w:abstractNum w:abstractNumId="69">
    <w:nsid w:val="14330624"/>
    <w:multiLevelType w:val="hybridMultilevel"/>
    <w:lvl w:ilvl="0">
      <w:lvlJc w:val="left"/>
      <w:lvlText w:val="9"/>
      <w:numFmt w:val="bullet"/>
      <w:start w:val="1"/>
    </w:lvl>
  </w:abstractNum>
  <w:abstractNum w:abstractNumId="70">
    <w:nsid w:val="7FFFCA11"/>
    <w:multiLevelType w:val="hybridMultilevel"/>
    <w:lvl w:ilvl="0">
      <w:lvlJc w:val="left"/>
      <w:lvlText w:val="%1"/>
      <w:numFmt w:val="decimal"/>
      <w:start w:val="1"/>
    </w:lvl>
    <w:lvl w:ilvl="1">
      <w:lvlJc w:val="left"/>
      <w:lvlText w:val="%2"/>
      <w:numFmt w:val="decimal"/>
      <w:start w:val="10"/>
    </w:lvl>
  </w:abstractNum>
  <w:abstractNum w:abstractNumId="71">
    <w:nsid w:val="1A27709E"/>
    <w:multiLevelType w:val="hybridMultilevel"/>
    <w:lvl w:ilvl="0">
      <w:lvlJc w:val="left"/>
      <w:lvlText w:val="(%1)"/>
      <w:numFmt w:val="decimal"/>
      <w:start w:val="1"/>
    </w:lvl>
    <w:lvl w:ilvl="1">
      <w:lvlJc w:val="left"/>
      <w:lvlText w:val="%2"/>
      <w:numFmt w:val="decimal"/>
      <w:start w:val="1"/>
    </w:lvl>
  </w:abstractNum>
  <w:abstractNum w:abstractNumId="72">
    <w:nsid w:val="71EA1109"/>
    <w:multiLevelType w:val="hybridMultilevel"/>
    <w:lvl w:ilvl="0">
      <w:lvlJc w:val="left"/>
      <w:lvlText w:val="1"/>
      <w:numFmt w:val="bullet"/>
      <w:start w:val="1"/>
    </w:lvl>
  </w:abstractNum>
  <w:abstractNum w:abstractNumId="73">
    <w:nsid w:val="100F59DC"/>
    <w:multiLevelType w:val="hybridMultilevel"/>
    <w:lvl w:ilvl="0">
      <w:lvlJc w:val="left"/>
      <w:lvlText w:val="2"/>
      <w:numFmt w:val="bullet"/>
      <w:start w:val="1"/>
    </w:lvl>
    <w:lvl w:ilvl="1">
      <w:lvlJc w:val="left"/>
      <w:lvlText w:val="(%2)"/>
      <w:numFmt w:val="lowerLetter"/>
      <w:start w:val="1"/>
    </w:lvl>
  </w:abstractNum>
  <w:abstractNum w:abstractNumId="74">
    <w:nsid w:val="7FB7E0AA"/>
    <w:multiLevelType w:val="hybridMultilevel"/>
    <w:lvl w:ilvl="0">
      <w:lvlJc w:val="left"/>
      <w:lvlText w:val="3"/>
      <w:numFmt w:val="bullet"/>
      <w:start w:val="1"/>
    </w:lvl>
  </w:abstractNum>
  <w:abstractNum w:abstractNumId="75">
    <w:nsid w:val="6EB5BD4"/>
    <w:multiLevelType w:val="hybridMultilevel"/>
    <w:lvl w:ilvl="0">
      <w:lvlJc w:val="left"/>
      <w:lvlText w:val="4"/>
      <w:numFmt w:val="bullet"/>
      <w:start w:val="1"/>
    </w:lvl>
  </w:abstractNum>
  <w:abstractNum w:abstractNumId="76">
    <w:nsid w:val="6F6DD9AC"/>
    <w:multiLevelType w:val="hybridMultilevel"/>
    <w:lvl w:ilvl="0">
      <w:lvlJc w:val="left"/>
      <w:lvlText w:val="9"/>
      <w:numFmt w:val="bullet"/>
      <w:start w:val="1"/>
    </w:lvl>
  </w:abstractNum>
  <w:abstractNum w:abstractNumId="77">
    <w:nsid w:val="94211F2"/>
    <w:multiLevelType w:val="hybridMultilevel"/>
    <w:lvl w:ilvl="0">
      <w:lvlJc w:val="left"/>
      <w:lvlText w:val="%1"/>
      <w:numFmt w:val="decimal"/>
      <w:start w:val="1"/>
    </w:lvl>
    <w:lvl w:ilvl="1">
      <w:lvlJc w:val="left"/>
      <w:lvlText w:val="%2"/>
      <w:numFmt w:val="decimal"/>
      <w:start w:val="10"/>
    </w:lvl>
  </w:abstractNum>
  <w:abstractNum w:abstractNumId="78">
    <w:nsid w:val="885E1B"/>
    <w:multiLevelType w:val="hybridMultilevel"/>
    <w:lvl w:ilvl="0">
      <w:lvlJc w:val="left"/>
      <w:lvlText w:val="(%1)"/>
      <w:numFmt w:val="decimal"/>
      <w:start w:val="1"/>
    </w:lvl>
    <w:lvl w:ilvl="1">
      <w:lvlJc w:val="left"/>
      <w:lvlText w:val="%2"/>
      <w:numFmt w:val="decimal"/>
      <w:start w:val="1"/>
    </w:lvl>
  </w:abstractNum>
  <w:abstractNum w:abstractNumId="79">
    <w:nsid w:val="76272110"/>
    <w:multiLevelType w:val="hybridMultilevel"/>
    <w:lvl w:ilvl="0">
      <w:lvlJc w:val="left"/>
      <w:lvlText w:val="1"/>
      <w:numFmt w:val="bullet"/>
      <w:start w:val="1"/>
    </w:lvl>
  </w:abstractNum>
  <w:abstractNum w:abstractNumId="80">
    <w:nsid w:val="4C04A8AF"/>
    <w:multiLevelType w:val="hybridMultilevel"/>
    <w:lvl w:ilvl="0">
      <w:lvlJc w:val="left"/>
      <w:lvlText w:val="2"/>
      <w:numFmt w:val="bullet"/>
      <w:start w:val="1"/>
    </w:lvl>
    <w:lvl w:ilvl="1">
      <w:lvlJc w:val="left"/>
      <w:lvlText w:val="(%2)"/>
      <w:numFmt w:val="lowerLetter"/>
      <w:start w:val="1"/>
    </w:lvl>
  </w:abstractNum>
  <w:abstractNum w:abstractNumId="81">
    <w:nsid w:val="1716703B"/>
    <w:multiLevelType w:val="hybridMultilevel"/>
    <w:lvl w:ilvl="0">
      <w:lvlJc w:val="left"/>
      <w:lvlText w:val="3"/>
      <w:numFmt w:val="bullet"/>
      <w:start w:val="1"/>
    </w:lvl>
  </w:abstractNum>
  <w:abstractNum w:abstractNumId="82">
    <w:nsid w:val="14E17E33"/>
    <w:multiLevelType w:val="hybridMultilevel"/>
    <w:lvl w:ilvl="0">
      <w:lvlJc w:val="left"/>
      <w:lvlText w:val="4"/>
      <w:numFmt w:val="bullet"/>
      <w:start w:val="1"/>
    </w:lvl>
  </w:abstractNum>
  <w:abstractNum w:abstractNumId="83">
    <w:nsid w:val="3222E7CD"/>
    <w:multiLevelType w:val="hybridMultilevel"/>
    <w:lvl w:ilvl="0">
      <w:lvlJc w:val="left"/>
      <w:lvlText w:val="9"/>
      <w:numFmt w:val="bullet"/>
      <w:start w:val="1"/>
    </w:lvl>
  </w:abstractNum>
  <w:abstractNum w:abstractNumId="84">
    <w:nsid w:val="74DE0EE3"/>
    <w:multiLevelType w:val="hybridMultilevel"/>
    <w:lvl w:ilvl="0">
      <w:lvlJc w:val="left"/>
      <w:lvlText w:val="%1"/>
      <w:numFmt w:val="decimal"/>
      <w:start w:val="1"/>
    </w:lvl>
    <w:lvl w:ilvl="1">
      <w:lvlJc w:val="left"/>
      <w:lvlText w:val="%2"/>
      <w:numFmt w:val="decimal"/>
      <w:start w:val="10"/>
    </w:lvl>
  </w:abstractNum>
  <w:abstractNum w:abstractNumId="85">
    <w:nsid w:val="68EBC550"/>
    <w:multiLevelType w:val="hybridMultilevel"/>
    <w:lvl w:ilvl="0">
      <w:lvlJc w:val="left"/>
      <w:lvlText w:val="(%1)"/>
      <w:numFmt w:val="decimal"/>
      <w:start w:val="1"/>
    </w:lvl>
    <w:lvl w:ilvl="1">
      <w:lvlJc w:val="left"/>
      <w:lvlText w:val="%2"/>
      <w:numFmt w:val="decimal"/>
      <w:start w:val="1"/>
    </w:lvl>
  </w:abstractNum>
  <w:abstractNum w:abstractNumId="86">
    <w:nsid w:val="2DF6D648"/>
    <w:multiLevelType w:val="hybridMultilevel"/>
    <w:lvl w:ilvl="0">
      <w:lvlJc w:val="left"/>
      <w:lvlText w:val="(%1)"/>
      <w:numFmt w:val="lowerLetter"/>
      <w:start w:val="1"/>
    </w:lvl>
  </w:abstractNum>
  <w:abstractNum w:abstractNumId="87">
    <w:nsid w:val="46B7D447"/>
    <w:multiLevelType w:val="hybridMultilevel"/>
    <w:lvl w:ilvl="0">
      <w:lvlJc w:val="left"/>
      <w:lvlText w:val="(%1)"/>
      <w:numFmt w:val="lowerLetter"/>
      <w:start w:val="1"/>
    </w:lvl>
  </w:abstractNum>
  <w:abstractNum w:abstractNumId="88">
    <w:nsid w:val="4A2AC315"/>
    <w:multiLevelType w:val="hybridMultilevel"/>
    <w:lvl w:ilvl="0">
      <w:lvlJc w:val="left"/>
      <w:lvlText w:val="(%1)"/>
      <w:numFmt w:val="lowerLetter"/>
      <w:start w:val="1"/>
    </w:lvl>
  </w:abstractNum>
  <w:abstractNum w:abstractNumId="89">
    <w:nsid w:val="39EE015C"/>
    <w:multiLevelType w:val="hybridMultilevel"/>
    <w:lvl w:ilvl="0">
      <w:lvlJc w:val="left"/>
      <w:lvlText w:val="(%1)"/>
      <w:numFmt w:val="lowerLetter"/>
      <w:start w:val="9"/>
    </w:lvl>
  </w:abstractNum>
  <w:abstractNum w:abstractNumId="90">
    <w:nsid w:val="57FC4FBB"/>
    <w:multiLevelType w:val="hybridMultilevel"/>
    <w:lvl w:ilvl="0">
      <w:lvlJc w:val="left"/>
      <w:lvlText w:val="(%1)"/>
      <w:numFmt w:val="lowerLetter"/>
      <w:start w:val="1"/>
    </w:lvl>
  </w:abstractNum>
  <w:abstractNum w:abstractNumId="91">
    <w:nsid w:val="CC1016F"/>
    <w:multiLevelType w:val="hybridMultilevel"/>
    <w:lvl w:ilvl="0">
      <w:lvlJc w:val="left"/>
      <w:lvlText w:val="(%1)"/>
      <w:numFmt w:val="lowerRoman"/>
      <w:start w:val="1"/>
    </w:lvl>
  </w:abstractNum>
  <w:abstractNum w:abstractNumId="92">
    <w:nsid w:val="43F18422"/>
    <w:multiLevelType w:val="hybridMultilevel"/>
    <w:lvl w:ilvl="0">
      <w:lvlJc w:val="left"/>
      <w:lvlText w:val="(%1)"/>
      <w:numFmt w:val="lowerRoman"/>
      <w:start w:val="2"/>
    </w:lvl>
  </w:abstractNum>
  <w:abstractNum w:abstractNumId="93">
    <w:nsid w:val="60EF0119"/>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2019-12-08T15:16:43Z</dcterms:created>
  <dcterms:modified xsi:type="dcterms:W3CDTF">2019-12-08T15:16:43Z</dcterms:modified>
</cp:coreProperties>
</file>