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7, 2025</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w:t>
      </w:r>
    </w:p>
    <w:p>
      <w:pPr>
        <w:spacing w:after="0" w:line="5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6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459"/>
        <w:spacing w:after="0" w:line="227"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F-3</w:t>
      </w:r>
    </w:p>
    <w:p>
      <w:pPr>
        <w:spacing w:after="0" w:line="33"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6"/>
          <w:szCs w:val="16"/>
          <w:color w:val="auto"/>
        </w:rPr>
        <w:t>REGISTRATION STATEMENT UNDER THE SECURITIES ACT OF 1933</w:t>
      </w:r>
    </w:p>
    <w:p>
      <w:pPr>
        <w:jc w:val="center"/>
        <w:ind w:right="-399"/>
        <w:spacing w:after="0" w:line="219" w:lineRule="auto"/>
        <w:rPr>
          <w:sz w:val="20"/>
          <w:szCs w:val="20"/>
          <w:color w:val="auto"/>
        </w:rPr>
      </w:pPr>
      <w:r>
        <w:rPr>
          <w:rFonts w:ascii="Times New Roman" w:cs="Times New Roman" w:eastAsia="Times New Roman" w:hAnsi="Times New Roman"/>
          <w:sz w:val="29"/>
          <w:szCs w:val="29"/>
          <w:b w:val="1"/>
          <w:bCs w:val="1"/>
          <w:color w:val="auto"/>
        </w:rPr>
        <w:t>Amber International Holding Limited</w:t>
      </w:r>
    </w:p>
    <w:p>
      <w:pPr>
        <w:jc w:val="center"/>
        <w:ind w:right="-4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73" w:lineRule="exact"/>
        <w:rPr>
          <w:sz w:val="24"/>
          <w:szCs w:val="24"/>
          <w:color w:val="auto"/>
        </w:rPr>
      </w:pPr>
    </w:p>
    <w:tbl>
      <w:tblPr>
        <w:tblLayout w:type="fixed"/>
        <w:tblInd w:w="500" w:type="dxa"/>
        <w:tblCellMar>
          <w:top w:w="0" w:type="dxa"/>
          <w:left w:w="0" w:type="dxa"/>
          <w:bottom w:w="0" w:type="dxa"/>
          <w:right w:w="0" w:type="dxa"/>
        </w:tblCellMar>
      </w:tblP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15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 ​</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6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00" w:type="dxa"/>
            <w:vAlign w:val="bottom"/>
          </w:tcPr>
          <w:p>
            <w:pPr>
              <w:spacing w:after="0"/>
              <w:rPr>
                <w:sz w:val="14"/>
                <w:szCs w:val="14"/>
                <w:color w:val="auto"/>
              </w:rPr>
            </w:pPr>
          </w:p>
        </w:tc>
        <w:tc>
          <w:tcPr>
            <w:tcW w:w="34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150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680" w:type="dxa"/>
            <w:vAlign w:val="bottom"/>
          </w:tcPr>
          <w:p>
            <w:pPr>
              <w:spacing w:after="0"/>
              <w:rPr>
                <w:sz w:val="14"/>
                <w:szCs w:val="14"/>
                <w:color w:val="auto"/>
              </w:rPr>
            </w:pPr>
          </w:p>
        </w:tc>
      </w:tr>
      <w:tr>
        <w:trPr>
          <w:trHeight w:val="210"/>
        </w:trPr>
        <w:tc>
          <w:tcPr>
            <w:tcW w:w="700" w:type="dxa"/>
            <w:vAlign w:val="bottom"/>
          </w:tcPr>
          <w:p>
            <w:pPr>
              <w:spacing w:after="0"/>
              <w:rPr>
                <w:sz w:val="18"/>
                <w:szCs w:val="18"/>
                <w:color w:val="auto"/>
              </w:rPr>
            </w:pPr>
          </w:p>
        </w:tc>
        <w:tc>
          <w:tcPr>
            <w:tcW w:w="34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of incorporation or organization)</w:t>
            </w: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21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1 Wallich Street</w:t>
      </w:r>
    </w:p>
    <w:p>
      <w:pPr>
        <w:ind w:left="4660"/>
        <w:spacing w:after="0" w:line="223" w:lineRule="auto"/>
        <w:rPr>
          <w:sz w:val="20"/>
          <w:szCs w:val="20"/>
          <w:color w:val="auto"/>
        </w:rPr>
      </w:pPr>
      <w:r>
        <w:rPr>
          <w:rFonts w:ascii="Times New Roman" w:cs="Times New Roman" w:eastAsia="Times New Roman" w:hAnsi="Times New Roman"/>
          <w:sz w:val="16"/>
          <w:szCs w:val="16"/>
          <w:b w:val="1"/>
          <w:bCs w:val="1"/>
          <w:color w:val="auto"/>
        </w:rPr>
        <w:t>#30-02 Guoco Tower</w:t>
      </w:r>
    </w:p>
    <w:p>
      <w:pPr>
        <w:ind w:left="4760"/>
        <w:spacing w:after="0" w:line="229" w:lineRule="auto"/>
        <w:rPr>
          <w:sz w:val="20"/>
          <w:szCs w:val="20"/>
          <w:color w:val="auto"/>
        </w:rPr>
      </w:pPr>
      <w:r>
        <w:rPr>
          <w:rFonts w:ascii="Times New Roman" w:cs="Times New Roman" w:eastAsia="Times New Roman" w:hAnsi="Times New Roman"/>
          <w:sz w:val="16"/>
          <w:szCs w:val="16"/>
          <w:b w:val="1"/>
          <w:bCs w:val="1"/>
          <w:color w:val="auto"/>
        </w:rPr>
        <w:t>Singapore 078881</w:t>
      </w:r>
    </w:p>
    <w:p>
      <w:pPr>
        <w:ind w:left="4880"/>
        <w:spacing w:after="0" w:line="232" w:lineRule="auto"/>
        <w:rPr>
          <w:sz w:val="20"/>
          <w:szCs w:val="20"/>
          <w:color w:val="auto"/>
        </w:rPr>
      </w:pPr>
      <w:r>
        <w:rPr>
          <w:rFonts w:ascii="Times New Roman" w:cs="Times New Roman" w:eastAsia="Times New Roman" w:hAnsi="Times New Roman"/>
          <w:sz w:val="16"/>
          <w:szCs w:val="16"/>
          <w:b w:val="1"/>
          <w:bCs w:val="1"/>
          <w:color w:val="auto"/>
        </w:rPr>
        <w:t>(65) 6022 0228</w:t>
      </w:r>
    </w:p>
    <w:p>
      <w:pPr>
        <w:jc w:val="center"/>
        <w:ind w:right="-439"/>
        <w:spacing w:after="0"/>
        <w:rPr>
          <w:sz w:val="20"/>
          <w:szCs w:val="20"/>
          <w:color w:val="auto"/>
        </w:rPr>
      </w:pPr>
      <w:r>
        <w:rPr>
          <w:rFonts w:ascii="Times New Roman" w:cs="Times New Roman" w:eastAsia="Times New Roman" w:hAnsi="Times New Roman"/>
          <w:sz w:val="14"/>
          <w:szCs w:val="14"/>
          <w:color w:val="auto"/>
        </w:rPr>
        <w:t>(Address and telephone number of Registrant’s principal executive offices)</w:t>
      </w:r>
    </w:p>
    <w:p>
      <w:pPr>
        <w:spacing w:after="0" w:line="4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6"/>
          <w:szCs w:val="16"/>
          <w:b w:val="1"/>
          <w:bCs w:val="1"/>
          <w:color w:val="auto"/>
        </w:rPr>
        <w:t>Cogency Global Inc.</w:t>
      </w:r>
    </w:p>
    <w:p>
      <w:pPr>
        <w:ind w:left="4280"/>
        <w:spacing w:after="0" w:line="226" w:lineRule="auto"/>
        <w:rPr>
          <w:sz w:val="20"/>
          <w:szCs w:val="20"/>
          <w:color w:val="auto"/>
        </w:rPr>
      </w:pPr>
      <w:r>
        <w:rPr>
          <w:rFonts w:ascii="Times New Roman" w:cs="Times New Roman" w:eastAsia="Times New Roman" w:hAnsi="Times New Roman"/>
          <w:sz w:val="16"/>
          <w:szCs w:val="16"/>
          <w:b w:val="1"/>
          <w:bCs w:val="1"/>
          <w:color w:val="auto"/>
        </w:rPr>
        <w:t>122 East 42nd Street, 18th Floor</w:t>
      </w:r>
    </w:p>
    <w:p>
      <w:pPr>
        <w:ind w:left="4620"/>
        <w:spacing w:after="0" w:line="229" w:lineRule="auto"/>
        <w:rPr>
          <w:sz w:val="20"/>
          <w:szCs w:val="20"/>
          <w:color w:val="auto"/>
        </w:rPr>
      </w:pPr>
      <w:r>
        <w:rPr>
          <w:rFonts w:ascii="Times New Roman" w:cs="Times New Roman" w:eastAsia="Times New Roman" w:hAnsi="Times New Roman"/>
          <w:sz w:val="16"/>
          <w:szCs w:val="16"/>
          <w:b w:val="1"/>
          <w:bCs w:val="1"/>
          <w:color w:val="auto"/>
        </w:rPr>
        <w:t>New York, N.Y. 10168</w:t>
      </w:r>
    </w:p>
    <w:p>
      <w:pPr>
        <w:ind w:left="4780"/>
        <w:spacing w:after="0"/>
        <w:rPr>
          <w:sz w:val="20"/>
          <w:szCs w:val="20"/>
          <w:color w:val="auto"/>
        </w:rPr>
      </w:pPr>
      <w:r>
        <w:rPr>
          <w:rFonts w:ascii="Times New Roman" w:cs="Times New Roman" w:eastAsia="Times New Roman" w:hAnsi="Times New Roman"/>
          <w:sz w:val="16"/>
          <w:szCs w:val="16"/>
          <w:b w:val="1"/>
          <w:bCs w:val="1"/>
          <w:color w:val="auto"/>
        </w:rPr>
        <w:t>+1 (800) 221-0102</w:t>
      </w:r>
    </w:p>
    <w:p>
      <w:pPr>
        <w:spacing w:after="0" w:line="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(Name, address, and telephone number for agent for service)</w:t>
      </w:r>
    </w:p>
    <w:p>
      <w:pPr>
        <w:spacing w:after="0" w:line="8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0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Shuang Zhao, Esq.</w:t>
      </w:r>
    </w:p>
    <w:p>
      <w:pPr>
        <w:ind w:left="4040"/>
        <w:spacing w:after="0" w:line="226" w:lineRule="auto"/>
        <w:rPr>
          <w:sz w:val="20"/>
          <w:szCs w:val="20"/>
          <w:color w:val="auto"/>
        </w:rPr>
      </w:pPr>
      <w:r>
        <w:rPr>
          <w:rFonts w:ascii="Times New Roman" w:cs="Times New Roman" w:eastAsia="Times New Roman" w:hAnsi="Times New Roman"/>
          <w:sz w:val="16"/>
          <w:szCs w:val="16"/>
          <w:b w:val="1"/>
          <w:bCs w:val="1"/>
          <w:color w:val="auto"/>
        </w:rPr>
        <w:t>Cleary Gottlieb Steen &amp; Hamilton LLP</w:t>
      </w:r>
    </w:p>
    <w:p>
      <w:pPr>
        <w:ind w:left="4440"/>
        <w:spacing w:after="0" w:line="229" w:lineRule="auto"/>
        <w:rPr>
          <w:sz w:val="20"/>
          <w:szCs w:val="20"/>
          <w:color w:val="auto"/>
        </w:rPr>
      </w:pPr>
      <w:r>
        <w:rPr>
          <w:rFonts w:ascii="Times New Roman" w:cs="Times New Roman" w:eastAsia="Times New Roman" w:hAnsi="Times New Roman"/>
          <w:sz w:val="16"/>
          <w:szCs w:val="16"/>
          <w:b w:val="1"/>
          <w:bCs w:val="1"/>
          <w:color w:val="auto"/>
        </w:rPr>
        <w:t>c/o 37th Floor, Hysan Place</w:t>
      </w:r>
    </w:p>
    <w:p>
      <w:pPr>
        <w:ind w:left="4700"/>
        <w:spacing w:after="0" w:line="229" w:lineRule="auto"/>
        <w:rPr>
          <w:sz w:val="20"/>
          <w:szCs w:val="20"/>
          <w:color w:val="auto"/>
        </w:rPr>
      </w:pPr>
      <w:r>
        <w:rPr>
          <w:rFonts w:ascii="Times New Roman" w:cs="Times New Roman" w:eastAsia="Times New Roman" w:hAnsi="Times New Roman"/>
          <w:sz w:val="16"/>
          <w:szCs w:val="16"/>
          <w:b w:val="1"/>
          <w:bCs w:val="1"/>
          <w:color w:val="auto"/>
        </w:rPr>
        <w:t>500 Hennessy Road</w:t>
      </w:r>
    </w:p>
    <w:p>
      <w:pPr>
        <w:ind w:left="4440"/>
        <w:spacing w:after="0" w:line="211" w:lineRule="auto"/>
        <w:rPr>
          <w:sz w:val="20"/>
          <w:szCs w:val="20"/>
          <w:color w:val="auto"/>
        </w:rPr>
      </w:pPr>
      <w:r>
        <w:rPr>
          <w:rFonts w:ascii="Times New Roman" w:cs="Times New Roman" w:eastAsia="Times New Roman" w:hAnsi="Times New Roman"/>
          <w:sz w:val="16"/>
          <w:szCs w:val="16"/>
          <w:b w:val="1"/>
          <w:bCs w:val="1"/>
          <w:color w:val="auto"/>
        </w:rPr>
        <w:t>Causeway Bay, Hong Kong</w:t>
      </w: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+852 2532-3783</w:t>
      </w:r>
    </w:p>
    <w:p>
      <w:pPr>
        <w:spacing w:after="0" w:line="41" w:lineRule="exact"/>
        <w:rPr>
          <w:sz w:val="24"/>
          <w:szCs w:val="24"/>
          <w:color w:val="auto"/>
        </w:rPr>
      </w:pPr>
    </w:p>
    <w:p>
      <w:pPr>
        <w:ind w:left="500" w:right="620" w:firstLine="360"/>
        <w:spacing w:after="0" w:line="245" w:lineRule="auto"/>
        <w:rPr>
          <w:sz w:val="20"/>
          <w:szCs w:val="20"/>
          <w:color w:val="auto"/>
        </w:rPr>
      </w:pPr>
      <w:r>
        <w:rPr>
          <w:rFonts w:ascii="Times New Roman" w:cs="Times New Roman" w:eastAsia="Times New Roman" w:hAnsi="Times New Roman"/>
          <w:sz w:val="16"/>
          <w:szCs w:val="16"/>
          <w:color w:val="auto"/>
        </w:rPr>
        <w:t>Approximate date of commencement of proposed sale to the public: From time to time after the effective date of this Registration Statement.</w:t>
      </w:r>
    </w:p>
    <w:p>
      <w:pPr>
        <w:spacing w:after="0" w:line="29" w:lineRule="exact"/>
        <w:rPr>
          <w:sz w:val="24"/>
          <w:szCs w:val="24"/>
          <w:color w:val="auto"/>
        </w:rPr>
      </w:pPr>
    </w:p>
    <w:p>
      <w:pPr>
        <w:ind w:left="500" w:right="340" w:firstLine="360"/>
        <w:spacing w:after="0" w:line="199"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ind w:left="500" w:right="300" w:firstLine="360"/>
        <w:spacing w:after="0" w:line="199"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 w:lineRule="exact"/>
        <w:rPr>
          <w:sz w:val="24"/>
          <w:szCs w:val="24"/>
          <w:color w:val="auto"/>
        </w:rPr>
      </w:pPr>
    </w:p>
    <w:p>
      <w:pPr>
        <w:ind w:left="500" w:right="200" w:firstLine="360"/>
        <w:spacing w:after="0" w:line="199"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32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500" w:right="50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ind w:left="500" w:right="10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ind w:left="8200" w:hanging="7343"/>
        <w:spacing w:after="0" w:line="23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w:t>
      </w:r>
    </w:p>
    <w:p>
      <w:pPr>
        <w:spacing w:after="0" w:line="10" w:lineRule="exact"/>
        <w:rPr>
          <w:sz w:val="24"/>
          <w:szCs w:val="24"/>
          <w:color w:val="auto"/>
        </w:rPr>
      </w:pPr>
    </w:p>
    <w:p>
      <w:pPr>
        <w:ind w:left="500" w:right="140"/>
        <w:spacing w:after="0" w:line="197" w:lineRule="exact"/>
        <w:rPr>
          <w:sz w:val="20"/>
          <w:szCs w:val="20"/>
          <w:color w:val="auto"/>
        </w:rPr>
      </w:pPr>
      <w:r>
        <w:rPr>
          <w:rFonts w:ascii="Times New Roman" w:cs="Times New Roman" w:eastAsia="Times New Roman" w:hAnsi="Times New Roman"/>
          <w:sz w:val="16"/>
          <w:szCs w:val="16"/>
          <w:color w:val="auto"/>
        </w:rPr>
        <w:t xml:space="preserve">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w:t>
      </w:r>
    </w:p>
    <w:p>
      <w:pPr>
        <w:spacing w:after="0" w:line="3" w:lineRule="exact"/>
        <w:rPr>
          <w:sz w:val="24"/>
          <w:szCs w:val="24"/>
          <w:color w:val="auto"/>
        </w:rPr>
      </w:pPr>
    </w:p>
    <w:p>
      <w:pPr>
        <w:ind w:left="500" w:right="80"/>
        <w:spacing w:after="0" w:line="234" w:lineRule="auto"/>
        <w:rPr>
          <w:sz w:val="20"/>
          <w:szCs w:val="20"/>
          <w:color w:val="auto"/>
        </w:rPr>
      </w:pPr>
      <w:r>
        <w:rPr>
          <w:rFonts w:ascii="Times New Roman" w:cs="Times New Roman" w:eastAsia="Times New Roman" w:hAnsi="Times New Roman"/>
          <w:sz w:val="15"/>
          <w:szCs w:val="15"/>
          <w:b w:val="1"/>
          <w:bCs w:val="1"/>
          <w:color w:val="auto"/>
        </w:rPr>
        <w:t>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103505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0" w:lineRule="exact"/>
        <w:rPr>
          <w:sz w:val="24"/>
          <w:szCs w:val="24"/>
          <w:color w:val="auto"/>
        </w:rPr>
      </w:pPr>
    </w:p>
    <w:p>
      <w:pPr>
        <w:ind w:left="860" w:right="200" w:hanging="368"/>
        <w:spacing w:after="0" w:line="298"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44450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73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3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293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 registration statement 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 any jurisdiction</w:t>
            </w:r>
          </w:p>
        </w:tc>
      </w:tr>
      <w:tr>
        <w:trPr>
          <w:trHeight w:val="1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an offer</w:t>
            </w:r>
          </w:p>
        </w:tc>
      </w:tr>
      <w:tr>
        <w:trPr>
          <w:trHeight w:val="25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sell these securities and it is not</w:t>
            </w:r>
          </w:p>
        </w:tc>
      </w:tr>
      <w:tr>
        <w:trPr>
          <w:trHeight w:val="395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 not complete and</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8"/>
              </w:rPr>
              <w:t>Commission is effective. This prospectus is not an offerpermitted.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FC0014"/>
        </w:rPr>
        <w:t>SUBJECT TO COMPLETION, DATED JULY 7,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Amber International Holding Limited</w:t>
      </w:r>
    </w:p>
    <w:p>
      <w:pPr>
        <w:spacing w:after="0" w:line="10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5"/>
          <w:szCs w:val="25"/>
          <w:b w:val="1"/>
          <w:bCs w:val="1"/>
          <w:color w:val="auto"/>
        </w:rPr>
        <w:t>Class A Ordinary Shares</w:t>
      </w:r>
    </w:p>
    <w:p>
      <w:pPr>
        <w:spacing w:after="0" w:line="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5"/>
          <w:szCs w:val="25"/>
          <w:b w:val="1"/>
          <w:bCs w:val="1"/>
          <w:color w:val="auto"/>
        </w:rPr>
        <w:t>Preferred Shares</w:t>
      </w:r>
    </w:p>
    <w:p>
      <w:pPr>
        <w:ind w:left="3060"/>
        <w:spacing w:after="0" w:line="236" w:lineRule="auto"/>
        <w:rPr>
          <w:sz w:val="20"/>
          <w:szCs w:val="20"/>
          <w:color w:val="auto"/>
        </w:rPr>
      </w:pPr>
      <w:r>
        <w:rPr>
          <w:rFonts w:ascii="Times New Roman" w:cs="Times New Roman" w:eastAsia="Times New Roman" w:hAnsi="Times New Roman"/>
          <w:sz w:val="25"/>
          <w:szCs w:val="25"/>
          <w:b w:val="1"/>
          <w:bCs w:val="1"/>
          <w:color w:val="auto"/>
        </w:rPr>
        <w:t>Subscription Rights</w:t>
      </w:r>
    </w:p>
    <w:p>
      <w:pPr>
        <w:ind w:left="3580"/>
        <w:spacing w:after="0" w:line="237" w:lineRule="auto"/>
        <w:rPr>
          <w:sz w:val="20"/>
          <w:szCs w:val="20"/>
          <w:color w:val="auto"/>
        </w:rPr>
      </w:pPr>
      <w:r>
        <w:rPr>
          <w:rFonts w:ascii="Times New Roman" w:cs="Times New Roman" w:eastAsia="Times New Roman" w:hAnsi="Times New Roman"/>
          <w:sz w:val="25"/>
          <w:szCs w:val="25"/>
          <w:b w:val="1"/>
          <w:bCs w:val="1"/>
          <w:color w:val="auto"/>
        </w:rPr>
        <w:t>Warrants</w:t>
      </w:r>
    </w:p>
    <w:p>
      <w:pPr>
        <w:ind w:left="384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3" w:lineRule="exact"/>
        <w:rPr>
          <w:sz w:val="20"/>
          <w:szCs w:val="20"/>
          <w:color w:val="auto"/>
        </w:rPr>
      </w:pPr>
    </w:p>
    <w:p>
      <w:pPr>
        <w:ind w:right="219" w:firstLine="360"/>
        <w:spacing w:after="0" w:line="239" w:lineRule="auto"/>
        <w:rPr>
          <w:sz w:val="20"/>
          <w:szCs w:val="20"/>
          <w:color w:val="auto"/>
        </w:rPr>
      </w:pPr>
      <w:r>
        <w:rPr>
          <w:rFonts w:ascii="Times New Roman" w:cs="Times New Roman" w:eastAsia="Times New Roman" w:hAnsi="Times New Roman"/>
          <w:sz w:val="18"/>
          <w:szCs w:val="18"/>
          <w:color w:val="auto"/>
        </w:rPr>
        <w:t>We may offer and sell Class A ordinary shares, par value US$0.001 per share, including American depositary shares, or ADSs, each representing five (5) Class A ordinary shares, preferred shares, subscription rights, warrants or units in any combination from time to time in one or more offerings, at prices and on terms described in one or more supplements to this prospectus. The aggregate initial offering price of the securities that we may offer and sell under this prospectus will not exceed US$500,000,000.</w:t>
      </w:r>
    </w:p>
    <w:p>
      <w:pPr>
        <w:spacing w:after="0" w:line="22" w:lineRule="exact"/>
        <w:rPr>
          <w:sz w:val="20"/>
          <w:szCs w:val="20"/>
          <w:color w:val="auto"/>
        </w:rPr>
      </w:pPr>
    </w:p>
    <w:p>
      <w:pPr>
        <w:ind w:right="239" w:firstLine="360"/>
        <w:spacing w:after="0" w:line="235" w:lineRule="auto"/>
        <w:rPr>
          <w:sz w:val="20"/>
          <w:szCs w:val="20"/>
          <w:color w:val="auto"/>
        </w:rPr>
      </w:pPr>
      <w:r>
        <w:rPr>
          <w:rFonts w:ascii="Times New Roman" w:cs="Times New Roman" w:eastAsia="Times New Roman" w:hAnsi="Times New Roman"/>
          <w:sz w:val="18"/>
          <w:szCs w:val="18"/>
          <w:color w:val="auto"/>
        </w:rPr>
        <w:t>Each time we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as well as documents incorporated or deemed to be incorporated by reference in this prospectus before you invest in any of our securities.</w:t>
      </w:r>
    </w:p>
    <w:p>
      <w:pPr>
        <w:spacing w:after="0" w:line="26" w:lineRule="exact"/>
        <w:rPr>
          <w:sz w:val="20"/>
          <w:szCs w:val="20"/>
          <w:color w:val="auto"/>
        </w:rPr>
      </w:pPr>
    </w:p>
    <w:p>
      <w:pPr>
        <w:ind w:right="139" w:firstLine="360"/>
        <w:spacing w:after="0" w:line="235" w:lineRule="auto"/>
        <w:rPr>
          <w:sz w:val="20"/>
          <w:szCs w:val="20"/>
          <w:color w:val="auto"/>
        </w:rPr>
      </w:pPr>
      <w:r>
        <w:rPr>
          <w:rFonts w:ascii="Times New Roman" w:cs="Times New Roman" w:eastAsia="Times New Roman" w:hAnsi="Times New Roman"/>
          <w:sz w:val="18"/>
          <w:szCs w:val="18"/>
          <w:color w:val="auto"/>
        </w:rPr>
        <w:t>We may sell the securities independently or together with any other securities registered hereunder to or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6" w:lineRule="exact"/>
        <w:rPr>
          <w:sz w:val="20"/>
          <w:szCs w:val="20"/>
          <w:color w:val="auto"/>
        </w:rPr>
      </w:pPr>
    </w:p>
    <w:p>
      <w:pPr>
        <w:ind w:right="179" w:firstLine="360"/>
        <w:spacing w:after="0" w:line="250" w:lineRule="auto"/>
        <w:rPr>
          <w:sz w:val="20"/>
          <w:szCs w:val="20"/>
          <w:color w:val="auto"/>
        </w:rPr>
      </w:pPr>
      <w:r>
        <w:rPr>
          <w:rFonts w:ascii="Times New Roman" w:cs="Times New Roman" w:eastAsia="Times New Roman" w:hAnsi="Times New Roman"/>
          <w:sz w:val="18"/>
          <w:szCs w:val="18"/>
          <w:color w:val="auto"/>
        </w:rPr>
        <w:t>Our ADSs are listed on the NASDAQ Global Market and are traded under the ticker symbol “AMBR.” On July 3, 2025, the closing price of the ADSs was US$8.60 per ADS.</w:t>
      </w:r>
    </w:p>
    <w:p>
      <w:pPr>
        <w:spacing w:after="0" w:line="14" w:lineRule="exact"/>
        <w:rPr>
          <w:sz w:val="20"/>
          <w:szCs w:val="20"/>
          <w:color w:val="auto"/>
        </w:rPr>
      </w:pPr>
    </w:p>
    <w:p>
      <w:pPr>
        <w:ind w:right="99" w:firstLine="360"/>
        <w:spacing w:after="0" w:line="233" w:lineRule="auto"/>
        <w:rPr>
          <w:sz w:val="20"/>
          <w:szCs w:val="20"/>
          <w:color w:val="auto"/>
        </w:rPr>
      </w:pPr>
      <w:r>
        <w:rPr>
          <w:rFonts w:ascii="Times New Roman" w:cs="Times New Roman" w:eastAsia="Times New Roman" w:hAnsi="Times New Roman"/>
          <w:sz w:val="18"/>
          <w:szCs w:val="18"/>
          <w:color w:val="auto"/>
        </w:rPr>
        <w:t>Our ordinary shares consist of Class A ordinary shares and Class B ordinary shares. In respect of matters requiring the votes of shareholders, holders of Class A ordinary shares are entitled to one vote per share, while holders of Class B ordinary shares are entitled to 30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 See “Description of Share Capital.”</w:t>
      </w:r>
    </w:p>
    <w:p>
      <w:pPr>
        <w:spacing w:after="0" w:line="22" w:lineRule="exact"/>
        <w:rPr>
          <w:sz w:val="20"/>
          <w:szCs w:val="20"/>
          <w:color w:val="auto"/>
        </w:rPr>
      </w:pPr>
    </w:p>
    <w:p>
      <w:pPr>
        <w:ind w:right="9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Please carefully consider the risks discussed in this prospectus under “Risk Factors” beginning on page </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color w:val="auto"/>
        </w:rPr>
        <w:t xml:space="preserve"> and the “Risk Factors” in “Item 3: Key Information —  Risk Factors” of our most recent Annual Report on Form 20-F incorporated by reference in this prospectus and in any applicable prospectus supplement for a discussion of the factors you should consider carefully before deciding to purchase these securities.</w:t>
      </w:r>
    </w:p>
    <w:p>
      <w:pPr>
        <w:spacing w:after="0" w:line="13" w:lineRule="exact"/>
        <w:rPr>
          <w:sz w:val="20"/>
          <w:szCs w:val="20"/>
          <w:color w:val="auto"/>
        </w:rPr>
      </w:pPr>
    </w:p>
    <w:p>
      <w:pPr>
        <w:ind w:right="239" w:firstLine="360"/>
        <w:spacing w:after="0" w:line="233" w:lineRule="auto"/>
        <w:rPr>
          <w:sz w:val="20"/>
          <w:szCs w:val="20"/>
          <w:color w:val="auto"/>
        </w:rPr>
      </w:pPr>
      <w:r>
        <w:rPr>
          <w:rFonts w:ascii="Times New Roman" w:cs="Times New Roman" w:eastAsia="Times New Roman" w:hAnsi="Times New Roman"/>
          <w:sz w:val="18"/>
          <w:szCs w:val="18"/>
          <w:color w:val="auto"/>
        </w:rPr>
        <w:t>Amber International Holding Limited is not an operating company but a Cayman Islands holding company. We conduct our operations primarily through our subsidiaries. As a result, our ability to pay dividends depends upon dividends paid by our subsidiaries. If our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the accounting standards and regulations of Hong Kong, Singapore, Dubai and the PRC. In addition, PRC regulatory authorities could disallow this holding company structure and limit or hinder our ability to conduct our business through, receive dividends or distributions from, or transfer funds to, the operating companies or list on a U.S. or other foreign exchange, which could cause the value of our securities to significantly decline or become worthless. See “Our Company — Our Corporate Structure.”</w:t>
      </w:r>
    </w:p>
    <w:p>
      <w:pPr>
        <w:spacing w:after="0" w:line="31" w:lineRule="exact"/>
        <w:rPr>
          <w:sz w:val="20"/>
          <w:szCs w:val="20"/>
          <w:color w:val="auto"/>
        </w:rPr>
      </w:pPr>
    </w:p>
    <w:p>
      <w:pPr>
        <w:ind w:right="119" w:firstLine="360"/>
        <w:spacing w:after="0"/>
        <w:rPr>
          <w:sz w:val="20"/>
          <w:szCs w:val="20"/>
          <w:color w:val="auto"/>
        </w:rPr>
      </w:pPr>
      <w:r>
        <w:rPr>
          <w:rFonts w:ascii="Times New Roman" w:cs="Times New Roman" w:eastAsia="Times New Roman" w:hAnsi="Times New Roman"/>
          <w:sz w:val="18"/>
          <w:szCs w:val="18"/>
          <w:color w:val="auto"/>
        </w:rPr>
        <w:t>As we do not have any material operations in mainland China, the PRC laws and regulations do not currently have any material impact on our business, financial condition and results of operations. However, in the event that we or our Hong Kong subsidiaries were to become subject to PRC laws and regulations, we could incur material costs to ensure compliance, and we or our Hong Kong subsidiaries might be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398780</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3" w:lineRule="exact"/>
        <w:rPr>
          <w:sz w:val="20"/>
          <w:szCs w:val="20"/>
          <w:color w:val="auto"/>
        </w:rPr>
      </w:pPr>
    </w:p>
    <w:tbl>
      <w:tblPr>
        <w:tblLayout w:type="fixed"/>
        <w:tblInd w:w="880" w:type="dxa"/>
        <w:tblCellMar>
          <w:top w:w="0" w:type="dxa"/>
          <w:left w:w="0" w:type="dxa"/>
          <w:bottom w:w="0" w:type="dxa"/>
          <w:right w:w="0" w:type="dxa"/>
        </w:tblCellMar>
      </w:tblPr>
      <w:tr>
        <w:trPr>
          <w:trHeight w:val="73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sale is not</w:t>
            </w:r>
          </w:p>
        </w:tc>
      </w:tr>
      <w:tr>
        <w:trPr>
          <w:trHeight w:val="13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 offer or</w:t>
            </w:r>
          </w:p>
        </w:tc>
      </w:tr>
      <w:tr>
        <w:trPr>
          <w:trHeight w:val="293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 registration statement filed with</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buy these securities in any jurisdiction</w:t>
            </w:r>
          </w:p>
        </w:tc>
      </w:tr>
      <w:tr>
        <w:trPr>
          <w:trHeight w:val="12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soliciting an offer</w:t>
            </w:r>
          </w:p>
        </w:tc>
      </w:tr>
      <w:tr>
        <w:trPr>
          <w:trHeight w:val="25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These 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to sell these securities and it is not</w:t>
            </w:r>
          </w:p>
        </w:tc>
      </w:tr>
      <w:tr>
        <w:trPr>
          <w:trHeight w:val="395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 not complete and</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8"/>
              </w:rPr>
              <w:t>Commission is effective. This prospectus is not an offerpermitted.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99"/>
        <w:spacing w:after="0" w:line="242" w:lineRule="auto"/>
        <w:rPr>
          <w:sz w:val="20"/>
          <w:szCs w:val="20"/>
          <w:color w:val="auto"/>
        </w:rPr>
      </w:pPr>
      <w:r>
        <w:rPr>
          <w:rFonts w:ascii="Times New Roman" w:cs="Times New Roman" w:eastAsia="Times New Roman" w:hAnsi="Times New Roman"/>
          <w:sz w:val="18"/>
          <w:szCs w:val="18"/>
          <w:color w:val="auto"/>
        </w:rPr>
        <w:t>to fines, experience devaluation of securities or delisting, no longer be permitted to conduct offerings to foreign investors, and/or no longer be permitted to continue business operations as presently conduct. Additionally, the legal and operational risks associated in mainland China may also apply to operations in Hong Kong, and we face the risks and uncertainties associated with the complex and evolving PRC laws and regulations and as to whether and how the recent PRC government statements and regulatory developments, such as those relating to data and cyberspace security, and anti-monopoly concerns, would be applicable to companies such as our operating entities in Hong Kong, given our operations in Hong Kong and the Chinese government may exercise significant oversight over the business in Hong Kong. These risks could result in material changes in our operations and/or the value of the securities we are registering for sale or could significantly limit or completely hinder our ability to offer or continue to offer securities to investors and cause the value of such securities to significantly decline or be worthless. For more details, see “Item 3. Key Information — D. Risk Factors — Risks Related to Our Business — Other Risks Related to Our Business — The regulatory environment in Hong Kong and mainland China is complex and evolving, and changes in the economic, political or social conditions or government policies of Hong Kong or mainland China could have an adverse effect on our business and operation” in our annual report on Form 20-F for fiscal year ended December 31, 2024.</w:t>
      </w:r>
    </w:p>
    <w:p>
      <w:pPr>
        <w:spacing w:after="0" w:line="227" w:lineRule="exact"/>
        <w:rPr>
          <w:sz w:val="20"/>
          <w:szCs w:val="20"/>
          <w:color w:val="auto"/>
        </w:rPr>
      </w:pPr>
    </w:p>
    <w:p>
      <w:pPr>
        <w:ind w:right="7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5" w:lineRule="exact"/>
        <w:rPr>
          <w:sz w:val="20"/>
          <w:szCs w:val="20"/>
          <w:color w:val="auto"/>
        </w:rPr>
      </w:pPr>
    </w:p>
    <w:p>
      <w:pPr>
        <w:ind w:right="1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foreign securities commission has approved or disapproved of these securities or determined if this prospectus is truthful or complete. Any representation to the contrary is a criminal offense.</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5030470</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PREFERRED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EXPENSES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RELATED TO THE OFFERING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Before you invest in any of our securities, you should carefully read this prospectus and any prospectus supplement, together with the additional information described in the sections entitled “Where You Can Find More Information About Us” and “Incorporation of Documents by Reference” in this prospectus.</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104" w:lineRule="exact"/>
        <w:rPr>
          <w:sz w:val="20"/>
          <w:szCs w:val="20"/>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One ADS represents five Class A ordinary shares;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Group” refers to Amber Global Limited, Amber International Holding Limited’s shareholder and strategic partner;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DWM” refers to Amber DWM Holding Limited, a subsidiary of the Company.</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Premium” is the brand name under which Amber International Holding Limited operates its institutional crypto financial services and solutions business. Amber Premium’s business comprises Wealth Management Solutions, Execution Solutions, and Payment Solutions.</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“blockchain” refers to a cryptographically secure digital ledger that maintains a record of all transactions that occur on the network and follows a consensus protocol for confirming new blocks to be added to the blockchain;</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7"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mainland China, Hong Kong and Macau and, only for the purpose of this annual report, excluding Taiwan; the only instances in which “China” or “the PRC” do not include Hong Kong or Macau are when used in the case of laws and regulations, including, among others, tax matters, adopted by the People’s Republic of China; the legal and operational risks associated with operating in China also apply to our operations in Hong Kong;</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refers to any cryptography-based market, system, application, or decentralized network;</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 refers to “Decentralized Finance,” referring to a peer-to-peer software-based network of protocols that can be used to facilitate traditional financial services like borrowing, lending, trading derivatives, insurance and more through smart contracts;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means the Company and its consolidated entities;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refers to the legal currency of Hong Kong;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 to our Class A and Class B ordinary shares, par value US$0.001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“the Company”, means, Amber International Holding Limited, which was known as iClick Interactive Asia Group Limited (“iClick”) prior to the consummation of the Merger. Amber International Holding Limited (“Amber International”) is a Cayman Islands holding company with no operations of its own and conducts its business through its subsidiaries.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or “U.S. dollars” refers to the legal currency of the United States;</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Securities and Exchange Commission (the “SEC”), utilizing a “shelf” registration process. Under this shelf registration process, we may sell our securities described in this prospectus in one or more offerings up to a total dollar amount of US$500,000,000. This prospectus does not contain all the information set forth in the registration statement, certain parts of which are omitted in accordance with the rules and regulations of the SEC. Accordingly, you should refer to the registration statement and its exhibits for further information about us and our securities. Copies of the registration statement and its exhibits are on file with the SEC. Statements contained in this prospectus concerning the documents we have filed with the SEC are not intended to be comprehensive, and in each instance, we refer you to a copy of the actual document filed as an exhibit to the registration statement or otherwise filed with the SEC.</w:t>
      </w:r>
    </w:p>
    <w:p>
      <w:pPr>
        <w:spacing w:after="0" w:line="127" w:lineRule="exact"/>
        <w:rPr>
          <w:sz w:val="20"/>
          <w:szCs w:val="20"/>
          <w:color w:val="auto"/>
        </w:rPr>
      </w:pPr>
    </w:p>
    <w:p>
      <w:pPr>
        <w:jc w:val="both"/>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Each time we offer our securities, we will provide you with a prospectus supplement that will describe the specific amounts, prices, and terms of the securities we offer. The prospectus supplement may also add,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update, or change information contained in this prospectus. This prospectus, together with applicable prospectus supplements and the documents incorporated by reference in this prospectus and any prospectus supplements, includes all material information relating to this offering. Please read carefully both this prospectus and any prospectus supplement together with additional information described below under “Where You Can Find More Information” and “Incorporation of Documents by Reference.”</w:t>
      </w:r>
    </w:p>
    <w:p>
      <w:pPr>
        <w:spacing w:after="0" w:line="11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This prospectus does not contain all of the information provided in the registration statement that we filed with the SEC. For further information about us or our securities, you should refer to that registration statement, which you can obtain from the SEC as described below under “Where You Can Find More Information” and “Incorporation of Documents by Reference.”</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“Incorporated by reference” means that we can disclose important information to you by referring you to another document filed separately with the SEC. We have not authorized anyone to provide you with different information. We are offering to sell, and seeking offers to buy, our securities only in jurisdictions where offers and sales are permitted. We are not making, nor will we make, an offer to sell securities in any jurisdiction where the offer or sale is not permitted. You should assume that the information appearing in this prospectus and any supplement to this prospectus is current only as of the dates on their respective covers. Our business, financial condition, results of operations and prospects may have changed since that date.</w:t>
      </w:r>
    </w:p>
    <w:p>
      <w:pPr>
        <w:spacing w:after="0" w:line="200" w:lineRule="exact"/>
        <w:rPr>
          <w:sz w:val="20"/>
          <w:szCs w:val="20"/>
          <w:color w:val="auto"/>
        </w:rPr>
      </w:pPr>
    </w:p>
    <w:p>
      <w:pPr>
        <w:spacing w:after="0" w:line="20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should not create any implication that there has been no change in our affairs since such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w:t>
      </w:r>
    </w:p>
    <w:p>
      <w:pPr>
        <w:spacing w:after="0" w:line="117" w:lineRule="exact"/>
        <w:rPr>
          <w:sz w:val="20"/>
          <w:szCs w:val="20"/>
          <w:color w:val="auto"/>
        </w:rPr>
      </w:pPr>
    </w:p>
    <w:p>
      <w:pPr>
        <w:ind w:left="1800" w:right="1019" w:hanging="180"/>
        <w:spacing w:after="0" w:line="282" w:lineRule="auto"/>
        <w:tabs>
          <w:tab w:leader="none" w:pos="1800" w:val="left"/>
        </w:tabs>
        <w:numPr>
          <w:ilvl w:val="0"/>
          <w:numId w:val="3"/>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u w:val="single" w:color="auto"/>
            <w:color w:val="0000EE"/>
          </w:rPr>
          <w:t>our annual report on Form 20-F for the year ended December 31, 2024, filed with the SEC on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April 29, 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479" w:hanging="180"/>
        <w:spacing w:after="0" w:line="266" w:lineRule="auto"/>
        <w:tabs>
          <w:tab w:leader="none" w:pos="1800" w:val="left"/>
        </w:tabs>
        <w:numPr>
          <w:ilvl w:val="0"/>
          <w:numId w:val="3"/>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auto"/>
          </w:rPr>
          <w:t xml:space="preserve">the description of our ordinary shares contained in our registration statement on </w:t>
        </w:r>
        <w:r>
          <w:rPr>
            <w:rFonts w:ascii="Times New Roman" w:cs="Times New Roman" w:eastAsia="Times New Roman" w:hAnsi="Times New Roman"/>
            <w:sz w:val="18"/>
            <w:szCs w:val="18"/>
            <w:u w:val="single" w:color="auto"/>
            <w:color w:val="0000EE"/>
          </w:rPr>
          <w:t>Form 8-A filed with</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the SEC on December 1, 2017</w:t>
        </w:r>
        <w:r>
          <w:rPr>
            <w:rFonts w:ascii="Times New Roman" w:cs="Times New Roman" w:eastAsia="Times New Roman" w:hAnsi="Times New Roman"/>
            <w:sz w:val="18"/>
            <w:szCs w:val="18"/>
            <w:color w:val="000000"/>
          </w:rPr>
          <w:t>, and any amendment or report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67" w:lineRule="exact"/>
        <w:rPr>
          <w:rFonts w:ascii="Times New Roman" w:cs="Times New Roman" w:eastAsia="Times New Roman" w:hAnsi="Times New Roman"/>
          <w:sz w:val="18"/>
          <w:szCs w:val="18"/>
          <w:color w:val="0000EE"/>
        </w:rPr>
      </w:pPr>
    </w:p>
    <w:p>
      <w:pPr>
        <w:ind w:left="1800" w:right="699" w:hanging="180"/>
        <w:spacing w:after="0" w:line="258" w:lineRule="auto"/>
        <w:tabs>
          <w:tab w:leader="none" w:pos="18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proxy statement attached to filed by iClick Interactive Asia Group Limited’s current report on </w:t>
      </w:r>
      <w:hyperlink r:id="rId29">
        <w:r>
          <w:rPr>
            <w:rFonts w:ascii="Times New Roman" w:cs="Times New Roman" w:eastAsia="Times New Roman" w:hAnsi="Times New Roman"/>
            <w:sz w:val="18"/>
            <w:szCs w:val="18"/>
            <w:u w:val="single" w:color="auto"/>
            <w:color w:val="0000EE"/>
          </w:rPr>
          <w:t>Form 6-K filed by with the SEC on December 19,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included audited consolidated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statement of financial position of Amber DWM and its subsidiaries as of June 30, 2023 and 2024, and the related consolidated statements of profit or loss and other comprehensive loss, changes in equity, and cash flows for the years ended June 30, 2023 and 2024;</w:t>
      </w:r>
    </w:p>
    <w:p>
      <w:pPr>
        <w:spacing w:after="0" w:line="75" w:lineRule="exact"/>
        <w:rPr>
          <w:rFonts w:ascii="Times New Roman" w:cs="Times New Roman" w:eastAsia="Times New Roman" w:hAnsi="Times New Roman"/>
          <w:sz w:val="18"/>
          <w:szCs w:val="18"/>
          <w:color w:val="0000EE"/>
        </w:rPr>
      </w:pPr>
    </w:p>
    <w:p>
      <w:pPr>
        <w:ind w:left="1800" w:right="479" w:hanging="180"/>
        <w:spacing w:after="0" w:line="275"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0">
        <w:r>
          <w:rPr>
            <w:rFonts w:ascii="Times New Roman" w:cs="Times New Roman" w:eastAsia="Times New Roman" w:hAnsi="Times New Roman"/>
            <w:sz w:val="18"/>
            <w:szCs w:val="18"/>
            <w:u w:val="single" w:color="auto"/>
            <w:color w:val="0000EE"/>
          </w:rPr>
          <w:t>Form 6-K filed with the SEC on April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regarding change in fiscal year end of Amber DWM from June 30 to December 31, effective for the fiscal year beginning January 1, 2025;</w:t>
      </w:r>
    </w:p>
    <w:p>
      <w:pPr>
        <w:spacing w:after="0" w:line="281"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1">
        <w:r>
          <w:rPr>
            <w:rFonts w:ascii="Times New Roman" w:cs="Times New Roman" w:eastAsia="Times New Roman" w:hAnsi="Times New Roman"/>
            <w:sz w:val="18"/>
            <w:szCs w:val="18"/>
            <w:u w:val="single" w:color="auto"/>
            <w:color w:val="0000EE"/>
          </w:rPr>
          <w:t>Form 6-K filed with the SEC on April 25,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regarding receipt of regulatory approval by Sparrow Tech Private Limited to become an indirect, wholly owned subsidiary of the Company;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2">
        <w:r>
          <w:rPr>
            <w:rFonts w:ascii="Times New Roman" w:cs="Times New Roman" w:eastAsia="Times New Roman" w:hAnsi="Times New Roman"/>
            <w:sz w:val="18"/>
            <w:szCs w:val="18"/>
            <w:u w:val="single" w:color="auto"/>
            <w:color w:val="0000EE"/>
          </w:rPr>
          <w:t>Form 6-K filed with the SEC on May 12,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regarding the announcement of our upsized crypto ecosystem reserve plan of US$100 million;</w:t>
      </w:r>
    </w:p>
    <w:p>
      <w:pPr>
        <w:spacing w:after="0" w:line="351"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4">
        <w:r>
          <w:rPr>
            <w:rFonts w:ascii="Times New Roman" w:cs="Times New Roman" w:eastAsia="Times New Roman" w:hAnsi="Times New Roman"/>
            <w:sz w:val="18"/>
            <w:szCs w:val="18"/>
            <w:u w:val="single" w:color="auto"/>
            <w:color w:val="0000EE"/>
          </w:rPr>
          <w:t>Form 6-K filed with the SEC on May 22,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regarding the change in accounting standards from United States Generally Accepted Accounting Principles to International Financial Reporting Standards issued by the International Accounting Standards Board;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transition report on </w:t>
      </w:r>
      <w:hyperlink r:id="rId35">
        <w:r>
          <w:rPr>
            <w:rFonts w:ascii="Times New Roman" w:cs="Times New Roman" w:eastAsia="Times New Roman" w:hAnsi="Times New Roman"/>
            <w:sz w:val="18"/>
            <w:szCs w:val="18"/>
            <w:u w:val="single" w:color="auto"/>
            <w:color w:val="0000EE"/>
          </w:rPr>
          <w:t>Form 20-F filed with the SEC on June 12, 2025</w:t>
        </w:r>
      </w:hyperlink>
      <w:r>
        <w:rPr>
          <w:rFonts w:ascii="Times New Roman" w:cs="Times New Roman" w:eastAsia="Times New Roman" w:hAnsi="Times New Roman"/>
          <w:sz w:val="18"/>
          <w:szCs w:val="18"/>
          <w:color w:val="auto"/>
        </w:rPr>
        <w:t>, which included the consolidated statement of financial position of Amber DWM and its subsidiaries as of June 30, 2024 and December 31, 2024, and the related consolidated statements of profit or loss and other comprehensive income, changes in equity, and cash flows for the six months ended December 31, 2023 (unaudited) and December 31, 2024 (audited);</w:t>
      </w:r>
    </w:p>
    <w:p>
      <w:pPr>
        <w:spacing w:after="0" w:line="75"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our current report on Form 6-K filed with the SEC on July 3,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regarding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appointment of Ms. Jie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Jiao as a new director and resignation of Mr. Wing Hong Sammy Hsieh as a director;</w:t>
      </w:r>
    </w:p>
    <w:p>
      <w:pPr>
        <w:spacing w:after="0" w:line="53" w:lineRule="exact"/>
        <w:rPr>
          <w:rFonts w:ascii="Times New Roman" w:cs="Times New Roman" w:eastAsia="Times New Roman" w:hAnsi="Times New Roman"/>
          <w:sz w:val="18"/>
          <w:szCs w:val="18"/>
          <w:color w:val="0000EE"/>
        </w:rPr>
      </w:pPr>
    </w:p>
    <w:p>
      <w:pPr>
        <w:ind w:left="1800" w:right="12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37">
        <w:r>
          <w:rPr>
            <w:rFonts w:ascii="Times New Roman" w:cs="Times New Roman" w:eastAsia="Times New Roman" w:hAnsi="Times New Roman"/>
            <w:sz w:val="18"/>
            <w:szCs w:val="18"/>
            <w:u w:val="single" w:color="auto"/>
            <w:color w:val="0000EE"/>
          </w:rPr>
          <w:t>Form 6-K filed with the SEC on July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regarding the closing of US$25.5 million private placement;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94" w:lineRule="exact"/>
        <w:rPr>
          <w:rFonts w:ascii="Times New Roman" w:cs="Times New Roman" w:eastAsia="Times New Roman" w:hAnsi="Times New Roman"/>
          <w:sz w:val="18"/>
          <w:szCs w:val="18"/>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proxy and information statements, and other information regarding issuers like us that file electronically with the SEC.</w:t>
      </w:r>
    </w:p>
    <w:p>
      <w:pPr>
        <w:spacing w:after="0" w:line="94" w:lineRule="exact"/>
        <w:rPr>
          <w:rFonts w:ascii="Times New Roman" w:cs="Times New Roman" w:eastAsia="Times New Roman" w:hAnsi="Times New Roman"/>
          <w:sz w:val="18"/>
          <w:szCs w:val="18"/>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above documents, other than exhibits to such documents which are not specifically incorporated by reference therein. You should direct any requests for documents to:</w:t>
      </w:r>
    </w:p>
    <w:p>
      <w:pPr>
        <w:spacing w:after="0" w:line="95"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7"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8"/>
          <w:szCs w:val="18"/>
          <w:color w:val="auto"/>
        </w:rPr>
        <w:t>#30-02 Guoco Tower</w:t>
      </w:r>
    </w:p>
    <w:p>
      <w:pPr>
        <w:spacing w:after="0" w:line="9"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8"/>
          <w:szCs w:val="18"/>
          <w:color w:val="auto"/>
        </w:rPr>
        <w:t>Att: Ms. Josephine Ngai</w:t>
      </w:r>
    </w:p>
    <w:p>
      <w:pPr>
        <w:spacing w:after="0" w:line="9"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8"/>
          <w:szCs w:val="18"/>
          <w:color w:val="auto"/>
        </w:rPr>
        <w:t>Tel.: (65) 6022 0228</w:t>
      </w:r>
    </w:p>
    <w:p>
      <w:pPr>
        <w:spacing w:after="0" w:line="139" w:lineRule="exact"/>
        <w:rPr>
          <w:rFonts w:ascii="Times New Roman" w:cs="Times New Roman" w:eastAsia="Times New Roman" w:hAnsi="Times New Roman"/>
          <w:sz w:val="18"/>
          <w:szCs w:val="18"/>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 information relating to us contained in this prospectus is not comprehensive and should be read together with the information contained in the incorporated documents. Descriptions contained in the incorporated documents as to the contents of any contract or other document may not contain all the information which is of interest to you. You should refer to the copy of such contract or other document filed as an exhibit to our filings.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5" w:lineRule="exact"/>
        <w:rPr>
          <w:rFonts w:ascii="Times New Roman" w:cs="Times New Roman" w:eastAsia="Times New Roman" w:hAnsi="Times New Roman"/>
          <w:sz w:val="18"/>
          <w:szCs w:val="18"/>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Private Securities Litigation Reform Act of 1995 and other U.S. federal securities laws. These statements relate to our current expectations and views of future events, and involve known and unknown risks, uncertainties and other factors that may cause our actual results, performance or achievements to be materially different from those expressed or implied by the forward-looking statements.</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9"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industry;</w:t>
      </w:r>
    </w:p>
    <w:p>
      <w:pPr>
        <w:spacing w:after="0" w:line="11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services and solutions;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jurisdictions where we operate;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read thoroughly this prospectus, any accompanying prospectus supplement and the documents that we reference in this prospectus and any applicable prospectus supplement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2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any projections, assumptions and estimates of our future performance and the future performance of the industry in which we operate is necessarily subject to a high degree of uncertainty and risk due to a variety of factors, including those discussed under the heading “Risk Factors” included in the applicable prospectus supplement or under similar headings in other documents which are incorporated by reference in this prospectus. You should not place undue reliance on these forward-looking statements.</w:t>
      </w:r>
    </w:p>
    <w:p>
      <w:pPr>
        <w:spacing w:after="0" w:line="116"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forward-looking statements and any related statements made in this prospectus and the documents incorporated by reference are made as of the date of the respective documents. The forward-looking statements obtained from third-party studies or reports are made as of the date of the corresponding study or report. We undertake no obligation, beyond that required by law, to update any forward-looking statement to reflect events or circumstances after the date on which the statement is made, even though circumstances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are a leading digital asset wealth management platform, operating under the brand name “Amber Premium”, strategically positioned within the rapidly expanding digital asset market. Amber Premium acts as the institutional gateway to crypto finance, providing market access, execution infrastructure, and investment solutions for institutional investors and high-net-worth individuals (HNWIs).</w:t>
      </w:r>
    </w:p>
    <w:p>
      <w:pPr>
        <w:spacing w:after="0" w:line="11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As institutions and HNWIs increasingly explore opportunities in the digital asset sector, their initial participation is often through familiar traditional financial instruments, such as exchange-traded</w:t>
      </w: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funds (ETFs) and direct exposure to Bitcoin. As their engagement deepens, these investors increasingly recognize that the digital asset landscape encompasses a broader range of opportunities, including blockchain-based innovations, decentralized finance (DeFi) applications, and tokenized financial products. Amber Premium seeks to address these evolving needs by offering institutional-grade execution services, comprehensive suite of investment products, and integrated crypto payment solutions that extend beyond traditional financial (TradFi) instruments. Leveraging its market expertise, proprietary technologies, and institutional-level risk management practices, Amber Premium enables clients to effectively navigate the complexities of the digital asset ecosystem, optimize portfolio strategies, and identify new opportunities for growth within this emerging asset class.</w:t>
      </w:r>
    </w:p>
    <w:p>
      <w:pPr>
        <w:spacing w:after="0" w:line="32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By seamlessly merging traditional finance and decentralized finance, Amber Premium provides the following major products to meet its clients’ evolving needs: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Comprehensive Wealth Management Solutions</w:t>
      </w:r>
    </w:p>
    <w:p>
      <w:pPr>
        <w:spacing w:after="0" w:line="135" w:lineRule="exact"/>
        <w:rPr>
          <w:sz w:val="20"/>
          <w:szCs w:val="20"/>
          <w:color w:val="auto"/>
        </w:rPr>
      </w:pPr>
    </w:p>
    <w:p>
      <w:pPr>
        <w:ind w:left="1800" w:right="45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Investment Products — Amber Premium offers a range of products with option structures, including dual cryptocurrency instruments and accumulator/decumulator products, which are designed to support systematic asset accumulation and manage exposure in a risk-adjusted manner.</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&amp; DeFi Solutions — Amber Premium offers earn programs, staking rewards, and DeFi yield-related products, which are structured to enhance capital efficiency while maintaining effective risk management.</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3"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Collateralized Lending — Amber Premium offers crypto-backed financing solutions that allow clients to obtain liquidity against their digital asset holdings. These services include configurable loan terms and automated position monitoring mechanisms designed to reduce the risk of forced liquidation.</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Full-Stack Execution Solutions</w:t>
      </w:r>
    </w:p>
    <w:p>
      <w:pPr>
        <w:spacing w:after="0" w:line="135" w:lineRule="exact"/>
        <w:rPr>
          <w:sz w:val="20"/>
          <w:szCs w:val="20"/>
          <w:color w:val="auto"/>
        </w:rPr>
      </w:pPr>
    </w:p>
    <w:p>
      <w:pPr>
        <w:ind w:left="1800" w:right="55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Premium’s execution solutions provide direct access to over 2,000 trading pairs across more than 100 centralized exchanges (CEXs), decentralized exchanges (DEXs), and over-the-counter (OTC) markets. The platform’s connectivity to a broad network of liquidity sources enables trade execution across a wide range of digital assets.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Execution — Amber Premium’s execution services are backed by a high-performance trading infrastructure, supporting automated strategies and advanced order execution methods, such as Volume Weighted Average Price (VWAP) and Time Weighted Average Price (TWAP), and Iceberg strategies for optimized trading.</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OTC Trading — Amber Premium offers over-the-counter trading solutions through a 24/7 institutional OTC desk to facilitate large-order execution through bilateral transactions. The solutions are tailored to institutional clients and are designed to minimize market impact.</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Seamless Crypto Payment Solutions</w:t>
      </w:r>
    </w:p>
    <w:p>
      <w:pPr>
        <w:spacing w:after="0" w:line="121" w:lineRule="exact"/>
        <w:rPr>
          <w:sz w:val="20"/>
          <w:szCs w:val="20"/>
          <w:color w:val="auto"/>
        </w:rPr>
      </w:pPr>
    </w:p>
    <w:p>
      <w:pPr>
        <w:ind w:left="1800" w:right="51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Fiat On/Off-Ramp — Amber Premium provides crypto-to-fiat and fiat-to-crypto conversion services through regulated channels, enabling clients to transact between digital assets and</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currencies in a secure and compliant manner.</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Premium Crypto Card — Amber Premium Crypto Card is a virtual payment solution designed to seamlessly integrate digital assets with traditional financial systems. This card enables users to directly spend a broad range of cryptocurrencies — including yield-generating digital assets — at merchants worldwide, with real-time transaction settlement. The Amber Premium Crypto Card aims to enhance the utility of digital assets by facilitating instantaneous and secure payments across the global merchant network.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March 12, 2025, we completed our merger (the “Merger”) with iClick, with Amber DWM continuing as the surviving entity and becoming a wholly-owned subsidiary of iClick. In connection with the Merger, we changed our name from “iClick Interactive Asia Group Limited” to “Amber International Holding Limited,” and our ADSs began trading under the new ticker symbol “AMBR” on the Nasdaq effective on March 13, 2025. The Merger was accounted for as a reverse acquisition for accounting purpose and Amber DWM was treated as the “acquirer” for financial reporting purpose in connection with the Merger. Accordingly, the Merger is treated as the equivalent of Amber DWM issuing shares for the acquisition of iClick, accompanied by a recapitalization.</w:t>
      </w:r>
    </w:p>
    <w:p>
      <w:pPr>
        <w:spacing w:after="0" w:line="328" w:lineRule="exact"/>
        <w:rPr>
          <w:sz w:val="20"/>
          <w:szCs w:val="20"/>
          <w:color w:val="auto"/>
        </w:rPr>
      </w:pPr>
    </w:p>
    <w:p>
      <w:pPr>
        <w:ind w:left="1260" w:right="759" w:firstLine="360"/>
        <w:spacing w:after="0" w:line="251" w:lineRule="auto"/>
        <w:rPr>
          <w:sz w:val="20"/>
          <w:szCs w:val="20"/>
          <w:color w:val="auto"/>
        </w:rPr>
      </w:pPr>
      <w:r>
        <w:rPr>
          <w:rFonts w:ascii="Times New Roman" w:cs="Times New Roman" w:eastAsia="Times New Roman" w:hAnsi="Times New Roman"/>
          <w:sz w:val="18"/>
          <w:szCs w:val="18"/>
          <w:color w:val="auto"/>
        </w:rPr>
        <w:t>The following unaudited condensed consolidated statements of comprehensive income/(loss) of the Group for the three months ended March 31, 2025 and 2024 have been prepared and presented in accordance with the International Financial Reporting Standards (“IFRS”) issued by the International Accounting Standards Board. Our historical results are not necessarily indicative of results expected for future periods.</w:t>
      </w:r>
    </w:p>
    <w:p>
      <w:pPr>
        <w:spacing w:after="0" w:line="205" w:lineRule="exact"/>
        <w:rPr>
          <w:sz w:val="20"/>
          <w:szCs w:val="20"/>
          <w:color w:val="auto"/>
        </w:rPr>
      </w:pPr>
    </w:p>
    <w:tbl>
      <w:tblPr>
        <w:tblLayout w:type="fixed"/>
        <w:tblInd w:w="1620" w:type="dxa"/>
        <w:tblCellMar>
          <w:top w:w="0" w:type="dxa"/>
          <w:left w:w="0" w:type="dxa"/>
          <w:bottom w:w="0" w:type="dxa"/>
          <w:right w:w="0" w:type="dxa"/>
        </w:tblCellMar>
      </w:tblPr>
      <w:tr>
        <w:trPr>
          <w:trHeight w:val="338"/>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96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xml:space="preserve">Three Months Ended March 31, </w:t>
            </w:r>
            <w:r>
              <w:rPr>
                <w:rFonts w:ascii="Times New Roman" w:cs="Times New Roman" w:eastAsia="Times New Roman" w:hAnsi="Times New Roman"/>
                <w:sz w:val="28"/>
                <w:szCs w:val="28"/>
                <w:b w:val="1"/>
                <w:bCs w:val="1"/>
                <w:color w:val="auto"/>
                <w:w w:val="98"/>
                <w:vertAlign w:val="subscript"/>
              </w:rPr>
              <w:t>​</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thousands, except share data and per share data, or otherwise noted)</w:t>
            </w:r>
          </w:p>
        </w:tc>
        <w:tc>
          <w:tcPr>
            <w:tcW w:w="1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w:t>
            </w:r>
            <w:r>
              <w:rPr>
                <w:rFonts w:ascii="Times New Roman" w:cs="Times New Roman" w:eastAsia="Times New Roman" w:hAnsi="Times New Roman"/>
                <w:sz w:val="18"/>
                <w:szCs w:val="18"/>
                <w:b w:val="1"/>
                <w:bCs w:val="1"/>
                <w:color w:val="auto"/>
              </w:rPr>
              <w:t>​</w:t>
            </w:r>
          </w:p>
        </w:tc>
      </w:tr>
      <w:tr>
        <w:trPr>
          <w:trHeight w:val="20"/>
        </w:trPr>
        <w:tc>
          <w:tcPr>
            <w:tcW w:w="5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3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 ​​</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(1,357)</w:t>
            </w:r>
            <w:r>
              <w:rPr>
                <w:rFonts w:ascii="Times New Roman" w:cs="Times New Roman" w:eastAsia="Times New Roman" w:hAnsi="Times New Roman"/>
                <w:sz w:val="18"/>
                <w:szCs w:val="18"/>
                <w:b w:val="1"/>
                <w:bCs w:val="1"/>
                <w:color w:val="auto"/>
              </w:rPr>
              <w:t>​</w:t>
            </w:r>
          </w:p>
        </w:tc>
      </w:tr>
      <w:tr>
        <w:trPr>
          <w:trHeight w:val="20"/>
        </w:trPr>
        <w:tc>
          <w:tcPr>
            <w:tcW w:w="5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(36)</w:t>
            </w:r>
            <w:r>
              <w:rPr>
                <w:rFonts w:ascii="Times New Roman" w:cs="Times New Roman" w:eastAsia="Times New Roman" w:hAnsi="Times New Roman"/>
                <w:sz w:val="18"/>
                <w:szCs w:val="18"/>
                <w:b w:val="1"/>
                <w:bCs w:val="1"/>
                <w:color w:val="auto"/>
                <w:w w:val="99"/>
              </w:rPr>
              <w:t>​</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4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(10,969)</w:t>
            </w:r>
            <w:r>
              <w:rPr>
                <w:rFonts w:ascii="Times New Roman" w:cs="Times New Roman" w:eastAsia="Times New Roman" w:hAnsi="Times New Roman"/>
                <w:sz w:val="18"/>
                <w:szCs w:val="18"/>
                <w:b w:val="1"/>
                <w:bCs w:val="1"/>
                <w:color w:val="auto"/>
              </w:rPr>
              <w:t>​</w:t>
            </w:r>
          </w:p>
        </w:tc>
      </w:tr>
      <w:tr>
        <w:trPr>
          <w:trHeight w:val="20"/>
        </w:trPr>
        <w:tc>
          <w:tcPr>
            <w:tcW w:w="5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5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0" w:type="dxa"/>
            <w:vAlign w:val="bottom"/>
          </w:tcPr>
          <w:p>
            <w:pPr>
              <w:spacing w:after="0"/>
              <w:rPr>
                <w:sz w:val="21"/>
                <w:szCs w:val="21"/>
                <w:color w:val="auto"/>
              </w:rPr>
            </w:pP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spacing w:after="0"/>
              <w:rPr>
                <w:sz w:val="21"/>
                <w:szCs w:val="21"/>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 ​​ ​ ​</w:t>
            </w:r>
          </w:p>
        </w:tc>
        <w:tc>
          <w:tcPr>
            <w:tcW w:w="4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18"/>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attributable to the Company’s ordinary</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931​​ ​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5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income/(loss) per ADS attributable to the Company’s ordinary</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Pr>
          <w:p>
            <w:pPr>
              <w:spacing w:after="0"/>
              <w:rPr>
                <w:sz w:val="20"/>
                <w:szCs w:val="20"/>
                <w:color w:val="auto"/>
              </w:rPr>
            </w:pP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0.01​​ ​ </w:t>
            </w: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0" w:type="dxa"/>
            <w:vAlign w:val="bottom"/>
          </w:tcPr>
          <w:p>
            <w:pPr>
              <w:spacing w:after="0"/>
              <w:rPr>
                <w:sz w:val="19"/>
                <w:szCs w:val="19"/>
                <w:color w:val="auto"/>
              </w:rPr>
            </w:pP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0.01​​ ​ </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(0.19)</w:t>
            </w:r>
            <w:r>
              <w:rPr>
                <w:rFonts w:ascii="Times New Roman" w:cs="Times New Roman" w:eastAsia="Times New Roman" w:hAnsi="Times New Roman"/>
                <w:sz w:val="18"/>
                <w:szCs w:val="18"/>
                <w:b w:val="1"/>
                <w:bCs w:val="1"/>
                <w:color w:val="auto"/>
              </w:rPr>
              <w:t>​</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40" w:type="dxa"/>
            <w:vAlign w:val="bottom"/>
          </w:tcPr>
          <w:p>
            <w:pPr>
              <w:spacing w:after="0"/>
              <w:rPr>
                <w:sz w:val="19"/>
                <w:szCs w:val="19"/>
                <w:color w:val="auto"/>
              </w:rPr>
            </w:pP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0" w:type="dxa"/>
            <w:vAlign w:val="bottom"/>
          </w:tcPr>
          <w:p>
            <w:pPr>
              <w:spacing w:after="0"/>
              <w:rPr>
                <w:sz w:val="19"/>
                <w:szCs w:val="19"/>
                <w:color w:val="auto"/>
              </w:rPr>
            </w:pPr>
          </w:p>
        </w:tc>
        <w:tc>
          <w:tcPr>
            <w:tcW w:w="220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68,315,567​​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61,966,949 </w:t>
            </w:r>
            <w:r>
              <w:rPr>
                <w:rFonts w:ascii="Times New Roman" w:cs="Times New Roman" w:eastAsia="Times New Roman" w:hAnsi="Times New Roman"/>
                <w:sz w:val="18"/>
                <w:szCs w:val="18"/>
                <w:b w:val="1"/>
                <w:bCs w:val="1"/>
                <w:color w:val="auto"/>
              </w:rPr>
              <w:t>​</w:t>
            </w:r>
          </w:p>
        </w:tc>
      </w:tr>
      <w:tr>
        <w:trPr>
          <w:trHeight w:val="23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0" w:type="dxa"/>
            <w:vAlign w:val="bottom"/>
            <w:shd w:val="clear" w:color="auto" w:fill="CCEEFF"/>
          </w:tcPr>
          <w:p>
            <w:pPr>
              <w:spacing w:after="0"/>
              <w:rPr>
                <w:sz w:val="19"/>
                <w:szCs w:val="19"/>
                <w:color w:val="auto"/>
              </w:rPr>
            </w:pPr>
          </w:p>
        </w:tc>
        <w:tc>
          <w:tcPr>
            <w:tcW w:w="21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68,325,051​​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61,966,949</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-436880</wp:posOffset>
            </wp:positionV>
            <wp:extent cx="474916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-1028065</wp:posOffset>
            </wp:positionV>
            <wp:extent cx="17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-1328420</wp:posOffset>
            </wp:positionV>
            <wp:extent cx="4749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-1628140</wp:posOffset>
            </wp:positionV>
            <wp:extent cx="4749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-1928495</wp:posOffset>
            </wp:positionV>
            <wp:extent cx="4749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-2502535</wp:posOffset>
            </wp:positionV>
            <wp:extent cx="47491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-2665095</wp:posOffset>
            </wp:positionV>
            <wp:extent cx="17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-3239770</wp:posOffset>
            </wp:positionV>
            <wp:extent cx="17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-3402330</wp:posOffset>
            </wp:positionV>
            <wp:extent cx="47491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-3702685</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-3702685</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Our revenue for the first quarter of 2025 was US$14.9 million, increased from US$1.0 million in the first quarter of 2024, attributed to the intercompany service agreement dated March 12, 2025, pursuant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which the Company will consolidate the net income generated by the WFTL Assigned Contracts effective January 1, 2025, and continuous expansion of Amber Premium’s business.</w:t>
      </w:r>
    </w:p>
    <w:p>
      <w:pPr>
        <w:spacing w:after="0" w:line="54" w:lineRule="exact"/>
        <w:rPr>
          <w:sz w:val="20"/>
          <w:szCs w:val="20"/>
          <w:color w:val="auto"/>
        </w:rPr>
      </w:pPr>
    </w:p>
    <w:p>
      <w:pPr>
        <w:ind w:left="1800" w:right="439" w:hanging="180"/>
        <w:spacing w:after="0" w:line="25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Solutions revenue is mainly generated from (a) finance income and premiums earned on structured products and strategic fees; and (b) commission, rebates and spread earned from standard earn and structured products, DeFi yield enhanced products and strategic funds. We achieved a significant growth of revenue in the first quarter of 2025 at US$9.9 million from US$0.6 million in the same period of 2024, contributed by the WFTL Assigned Contracts recorded in the first quarter 2025, as well as strong demand on our diverse investment products, collateralized lending and asset management.</w:t>
      </w:r>
    </w:p>
    <w:p>
      <w:pPr>
        <w:spacing w:after="0" w:line="295"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Solutions revenue mainly includes the transaction fees from the provision of OTC trading and execution services. US$2.7 million revenue was recorded in the first quarter of 2025, increased from US$29.0 thousand in the same period of 2024. The growth was primarily driven by revenue generated from the WFTL Assigned Contracts, and higher average fee rate and spread in the mix of different trading in this quarter.</w:t>
      </w:r>
    </w:p>
    <w:p>
      <w:pPr>
        <w:spacing w:after="0" w:line="75"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Solutions revenue is generated from the conversion fee of our fiat on/off-ramp services. US$0.8 million revenue was recorded in the first quarter of 2025, increased from US$0.4 million for the same period of 2024, mainly contributed from the revenue generated from the WFTL Assigned Contracts.</w:t>
      </w:r>
    </w:p>
    <w:p>
      <w:pPr>
        <w:spacing w:after="0" w:line="29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Enterprise Solutions revenue is generated from online marketing, SaaS products and services provided by iClick. US$1.6 million revenue was recorded in the first quarter of 2025.</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Gross Profit and Gross Profit Margin</w:t>
      </w:r>
    </w:p>
    <w:p>
      <w:pPr>
        <w:spacing w:after="0" w:line="16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Gross profit for the first quarter of 2025 reached US$11.0 million, compared to US$0.5 million in the same period of 2024. Gross profit margin demonstrated an upward trend to 73.7% in the first quarter of 2025, from 45.9% in the first quarter of 2024. The increase was mainly contributed by the WFTL Assigned Contracts and continuous expansion of Amber Premium’s business.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operating expenses were US$10.2 million in the first quarter of 2025, increased from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US$1.4 million in the first quarter of 2024. The change was primarily due to the increase of technology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infrastructure expenses, software services expenses, personnel expenses and consultancy for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expansion and development of new products and services.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4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Operating income was US$0.8 million in the first quarter of 2025, improved from US$0.9 million operating loss in the first quarter of 2024, as a result of our strategic investments and expansion of higher margin Amber Premium’s services. In addition, our marketing and enterprise solutions business recorded an overall breakeven result in the first quarter of 2025.</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Gains/(Losses), Net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gains, net, were US$0.1 million in the first quarter of 2025, compared to other losses, net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US$11.0 million in the first quarter of 2024. Other losses, net in the first quarter of 2024 were mainly driven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unrealized loss in fair value of digital assets in connection with a related party’s loan. The related party’s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loan was waived prior to the Merger and thus the unrealized loss in fair value was nil in 2025.</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Net Income/(Loss)</w:t>
      </w:r>
    </w:p>
    <w:p>
      <w:pPr>
        <w:spacing w:after="0" w:line="16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Net income was US$0.9 million in the first quarter of 2025, compared with net loss of US$11.9 million for the first quarter of 2024, as a result of the foregoing.</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Investing in our securities involves significant risks. Before making an investment decision, you should carefully consider the risks described below and under “Risk Factors” in the applicable prospectus </w:t>
      </w:r>
      <w:hyperlink r:id="rId27">
        <w:r>
          <w:rPr>
            <w:rFonts w:ascii="Times New Roman" w:cs="Times New Roman" w:eastAsia="Times New Roman" w:hAnsi="Times New Roman"/>
            <w:sz w:val="18"/>
            <w:szCs w:val="18"/>
            <w:color w:val="auto"/>
          </w:rPr>
          <w:t xml:space="preserve">supplement and under “Item 3. Key Information — Risk Factors” in </w:t>
        </w:r>
        <w:r>
          <w:rPr>
            <w:rFonts w:ascii="Times New Roman" w:cs="Times New Roman" w:eastAsia="Times New Roman" w:hAnsi="Times New Roman"/>
            <w:sz w:val="18"/>
            <w:szCs w:val="18"/>
            <w:u w:val="single" w:color="auto"/>
            <w:color w:val="0000EE"/>
          </w:rPr>
          <w:t>our Annual Report on Form 20-F for</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the year ended December 31, 2024 filed with the SEC on April 29, 2025</w:t>
        </w:r>
        <w:r>
          <w:rPr>
            <w:rFonts w:ascii="Times New Roman" w:cs="Times New Roman" w:eastAsia="Times New Roman" w:hAnsi="Times New Roman"/>
            <w:sz w:val="18"/>
            <w:szCs w:val="18"/>
            <w:color w:val="000000"/>
          </w:rPr>
          <w:t xml:space="preserve">, or any updates in our Reports </w:t>
        </w:r>
      </w:hyperlink>
      <w:r>
        <w:rPr>
          <w:rFonts w:ascii="Times New Roman" w:cs="Times New Roman" w:eastAsia="Times New Roman" w:hAnsi="Times New Roman"/>
          <w:sz w:val="18"/>
          <w:szCs w:val="18"/>
          <w:color w:val="0000EE"/>
        </w:rPr>
        <w:t xml:space="preserve">on </w:t>
      </w:r>
      <w:r>
        <w:rPr>
          <w:rFonts w:ascii="Times New Roman" w:cs="Times New Roman" w:eastAsia="Times New Roman" w:hAnsi="Times New Roman"/>
          <w:sz w:val="18"/>
          <w:szCs w:val="18"/>
          <w:color w:val="000000"/>
        </w:rPr>
        <w:t>Form 6-K, together with all of the other information appearing in this prospectus or incorporated by reference into this prospectus, as updated by our subsequent filings under the Securities Exchange Act of 1934, or the Exchange Act, and any risk factors and other information described in the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 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The following table presents Amber DWM’s capitalization as of December 31, 2024 on an actual basis.</w:t>
      </w:r>
    </w:p>
    <w:p>
      <w:pPr>
        <w:spacing w:after="0" w:line="158"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should read this table together with our combined and consolidated financial statements and the related notes included elsewhere in this prospectus and the information under “Management’s Discussion and Analysis of Financial Condition and Results of Operations of Amber DWM” included in the proxy statement attached to the Company’s current report on </w:t>
      </w:r>
      <w:hyperlink r:id="rId29">
        <w:r>
          <w:rPr>
            <w:rFonts w:ascii="Times New Roman" w:cs="Times New Roman" w:eastAsia="Times New Roman" w:hAnsi="Times New Roman"/>
            <w:sz w:val="18"/>
            <w:szCs w:val="18"/>
            <w:u w:val="single" w:color="auto"/>
            <w:color w:val="0000EE"/>
          </w:rPr>
          <w:t>Form 6-K filed with SEC on December 19,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under “Results of Operations of Amber DWM” included in the transition report on Form 20-F filed with the SEC on June 12, 2025.</w:t>
      </w:r>
    </w:p>
    <w:p>
      <w:pPr>
        <w:spacing w:after="0" w:line="10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This table should be read in conjunction with Amber DWM’s financial statements and the notes thereto incorporated by reference herein and the accompanying prospectus.</w:t>
      </w:r>
    </w:p>
    <w:tbl>
      <w:tblPr>
        <w:tblLayout w:type="fixed"/>
        <w:tblInd w:w="1620" w:type="dxa"/>
        <w:tblCellMar>
          <w:top w:w="0" w:type="dxa"/>
          <w:left w:w="0" w:type="dxa"/>
          <w:bottom w:w="0" w:type="dxa"/>
          <w:right w:w="0" w:type="dxa"/>
        </w:tblCellMar>
      </w:tblPr>
      <w:tr>
        <w:trPr>
          <w:trHeight w:val="378"/>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(U.S. Dollars in</w:t>
            </w: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78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 payables</w:t>
            </w: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178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71,523</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78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80" w:type="dxa"/>
            <w:vAlign w:val="bottom"/>
          </w:tcPr>
          <w:p>
            <w:pPr>
              <w:spacing w:after="0"/>
              <w:rPr>
                <w:sz w:val="23"/>
                <w:szCs w:val="23"/>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99,564</w:t>
            </w:r>
          </w:p>
        </w:tc>
        <w:tc>
          <w:tcPr>
            <w:tcW w:w="2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vMerge w:val="continue"/>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78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780" w:type="dxa"/>
            <w:vAlign w:val="bottom"/>
            <w:shd w:val="clear" w:color="auto" w:fill="CCEEFF"/>
          </w:tcPr>
          <w:p>
            <w:pPr>
              <w:spacing w:after="0"/>
              <w:rPr>
                <w:sz w:val="23"/>
                <w:szCs w:val="23"/>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8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4"/>
            <w:shd w:val="clear" w:color="auto" w:fill="CCEEFF"/>
          </w:tcPr>
          <w:p>
            <w:pPr>
              <w:ind w:left="2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100,049</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8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1780" w:type="dxa"/>
            <w:vAlign w:val="bottom"/>
            <w:shd w:val="clear" w:color="auto" w:fill="CCEEFF"/>
          </w:tcPr>
          <w:p>
            <w:pPr>
              <w:spacing w:after="0"/>
              <w:rPr>
                <w:sz w:val="23"/>
                <w:szCs w:val="23"/>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1780" w:type="dxa"/>
            <w:vAlign w:val="bottom"/>
          </w:tcPr>
          <w:p>
            <w:pPr>
              <w:spacing w:after="0"/>
              <w:rPr>
                <w:sz w:val="23"/>
                <w:szCs w:val="23"/>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(36,890)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w:t>
            </w:r>
          </w:p>
        </w:tc>
        <w:tc>
          <w:tcPr>
            <w:tcW w:w="1780" w:type="dxa"/>
            <w:vAlign w:val="bottom"/>
            <w:shd w:val="clear" w:color="auto" w:fill="CCEEFF"/>
          </w:tcPr>
          <w:p>
            <w:pPr>
              <w:spacing w:after="0"/>
              <w:rPr>
                <w:sz w:val="23"/>
                <w:szCs w:val="23"/>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78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29,785</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78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4"/>
            <w:shd w:val="clear" w:color="auto" w:fill="CCEEFF"/>
          </w:tcPr>
          <w:p>
            <w:pPr>
              <w:ind w:left="28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129,834</w:t>
            </w:r>
          </w:p>
        </w:tc>
        <w:tc>
          <w:tcPr>
            <w:tcW w:w="80" w:type="dxa"/>
            <w:vAlign w:val="bottom"/>
            <w:shd w:val="clear" w:color="auto" w:fill="CCEEFF"/>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3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-196850</wp:posOffset>
            </wp:positionV>
            <wp:extent cx="4749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-1242695</wp:posOffset>
            </wp:positionV>
            <wp:extent cx="47491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-1928495</wp:posOffset>
            </wp:positionV>
            <wp:extent cx="47491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we plan to use the net proceeds from the sale of the securities for general corporate purposes. We will not receive proceeds from sales of securities by persons other than us except as may otherwise be stated in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including Class A ordinary shares represented by ADSs;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15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the preferred shares, subscription rights, warrants and units, or the Class A ordinary shares (including Class A ordinary shares represented by ADSs) that may be offered under this prospectus. The terms of the offering of securities, the initial offering price and the net proceeds to us will be contained in the prospectus supplement, and other offering material, relating to such offer. The supplement may also add, update or change information contained in this prospectus. You should carefully read this prospectus and any supplement before you invest in any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is a summary of the material terms of our memorandum and articles of association of and Cayman Islands corporate law regarding our ordinary shares and the holders thereof. This description contains all material information concerning our ordinary shares but does not purport to be complete and qualified in its entirety by the full text of memorandum and articles of association which is incorporated by reference into the registration statement of which this prospectus forms a part.</w:t>
      </w:r>
    </w:p>
    <w:p>
      <w:pPr>
        <w:spacing w:after="0" w:line="33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and our affairs are governed by our memorandum and articles of association, the Companies Act (Revised) of the Cayman Islands, which we refer to as the Companies Law below, and the common law of the Cayman Islands.</w:t>
      </w:r>
    </w:p>
    <w:p>
      <w:pPr>
        <w:spacing w:after="0" w:line="95"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 we are authorized to issue 1,300,000,000 shares, which consist of 1,191,000,000 Class A ordinary shares, 109,000,000 Class B ordinary shares, with a par value of US$0.001 each. As of the date of this prospectus, there are 468,414,626 ordinary shares outstanding, par value US$0.001 per share, being the sum of (i) 432,181,389 Class A ordinary shares, excluding the 2,961,634 Class A ordinary shares held by JPMorgan Chase Bank N.A., our depositary, underlying the share based awards reserved for issuance under our Post-IPO Plan or our 2018 Plan, and (ii) 36,233,237 Class B ordinary shares.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Tenth Amended and Restated Memorandum and Articles of Association</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In January 2025, the shareholders of our Company approved a special resolution to adopt the tenth amended and restated memorandum an articles of association, effective on March 12, 2025. The following are summaries of material provisions of our tenth amended and restated memorandum and articles of association, as well as the Companies Act (Revised) insofar as they relate to the material terms of our ordinary shares. You should read our tenth amended and restated memorandum an articles of association, which was filed as Exhibit 1.1 to our annual report on Form 20-F for the year ended December 31, 2024, filed with the SEC on April 29, 2025. For information on how to obtain copies of our tenth amended and restated memorandum an articles of association, see “Where You Can Find More Information About Us.”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ordinary shares are issued in registered form and are issued when registered in our register of members. Our shareholders who are non-residents of the Cayman Islands may freely hold and vote their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158" w:lineRule="exact"/>
        <w:rPr>
          <w:sz w:val="20"/>
          <w:szCs w:val="20"/>
          <w:color w:val="auto"/>
        </w:rPr>
      </w:pPr>
    </w:p>
    <w:p>
      <w:pPr>
        <w:ind w:left="1980" w:right="659" w:hanging="360"/>
        <w:spacing w:after="0" w:line="282"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2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Dividends may be declared and paid only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Companies Act.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our Company, and each Class B ordinary share shall be entitled to thirty (30) votes on all matters subject to vote at general meetings of our Company. Unless otherwise required under the laws of the Cayman Islands, Class A ordinary shares and Class B ordinary shares shall vote together as a single class.</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Voting at any meeting of shareholders is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authorised representative), or by proxy(ies) shall have one vote provided that where more than one proxy is appointed by a member which is a clearing house (or its nominee(s)), each such proxy shall have one vote on a show of hands. Procedural and administrative matters are those that (i) are not on the agenda of the general meeting or in any supplementary circular that may be issued by us to our member; and (ii) relate to the chairman’s duties to maintain the orderly conduct of the meeting and/or allow the business of the meeting to be properly and effectively dealt with, whilst allowing all members reasonable opportunity to express their views.</w:t>
      </w:r>
    </w:p>
    <w:p>
      <w:pPr>
        <w:spacing w:after="0" w:line="33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shareholders (or in the case of a shareholder being a corporation, its duly authorised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a simple majority of the votes cast by such shareholders as, being entitled to do so, vote in person or, where proxies are allowed, by proxy at a general meeting of the Company and in computing a majority where a poll is taken, regard shall be had to the number of votes to which each shareholder is entitled, while a special resolution requires a majority of not less than two-thirds of the votes of such shareholders as, being entitled to do so, vote in person or, where proxies are allowed, by proxy at a general meeting of the Company of which notice specifying the intention to propose the resolution as a special resolution has been duly given, and in computing a majority where a poll is taken, regard shall be had to the number of votes to which each shareholder is entitled. Both ordinary resolutions and special resolutions may also be passed by unanimous written resolutions signed by all the shareholders of our company and the effective date of the special resolution so adopted shall be the date on which the instrument or the last of such instruments, as permitted by the Companies Act and our tenth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Class B ordinary shares are convertible into Class A ordinary shares. Class B ordinary shares</w:t>
      </w:r>
    </w:p>
    <w:p>
      <w:pPr>
        <w:spacing w:after="0" w:line="16"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are subject to automatic conversion into Class A ordinary shares upon any sale, transfer, assignment or disposition of such Class B Ordinary Share by its registered holder or beneficial owner to any person who is not an affiliate of such registered holder or beneficial owner, or upon any event (including but not limited to any issuance of additional Class B Ordinary Shares by us) that causes the ultimate beneficial owner of such Class B Ordinary Share to cease to beneficially own more than 5% of our total outstanding Class B Ordinary Shares. The conversion may also occur at the option of the holders of the Class B ordinary shares on the business day on which a written notice is delivered to us at our Office (and as otherwise stated therein) stating that a holder of Class B Ordinary Shares elects to convert the number of Class B Ordinary Shares specified therein, pursuant to our tenth amended and restated memorandum and articles of association.</w:t>
      </w:r>
    </w:p>
    <w:p>
      <w:pPr>
        <w:spacing w:after="0" w:line="331"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Each Class B ordinary share is generally convertible into one Class A ordinary share, subject to any adjustment in accordance with our tenth amended and restated memorandum and articles of association. If the rate of conversion is not on a one for one basis, the conversion shall take effect in such manner permitted by law. However, if and when the nominal amount of one Class A ordinary share changes by reason of any consolidation or sub-division, the applicable conversion rate of Class B ordinary shares into Class A ordinary shares shall be adjusted by multiplying it by the revised nominal amount and dividing the result by the former nominal amount shall equal the quotient of the revised nominal amount, divided by the former nominal amount, of one Class A ordinary share.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any other form approved by our board of directors.</w:t>
      </w:r>
    </w:p>
    <w:p>
      <w:pPr>
        <w:spacing w:after="0" w:line="10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1" w:lineRule="exact"/>
        <w:rPr>
          <w:sz w:val="20"/>
          <w:szCs w:val="20"/>
          <w:color w:val="auto"/>
        </w:rPr>
      </w:pPr>
    </w:p>
    <w:p>
      <w:pPr>
        <w:jc w:val="both"/>
        <w:ind w:left="1800" w:right="4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8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w:t>
      </w:r>
    </w:p>
    <w:p>
      <w:pPr>
        <w:spacing w:after="0" w:line="16" w:lineRule="exact"/>
        <w:rPr>
          <w:sz w:val="20"/>
          <w:szCs w:val="20"/>
          <w:color w:val="auto"/>
        </w:rPr>
      </w:pPr>
    </w:p>
    <w:p>
      <w:pPr>
        <w:jc w:val="both"/>
        <w:ind w:left="1260" w:right="579"/>
        <w:spacing w:after="0" w:line="246" w:lineRule="auto"/>
        <w:rPr>
          <w:sz w:val="20"/>
          <w:szCs w:val="20"/>
          <w:color w:val="auto"/>
        </w:rPr>
      </w:pPr>
      <w:r>
        <w:rPr>
          <w:rFonts w:ascii="Times New Roman" w:cs="Times New Roman" w:eastAsia="Times New Roman" w:hAnsi="Times New Roman"/>
          <w:sz w:val="18"/>
          <w:szCs w:val="18"/>
          <w:color w:val="auto"/>
        </w:rPr>
        <w:t>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6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Subject to any special rights, privileges or restrictions as to the distribution of available surplus assets on liquidation for the time being attached to any class or classes of shares (i) if we shall be wound up and the assets available for distribution amongst our shareholders shall be more than sufficient to repay the whole of the capital paid up at the commencement of the winding up, the excess shall be distributed</w:t>
      </w:r>
    </w:p>
    <w:p>
      <w:pPr>
        <w:spacing w:after="0" w:line="2" w:lineRule="exact"/>
        <w:rPr>
          <w:sz w:val="20"/>
          <w:szCs w:val="20"/>
          <w:color w:val="auto"/>
        </w:rPr>
      </w:pPr>
    </w:p>
    <w:p>
      <w:pPr>
        <w:ind w:left="1260" w:right="979"/>
        <w:spacing w:after="0" w:line="243" w:lineRule="auto"/>
        <w:rPr>
          <w:sz w:val="20"/>
          <w:szCs w:val="20"/>
          <w:color w:val="auto"/>
        </w:rPr>
      </w:pPr>
      <w:r>
        <w:rPr>
          <w:rFonts w:ascii="Times New Roman" w:cs="Times New Roman" w:eastAsia="Times New Roman" w:hAnsi="Times New Roman"/>
          <w:sz w:val="18"/>
          <w:szCs w:val="18"/>
          <w:color w:val="auto"/>
        </w:rPr>
        <w:t>pari passu amongst such shareholders in proportion to the amount paid up on the shares held by them respectively and</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71" w:lineRule="auto"/>
        <w:tabs>
          <w:tab w:leader="none" w:pos="15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shall be wound up and the assets available for distribution amongst the shareholders as such shall be insufficient to repay the whole of the paid-up capital such assets shall be distributed so that, a nearly as may be, the losses shall be borne by the shareholders in proportion to the capital paid up, or which ought to have been paid up, at the commencement of the winding up on the shares held by them respectively.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Calls on Shares and Forfeiture of Shares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and each shareholder shall (subject to being given at least 14 clear days’ notice specifying the time and place of payment) pay us as required by such notice the amount called on his shares. A call may be extended, postponed or revoked in whole or in part as our board of directors determines but no member shall be entitled to any such extension, postponement or revocation except as a matter of grace and favour. A call shall be deemed to have been made at the time when the resolution of our board of directors authorising the call was passed and may be made payable either in one lump sum or by instalments.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16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board of directors may accept the surrender of any share liable to be forfeited hereunder and, in such case, references in our tenth amended and restated memorandum and articles of association to forfeiture will include surrender.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Act no such share may be redeemed or repurchased (a) unless it is fully paid up, (b) if such redemption or repurchase would result in there being no shares issued and outstanding, or (c) if we have commenced liquidation. In addition, our company may accept the surrender of any fully paid share for no consideration.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or any of the special rights for the time being attached to the shares or any class of shares may,</w:t>
      </w:r>
    </w:p>
    <w:p>
      <w:pPr>
        <w:spacing w:after="0" w:line="27"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w:t>
      </w:r>
    </w:p>
    <w:p>
      <w:pPr>
        <w:spacing w:after="0" w:line="2" w:lineRule="exact"/>
        <w:rPr>
          <w:sz w:val="20"/>
          <w:szCs w:val="20"/>
          <w:color w:val="auto"/>
        </w:rPr>
      </w:pPr>
    </w:p>
    <w:p>
      <w:pPr>
        <w:ind w:left="1260" w:right="639"/>
        <w:spacing w:after="0" w:line="276" w:lineRule="auto"/>
        <w:rPr>
          <w:sz w:val="20"/>
          <w:szCs w:val="20"/>
          <w:color w:val="auto"/>
        </w:rPr>
      </w:pPr>
      <w:r>
        <w:rPr>
          <w:rFonts w:ascii="Times New Roman" w:cs="Times New Roman" w:eastAsia="Times New Roman" w:hAnsi="Times New Roman"/>
          <w:sz w:val="18"/>
          <w:szCs w:val="18"/>
          <w:color w:val="auto"/>
        </w:rPr>
        <w:t>separate general meeting, all the provisions of these Articles relating to general meetings of the Company shall, mutatis mutandis, apply, but so that:</w:t>
      </w:r>
    </w:p>
    <w:p>
      <w:pPr>
        <w:spacing w:after="0" w:line="100" w:lineRule="exact"/>
        <w:rPr>
          <w:sz w:val="20"/>
          <w:szCs w:val="20"/>
          <w:color w:val="auto"/>
        </w:rPr>
      </w:pPr>
    </w:p>
    <w:p>
      <w:pPr>
        <w:ind w:left="1800" w:right="71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(whether at a separate general meeting or at its adjourned meeting) shall be two shareholders (or in the case of a shareholder being a corporation, its duly authorised representative);</w:t>
      </w:r>
    </w:p>
    <w:p>
      <w:pPr>
        <w:spacing w:after="0" w:line="295"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shares of the class shall be entitled on a poll to one vote for every share of such class held by him; and</w:t>
      </w:r>
    </w:p>
    <w:p>
      <w:pPr>
        <w:spacing w:after="0" w:line="80"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in person or by proxy or authorised representative may demand a poll.</w:t>
      </w:r>
    </w:p>
    <w:p>
      <w:pPr>
        <w:spacing w:after="0" w:line="81"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pari passu therewith.</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tenth amended and restated memorandum and articles of association authorizes our board of</w:t>
      </w:r>
    </w:p>
    <w:p>
      <w:pPr>
        <w:spacing w:after="0" w:line="27" w:lineRule="exact"/>
        <w:rPr>
          <w:sz w:val="20"/>
          <w:szCs w:val="20"/>
          <w:color w:val="auto"/>
        </w:rPr>
      </w:pPr>
    </w:p>
    <w:p>
      <w:pPr>
        <w:ind w:left="1260" w:right="599"/>
        <w:spacing w:after="0" w:line="276" w:lineRule="auto"/>
        <w:rPr>
          <w:sz w:val="20"/>
          <w:szCs w:val="20"/>
          <w:color w:val="auto"/>
        </w:rPr>
      </w:pPr>
      <w:r>
        <w:rPr>
          <w:rFonts w:ascii="Times New Roman" w:cs="Times New Roman" w:eastAsia="Times New Roman" w:hAnsi="Times New Roman"/>
          <w:sz w:val="18"/>
          <w:szCs w:val="18"/>
          <w:color w:val="auto"/>
        </w:rPr>
        <w:t>directors to issue additional ordinary shares from time to time as our board of directors shall determine, to the extent of available authorized but unissued shares.</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Our tenth amended and restated memorandum and articles of association also empowers our board of directors to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Act.</w:t>
      </w:r>
    </w:p>
    <w:p>
      <w:pPr>
        <w:spacing w:after="0" w:line="11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Issuance of these shares may dilute the voting power of holders of ordinary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 No shareholders (other than a director) shall have any right of inspecting any of our accounting record or book or document except as conferred by law or authorised by our Board or us in general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Some provisions of our tenth amended and restated memorandum and articles of association may discourage, delay or prevent a change in control of our company or management that shareholders may consider favorable, including provisions that authorize our board of directors to create and designate out of our unissued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our board of directors may determine.</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tenth amended and restated memorandum and articles of association, as amended and restated from time to time, for what they believe in good faith to be in the best interests of our company.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Meetings of Shareholders and Shareholder Proposals</w:t>
      </w:r>
    </w:p>
    <w:p>
      <w:pPr>
        <w:spacing w:after="0" w:line="14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Our shareholders’ general meetings may be held in such place within or outside the Cayman Islands as our board of directors considers appropriate.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exempted Cayman Islands company, we are not obliged by law to call shareholders’</w:t>
      </w:r>
    </w:p>
    <w:p>
      <w:pPr>
        <w:spacing w:after="0" w:line="1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annual general meetings. Our tenth amended and restated memorandum and articles of association provide that we shall in each calendar year hold a general meeting as our annual general meeting and shall specify the meeting as such in the notices calling it. The annual general meeting shall be held at such time and place as may be determined by the board of directors.</w:t>
      </w:r>
    </w:p>
    <w:p>
      <w:pPr>
        <w:spacing w:after="0" w:line="117"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shareholders (or in the case of a shareholder being a corporation, its duly authorised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6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registered as an exempted company. The requirements for an exempted company are essentially the same as for an ordinary company except that an exempted company:</w:t>
      </w:r>
    </w:p>
    <w:p>
      <w:pPr>
        <w:spacing w:after="0" w:line="40"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34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statutory provisions as to the required majority vote have been met;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308"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affected within</w:t>
      </w:r>
    </w:p>
    <w:p>
      <w:pPr>
        <w:spacing w:after="0" w:line="27"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 derivative action may 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349" w:lineRule="exact"/>
        <w:rPr>
          <w:sz w:val="20"/>
          <w:szCs w:val="20"/>
          <w:color w:val="auto"/>
        </w:rPr>
      </w:pPr>
    </w:p>
    <w:p>
      <w:pPr>
        <w:ind w:left="1980" w:right="6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the company or illegal, which is therefore incapable of ratification by the shareholders,</w:t>
      </w:r>
    </w:p>
    <w:p>
      <w:pPr>
        <w:spacing w:after="0" w:line="107" w:lineRule="exact"/>
        <w:rPr>
          <w:rFonts w:ascii="Times New Roman" w:cs="Times New Roman" w:eastAsia="Times New Roman" w:hAnsi="Times New Roman"/>
          <w:sz w:val="18"/>
          <w:szCs w:val="18"/>
          <w:color w:val="auto"/>
        </w:rPr>
      </w:pPr>
    </w:p>
    <w:p>
      <w:pPr>
        <w:ind w:left="1980" w:right="87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 or</w:t>
      </w:r>
    </w:p>
    <w:p>
      <w:pPr>
        <w:spacing w:after="0" w:line="107"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requires a resolution with a qualified (or special) majority (i.e. more than a simple majority) which has not been obtained.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tenth amended and restated memorandum and articles of association require us to indemnify our officers and directors for actions, costs, charges, losses, damages, and expenses incurred in their capacities as such unless such losses or damages arise from fraud or dishonesty of such directors or officers. This standard of conduct is generally the same as permitted under the Delaware General Corporation Law for a Delaware corporation.</w:t>
      </w:r>
    </w:p>
    <w:p>
      <w:pPr>
        <w:spacing w:after="0" w:line="11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we will enter into indemnification agreements with our directors and executive officers that provide such persons with additional indemnification beyond that provided in our current amended and restated memorandum and articles of association.</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w:t>
      </w:r>
    </w:p>
    <w:p>
      <w:pPr>
        <w:spacing w:after="0" w:line="27"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62"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tenth amended and restated memorandum and articles of association provide that shareholders may approve corporate matters by way of a unanimous written resolution signed by or on behalf of each shareholder who would have been entitled to receive notice of and to attend and vote at our general meetings.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62"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tenth amended and restated memorandum and articles of association do not provide for cumulative voting. As a result, our shareholders are not afforded any less protections or rights on this issue than shareholders of a Delaware corporation.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62" w:lineRule="exact"/>
        <w:rPr>
          <w:sz w:val="20"/>
          <w:szCs w:val="20"/>
          <w:color w:val="auto"/>
        </w:rPr>
      </w:pPr>
    </w:p>
    <w:p>
      <w:pPr>
        <w:ind w:left="1260" w:right="459" w:firstLine="360"/>
        <w:spacing w:after="0" w:line="270"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tenth amended and restated memorandum and articles of association, directors may be removed with or without cause, by an ordinary resolution of our shareholders with or without cause or by our directors for cause.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w:t>
      </w:r>
    </w:p>
    <w:p>
      <w:pPr>
        <w:spacing w:after="0" w:line="27" w:lineRule="exact"/>
        <w:rPr>
          <w:sz w:val="20"/>
          <w:szCs w:val="20"/>
          <w:color w:val="auto"/>
        </w:rPr>
      </w:pPr>
    </w:p>
    <w:p>
      <w:pPr>
        <w:ind w:left="1260" w:right="499"/>
        <w:spacing w:after="0" w:line="262" w:lineRule="auto"/>
        <w:rPr>
          <w:sz w:val="20"/>
          <w:szCs w:val="20"/>
          <w:color w:val="auto"/>
        </w:rPr>
      </w:pPr>
      <w:r>
        <w:rPr>
          <w:rFonts w:ascii="Times New Roman" w:cs="Times New Roman" w:eastAsia="Times New Roman" w:hAnsi="Times New Roman"/>
          <w:sz w:val="18"/>
          <w:szCs w:val="18"/>
          <w:color w:val="auto"/>
        </w:rPr>
        <w:t>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15"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48" w:lineRule="exact"/>
        <w:rPr>
          <w:sz w:val="20"/>
          <w:szCs w:val="20"/>
          <w:color w:val="auto"/>
        </w:rPr>
      </w:pPr>
    </w:p>
    <w:p>
      <w:pPr>
        <w:ind w:left="1260" w:right="519" w:firstLine="360"/>
        <w:spacing w:after="0" w:line="269"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0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tenth amended and restated memorandum and articles of association, our company may be dissolved, liquidated or wound up by a special resolution of our shareholders.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62"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tenth amended and restated amendment and articles of association, if our share capital is divided into more than one class of shares, we may vary the rights attached to any class with the sanction of a special resolution at a separate meeting of the holders of the shares of that class.</w:t>
      </w: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Cayman Islands law, our tenth amended and restated memorandum and articles of association may only be amended with a special resolution.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There are no limitations imposed by our tenth amended and restated memorandum and articles of association on the rights of non-resident or foreign shareholders to hold or exercise voting rights on our shares. In addition, there are no provisions in our tenth amended and restated memorandum and articles of association governing the ownership threshold above which shareholder ownership must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JPMorgan Chase Bank, N.A., as depositary will issue the ADSs which you will be entitled to receive in this offering. Each ADS will represent an ownership interest in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New York 10179.</w:t>
      </w:r>
    </w:p>
    <w:p>
      <w:pPr>
        <w:spacing w:after="0" w:line="144"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34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52" w:lineRule="exact"/>
        <w:rPr>
          <w:sz w:val="20"/>
          <w:szCs w:val="20"/>
          <w:color w:val="auto"/>
        </w:rPr>
      </w:pPr>
    </w:p>
    <w:p>
      <w:pPr>
        <w:ind w:left="1800" w:right="499" w:hanging="180"/>
        <w:spacing w:after="0" w:line="255"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distribute any U.S. dollars available to it resulting from a cash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cash distribution or the net proceeds of sales of any other distribution or portion thereof (to the extent applicable), on an averaged or other practicable basis, subject to (i) appropriate adjustments for taxes withheld, (ii) such distribution being permissible or practicable with respect to certain registered ADR holders, and (iii) deduction of the depositary’s and/or its agents’ expenses in</w:t>
      </w:r>
    </w:p>
    <w:p>
      <w:pPr>
        <w:ind w:left="1800" w:right="459"/>
        <w:spacing w:after="0" w:line="251" w:lineRule="auto"/>
        <w:tabs>
          <w:tab w:leader="none" w:pos="20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8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the case of a distribution in shares, the depositary will issue additional ADRs to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ADSs representing such shares. Only whole ADSs will be issued. Any shares which would result in fractional ADSs will be sold and the net proceeds will be distributed in the same manner as cash to the ADR holders entitled thereto.</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to receive additional shares</w:t>
      </w:r>
      <w:r>
        <w:rPr>
          <w:rFonts w:ascii="Times New Roman" w:cs="Times New Roman" w:eastAsia="Times New Roman" w:hAnsi="Times New Roman"/>
          <w:sz w:val="18"/>
          <w:szCs w:val="18"/>
          <w:color w:val="auto"/>
        </w:rPr>
        <w:t>. In the case of a distribution of rights to subscribe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117"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80" w:lineRule="exact"/>
        <w:rPr>
          <w:rFonts w:ascii="Times New Roman" w:cs="Times New Roman" w:eastAsia="Times New Roman" w:hAnsi="Times New Roman"/>
          <w:sz w:val="18"/>
          <w:szCs w:val="18"/>
          <w:color w:val="auto"/>
        </w:rPr>
      </w:pPr>
    </w:p>
    <w:p>
      <w:pPr>
        <w:ind w:left="2340" w:right="479" w:hanging="360"/>
        <w:spacing w:after="0" w:line="266" w:lineRule="auto"/>
        <w:tabs>
          <w:tab w:leader="none" w:pos="23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therefore , their short duration or otherwise, do nothing and allow such rights to lapse, in which case ADR holders will receive nothing and the rights may lapse.</w:t>
      </w:r>
    </w:p>
    <w:p>
      <w:pPr>
        <w:spacing w:after="0" w:line="6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Distributions. </w:t>
      </w:r>
      <w:r>
        <w:rPr>
          <w:rFonts w:ascii="Times New Roman" w:cs="Times New Roman" w:eastAsia="Times New Roman" w:hAnsi="Times New Roman"/>
          <w:sz w:val="18"/>
          <w:szCs w:val="18"/>
          <w:color w:val="auto"/>
        </w:rPr>
        <w:t>In the case of a distribution of securities or property other than those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1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p>
    <w:p>
      <w:pPr>
        <w:spacing w:after="0" w:line="11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95"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depositary is not responsible if it fails to determine that any distribution or action is lawful or reasonably practicable.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w:t>
      </w:r>
    </w:p>
    <w:p>
      <w:pPr>
        <w:spacing w:after="0" w:line="27"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specified exchange rate or sell any property, rights, shares or other securities at a specified price, nor that any of such transactions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w:t>
      </w:r>
    </w:p>
    <w:p>
      <w:pPr>
        <w:spacing w:after="0" w:line="27"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delivery documentation and shall, at the time of such deposit, be registered in the name of JPMorgan Chase Bank, N.A., as depositary for the benefit of holders of ADRs or in such other name as the depositary shall direct.</w:t>
      </w:r>
    </w:p>
    <w:p>
      <w:pPr>
        <w:spacing w:after="0" w:line="11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w:t>
      </w:r>
    </w:p>
    <w:p>
      <w:pPr>
        <w:spacing w:after="0" w:line="16"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04" w:lineRule="exact"/>
        <w:rPr>
          <w:sz w:val="20"/>
          <w:szCs w:val="20"/>
          <w:color w:val="auto"/>
        </w:rPr>
      </w:pPr>
    </w:p>
    <w:p>
      <w:pPr>
        <w:ind w:left="1800" w:right="7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w:t>
      </w:r>
    </w:p>
    <w:p>
      <w:pPr>
        <w:spacing w:after="0" w:line="27"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applicable, shall be as near as practicable to any corresponding record dates set by us) for the determination of the registered ADR holders who will be entitled (or obligated, as the case may be):</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to receive any distribution on or in respect of deposited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or be obligated in respect of other matters, all subject to the provisions of the deposit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48"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thirty (30) days prior to the date of such vote or meeting, the depositary shall, at our expense, distribute to the registered ADR holders a notice stating final information particular to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forty</w:t>
      </w:r>
    </w:p>
    <w:p>
      <w:pPr>
        <w:spacing w:after="0" w:line="4" w:lineRule="exact"/>
        <w:rPr>
          <w:sz w:val="20"/>
          <w:szCs w:val="20"/>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 of a proposed meeting, the voting notice will be received by all holders no less than ten</w:t>
      </w:r>
    </w:p>
    <w:p>
      <w:pPr>
        <w:spacing w:after="0" w:line="9" w:lineRule="exact"/>
        <w:rPr>
          <w:rFonts w:ascii="Times New Roman" w:cs="Times New Roman" w:eastAsia="Times New Roman" w:hAnsi="Times New Roman"/>
          <w:sz w:val="18"/>
          <w:szCs w:val="18"/>
          <w:color w:val="auto"/>
        </w:rPr>
      </w:pPr>
    </w:p>
    <w:p>
      <w:pPr>
        <w:ind w:left="1260" w:right="439"/>
        <w:spacing w:after="0" w:line="251" w:lineRule="auto"/>
        <w:tabs>
          <w:tab w:leader="none" w:pos="16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of the meeting and/or the cut-off date for the solicitation of consents, and the depositary does not receive instructions on a particular agenda item from a holder (including, without limitation, any entity or entities acting on behalf of the nominee for DTC) in a timely manner, such holder shall be deemed, and in the deposit agreement the depositary is instructed to deem such holder, to have instructed the depositary to give a discretionary proxy for such agenda item(s) to a person designated by us to vote the shares represented by their ADSs for which actual instructions were not so give by all such holders on such agenda item(s), provided that no such instruction shall be deemed given and no discretionary proxy shall be given unless (a) we informs the depositary in writing that (i) we wish such proxy to be given with respect to such agenda item(s), (ii) there is no substantial opposition existing with respect to such agenda item(s) and (iii) the agenda item(s), if approved, would not materially or adversely affect the rights of holders of shares, and (b) the depositary has obtained an opinion of our counsel, in form and substance satisfactory to the depositary, confirming that (a) the granting of such discretionary proxy does not subject the depositary to any reporting obligations in the Cayman Islands, (b) the granting of such proxy will not result in a violation of the laws, rules, regulations or permits of the Cayman Island, (c) the voting arrangement and deemed instruction as contemplated herein will be given effect under the laws, rules and regulations of the Cayman Island, and (d) the granting of such discretionary proxy will not under any circumstances result in the shares represented by the ADSs being treated as assets of the Depositary under the laws, rules or regulations of the Cayman Islands.</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any law, rule or regulations or by the rules, regulations or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or on the withdrawal of any other demand for a poll) demanded.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14"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10"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a fee of up to $ 5.00 for each 100 ADSs (or any portion thereof) issued, delivered, reduced, cancelled or surrendered, or upon which a share distribution or elective distribution as made or offered as the case may be. The depositary may sell (by public or private sale) sufficient securities and property received in respect of a share distribution, rights and/or other distribution prior to such deposit to pay such charge.</w:t>
      </w:r>
    </w:p>
    <w:p>
      <w:pPr>
        <w:spacing w:after="0" w:line="33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following additional fees, charges and expenses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69" w:lineRule="exact"/>
        <w:rPr>
          <w:sz w:val="20"/>
          <w:szCs w:val="20"/>
          <w:color w:val="auto"/>
        </w:rPr>
      </w:pPr>
    </w:p>
    <w:p>
      <w:pPr>
        <w:ind w:left="1800" w:right="6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any cash distribution made, or for any elective cash/stock dividend offered, pursuant to the deposit agreement;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held for the direct or indirect distribution of securities or the net cash proceeds from the public or private sale of any such securities, regardless of whether any such distribution and/or sale is made by, for, or received from, or (in each case) on behalf of, the depositary, us and/or any third party (which fee may be assessed against ADR holders as of a record date set by the depositary);</w:t>
      </w:r>
    </w:p>
    <w:p>
      <w:pPr>
        <w:spacing w:after="0" w:line="75" w:lineRule="exact"/>
        <w:rPr>
          <w:rFonts w:ascii="Times New Roman" w:cs="Times New Roman" w:eastAsia="Times New Roman" w:hAnsi="Times New Roman"/>
          <w:sz w:val="18"/>
          <w:szCs w:val="18"/>
          <w:color w:val="auto"/>
        </w:rPr>
      </w:pPr>
    </w:p>
    <w:p>
      <w:pPr>
        <w:ind w:left="1800" w:right="579" w:hanging="180"/>
        <w:spacing w:after="0" w:line="259"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at the sole discretion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19"/>
        <w:spacing w:after="0" w:line="282" w:lineRule="auto"/>
        <w:rPr>
          <w:sz w:val="20"/>
          <w:szCs w:val="20"/>
          <w:color w:val="auto"/>
        </w:rPr>
      </w:pPr>
      <w:r>
        <w:rPr>
          <w:rFonts w:ascii="Times New Roman" w:cs="Times New Roman" w:eastAsia="Times New Roman" w:hAnsi="Times New Roman"/>
          <w:sz w:val="18"/>
          <w:szCs w:val="18"/>
          <w:color w:val="auto"/>
        </w:rPr>
        <w:t>of the depositary by billing such holders or by deducting such charge from one or more cash dividends or other cash distributions);</w:t>
      </w:r>
    </w:p>
    <w:p>
      <w:pPr>
        <w:spacing w:after="0" w:line="40" w:lineRule="exact"/>
        <w:rPr>
          <w:sz w:val="20"/>
          <w:szCs w:val="20"/>
          <w:color w:val="auto"/>
        </w:rPr>
      </w:pPr>
    </w:p>
    <w:p>
      <w:pPr>
        <w:ind w:left="1800" w:right="439" w:hanging="180"/>
        <w:spacing w:after="0" w:line="25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for the reimbursement of such charges and expenses as are incurred by the depositary and/or any of its agents (including, without limitation, the custodian, as well as charges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charges and expenses may be assessed on a proportionate basis against holders as of the record date or dates set by the depositary and shall be payable at the sole discretion of the depositary by billing such holders or by deducting such charge or expense from one or more cash dividends or other cash distributions);</w:t>
      </w:r>
    </w:p>
    <w:p>
      <w:pPr>
        <w:spacing w:after="0" w:line="86"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 (which are payable by ADR holders or persons depositing Shares);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59"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fee per cancellation request (including any cancellation request made through SWIFT, facsimile transmission or any other method of communication) as disclosed on the “Disclosures” page (or successor page) of www.adr.com (as updated by the depositary from time to time, “ADR.com”) and any applicable delivery expenses (which are payable by such persons or ADR holders); and</w:t>
      </w:r>
    </w:p>
    <w:p>
      <w:pPr>
        <w:spacing w:after="0" w:line="281"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(which are payable by persons depositing Shares or holders withdrawing deposited securities).</w:t>
      </w:r>
    </w:p>
    <w:p>
      <w:pPr>
        <w:spacing w:after="0" w:line="108"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JPMorgan and/or its agent may act as principal for such conversion of foreign currency. For further details see https://www.adr.com.</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pay all other fees,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If any tax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or owned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2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89"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158"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facsimile transmission or any other method of communication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an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depositary shall, at any time at our written direction, terminate the deposit agreement by mailing notice of such termination to the ADRs holders at least thirty (30) days prior to the termination date. The depositary may also terminate the deposit agreement by mailing notice of such termination to the registered holders of ADRs at least thirty (30) days prior to the termination date if (A) sixty (60) days shall have expired after the resignation notice date and a successor depositary shall not be operating under the deposit agreement, (B) sixty (60) days shall have expired after the removal notice date and a successor depositary shall not be operating under the deposit agreement, (C) the Company is bankrupt, in liquidation proceedings or insolvent, (D) the ADRs are delisted from a “national securities exchange” (that​ has registered with the Commission under Section 6 of the Securities Exchange Act of 1934), (E) the Company effects (or will effect) a redemption of all or substantially all of the deposited securities, or a cash or share distribution representing a return of all or substantially all of the value of the Deposited Securities, (F) there are no Deposited Securities with respect to ADSs remaining, including if the Deposited Securities are cancelled, or the Deposited Securities have been deemed to have no value, or (G) there occurs a merger, consolidation, sale of assets or other transaction as a result of which securities or other property are delivered in exchange for or in lieu of deposited securities. After the termination date, (a) the depositary and its agents will perform no further acts under the deposit agreement and this ADR, except to receive and hold (or sell) distributions on deposited securities, deliver deposited securities being withdrawn (b)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pro rata benefit of the ADRs holders entitled thereto and (c) the depositary shall use its reasonable efforts to ensure that the ADSs cease to be DTC eligible and that neither DTC nor any of its nominees shall thereafter be a registered holder of ADRs. At such time as the ADSs cease to be DTC eligible and/or neither DTC nor any of its nominees is a registered holder of ADRs, the depositary shall (A) cancel this ADR and all other outstanding ADRs, (B) request DTC to provide the depositary with information on those holding ADSs through DTC and, upon receipt thereof, revise the ADR Register to reflect the information provided by DTC, (c) instruct its custodian to deliver all shares to us, our subsidiary or affiliate or registered office provider or an independent trust company engaged by us to hold those deposited securities in trust for the beneficial owners of the ADRs if the Company is not permitted to hold any of the deposited securities under applicable law and/or the Company has directed the depositary to deliver such deposited Securities along with a stock transfer form and/or such other instruments of transfer covering such deposited securities as are needed under applicable law and</w:t>
      </w:r>
    </w:p>
    <w:p>
      <w:pPr>
        <w:spacing w:after="0" w:line="223" w:lineRule="exact"/>
        <w:rPr>
          <w:sz w:val="20"/>
          <w:szCs w:val="20"/>
          <w:color w:val="auto"/>
        </w:rPr>
      </w:pPr>
    </w:p>
    <w:p>
      <w:pPr>
        <w:ind w:left="1260" w:right="419"/>
        <w:spacing w:after="0" w:line="241" w:lineRule="auto"/>
        <w:tabs>
          <w:tab w:leader="none" w:pos="15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with a copy of the ADR register maintained by the depositary. Upon receipt of any instrument of transfer covering such deposited securities, any applicable share certificate or indemnity for lost share certificate and the ADR Register, we have agreed to (I) approve the transfer of the deposited securities previously represented by their ADRs to the persons listed on the ADR Register (as applicable), (II) procure the relevant updates to the register of members of the Company to reflect the transfer of the deposited securities previously represented by their ADRs to the persons listed on the ADR Register (as applicable) and (III) provide the depositary with a certified copy of the updated register of members of the Company.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25"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78"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 up, combination, or cancellation of any ADRs, or the delivery of any distribution in respect thereof, and from time to time in the case of the production of proofs as described below, we or the depositary or its custodian may require:</w:t>
      </w:r>
    </w:p>
    <w:p>
      <w:pPr>
        <w:spacing w:after="0" w:line="82" w:lineRule="exact"/>
        <w:rPr>
          <w:sz w:val="20"/>
          <w:szCs w:val="20"/>
          <w:color w:val="auto"/>
        </w:rPr>
      </w:pPr>
    </w:p>
    <w:p>
      <w:pPr>
        <w:ind w:left="1800" w:right="43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w:t>
      </w:r>
    </w:p>
    <w:p>
      <w:pPr>
        <w:spacing w:after="0" w:line="27" w:lineRule="exact"/>
        <w:rPr>
          <w:rFonts w:ascii="Times New Roman" w:cs="Times New Roman" w:eastAsia="Times New Roman" w:hAnsi="Times New Roman"/>
          <w:sz w:val="18"/>
          <w:szCs w:val="18"/>
          <w:color w:val="auto"/>
        </w:rPr>
      </w:pPr>
    </w:p>
    <w:p>
      <w:pPr>
        <w:ind w:left="1800" w:right="9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agreement or as the depositary believes are required, necessary or advisable in order to comply with applicable laws, rules and regulations.</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and delivery of shares, may be suspended, generally or in particular instances, when the ADR register or any register for deposited securities is closed or when any such action is deemed required, necessary or advisable by the depositary for any reason;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2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69" w:lineRule="exact"/>
        <w:rPr>
          <w:sz w:val="20"/>
          <w:szCs w:val="20"/>
          <w:color w:val="auto"/>
        </w:rPr>
      </w:pPr>
    </w:p>
    <w:p>
      <w:pPr>
        <w:ind w:left="1800" w:right="459" w:hanging="180"/>
        <w:spacing w:after="0" w:line="25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exercises or fails to exercise discretion under the deposit agreement or the ADRs</w:t>
      </w:r>
    </w:p>
    <w:p>
      <w:pPr>
        <w:spacing w:after="0" w:line="27" w:lineRule="exact"/>
        <w:rPr>
          <w:rFonts w:ascii="Times New Roman" w:cs="Times New Roman" w:eastAsia="Times New Roman" w:hAnsi="Times New Roman"/>
          <w:sz w:val="18"/>
          <w:szCs w:val="18"/>
          <w:color w:val="auto"/>
        </w:rPr>
      </w:pPr>
    </w:p>
    <w:p>
      <w:pPr>
        <w:ind w:left="180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without limitation, any failure to determine that any distribution or action may be lawful or reasonably practicable;</w:t>
      </w:r>
    </w:p>
    <w:p>
      <w:pPr>
        <w:spacing w:after="0" w:line="7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performs its obligations under the deposit agreement and ADRs without gross negligence or willful misconduct;</w:t>
      </w:r>
    </w:p>
    <w:p>
      <w:pPr>
        <w:spacing w:after="0" w:line="5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6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relies upon any written notice, request, direction, instruction or document believed by it to be genuine and to have been signed, presented or given by the proper party or parties.</w:t>
      </w:r>
    </w:p>
    <w:p>
      <w:pPr>
        <w:spacing w:after="0" w:line="9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 deposited securities or the ADRs. We and our agents shall only be obligated to appear in, prosecute or defend any action, suit or other proceeding in respect of any deposited securities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the custodian has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pricing, proxy voting, corporate actions, class action litigation and other services in connection with the ADRs and the deposit agreement, and use local agents to provide extraordinary services such as attendance at annual meetings of issuers of securities.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public or private sale of securities,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200" w:lineRule="exact"/>
        <w:rPr>
          <w:sz w:val="20"/>
          <w:szCs w:val="20"/>
          <w:color w:val="auto"/>
        </w:rPr>
      </w:pPr>
    </w:p>
    <w:p>
      <w:pPr>
        <w:spacing w:after="0" w:line="38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depositary has no obligation to inform ADR holders about the requirements of Cayman Islands or People’s Republic of China law, rules or regulations or any changes therein or thereto.</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2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21"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2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Beneficial Owner, upon acceptance of any ADSs (or any interest in any of them) issued in accordance with the terms and conditions of the deposit agreement will be deemed for all purposes to:</w:t>
      </w:r>
    </w:p>
    <w:p>
      <w:pPr>
        <w:spacing w:after="0" w:line="81"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 and</w:t>
      </w:r>
    </w:p>
    <w:p>
      <w:pPr>
        <w:spacing w:after="0" w:line="144"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the United States and/or any other court of competent jurisdiction, (ii) the depositary may, in its sole discretion, elect to institute any action, controversy, claim or dispute directly or indirectly based on, arising out of or relating to the deposit agreement or the ADRs or the transactions contemplated herein, therein, hereby or thereby, including without limitation any question regarding its or their existence, validity, interpretation, performance or termination, against any other party or parties to the deposit agreement (including, without limitation, against ADR holders and Beneficial Owners), by having the matter referred to and finally resolved by an arbitration conducted under the terms described below, and (iii) the depositary may in its sole discretion require that any dispute brought against the depositary by any party or parties to the deposit agreement (including, without limitation, by ADR holders and Beneficial Owners) be referred to and finally settled by an arbitration conducted 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By holding or owning an ADR or ADS or an interest therein, registered holders of ADRs and Beneficial Owners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that it may have to the laying of venue of any such proceeding, and irrevocably submits to the non-exclusive jurisdiction of such courts in any such suit,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authorized, subject to any limitations prescribed by law, without further vote or action by the shareholders, to issue from time to time shares of preferred shares in one or more series. Each such series of preferred shares shall have such number of shares, designations, preferences, voting powers, qualifications, and special or relative rights or privileges as shall be determined by the board of directors, which may include, among others, dividend rights, voting rights, liquidation preferences, conversion rights and preemptive rights. Issuance of preferred shares by our board of directors may result in such shares having dividend and/or liquidation preferences senior to the rights of the holders of our ordinary shares and could dilute the voting rights of the holders of our ordinary shares.</w:t>
      </w:r>
    </w:p>
    <w:p>
      <w:pPr>
        <w:spacing w:after="0" w:line="12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shall fix for each class or series the designations, powers, preferences, rights, qualifications, limitations and restrictions, including, but not limited to, some or all of the following:</w:t>
      </w:r>
    </w:p>
    <w:p>
      <w:pPr>
        <w:spacing w:after="0" w:line="54" w:lineRule="exact"/>
        <w:rPr>
          <w:sz w:val="20"/>
          <w:szCs w:val="20"/>
          <w:color w:val="auto"/>
        </w:rPr>
      </w:pPr>
    </w:p>
    <w:p>
      <w:pPr>
        <w:ind w:left="1800" w:right="9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71" w:lineRule="exact"/>
        <w:rPr>
          <w:rFonts w:ascii="Times New Roman" w:cs="Times New Roman" w:eastAsia="Times New Roman" w:hAnsi="Times New Roman"/>
          <w:sz w:val="18"/>
          <w:szCs w:val="18"/>
          <w:color w:val="auto"/>
        </w:rPr>
      </w:pPr>
    </w:p>
    <w:p>
      <w:pPr>
        <w:jc w:val="both"/>
        <w:ind w:left="1800" w:right="61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71"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71"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may issue subscription rights to purchase our ordinary shares and/or our ADSs.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54"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each ordinary share and/or ADS upon the exercise of the subscription rights;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shareholder;</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the ordinary shares and/or ADSs which may be purchased per each subscription right;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8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 agreement, which will be filed with the SEC if we offer subscription rights and will be subject to the Company’s memorandum and articles of association. For more information on how you can obtain copies of the applicable subscription right agreement if we offer subscription rights, see “Where You Can Find More Information” beginning on page 48 and “Incorporation of Documents by Reference” beginning on page 2. We urge you to read the applicable subscription right agreement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shares of ordinary shares, ADSs or preferred shares in one or more series.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 in respect of which this prospectus is being delivered:</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 and exercised;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such warrants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purchasable upon exercise of such warrants;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exercise at one time;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Cayman Islands and United States federal income tax consequences,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 and</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9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the applicable warrant agreement and warrant certificate if we offer warrants, see “Where You Can Find More Information” beginning on page 48 and “Incorporation of Documents by Reference” beginning on page 2. We urge you to read the applicable warrant agreement and warrant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117" w:lineRule="exact"/>
        <w:rPr>
          <w:sz w:val="20"/>
          <w:szCs w:val="20"/>
          <w:color w:val="auto"/>
        </w:rPr>
      </w:pPr>
    </w:p>
    <w:p>
      <w:pPr>
        <w:ind w:left="1800" w:right="6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 unit agreement under which the units will be issued;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4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 For more information on how you can obtain copies of the applicable unit agreement if we offer units, see “Where You Can Find More Information” beginning on page 48 and “Incorporation of Documents by Reference” beginning on page 2. We urge you to read the applicable unit agreement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w:t>
      </w:r>
    </w:p>
    <w:p>
      <w:pPr>
        <w:spacing w:after="0" w:line="117"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on a firm commitment or agency basis;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the securities;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dealers, who may act as agents or principals, including a block trade (which may involve crosses) in which a broker or dealer so engaged will attempt to sell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privately negotiated transactions;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through a specific bidding or auction process, on a negotiated basis or otherwise; to or through one or more underwriters on a firm commitment or best efforts basis;</w:t>
      </w:r>
    </w:p>
    <w:p>
      <w:pPr>
        <w:spacing w:after="0" w:line="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distributions and/or secondary distributions;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not involving market makers or established trading markets, including direct sales or privately negotiated transactions;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options, swaps or other derivatives that may or may not be listed on an exchange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distribution of securities may be affected from time to time in one or more transactions, including block transactions and transactions on the Nasdaq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Any dealers and agents participating in the distribution of the securities may be deemed to be underwriters, and compensation received by them on resale of the securities may be deemed to be underwriting discounts. If any such dealers or agents were deemed to be underwriters, they may be subject to statutory liabilities under the Securities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3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To the extent that we make sales to or through one or more underwriters or agents in at-the-market offerings, we will do so pursuant to the terms of a distribution agreement between us and the underwriters or agents. If we engage in at-the-market sales pursuant to a distribution agreement, we will sell any of our listed securities to or through one or more underwriters or agents, which may act on an agency basis or on a principal basis. During the term of any such agreement, we may sell any of our listed securities on a daily basis in exchange transactions or otherwise as we agree with the underwriters or agents. The distribution agreement will provide that any of our listed securities which are sold will be sold at prices related to the then prevailing market prices for our listed securities. Therefore, exact figures regarding proceeds that will be raised or commissions to be paid cannot be determined at this time and will be described in a prospectus supplement. Pursuant to the terms of the distribution agreement, we also may agree to sell, and the relevant underwriters or agents may agree to solicit offers to purchase, blocks of our listed securities. The terms of each such distribution agreement will be set forth in more detail in a prospectus supplement to this prospectus.</w:t>
      </w:r>
    </w:p>
    <w:p>
      <w:pPr>
        <w:spacing w:after="0" w:line="33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prospectus supplement will be used by the underwriters to resell the securities.</w:t>
      </w:r>
    </w:p>
    <w:p>
      <w:pPr>
        <w:spacing w:after="0" w:line="329"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2" w:lineRule="exact"/>
        <w:rPr>
          <w:sz w:val="20"/>
          <w:szCs w:val="20"/>
          <w:color w:val="auto"/>
        </w:rPr>
      </w:pPr>
    </w:p>
    <w:p>
      <w:pPr>
        <w:jc w:val="both"/>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the indemnification or contribution.</w:t>
      </w:r>
    </w:p>
    <w:p>
      <w:pPr>
        <w:spacing w:after="0" w:line="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Some of the agents, underwriters or dealers, or their affiliates may be customers of, engage in transactions with or perform services for us or our subsidiaries.</w:t>
      </w:r>
    </w:p>
    <w:p>
      <w:pPr>
        <w:spacing w:after="0" w:line="10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registered under the registration statement that includes this prospectus will be subject to applicable provisions of the Securities Exchange Act of 1934, as amended, or the Exchange Act, and the applicable SEC rules and regulations, including, among others, Regulation M, which may limit the timing of purchases and sales of any of our securities by that person. Furthermore, Regulation M may restrict the ability of any person engaged in the distribution of our securities to engage in market-making activities with respect to our securities. These restrictions may affect the marketability of our securities and the ability of any person or entity to engage in market-making activities with respect to our securities.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penalty bids and other transactions that stabilize, maintain, or otherwise affect the price of the offered securities. These activities may maintain the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69" w:lineRule="exact"/>
        <w:rPr>
          <w:sz w:val="20"/>
          <w:szCs w:val="20"/>
          <w:color w:val="auto"/>
        </w:rPr>
      </w:pPr>
    </w:p>
    <w:p>
      <w:pPr>
        <w:ind w:left="1800" w:right="7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stabilizing bid means the placing of any bid, or the effecting of any purchase, for the purpose of pegging, fixing, or maintaining the price of a security.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7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281"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These transactions may be affected on an exchange or automated quotation system, if the securities are listed on that exchange or admitted for trading on that automated quotation system, or in the over-the-counter market or otherwise.</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indicated in the applicable prospectus supplement, we will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14"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In addition, ordinary shares, ADSs or warrants may be issued upon conversion of or in exchange preferred shares or other securities.</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national securities exchange. No assurance can be given that there will be a market for the offered securities.</w:t>
      </w:r>
    </w:p>
    <w:p>
      <w:pPr>
        <w:spacing w:after="0" w:line="11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Any securities that qualify for sale pursuant to Rule 144 or Regulation S under the Securities Act, may be sold under Rule 144 or Regulation S rather than pursuant to this prospectus.</w:t>
      </w:r>
    </w:p>
    <w:p>
      <w:pPr>
        <w:spacing w:after="0" w:line="9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such third parties (or affiliates of such third parties) may sell securities covered by this prospectus and the applicable prospectus supplement, including in short sale transactions. If so, such third parties (or affiliates of such third parties)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parties (or affiliates of such third parties) in such sale transactions will be underwriters and will be identified in the applicable prospectus supplement (or a post- effective amendment).</w:t>
      </w:r>
    </w:p>
    <w:p>
      <w:pPr>
        <w:spacing w:after="0" w:line="328"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may loan or pledge securities to a financial institution or other third party that in turn may sell the securities using this prospectus. Such a financial institution or third party may transfer its short position to investors in our securities or in connection with a simultaneous offering of other securities offered by this prospectus or in connection with a simultaneous offering of other securities offered by this prospectus.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162"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will incur a SEC registration fee of US$76,550, and will also incur printing costs, legal fees and expenses, accountants’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conduct all of our current operations outside the United States, and all of our assets are located outside the United States. All of our directors and executive officers are nationals or residents of jurisdictions other than the United States and most of their assets are located outside of the United States. As a result, it may be difficult for a shareholder to effect service of process within the United States upon us or such persons, or to enforce against us, our assets, our directors or officers, or the judgments obtained in United States courts, including judgments predicated upon the civil liability provisions of the securities laws of the United States or any state in the United States.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our assets, or our directors or officers, predicated upon the securities laws of the United States or any state in the United States.</w:t>
      </w:r>
    </w:p>
    <w:p>
      <w:pPr>
        <w:spacing w:after="0" w:line="9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33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Harry Elias Partnership LLP, our counsel as to Singapore law, has advised us that 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in original actions brought in the Singapore courts based solely on the civil liability provisions of these securities laws. An in persona final and conclusive judgment in the federal or state courts of the United States under which a fixed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is inconsistent with a prior local judgment that is binding on the same parties; (b) the recognition or enforcement of the foreign judgment would contravene the public policy of Singapore; (c) the proceedings in which the foreign judgment was obtained were contrary to principles of natural justice;</w:t>
      </w:r>
    </w:p>
    <w:p>
      <w:pPr>
        <w:spacing w:after="0" w:line="4" w:lineRule="exact"/>
        <w:rPr>
          <w:sz w:val="20"/>
          <w:szCs w:val="20"/>
          <w:color w:val="auto"/>
        </w:rPr>
      </w:pPr>
    </w:p>
    <w:p>
      <w:pPr>
        <w:ind w:left="1260" w:right="559"/>
        <w:spacing w:after="0" w:line="243" w:lineRule="auto"/>
        <w:tabs>
          <w:tab w:leader="none" w:pos="15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judgment was obtained by fraud; or (e) the enforcement of the foreign judgment amounts to the direct or indirect enforcement of a foreign penal, revenue or other public law.</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Taylor Wessing,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w:t>
      </w:r>
    </w:p>
    <w:p>
      <w:pPr>
        <w:spacing w:after="0" w:line="32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w:t>
      </w:r>
    </w:p>
    <w:p>
      <w:pPr>
        <w:spacing w:after="0" w:line="1" w:lineRule="exact"/>
        <w:rPr>
          <w:sz w:val="20"/>
          <w:szCs w:val="20"/>
          <w:color w:val="auto"/>
        </w:rPr>
      </w:pPr>
    </w:p>
    <w:p>
      <w:pPr>
        <w:ind w:left="1260" w:right="419"/>
        <w:spacing w:after="0" w:line="239" w:lineRule="auto"/>
        <w:tabs>
          <w:tab w:leader="none" w:pos="15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the judgment was in conflict with a prior Hong Kong judgment.</w:t>
      </w:r>
    </w:p>
    <w:p>
      <w:pPr>
        <w:spacing w:after="0" w:line="12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Jingtian &amp; Gongcheng, our counsel as to PRC law, has advised us that 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 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our assets or our directors or officers, predicated upon the civil liability provisions of the securities laws of the United States or any state in the United States, or (2) entertain original actions brought in the PRC against us, our assets or our directors or officers, predicated upon the securities laws of the United States or any state in the United States. Under the PRC Civil Procedures Law, foreign shareholders may originate</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actions based on PRC law against us, our assets or our directors or officers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ordinary shares, to establish a sufficient connection to China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certain legal matters in connection with the securities offered pursuant to this prospectus will be passed upon for us by Cleary Gottlieb Steen &amp; Hamilton LLP, our special United States counsel, to the extent governed by the laws of the State of New York, and by Travers Thorp Alberga, Attorneys at Law, our special legal counsel as to Cayman Islands law, to the extent governed by the laws of the Cayman Islands. If legal matters in connection with offerings made pursuant to this prospectus are passed upon by counsel to underwriters, dealers or agents, such counsel will be named in the applicable prospectus supplement relating to any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financial statements have been so incorporated in reliance on the report of WWC. P.C., an independent registered public accounting firm, given on the authority of said firm as experts in auditing and accounting:</w:t>
      </w:r>
    </w:p>
    <w:p>
      <w:pPr>
        <w:spacing w:after="0" w:line="108" w:lineRule="exact"/>
        <w:rPr>
          <w:sz w:val="20"/>
          <w:szCs w:val="20"/>
          <w:color w:val="auto"/>
        </w:rPr>
      </w:pPr>
    </w:p>
    <w:p>
      <w:pPr>
        <w:ind w:left="1980" w:right="759" w:hanging="360"/>
        <w:spacing w:after="0" w:line="266" w:lineRule="auto"/>
        <w:tabs>
          <w:tab w:leader="none" w:pos="1980" w:val="left"/>
        </w:tabs>
        <w:numPr>
          <w:ilvl w:val="0"/>
          <w:numId w:val="4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consolidated financial statements of Amber DWM and its subsidiaries incorporated in this </w:t>
      </w:r>
      <w:hyperlink r:id="rId29">
        <w:r>
          <w:rPr>
            <w:rFonts w:ascii="Times New Roman" w:cs="Times New Roman" w:eastAsia="Times New Roman" w:hAnsi="Times New Roman"/>
            <w:sz w:val="18"/>
            <w:szCs w:val="18"/>
            <w:color w:val="auto"/>
          </w:rPr>
          <w:t xml:space="preserve">prospectus by reference to the Proxy Statement of iClick’s current report on </w:t>
        </w:r>
        <w:r>
          <w:rPr>
            <w:rFonts w:ascii="Times New Roman" w:cs="Times New Roman" w:eastAsia="Times New Roman" w:hAnsi="Times New Roman"/>
            <w:sz w:val="18"/>
            <w:szCs w:val="18"/>
            <w:u w:val="single" w:color="auto"/>
            <w:color w:val="0000EE"/>
          </w:rPr>
          <w:t>Form 6-K filed on</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December 19, 2024;</w:t>
        </w:r>
      </w:hyperlink>
    </w:p>
    <w:p>
      <w:pPr>
        <w:spacing w:after="0" w:line="94" w:lineRule="exact"/>
        <w:rPr>
          <w:rFonts w:ascii="Times New Roman" w:cs="Times New Roman" w:eastAsia="Times New Roman" w:hAnsi="Times New Roman"/>
          <w:sz w:val="18"/>
          <w:szCs w:val="18"/>
          <w:u w:val="single" w:color="auto"/>
          <w:color w:val="0000EE"/>
        </w:rPr>
      </w:pPr>
    </w:p>
    <w:p>
      <w:pPr>
        <w:ind w:left="1980" w:right="459" w:hanging="360"/>
        <w:spacing w:after="0" w:line="263" w:lineRule="auto"/>
        <w:tabs>
          <w:tab w:leader="none" w:pos="1980" w:val="left"/>
        </w:tabs>
        <w:numPr>
          <w:ilvl w:val="0"/>
          <w:numId w:val="4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consolidated financial statements of Amber International and its subsidiaries (previously known as iClick Interactive Asia Group Limited and its subsidiaries) incorporated in this prospectus by </w:t>
      </w:r>
      <w:hyperlink r:id="rId27">
        <w:r>
          <w:rPr>
            <w:rFonts w:ascii="Times New Roman" w:cs="Times New Roman" w:eastAsia="Times New Roman" w:hAnsi="Times New Roman"/>
            <w:sz w:val="18"/>
            <w:szCs w:val="18"/>
            <w:color w:val="auto"/>
          </w:rPr>
          <w:t xml:space="preserve">reference to Amber International’s Annual Report on </w:t>
        </w:r>
        <w:r>
          <w:rPr>
            <w:rFonts w:ascii="Times New Roman" w:cs="Times New Roman" w:eastAsia="Times New Roman" w:hAnsi="Times New Roman"/>
            <w:sz w:val="18"/>
            <w:szCs w:val="18"/>
            <w:u w:val="single" w:color="auto"/>
            <w:color w:val="0000EE"/>
          </w:rPr>
          <w:t>Form 20-F for the year ended December 31,</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hyperlink>
    </w:p>
    <w:p>
      <w:pPr>
        <w:spacing w:after="0" w:line="332" w:lineRule="exact"/>
        <w:rPr>
          <w:rFonts w:ascii="Times New Roman" w:cs="Times New Roman" w:eastAsia="Times New Roman" w:hAnsi="Times New Roman"/>
          <w:sz w:val="18"/>
          <w:szCs w:val="18"/>
          <w:color w:val="0000EE"/>
        </w:rPr>
      </w:pPr>
    </w:p>
    <w:p>
      <w:pPr>
        <w:ind w:left="1980" w:right="659" w:hanging="360"/>
        <w:spacing w:after="0" w:line="266" w:lineRule="auto"/>
        <w:tabs>
          <w:tab w:leader="none" w:pos="1980" w:val="left"/>
        </w:tabs>
        <w:numPr>
          <w:ilvl w:val="0"/>
          <w:numId w:val="4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consolidated financial statements of Amber DWM and its subsidiaries incorporated in this </w:t>
      </w:r>
      <w:hyperlink r:id="rId27">
        <w:r>
          <w:rPr>
            <w:rFonts w:ascii="Times New Roman" w:cs="Times New Roman" w:eastAsia="Times New Roman" w:hAnsi="Times New Roman"/>
            <w:sz w:val="18"/>
            <w:szCs w:val="18"/>
            <w:color w:val="auto"/>
          </w:rPr>
          <w:t xml:space="preserve">prospectus by reference to Amber International’s Transition Report on </w:t>
        </w:r>
        <w:r>
          <w:rPr>
            <w:rFonts w:ascii="Times New Roman" w:cs="Times New Roman" w:eastAsia="Times New Roman" w:hAnsi="Times New Roman"/>
            <w:sz w:val="18"/>
            <w:szCs w:val="18"/>
            <w:u w:val="single" w:color="auto"/>
            <w:color w:val="0000EE"/>
          </w:rPr>
          <w:t>Form 20-F for the period</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from July 1, 2024 to December 31, 2024.</w:t>
        </w:r>
      </w:hyperlink>
    </w:p>
    <w:p>
      <w:pPr>
        <w:spacing w:after="0" w:line="108"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office of WWC. P.C. is located in San Mateo, California.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including amendments and relevant exhibits and schedules, under the Securities Act covering the securities to be sold in this offering. This prospectus, which constitutes a part of the registration statement, summarizes material provisions of contracts and other documents that we refer to in the prospectus. Since this prospectus does not contain all the information contained in the registration statement, you should read the registration statement and its exhibits and schedules for further information with respect to us and the securities we are offering. Our SEC filings, including the registration statement, are also available to you on the SEC’s Web site at http://www.sec.gov.</w:t>
      </w:r>
    </w:p>
    <w:p>
      <w:pPr>
        <w:spacing w:after="0" w:line="33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that are applicable to foreign private issuers, and under those requirements we file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United States companies whose securities are registered under the Exchange Act. However, we file with the SEC, within four months after the end of each fiscal year, or such applicable time as required by the SEC, an annual report on Form 20-F containing financial statements audited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tenth amended and restated memorandum and articles of association, adopted by its shareholders on January 3, 2025 and effective as of March 12, 2025, provides that the Registrant shall indemnify its directors and officers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Registrant shall or may be lodged or deposited for safe custody, or for insufficiency or deficiency of any security upon which any moneys of or belonging to the Registrant shall be placed out on or invested, or for any other loss, misfortune or damage which may happen in the execution of their respective offices or trusts, or in relation thereto ; PROVIDED THAT this indemnity shall not extend to any matter in respect of any fraud or dishonesty which may attach to any of said persons.</w:t>
      </w:r>
    </w:p>
    <w:p>
      <w:pPr>
        <w:spacing w:after="0" w:line="333"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In addition, each shareholder agrees to waive any claim or right of action he might have, whether individually or by or in the right of the Registrant, against any director on account of any action taken by such director, or the failure of such director to take any action in the performance of his duties with or for the Registrant; PROVIDED THAT such waiver shall not extend to any matter in respect of any fraud or dishonesty which may attach to such director.</w:t>
      </w:r>
    </w:p>
    <w:p>
      <w:pPr>
        <w:spacing w:after="0" w:line="110"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Under these agreements, the Registrant agree to indemnify our directors and executive officers against certain liabilities and expenses incurred by them in connection with claims made by reason of their being a director or officer of our company.</w:t>
      </w:r>
    </w:p>
    <w:p>
      <w:pPr>
        <w:spacing w:after="0" w:line="113"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Registrant’s directors, officers or persons controlling the Registrant under the foregoing provisions, the Registrant has been informed that in the opinion of the SEC, such indemnification is against public policy as expressed in the Securities Act and is therefore unenforceable.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index to exhibits appears below on the page immediately following the signature pages of this Registration Statement.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62"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(a)</w:t>
        <w:tab/>
        <w:t>The undersigned registrant hereby undertakes:</w:t>
      </w:r>
    </w:p>
    <w:p>
      <w:pPr>
        <w:spacing w:after="0" w:line="144" w:lineRule="exact"/>
        <w:rPr>
          <w:sz w:val="20"/>
          <w:szCs w:val="20"/>
          <w:color w:val="auto"/>
        </w:rPr>
      </w:pPr>
    </w:p>
    <w:p>
      <w:pPr>
        <w:ind w:left="1260" w:right="579" w:firstLine="360"/>
        <w:spacing w:after="0" w:line="282" w:lineRule="auto"/>
        <w:tabs>
          <w:tab w:leader="none" w:pos="19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220" w:hanging="240"/>
        <w:spacing w:after="0"/>
        <w:tabs>
          <w:tab w:leader="none" w:pos="22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ind w:left="1980" w:right="419"/>
        <w:spacing w:after="0" w:line="245" w:lineRule="auto"/>
        <w:tabs>
          <w:tab w:leader="none" w:pos="227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519"/>
        <w:spacing w:after="0" w:line="266" w:lineRule="auto"/>
        <w:rPr>
          <w:sz w:val="20"/>
          <w:szCs w:val="20"/>
          <w:color w:val="auto"/>
        </w:rPr>
      </w:pPr>
      <w:r>
        <w:rPr>
          <w:rFonts w:ascii="Times New Roman" w:cs="Times New Roman" w:eastAsia="Times New Roman" w:hAnsi="Times New Roman"/>
          <w:sz w:val="18"/>
          <w:szCs w:val="18"/>
          <w:color w:val="auto"/>
        </w:rPr>
        <w:t>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08" w:lineRule="exact"/>
        <w:rPr>
          <w:sz w:val="20"/>
          <w:szCs w:val="20"/>
          <w:color w:val="auto"/>
        </w:rPr>
      </w:pPr>
    </w:p>
    <w:p>
      <w:pPr>
        <w:ind w:left="1980" w:right="759"/>
        <w:spacing w:after="0" w:line="266" w:lineRule="auto"/>
        <w:tabs>
          <w:tab w:leader="none" w:pos="2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ind w:left="1980" w:right="439"/>
        <w:spacing w:after="0" w:line="256" w:lineRule="auto"/>
        <w:rPr>
          <w:sz w:val="20"/>
          <w:szCs w:val="20"/>
          <w:color w:val="auto"/>
        </w:rPr>
      </w:pPr>
      <w:r>
        <w:rPr>
          <w:rFonts w:ascii="Times New Roman" w:cs="Times New Roman" w:eastAsia="Times New Roman" w:hAnsi="Times New Roman"/>
          <w:sz w:val="18"/>
          <w:szCs w:val="18"/>
          <w:color w:val="auto"/>
        </w:rPr>
        <w:t>provided, however, that paragraphs (a)(1)(i), (a)(1)(ii) and a(l)(iii) do not apply if the registration statement is on Form S-3 or Form F-3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6" w:lineRule="exact"/>
        <w:rPr>
          <w:sz w:val="20"/>
          <w:szCs w:val="20"/>
          <w:color w:val="auto"/>
        </w:rPr>
      </w:pPr>
    </w:p>
    <w:p>
      <w:pPr>
        <w:ind w:left="1260" w:right="579" w:firstLine="360"/>
        <w:spacing w:after="0" w:line="261" w:lineRule="auto"/>
        <w:tabs>
          <w:tab w:leader="none" w:pos="19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260" w:right="639" w:firstLine="360"/>
        <w:spacing w:after="0" w:line="282" w:lineRule="auto"/>
        <w:tabs>
          <w:tab w:leader="none" w:pos="19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53" w:lineRule="auto"/>
        <w:tabs>
          <w:tab w:leader="none" w:pos="19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F- 3.</w:t>
      </w:r>
    </w:p>
    <w:p>
      <w:pPr>
        <w:spacing w:after="0" w:line="11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57" w:lineRule="exact"/>
        <w:rPr>
          <w:rFonts w:ascii="Times New Roman" w:cs="Times New Roman" w:eastAsia="Times New Roman" w:hAnsi="Times New Roman"/>
          <w:sz w:val="18"/>
          <w:szCs w:val="18"/>
          <w:color w:val="auto"/>
        </w:rPr>
      </w:pPr>
    </w:p>
    <w:p>
      <w:pPr>
        <w:ind w:left="2700" w:right="539" w:hanging="360"/>
        <w:spacing w:after="0" w:line="266" w:lineRule="auto"/>
        <w:tabs>
          <w:tab w:leader="none" w:pos="27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700" w:right="419" w:hanging="360"/>
        <w:spacing w:after="0" w:line="253" w:lineRule="auto"/>
        <w:tabs>
          <w:tab w:leader="none" w:pos="270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w:t>
      </w:r>
    </w:p>
    <w:p>
      <w:pPr>
        <w:spacing w:after="0" w:line="2" w:lineRule="exact"/>
        <w:rPr>
          <w:rFonts w:ascii="Times New Roman" w:cs="Times New Roman" w:eastAsia="Times New Roman" w:hAnsi="Times New Roman"/>
          <w:sz w:val="18"/>
          <w:szCs w:val="18"/>
          <w:color w:val="auto"/>
        </w:rPr>
      </w:pPr>
    </w:p>
    <w:p>
      <w:pPr>
        <w:ind w:left="27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539"/>
        <w:spacing w:after="0" w:line="258" w:lineRule="auto"/>
        <w:rPr>
          <w:sz w:val="20"/>
          <w:szCs w:val="20"/>
          <w:color w:val="auto"/>
        </w:rPr>
      </w:pPr>
      <w:r>
        <w:rPr>
          <w:rFonts w:ascii="Times New Roman" w:cs="Times New Roman" w:eastAsia="Times New Roman" w:hAnsi="Times New Roman"/>
          <w:sz w:val="18"/>
          <w:szCs w:val="18"/>
          <w:color w:val="auto"/>
        </w:rPr>
        <w:t>modify any statement that was made in the registration statement or prospectus that was part of the registration statement or made in any such document immediately prior to such effective date.</w:t>
      </w:r>
    </w:p>
    <w:p>
      <w:pPr>
        <w:spacing w:after="0" w:line="102" w:lineRule="exact"/>
        <w:rPr>
          <w:sz w:val="20"/>
          <w:szCs w:val="20"/>
          <w:color w:val="auto"/>
        </w:rPr>
      </w:pPr>
    </w:p>
    <w:p>
      <w:pPr>
        <w:ind w:left="1980" w:right="419"/>
        <w:spacing w:after="0" w:line="243" w:lineRule="auto"/>
        <w:tabs>
          <w:tab w:leader="none" w:pos="22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rFonts w:ascii="Times New Roman" w:cs="Times New Roman" w:eastAsia="Times New Roman" w:hAnsi="Times New Roman"/>
          <w:sz w:val="18"/>
          <w:szCs w:val="18"/>
          <w:color w:val="auto"/>
        </w:rPr>
      </w:pPr>
    </w:p>
    <w:p>
      <w:pPr>
        <w:ind w:left="1260" w:right="559" w:firstLine="360"/>
        <w:spacing w:after="0" w:line="266" w:lineRule="auto"/>
        <w:tabs>
          <w:tab w:leader="none" w:pos="19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95" w:lineRule="exact"/>
        <w:rPr>
          <w:sz w:val="20"/>
          <w:szCs w:val="20"/>
          <w:color w:val="auto"/>
        </w:rPr>
      </w:pPr>
    </w:p>
    <w:p>
      <w:pPr>
        <w:ind w:left="1980" w:right="519"/>
        <w:spacing w:after="0" w:line="250"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sz w:val="20"/>
          <w:szCs w:val="20"/>
          <w:color w:val="auto"/>
        </w:rPr>
      </w:pPr>
    </w:p>
    <w:p>
      <w:pPr>
        <w:ind w:left="1980" w:right="539"/>
        <w:spacing w:after="0" w:line="266" w:lineRule="auto"/>
        <w:tabs>
          <w:tab w:leader="none" w:pos="22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980" w:right="1359"/>
        <w:spacing w:after="0" w:line="266" w:lineRule="auto"/>
        <w:tabs>
          <w:tab w:leader="none" w:pos="22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980" w:right="639"/>
        <w:spacing w:after="0" w:line="258" w:lineRule="auto"/>
        <w:tabs>
          <w:tab w:leader="none" w:pos="233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1" w:lineRule="exact"/>
        <w:rPr>
          <w:rFonts w:ascii="Times New Roman" w:cs="Times New Roman" w:eastAsia="Times New Roman" w:hAnsi="Times New Roman"/>
          <w:sz w:val="18"/>
          <w:szCs w:val="18"/>
          <w:color w:val="auto"/>
        </w:rPr>
      </w:pPr>
    </w:p>
    <w:p>
      <w:pPr>
        <w:ind w:left="1980" w:right="439"/>
        <w:spacing w:after="0" w:line="266" w:lineRule="auto"/>
        <w:tabs>
          <w:tab w:leader="none" w:pos="2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45" w:lineRule="auto"/>
        <w:tabs>
          <w:tab w:leader="none" w:pos="19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2" w:lineRule="auto"/>
        <w:tabs>
          <w:tab w:leader="none" w:pos="19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in Item 10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29" w:lineRule="exact"/>
        <w:rPr>
          <w:rFonts w:ascii="Times New Roman" w:cs="Times New Roman" w:eastAsia="Times New Roman" w:hAnsi="Times New Roman"/>
          <w:sz w:val="18"/>
          <w:szCs w:val="18"/>
          <w:color w:val="auto"/>
        </w:rPr>
      </w:pPr>
    </w:p>
    <w:p>
      <w:pPr>
        <w:ind w:left="1260" w:right="459" w:firstLine="360"/>
        <w:spacing w:after="0" w:line="258" w:lineRule="auto"/>
        <w:tabs>
          <w:tab w:leader="none" w:pos="19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879"/>
          </w:cols>
          <w:pgMar w:left="580" w:top="97" w:right="1440" w:bottom="1440" w:gutter="0" w:footer="0" w:header="0"/>
        </w:sectPr>
      </w:pP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r>
              <w:rPr>
                <w:rFonts w:ascii="Times New Roman" w:cs="Times New Roman" w:eastAsia="Times New Roman" w:hAnsi="Times New Roman"/>
                <w:sz w:val="28"/>
                <w:szCs w:val="28"/>
                <w:b w:val="1"/>
                <w:bCs w:val="1"/>
                <w:color w:val="auto"/>
                <w:vertAlign w:val="subscript"/>
              </w:rPr>
              <w:t>​ ​</w:t>
            </w:r>
          </w:p>
        </w:tc>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2"/>
        </w:trPr>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38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r>
        <w:trPr>
          <w:trHeight w:val="221"/>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752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01">
              <w:r>
                <w:rPr>
                  <w:rFonts w:ascii="Times New Roman" w:cs="Times New Roman" w:eastAsia="Times New Roman" w:hAnsi="Times New Roman"/>
                  <w:sz w:val="18"/>
                  <w:szCs w:val="18"/>
                  <w:color w:val="0000EE"/>
                </w:rPr>
                <w:t>Tenth Amended and Restated Memorandum and Articles of Association of the Registrant</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9" w:lineRule="exact"/>
        <w:rPr>
          <w:sz w:val="20"/>
          <w:szCs w:val="20"/>
          <w:color w:val="auto"/>
        </w:rPr>
      </w:pPr>
    </w:p>
    <w:p>
      <w:pPr>
        <w:ind w:left="2160" w:right="160"/>
        <w:spacing w:after="0" w:line="257" w:lineRule="auto"/>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(incorporated herein by reference to Exhibit 1.1 to the annual report on Form 20-F for the year</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ended December 31, 2024, filed with the Securities and Exchange Commission on April 29,</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2025 (File No. 001-38313))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01"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9460" w:space="0"/>
            <w:col w:w="419"/>
          </w:cols>
          <w:pgMar w:left="580" w:top="97" w:right="1440" w:bottom="1440" w:gutter="0" w:footer="0" w:header="0"/>
          <w:type w:val="continuous"/>
        </w:sectPr>
      </w:pPr>
    </w:p>
    <w:tbl>
      <w:tblPr>
        <w:tblLayout w:type="fixed"/>
        <w:tblInd w:w="1360" w:type="dxa"/>
        <w:tblCellMar>
          <w:top w:w="0" w:type="dxa"/>
          <w:left w:w="0" w:type="dxa"/>
          <w:bottom w:w="0" w:type="dxa"/>
          <w:right w:w="0" w:type="dxa"/>
        </w:tblCellMar>
      </w:tblPr>
      <w:tr>
        <w:trPr>
          <w:trHeight w:val="216"/>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4.2</w:t>
            </w:r>
          </w:p>
        </w:tc>
        <w:tc>
          <w:tcPr>
            <w:tcW w:w="7600" w:type="dxa"/>
            <w:vAlign w:val="bottom"/>
            <w:gridSpan w:val="7"/>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02">
              <w:r>
                <w:rPr>
                  <w:rFonts w:ascii="Times New Roman" w:cs="Times New Roman" w:eastAsia="Times New Roman" w:hAnsi="Times New Roman"/>
                  <w:sz w:val="18"/>
                  <w:szCs w:val="18"/>
                  <w:color w:val="0000EE"/>
                </w:rPr>
                <w:t>Form of Amended and Restated Deposit Agreement among the Registrant, the depositary and</w:t>
              </w:r>
            </w:hyperlink>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holders of the American Depositary Receipts (incorporated by reference to Exhibit (a)(2) to the</w:t>
              </w:r>
            </w:hyperlink>
          </w:p>
        </w:tc>
      </w:tr>
      <w:tr>
        <w:trPr>
          <w:trHeight w:val="196"/>
        </w:trPr>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F-6 Registration Statement (file No. 333-288354) filed with the Securities and Exchange</w:t>
              </w:r>
            </w:hyperlink>
          </w:p>
        </w:tc>
        <w:tc>
          <w:tcPr>
            <w:tcW w:w="4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0" w:type="dxa"/>
            <w:vAlign w:val="bottom"/>
            <w:gridSpan w:val="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Commission on June 26, 2025)</w:t>
              </w:r>
            </w:hyperlink>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37"/>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4.3</w:t>
            </w:r>
          </w:p>
        </w:tc>
        <w:tc>
          <w:tcPr>
            <w:tcW w:w="7600" w:type="dxa"/>
            <w:vAlign w:val="bottom"/>
            <w:gridSpan w:val="7"/>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03">
              <w:r>
                <w:rPr>
                  <w:rFonts w:ascii="Times New Roman" w:cs="Times New Roman" w:eastAsia="Times New Roman" w:hAnsi="Times New Roman"/>
                  <w:sz w:val="18"/>
                  <w:szCs w:val="18"/>
                  <w:color w:val="0000EE"/>
                </w:rPr>
                <w:t>Registrant’s American Depositary Receipt (incorporated by reference to the</w:t>
              </w:r>
            </w:hyperlink>
          </w:p>
        </w:tc>
      </w:tr>
      <w:tr>
        <w:trPr>
          <w:trHeight w:val="196"/>
        </w:trPr>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Registrant’s 424(B)3 filed on March 12, 2025 (File No. 333-221860))</w:t>
              </w:r>
            </w:hyperlink>
          </w:p>
        </w:tc>
        <w:tc>
          <w:tcPr>
            <w:tcW w:w="1480" w:type="dxa"/>
            <w:vAlign w:val="bottom"/>
            <w:gridSpan w:val="3"/>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5" w:lineRule="exact"/>
        <w:rPr>
          <w:sz w:val="20"/>
          <w:szCs w:val="20"/>
          <w:color w:val="auto"/>
        </w:rPr>
      </w:pPr>
    </w:p>
    <w:p>
      <w:pPr>
        <w:sectPr>
          <w:pgSz w:w="11900" w:h="16838" w:orient="portrait"/>
          <w:cols w:equalWidth="0" w:num="2">
            <w:col w:w="9360" w:space="100"/>
            <w:col w:w="419"/>
          </w:cols>
          <w:pgMar w:left="580" w:top="97" w:right="1440" w:bottom="1440" w:gutter="0" w:footer="0" w:header="0"/>
          <w:type w:val="continuous"/>
        </w:sectPr>
      </w:pPr>
    </w:p>
    <w:p>
      <w:pPr>
        <w:ind w:left="1940" w:right="379" w:hanging="814"/>
        <w:spacing w:after="0" w:line="267" w:lineRule="auto"/>
        <w:tabs>
          <w:tab w:leader="none" w:pos="1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 </w:t>
      </w:r>
      <w:hyperlink r:id="rId104">
        <w:r>
          <w:rPr>
            <w:rFonts w:ascii="Times New Roman" w:cs="Times New Roman" w:eastAsia="Times New Roman" w:hAnsi="Times New Roman"/>
            <w:sz w:val="18"/>
            <w:szCs w:val="18"/>
            <w:u w:val="single" w:color="auto"/>
            <w:color w:val="0000EE"/>
          </w:rPr>
          <w:t>Registrant’s Specimen Certificate for Class A Ordinary Shares (incorporated herein by reference</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to Exhibit 2.2 to the annual report on Form 20-F for the year ended December 31, 2024, filed</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with the Securities and Exchange Commission on April 29, 2025 (File No. 001-38313))</w:t>
        </w:r>
      </w:hyperlink>
    </w:p>
    <w:p>
      <w:pPr>
        <w:sectPr>
          <w:pgSz w:w="11900" w:h="16838" w:orient="portrait"/>
          <w:cols w:equalWidth="0" w:num="1">
            <w:col w:w="9879"/>
          </w:cols>
          <w:pgMar w:left="580" w:top="97" w:right="1440" w:bottom="1440" w:gutter="0" w:footer="0" w:header="0"/>
          <w:type w:val="continuous"/>
        </w:sectPr>
      </w:pPr>
    </w:p>
    <w:tbl>
      <w:tblPr>
        <w:tblLayout w:type="fixed"/>
        <w:tblInd w:w="136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440" w:type="dxa"/>
            <w:vAlign w:val="bottom"/>
            <w:gridSpan w:val="5"/>
          </w:tcPr>
          <w:p>
            <w:pPr>
              <w:ind w:left="120"/>
              <w:spacing w:after="0" w:line="241"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xml:space="preserve"> Registrant’s Specimen Certificate for Preferred Shares</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440" w:type="dxa"/>
            <w:vAlign w:val="bottom"/>
            <w:gridSpan w:val="5"/>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Warrant Agreement (including Warrant Certificate)</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440" w:type="dxa"/>
            <w:vAlign w:val="bottom"/>
            <w:gridSpan w:val="5"/>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Form of Unit Agreement (including form of Unit Certificate)</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440" w:type="dxa"/>
            <w:vAlign w:val="bottom"/>
            <w:gridSpan w:val="5"/>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Form of Subscription Right Agreement (including form of Right Certificate)</w:t>
            </w:r>
          </w:p>
        </w:tc>
      </w:tr>
      <w:tr>
        <w:trPr>
          <w:trHeight w:val="22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440" w:type="dxa"/>
            <w:vAlign w:val="bottom"/>
            <w:gridSpan w:val="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05">
              <w:r>
                <w:rPr>
                  <w:rFonts w:ascii="Times New Roman" w:cs="Times New Roman" w:eastAsia="Times New Roman" w:hAnsi="Times New Roman"/>
                  <w:sz w:val="18"/>
                  <w:szCs w:val="18"/>
                  <w:color w:val="0000EE"/>
                </w:rPr>
                <w:t>Agreement and Plan of Merger, dated as of November 29, 2024, by and among the Registrant,</w:t>
              </w:r>
            </w:hyperlink>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Overlord Merger Sub Ltd., and Amber DWM Holding Limited (incorporated by reference to</w:t>
              </w:r>
            </w:hyperlink>
          </w:p>
        </w:tc>
        <w:tc>
          <w:tcPr>
            <w:tcW w:w="120" w:type="dxa"/>
            <w:vAlign w:val="bottom"/>
            <w:tcBorders>
              <w:top w:val="single" w:sz="8" w:color="0000EE"/>
            </w:tcBorders>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Exhibit 99.2 to Form 6-K (file No. 001-38313) filed with the Securities and Exchange</w:t>
              </w:r>
            </w:hyperlink>
          </w:p>
        </w:tc>
        <w:tc>
          <w:tcPr>
            <w:tcW w:w="60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Commission on November 29, 2024)</w:t>
              </w:r>
            </w:hyperlink>
          </w:p>
        </w:tc>
        <w:tc>
          <w:tcPr>
            <w:tcW w:w="430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97" w:lineRule="exact"/>
        <w:rPr>
          <w:sz w:val="20"/>
          <w:szCs w:val="20"/>
          <w:color w:val="auto"/>
        </w:rPr>
      </w:pPr>
    </w:p>
    <w:p>
      <w:pPr>
        <w:sectPr>
          <w:pgSz w:w="11900" w:h="16838" w:orient="portrait"/>
          <w:cols w:equalWidth="0" w:num="2">
            <w:col w:w="9260" w:space="20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1"/>
        </w:trPr>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w:t>
            </w:r>
          </w:p>
        </w:tc>
        <w:tc>
          <w:tcPr>
            <w:tcW w:w="7520" w:type="dxa"/>
            <w:vAlign w:val="bottom"/>
            <w:gridSpan w:val="1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06">
              <w:r>
                <w:rPr>
                  <w:rFonts w:ascii="Times New Roman" w:cs="Times New Roman" w:eastAsia="Times New Roman" w:hAnsi="Times New Roman"/>
                  <w:sz w:val="18"/>
                  <w:szCs w:val="18"/>
                  <w:color w:val="0000EE"/>
                </w:rPr>
                <w:t>Amendment, Waiver and Framework Agreement, dated as of March 12, 2025, by and among</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iClick Interactive Asia Group Limited, Amber DWM Holding Limited, Overlord Merger Sub</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Ltd., Amber Global Limited and WhaleFin Technologies Limited (incorporated by reference to</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Exhibit 99.2 to Form 6-K (file No. 001-38313) filed with the Securities and Exchange</w:t>
              </w:r>
            </w:hyperlink>
          </w:p>
        </w:tc>
        <w:tc>
          <w:tcPr>
            <w:tcW w:w="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Commission on March 12, 2025)</w:t>
              </w:r>
            </w:hyperlink>
          </w:p>
        </w:tc>
        <w:tc>
          <w:tcPr>
            <w:tcW w:w="4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4.11</w:t>
            </w:r>
          </w:p>
        </w:tc>
        <w:tc>
          <w:tcPr>
            <w:tcW w:w="7520" w:type="dxa"/>
            <w:vAlign w:val="bottom"/>
            <w:gridSpan w:val="1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07">
              <w:r>
                <w:rPr>
                  <w:rFonts w:ascii="Times New Roman" w:cs="Times New Roman" w:eastAsia="Times New Roman" w:hAnsi="Times New Roman"/>
                  <w:sz w:val="18"/>
                  <w:szCs w:val="18"/>
                  <w:color w:val="0000EE"/>
                </w:rPr>
                <w:t>Intercompany Services Agreement, dated as of March 12, 2025, by and among Amber Match</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Limited and WhaleFin Technologies Limited (incorporated by reference to Exhibit 99.4 to</w:t>
              </w:r>
            </w:hyperlink>
          </w:p>
        </w:tc>
        <w:tc>
          <w:tcPr>
            <w:tcW w:w="200" w:type="dxa"/>
            <w:vAlign w:val="bottom"/>
            <w:tcBorders>
              <w:top w:val="single" w:sz="8" w:color="0000EE"/>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6-K (file No. 001-38313) filed with the Securities and Exchange Commission on</w:t>
              </w:r>
            </w:hyperlink>
          </w:p>
        </w:tc>
        <w:tc>
          <w:tcPr>
            <w:tcW w:w="6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March 12, 2025)</w:t>
              </w:r>
            </w:hyperlink>
          </w:p>
        </w:tc>
        <w:tc>
          <w:tcPr>
            <w:tcW w:w="59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7520" w:type="dxa"/>
            <w:vAlign w:val="bottom"/>
            <w:gridSpan w:val="18"/>
          </w:tcPr>
          <w:p>
            <w:pPr>
              <w:ind w:left="120"/>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Opinion of Travers Thorp Alberga, Attorneys at Law</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23.1</w:t>
            </w:r>
          </w:p>
        </w:tc>
        <w:tc>
          <w:tcPr>
            <w:tcW w:w="340" w:type="dxa"/>
            <w:vAlign w:val="bottom"/>
            <w:vMerge w:val="continue"/>
          </w:tcPr>
          <w:p>
            <w:pPr>
              <w:spacing w:after="0"/>
              <w:rPr>
                <w:sz w:val="20"/>
                <w:szCs w:val="20"/>
                <w:color w:val="auto"/>
              </w:rPr>
            </w:pPr>
          </w:p>
        </w:tc>
        <w:tc>
          <w:tcPr>
            <w:tcW w:w="71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WWC, P.C., an independent registered public accounting firm</w:t>
            </w:r>
          </w:p>
        </w:tc>
        <w:tc>
          <w:tcPr>
            <w:tcW w:w="0" w:type="dxa"/>
            <w:vAlign w:val="bottom"/>
          </w:tcPr>
          <w:p>
            <w:pPr>
              <w:spacing w:after="0"/>
              <w:rPr>
                <w:sz w:val="1"/>
                <w:szCs w:val="1"/>
                <w:color w:val="auto"/>
              </w:rPr>
            </w:pPr>
          </w:p>
        </w:tc>
      </w:tr>
      <w:tr>
        <w:trPr>
          <w:trHeight w:val="236"/>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23.2</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5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Travers Thorp Alberga Attorneys at Law (included in Exhibit</w:t>
            </w:r>
          </w:p>
        </w:tc>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rPr>
              <w:t>5.1)</w:t>
            </w:r>
          </w:p>
        </w:tc>
        <w:tc>
          <w:tcPr>
            <w:tcW w:w="13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23.3</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Jingtian &amp; Gongcheng</w:t>
            </w:r>
          </w:p>
        </w:tc>
        <w:tc>
          <w:tcPr>
            <w:tcW w:w="13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23.4</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Consent of Commerce &amp; Finance</w:t>
            </w:r>
          </w:p>
        </w:tc>
        <w:tc>
          <w:tcPr>
            <w:tcW w:w="46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Law Offices</w:t>
            </w:r>
          </w:p>
        </w:tc>
        <w:tc>
          <w:tcPr>
            <w:tcW w:w="0" w:type="dxa"/>
            <w:vAlign w:val="bottom"/>
          </w:tcPr>
          <w:p>
            <w:pPr>
              <w:spacing w:after="0"/>
              <w:rPr>
                <w:sz w:val="1"/>
                <w:szCs w:val="1"/>
                <w:color w:val="auto"/>
              </w:rPr>
            </w:pPr>
          </w:p>
        </w:tc>
      </w:tr>
      <w:tr>
        <w:trPr>
          <w:trHeight w:val="237"/>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23.5</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5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Harry Elias Partnership LLP</w:t>
            </w:r>
          </w:p>
        </w:tc>
        <w:tc>
          <w:tcPr>
            <w:tcW w:w="680" w:type="dxa"/>
            <w:vAlign w:val="bottom"/>
            <w:gridSpan w:val="2"/>
          </w:tcPr>
          <w:p>
            <w:pPr>
              <w:spacing w:after="0"/>
              <w:rPr>
                <w:sz w:val="20"/>
                <w:szCs w:val="20"/>
                <w:color w:val="auto"/>
              </w:rPr>
            </w:pPr>
          </w:p>
        </w:tc>
        <w:tc>
          <w:tcPr>
            <w:tcW w:w="30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23.6</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Consent of Taylor Wessing</w:t>
            </w:r>
          </w:p>
        </w:tc>
        <w:tc>
          <w:tcPr>
            <w:tcW w:w="1160" w:type="dxa"/>
            <w:vAlign w:val="bottom"/>
            <w:gridSpan w:val="3"/>
          </w:tcPr>
          <w:p>
            <w:pPr>
              <w:spacing w:after="0"/>
              <w:rPr>
                <w:sz w:val="20"/>
                <w:szCs w:val="20"/>
                <w:color w:val="auto"/>
              </w:rPr>
            </w:pPr>
          </w:p>
        </w:tc>
        <w:tc>
          <w:tcPr>
            <w:tcW w:w="30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24.1</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Power of Attorney (included</w:t>
            </w:r>
          </w:p>
        </w:tc>
        <w:tc>
          <w:tcPr>
            <w:tcW w:w="2140" w:type="dxa"/>
            <w:vAlign w:val="bottom"/>
            <w:tcBorders>
              <w:bottom w:val="single" w:sz="8" w:color="0000EE"/>
            </w:tcBorders>
            <w:gridSpan w:val="6"/>
          </w:tcPr>
          <w:p>
            <w:pPr>
              <w:ind w:left="180"/>
              <w:spacing w:after="0"/>
              <w:rPr>
                <w:sz w:val="20"/>
                <w:szCs w:val="20"/>
                <w:color w:val="auto"/>
              </w:rPr>
            </w:pPr>
            <w:r>
              <w:rPr>
                <w:rFonts w:ascii="Times New Roman" w:cs="Times New Roman" w:eastAsia="Times New Roman" w:hAnsi="Times New Roman"/>
                <w:sz w:val="18"/>
                <w:szCs w:val="18"/>
                <w:color w:val="0000EE"/>
              </w:rPr>
              <w:t>on signature page hereto).</w:t>
            </w:r>
          </w:p>
        </w:tc>
        <w:tc>
          <w:tcPr>
            <w:tcW w:w="30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bl>
    <w:p>
      <w:pPr>
        <w:ind w:left="1940" w:hanging="680"/>
        <w:spacing w:after="0"/>
        <w:tabs>
          <w:tab w:leader="none" w:pos="19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000000"/>
          <w:vertAlign w:val="superscript"/>
        </w:rPr>
        <w:t>​ ​</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70485</wp:posOffset>
            </wp:positionV>
            <wp:extent cx="1234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1" w:lineRule="exact"/>
        <w:rPr>
          <w:sz w:val="20"/>
          <w:szCs w:val="20"/>
          <w:color w:val="auto"/>
        </w:rPr>
      </w:pPr>
    </w:p>
    <w:p>
      <w:pPr>
        <w:ind w:left="1620" w:hanging="36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by a report filed under the Securities Exchange Act of 1934, as amended, and incorporated herein by reference,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27" w:lineRule="exact"/>
        <w:rPr>
          <w:sz w:val="20"/>
          <w:szCs w:val="20"/>
          <w:color w:val="auto"/>
        </w:rPr>
      </w:pPr>
    </w:p>
    <w:p>
      <w:pPr>
        <w:sectPr>
          <w:pgSz w:w="11900" w:h="16838" w:orient="portrait"/>
          <w:cols w:equalWidth="0" w:num="2">
            <w:col w:w="9360" w:space="100"/>
            <w:col w:w="419"/>
          </w:cols>
          <w:pgMar w:left="580" w:top="97" w:right="1440" w:bottom="1440" w:gutter="0" w:footer="0" w:header="0"/>
          <w:type w:val="continuous"/>
        </w:sectPr>
      </w:pP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thereunder duly authorized, in Singapore on July 7, 2025.</w:t>
      </w:r>
    </w:p>
    <w:p>
      <w:pPr>
        <w:spacing w:after="0" w:line="6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Wayne 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Wayne Huo</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each of Mr. Wayne Huo, Ms. Josephine Ngai Yuk Chun and Mr. Terence Li, acting alone, his or her true and lawful attorney-in-fact and agent, with full power of substitution and resubstitution for him or her and in his or her name, place and stead, in any and all capacities, to sign any or all amendments or supplements to this registration statement, whether pre-effective or post-effective and any and all additional registration statements pursuant to</w:t>
      </w:r>
    </w:p>
    <w:p>
      <w:pPr>
        <w:spacing w:after="0" w:line="3"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Rule 462(b) of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respect to this registration statement or any amendments or supplements hereto or any and all additional registration statements pursuant to Rule 462(b) of the Securities Act of 1933, as amended, in the premises, as fully to all intents and purposes as he or she might or could do in person, hereby ratifying and confirming all that said attorney-in-fact and agent, or his or her substitute or substitutes, may lawfully do or cause to be done by virtue thereof.</w:t>
      </w:r>
    </w:p>
    <w:p>
      <w:pPr>
        <w:spacing w:after="0" w:line="12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9879"/>
          </w:cols>
          <w:pgMar w:left="580" w:top="97" w:right="1440" w:bottom="1440" w:gutter="0" w:footer="0" w:header="0"/>
        </w:sectPr>
      </w:pPr>
    </w:p>
    <w:p>
      <w:pPr>
        <w:ind w:left="2480" w:hanging="1220"/>
        <w:spacing w:after="0" w:line="235" w:lineRule="auto"/>
        <w:tabs>
          <w:tab w:leader="none" w:pos="2480" w:val="left"/>
        </w:tabs>
        <w:numPr>
          <w:ilvl w:val="0"/>
          <w:numId w:val="50"/>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24130</wp:posOffset>
            </wp:positionV>
            <wp:extent cx="19202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Michael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60325</wp:posOffset>
            </wp:positionV>
            <wp:extent cx="1920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Wu</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Wayne 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54610</wp:posOffset>
            </wp:positionV>
            <wp:extent cx="19202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Wayne Huo</w:t>
      </w: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Lub Bun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920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Lub Bun Chong</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Philip 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920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Philip Kan</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Wing Wai Winson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920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Wing Wai Winson Ip</w:t>
      </w: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920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Jie Jiao</w:t>
      </w:r>
    </w:p>
    <w:p>
      <w:pPr>
        <w:spacing w:after="0" w:line="106" w:lineRule="exact"/>
        <w:rPr>
          <w:sz w:val="20"/>
          <w:szCs w:val="20"/>
          <w:color w:val="auto"/>
        </w:rPr>
      </w:pPr>
    </w:p>
    <w:p>
      <w:pPr>
        <w:ind w:left="1260" w:right="180"/>
        <w:spacing w:after="0" w:line="397"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Josephine Ngai Yuk Chun Josephine Ngai Yuk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-329565</wp:posOffset>
            </wp:positionV>
            <wp:extent cx="1920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41910</wp:posOffset>
            </wp:positionV>
            <wp:extent cx="19202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9"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363"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363"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363"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8"/>
          <w:szCs w:val="18"/>
          <w:color w:val="auto"/>
        </w:rPr>
        <w:t>Independent Director</w:t>
      </w:r>
    </w:p>
    <w:p>
      <w:pPr>
        <w:spacing w:after="0" w:line="200" w:lineRule="exact"/>
        <w:rPr>
          <w:sz w:val="20"/>
          <w:szCs w:val="20"/>
          <w:color w:val="auto"/>
        </w:rPr>
      </w:pPr>
    </w:p>
    <w:p>
      <w:pPr>
        <w:spacing w:after="0" w:line="214" w:lineRule="exact"/>
        <w:rPr>
          <w:sz w:val="20"/>
          <w:szCs w:val="20"/>
          <w:color w:val="auto"/>
        </w:rPr>
      </w:pPr>
    </w:p>
    <w:p>
      <w:pPr>
        <w:jc w:val="center"/>
        <w:ind w:left="180" w:right="20"/>
        <w:spacing w:after="0" w:line="266" w:lineRule="auto"/>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3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July 7,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4">
            <w:col w:w="3620" w:space="720"/>
            <w:col w:w="160" w:space="420"/>
            <w:col w:w="2140" w:space="520"/>
            <w:col w:w="229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Amber International Holding Limited has signed this registration statement or amendment thereto in New York on July 7, 2025.</w:t>
      </w:r>
    </w:p>
    <w:p>
      <w:pPr>
        <w:spacing w:after="0" w:line="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175260</wp:posOffset>
            </wp:positionV>
            <wp:extent cx="1808480" cy="1165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180848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Office:</w:t>
      </w:r>
      <w:r>
        <w:rPr>
          <w:sz w:val="20"/>
          <w:szCs w:val="20"/>
          <w:color w:val="auto"/>
        </w:rPr>
        <w:tab/>
      </w:r>
      <w:r>
        <w:rPr>
          <w:rFonts w:ascii="Times New Roman" w:cs="Times New Roman" w:eastAsia="Times New Roman" w:hAnsi="Times New Roman"/>
          <w:sz w:val="17"/>
          <w:szCs w:val="17"/>
          <w:color w:val="auto"/>
        </w:rPr>
        <w:t>+852 2801 6066</w:t>
      </w:r>
    </w:p>
    <w:p>
      <w:pPr>
        <w:spacing w:after="0" w:line="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Mobile:</w:t>
      </w:r>
      <w:r>
        <w:rPr>
          <w:sz w:val="20"/>
          <w:szCs w:val="20"/>
          <w:color w:val="auto"/>
        </w:rPr>
        <w:tab/>
      </w:r>
      <w:r>
        <w:rPr>
          <w:rFonts w:ascii="Times New Roman" w:cs="Times New Roman" w:eastAsia="Times New Roman" w:hAnsi="Times New Roman"/>
          <w:sz w:val="17"/>
          <w:szCs w:val="17"/>
          <w:color w:val="auto"/>
        </w:rPr>
        <w:t>+852 9718 8740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rthorp@tta.lawyer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Amber International Holding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Wallich Street</w:t>
      </w:r>
    </w:p>
    <w:p>
      <w:pPr>
        <w:spacing w:after="0" w:line="230" w:lineRule="auto"/>
        <w:rPr>
          <w:sz w:val="20"/>
          <w:szCs w:val="20"/>
          <w:color w:val="auto"/>
        </w:rPr>
      </w:pPr>
      <w:r>
        <w:rPr>
          <w:rFonts w:ascii="Times New Roman" w:cs="Times New Roman" w:eastAsia="Times New Roman" w:hAnsi="Times New Roman"/>
          <w:sz w:val="22"/>
          <w:szCs w:val="22"/>
          <w:color w:val="auto"/>
        </w:rPr>
        <w:t>#30-02 Guoco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Singapore 078881</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 July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Cayman Islands legal advisers to Amber International Holding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Company’s registration statement on Form F-3,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connected with the offering by the Company of up to an aggregate principal amount of US$500,000,000 securities which may include Class A ordinary shares, par value US$0.001 per share, including American depositary shares each representing five (5) Class A ordinary shares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preferred shares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subscription rights ("</w:t>
      </w:r>
      <w:r>
        <w:rPr>
          <w:rFonts w:ascii="Times New Roman" w:cs="Times New Roman" w:eastAsia="Times New Roman" w:hAnsi="Times New Roman"/>
          <w:sz w:val="18"/>
          <w:szCs w:val="18"/>
          <w:b w:val="1"/>
          <w:bCs w:val="1"/>
          <w:color w:val="auto"/>
        </w:rPr>
        <w:t>Subscription Rights</w:t>
      </w:r>
      <w:r>
        <w:rPr>
          <w:rFonts w:ascii="Times New Roman" w:cs="Times New Roman" w:eastAsia="Times New Roman" w:hAnsi="Times New Roman"/>
          <w:sz w:val="18"/>
          <w:szCs w:val="18"/>
          <w:color w:val="auto"/>
        </w:rPr>
        <w:t>"),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and, together with the Subscription Rights and the Warrants, the "</w:t>
      </w:r>
      <w:r>
        <w:rPr>
          <w:rFonts w:ascii="Times New Roman" w:cs="Times New Roman" w:eastAsia="Times New Roman" w:hAnsi="Times New Roman"/>
          <w:sz w:val="18"/>
          <w:szCs w:val="18"/>
          <w:b w:val="1"/>
          <w:bCs w:val="1"/>
          <w:color w:val="auto"/>
        </w:rPr>
        <w:t>Non-Equity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and together with the Shares and the Preferred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any combination of the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given in accordance with the terms of the Legal Matters section of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letter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purposes of this opinion we have reviewed originals, copies, drafts or conformed copies of the documents listed in Schedule 1 to this opinion, being all of the documents necessary to form our opinion. Defined terms shall have the meanings set out in Schedule 1 or in the Registration Statement.</w:t>
      </w:r>
    </w:p>
    <w:p>
      <w:pPr>
        <w:spacing w:after="0" w:line="15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at the date hereof and as to the laws of the Cayman Islands as the same are in force at the date hereof. In giving this opinion, we have relied upon the completeness and accuracy (and assumed the continuing completeness and accuracy as at the date hereof) of the Certificate of Good Standing and the Director's Certificate, as to matters of fact, without further verification and have assumed that copy documents or drafts of documents provided to us are true and complete copies of, or in the final forms of, the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128270</wp:posOffset>
            </wp:positionV>
            <wp:extent cx="2305685" cy="771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2305685" cy="77152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We also assume that all necessary corporate action will be taken to authorise and approve any allotment and issuance of the Securities, the terms of the offering thereof and related matters, and that the agreements for Securities, the applicable definitive purchase, underwriting or other similar agreement(s), and any applicable supplements to the prospectus contained in the Registration Statement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will be duly approved, executed and delivered by or on behalf of the Company and all other parties thereto, no invitation has been or will be made by or on behalf of the Company to the public in Cayman Islands to subscribe for any of the Shares, and there is nothing under any law (other than the laws of Cayman Islands) would or might affect the opinions set out below.</w:t>
      </w:r>
    </w:p>
    <w:p>
      <w:pPr>
        <w:spacing w:after="0" w:line="183"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and subject to, the foregoing assumptions, and having regard to such legal considerations as we deem relevant, we are of the opinion that:</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under the laws of the Cayman Islands;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authorized share capital of the Company is US$1,300,000 divided into 1,300,000,000 shares of a nominal or par value of US$0.001, of which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1,191,000,000 shares shall be designated as Class A ordinary shares, 109,000,000 shares shall be designated as Class B ordinary shares;</w:t>
      </w:r>
    </w:p>
    <w:p>
      <w:pPr>
        <w:spacing w:after="0" w:line="20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upon the due issuance of the Shares or the Preferred Shares, and payment of the consideration therefor as contemplated in the relevant agreement for Securities, the Registration Statement, the Prospectus, any amendment thereto and any Prospectus Supplement, and when duly registered in the Company’s register of members (shareholders), such Shares or Preferred Shares will be duly authorized, validly issued, fully paid and non-assessable (which term when used herein means that no further sums are required to be paid by the holders thereof in connection with the issue thereof);</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upon the due execution, delivery and issuance of any Non-Equity Securities by the Company and payment of the consideration therefor as contemplated in the relevant agreements for Non-Equity Securities, the Registration Statement, the Prospectus, any amendment thereto and any Prospectus Supplement, such Non-Equity Securities will be duly authorized and executed, validly issued, duly delivered and constitute valid and binding obligations of the Company in accordance with the terms thereof; and</w:t>
      </w:r>
    </w:p>
    <w:p>
      <w:pPr>
        <w:spacing w:after="0" w:line="18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The statements under the caption “Taxation” in the prospectus forming part of the Registration Statement, to the extent that they constitute statements of Cayman Islands law, are accurate in all material respects and that such statements constitute our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headings “Enforceability of Civil Liabilities” and "Legal Matters" and elsewhere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This opinion is limited to the matters detailed herein and is not to be read as an opinion with respect to any other matter.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TRAVERS THORP ALBERGA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Documents Reviewed</w:t>
      </w:r>
    </w:p>
    <w:p>
      <w:pPr>
        <w:spacing w:after="0" w:line="22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dated 3 February 2010;</w:t>
      </w:r>
    </w:p>
    <w:p>
      <w:pPr>
        <w:spacing w:after="0" w:line="22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of Incorporation on change of name dated 13 March 2017 and 12 March 2025;</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the register of directors of the Company;</w:t>
      </w:r>
    </w:p>
    <w:p>
      <w:pPr>
        <w:spacing w:after="0" w:line="225" w:lineRule="exact"/>
        <w:rPr>
          <w:sz w:val="20"/>
          <w:szCs w:val="20"/>
          <w:color w:val="auto"/>
        </w:rPr>
      </w:pPr>
    </w:p>
    <w:p>
      <w:pPr>
        <w:ind w:left="660" w:hanging="652"/>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Amended and Restated Memorandum and Articles of Association of the Company as adopted by a special resolution passed on 3 January 2025 and effective 12 March 2025 (the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right="20" w:hanging="652"/>
        <w:spacing w:after="0" w:line="28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good standing of the Company dated 19 March 2025 issued by the Registry of Companies, Cayman Islands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hanging="652"/>
        <w:spacing w:after="0" w:line="28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a Director of the Company addressed to Travers Thorp Alberga, a copy of which is attached hereto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95820" cy="12598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9582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Amber International Holding Limited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following reports:</w:t>
      </w:r>
    </w:p>
    <w:p>
      <w:pPr>
        <w:spacing w:after="0" w:line="207" w:lineRule="exact"/>
        <w:rPr>
          <w:sz w:val="20"/>
          <w:szCs w:val="20"/>
          <w:color w:val="auto"/>
        </w:rPr>
      </w:pPr>
    </w:p>
    <w:p>
      <w:pPr>
        <w:jc w:val="both"/>
        <w:ind w:left="980" w:hanging="648"/>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December 19, 2024 relating to the consolidated financial statements of Amber DWM Holding Limited and its subsidiaries, which appeared in Exhibit 99.2 to the Proxy Statement of iClick Interactive Asia Group Limited’s current report on Form 6-K filed on December 19, 2024; and</w:t>
      </w:r>
    </w:p>
    <w:p>
      <w:pPr>
        <w:spacing w:after="0" w:line="20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April 29, 2025 relating to the consolidated financial statements of Amber International Holding Limited and its subsidiaries (previously known as iClick Interactive Asia Group Limited and its subsidiaries), which appeared in Amber International Holding Limited’s Annual Report on Form 20-F for the year ended December 31, 2024; and</w:t>
      </w:r>
    </w:p>
    <w:p>
      <w:pPr>
        <w:spacing w:after="0" w:line="202"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dated June 12, 2025 relating to the consolidated financial statements of Amber DWM Holding Limited and its subsidiaries, which appeared in Amber International Holding Limited’s Transition Report on Form 20-F for the period from July 1, 2024 to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 WWC, P.C.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San Mateo, California</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WWC, P.C.</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July 7, 2025</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Certified Public Accountants</w:t>
            </w:r>
          </w:p>
        </w:tc>
      </w:tr>
      <w:tr>
        <w:trPr>
          <w:trHeight w:val="234"/>
        </w:trPr>
        <w:tc>
          <w:tcPr>
            <w:tcW w:w="3620" w:type="dxa"/>
            <w:vAlign w:val="bottom"/>
          </w:tcPr>
          <w:p>
            <w:pPr>
              <w:spacing w:after="0"/>
              <w:rPr>
                <w:sz w:val="20"/>
                <w:szCs w:val="20"/>
                <w:color w:val="auto"/>
              </w:rPr>
            </w:pP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PCAOB ID: 1171</w:t>
            </w:r>
          </w:p>
        </w:tc>
      </w:tr>
      <w:tr>
        <w:trPr>
          <w:trHeight w:val="1674"/>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-916940</wp:posOffset>
            </wp:positionV>
            <wp:extent cx="6951980"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951980" cy="4629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294005</wp:posOffset>
            </wp:positionV>
            <wp:extent cx="3308985" cy="5918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33089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line="219" w:lineRule="exact"/>
        <w:rPr>
          <w:sz w:val="20"/>
          <w:szCs w:val="20"/>
          <w:color w:val="auto"/>
        </w:rPr>
      </w:pPr>
      <w:r>
        <w:rPr>
          <w:rFonts w:ascii="SimSun" w:cs="SimSun" w:eastAsia="SimSun" w:hAnsi="SimSun"/>
          <w:sz w:val="18"/>
          <w:szCs w:val="18"/>
          <w:color w:val="auto"/>
        </w:rPr>
        <w:t>北京市朝阳区建国路</w:t>
      </w:r>
      <w:r>
        <w:rPr>
          <w:rFonts w:ascii="Times New Roman" w:cs="Times New Roman" w:eastAsia="Times New Roman" w:hAnsi="Times New Roman"/>
          <w:sz w:val="18"/>
          <w:szCs w:val="18"/>
          <w:b w:val="1"/>
          <w:bCs w:val="1"/>
          <w:color w:val="auto"/>
        </w:rPr>
        <w:t>77</w:t>
      </w:r>
      <w:r>
        <w:rPr>
          <w:rFonts w:ascii="SimSun" w:cs="SimSun" w:eastAsia="SimSun" w:hAnsi="SimSun"/>
          <w:sz w:val="18"/>
          <w:szCs w:val="18"/>
          <w:color w:val="auto"/>
          <w:highlight w:val="black"/>
        </w:rPr>
        <w:t>号华贸中心</w:t>
      </w:r>
      <w:r>
        <w:rPr>
          <w:rFonts w:ascii="Times New Roman" w:cs="Times New Roman" w:eastAsia="Times New Roman" w:hAnsi="Times New Roman"/>
          <w:sz w:val="18"/>
          <w:szCs w:val="18"/>
          <w:b w:val="1"/>
          <w:bCs w:val="1"/>
          <w:color w:val="auto"/>
        </w:rPr>
        <w:t>3</w:t>
      </w:r>
      <w:r>
        <w:rPr>
          <w:rFonts w:ascii="SimSun" w:cs="SimSun" w:eastAsia="SimSun" w:hAnsi="SimSun"/>
          <w:sz w:val="18"/>
          <w:szCs w:val="18"/>
          <w:color w:val="auto"/>
          <w:highlight w:val="black"/>
        </w:rPr>
        <w:t>号写字楼</w:t>
      </w:r>
      <w:r>
        <w:rPr>
          <w:rFonts w:ascii="Times New Roman" w:cs="Times New Roman" w:eastAsia="Times New Roman" w:hAnsi="Times New Roman"/>
          <w:sz w:val="18"/>
          <w:szCs w:val="18"/>
          <w:b w:val="1"/>
          <w:bCs w:val="1"/>
          <w:color w:val="auto"/>
        </w:rPr>
        <w:t>34</w:t>
      </w:r>
      <w:r>
        <w:rPr>
          <w:rFonts w:ascii="SimSun" w:cs="SimSun" w:eastAsia="SimSun" w:hAnsi="SimSun"/>
          <w:sz w:val="18"/>
          <w:szCs w:val="18"/>
          <w:color w:val="auto"/>
          <w:highlight w:val="black"/>
        </w:rPr>
        <w:t>层</w:t>
      </w:r>
    </w:p>
    <w:p>
      <w:pPr>
        <w:spacing w:after="0" w:line="24" w:lineRule="exact"/>
        <w:rPr>
          <w:sz w:val="20"/>
          <w:szCs w:val="20"/>
          <w:color w:val="auto"/>
        </w:rPr>
      </w:pPr>
    </w:p>
    <w:p>
      <w:pPr>
        <w:ind w:left="3420"/>
        <w:spacing w:after="0" w:line="219" w:lineRule="exact"/>
        <w:rPr>
          <w:sz w:val="20"/>
          <w:szCs w:val="20"/>
          <w:color w:val="auto"/>
        </w:rPr>
      </w:pPr>
      <w:r>
        <w:rPr>
          <w:rFonts w:ascii="SimSun" w:cs="SimSun" w:eastAsia="SimSun" w:hAnsi="SimSun"/>
          <w:sz w:val="18"/>
          <w:szCs w:val="18"/>
          <w:color w:val="auto"/>
          <w:highlight w:val="black"/>
        </w:rPr>
        <w:t>电话：</w:t>
      </w:r>
      <w:r>
        <w:rPr>
          <w:rFonts w:ascii="Times New Roman" w:cs="Times New Roman" w:eastAsia="Times New Roman" w:hAnsi="Times New Roman"/>
          <w:sz w:val="18"/>
          <w:szCs w:val="18"/>
          <w:b w:val="1"/>
          <w:bCs w:val="1"/>
          <w:color w:val="auto"/>
        </w:rPr>
        <w:t xml:space="preserve">010 5809 1000 </w:t>
      </w:r>
      <w:r>
        <w:rPr>
          <w:rFonts w:ascii="SimSun" w:cs="SimSun" w:eastAsia="SimSun" w:hAnsi="SimSun"/>
          <w:sz w:val="18"/>
          <w:szCs w:val="18"/>
          <w:color w:val="auto"/>
          <w:highlight w:val="black"/>
        </w:rPr>
        <w:t>传真：</w:t>
      </w:r>
      <w:r>
        <w:rPr>
          <w:rFonts w:ascii="Times New Roman" w:cs="Times New Roman" w:eastAsia="Times New Roman" w:hAnsi="Times New Roman"/>
          <w:sz w:val="18"/>
          <w:szCs w:val="18"/>
          <w:b w:val="1"/>
          <w:bCs w:val="1"/>
          <w:color w:val="auto"/>
        </w:rPr>
        <w:t xml:space="preserve">010 5809 1000 </w:t>
      </w:r>
      <w:r>
        <w:rPr>
          <w:rFonts w:ascii="SimSun" w:cs="SimSun" w:eastAsia="SimSun" w:hAnsi="SimSun"/>
          <w:sz w:val="18"/>
          <w:szCs w:val="18"/>
          <w:color w:val="auto"/>
          <w:highlight w:val="black"/>
        </w:rPr>
        <w:t>邮编：</w:t>
      </w:r>
      <w:r>
        <w:rPr>
          <w:rFonts w:ascii="Times New Roman" w:cs="Times New Roman" w:eastAsia="Times New Roman" w:hAnsi="Times New Roman"/>
          <w:sz w:val="18"/>
          <w:szCs w:val="18"/>
          <w:b w:val="1"/>
          <w:bCs w:val="1"/>
          <w:color w:val="auto"/>
        </w:rPr>
        <w:t>100025</w:t>
      </w:r>
    </w:p>
    <w:p>
      <w:pPr>
        <w:spacing w:after="0" w:line="24" w:lineRule="exact"/>
        <w:rPr>
          <w:sz w:val="20"/>
          <w:szCs w:val="20"/>
          <w:color w:val="auto"/>
        </w:rPr>
      </w:pPr>
    </w:p>
    <w:p>
      <w:pPr>
        <w:ind w:left="3820"/>
        <w:spacing w:after="0" w:line="219" w:lineRule="exact"/>
        <w:rPr>
          <w:sz w:val="20"/>
          <w:szCs w:val="20"/>
          <w:color w:val="auto"/>
        </w:rPr>
      </w:pPr>
      <w:r>
        <w:rPr>
          <w:rFonts w:ascii="SimSun" w:cs="SimSun" w:eastAsia="SimSun" w:hAnsi="SimSun"/>
          <w:sz w:val="18"/>
          <w:szCs w:val="18"/>
          <w:color w:val="auto"/>
          <w:highlight w:val="black"/>
        </w:rPr>
        <w:t>北京</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上海</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深圳</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成都</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南京</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香港</w:t>
      </w:r>
      <w:r>
        <w:rPr>
          <w:rFonts w:ascii="Times New Roman" w:cs="Times New Roman" w:eastAsia="Times New Roman" w:hAnsi="Times New Roman"/>
          <w:sz w:val="18"/>
          <w:szCs w:val="18"/>
          <w:b w:val="1"/>
          <w:bCs w:val="1"/>
          <w:color w:val="auto"/>
          <w:highlight w:val="black"/>
        </w:rPr>
        <w:t>|</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杭州</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三亚</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#30-02 Guoco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acted as legal advisers as to the laws of PRC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reference our name in the Company’s Registration Statement on Form F-3, including the documents incorporated by reference therein, as amended and supplemented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Registration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1 Wallich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#30-02, Guoco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078881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acted as special legal advisers as to the laws of the PRC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reference our name in the Company’s Registration Statement on Form F-3, including the documents incorporated by reference therein, as amended and supplemented, (the “</w:t>
      </w:r>
      <w:r>
        <w:rPr>
          <w:rFonts w:ascii="Times New Roman" w:cs="Times New Roman" w:eastAsia="Times New Roman" w:hAnsi="Times New Roman"/>
          <w:sz w:val="18"/>
          <w:szCs w:val="18"/>
          <w:b w:val="1"/>
          <w:bCs w:val="1"/>
          <w:color w:val="auto"/>
        </w:rPr>
        <w:t>F-3 Registration Statement</w:t>
      </w:r>
      <w:r>
        <w:rPr>
          <w:rFonts w:ascii="Times New Roman" w:cs="Times New Roman" w:eastAsia="Times New Roman" w:hAnsi="Times New Roman"/>
          <w:sz w:val="18"/>
          <w:szCs w:val="18"/>
          <w:color w:val="auto"/>
        </w:rPr>
        <w:t>”), which will be filed with the SEC on the date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filing of this consent letter with the SEC as an exhibit to the F-3 Registration Statement.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7"/>
          <w:szCs w:val="17"/>
          <w:u w:val="single" w:color="auto"/>
          <w:color w:val="auto"/>
        </w:rPr>
        <w:t>/s/ Commerce &amp; Finance Law Offices</w:t>
      </w:r>
    </w:p>
    <w:p>
      <w:pPr>
        <w:spacing w:after="0" w:line="23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7"/>
          <w:szCs w:val="17"/>
          <w:color w:val="auto"/>
        </w:rPr>
        <w:t>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943725" cy="454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69437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Harry Elias Partnership LLP</w:t>
            </w:r>
          </w:p>
        </w:tc>
      </w:tr>
      <w:tr>
        <w:trPr>
          <w:trHeight w:val="216"/>
        </w:trPr>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SGX Centre 2, #17-01</w:t>
            </w:r>
          </w:p>
        </w:tc>
      </w:tr>
      <w:tr>
        <w:trPr>
          <w:trHeight w:val="216"/>
        </w:trPr>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4 Shenton Way</w:t>
            </w:r>
          </w:p>
        </w:tc>
      </w:tr>
      <w:tr>
        <w:trPr>
          <w:trHeight w:val="234"/>
        </w:trPr>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Singapore 068807</w:t>
            </w:r>
          </w:p>
        </w:tc>
      </w:tr>
      <w:tr>
        <w:trPr>
          <w:trHeight w:val="414"/>
        </w:trPr>
        <w:tc>
          <w:tcPr>
            <w:tcW w:w="5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 +65 6535 0550</w:t>
            </w:r>
          </w:p>
        </w:tc>
      </w:tr>
      <w:tr>
        <w:trPr>
          <w:trHeight w:val="216"/>
        </w:trPr>
        <w:tc>
          <w:tcPr>
            <w:tcW w:w="5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 +65 6438 0550</w:t>
            </w:r>
          </w:p>
        </w:tc>
      </w:tr>
      <w:tr>
        <w:trPr>
          <w:trHeight w:val="234"/>
        </w:trPr>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www.harryelias.com</w:t>
            </w:r>
          </w:p>
        </w:tc>
      </w:tr>
      <w:tr>
        <w:trPr>
          <w:trHeight w:val="414"/>
        </w:trPr>
        <w:tc>
          <w:tcPr>
            <w:tcW w:w="5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w w:val="98"/>
              </w:rPr>
              <w:t>We do not accept service of court documents</w:t>
            </w:r>
          </w:p>
        </w:tc>
      </w:tr>
      <w:tr>
        <w:trPr>
          <w:trHeight w:val="234"/>
        </w:trPr>
        <w:tc>
          <w:tcPr>
            <w:tcW w:w="5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by fax</w:t>
            </w:r>
          </w:p>
        </w:tc>
      </w:tr>
      <w:tr>
        <w:trPr>
          <w:trHeight w:val="41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attention of Board of Directors</w:t>
            </w:r>
          </w:p>
        </w:tc>
        <w:tc>
          <w:tcPr>
            <w:tcW w:w="1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July 2025</w:t>
            </w:r>
          </w:p>
        </w:tc>
      </w:tr>
      <w:tr>
        <w:trPr>
          <w:trHeight w:val="216"/>
        </w:trPr>
        <w:tc>
          <w:tcPr>
            <w:tcW w:w="5340" w:type="dxa"/>
            <w:vAlign w:val="bottom"/>
          </w:tcPr>
          <w:p>
            <w:pPr>
              <w:spacing w:after="0"/>
              <w:rPr>
                <w:sz w:val="18"/>
                <w:szCs w:val="18"/>
                <w:color w:val="auto"/>
              </w:rPr>
            </w:pPr>
          </w:p>
        </w:tc>
        <w:tc>
          <w:tcPr>
            <w:tcW w:w="1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Your ref</w:t>
            </w:r>
            <w:r>
              <w:rPr>
                <w:rFonts w:ascii="Times New Roman" w:cs="Times New Roman" w:eastAsia="Times New Roman" w:hAnsi="Times New Roman"/>
                <w:sz w:val="18"/>
                <w:szCs w:val="18"/>
                <w:color w:val="auto"/>
              </w:rPr>
              <w:t>:</w:t>
            </w: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tc>
        <w:tc>
          <w:tcPr>
            <w:tcW w:w="1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Our ref</w:t>
            </w:r>
            <w:r>
              <w:rPr>
                <w:rFonts w:ascii="Times New Roman" w:cs="Times New Roman" w:eastAsia="Times New Roman" w:hAnsi="Times New Roman"/>
                <w:sz w:val="18"/>
                <w:szCs w:val="18"/>
                <w:color w:val="auto"/>
              </w:rPr>
              <w:t>:</w:t>
            </w: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2025.044314.CT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 1 Wallich Street</w:t>
            </w:r>
          </w:p>
        </w:tc>
        <w:tc>
          <w:tcPr>
            <w:tcW w:w="1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Direct</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+65 6361 9392 / 863</w:t>
            </w: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#30-02, Guoco Tower</w:t>
            </w:r>
          </w:p>
        </w:tc>
        <w:tc>
          <w:tcPr>
            <w:tcW w:w="14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p>
        </w:tc>
        <w:tc>
          <w:tcPr>
            <w:tcW w:w="4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claudiateo@harryelias.com</w:t>
            </w:r>
          </w:p>
        </w:tc>
      </w:tr>
      <w:tr>
        <w:trPr>
          <w:trHeight w:val="20"/>
        </w:trPr>
        <w:tc>
          <w:tcPr>
            <w:tcW w:w="5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Singapore 078881</w:t>
            </w:r>
          </w:p>
        </w:tc>
        <w:tc>
          <w:tcPr>
            <w:tcW w:w="1420" w:type="dxa"/>
            <w:vAlign w:val="bottom"/>
          </w:tcPr>
          <w:p>
            <w:pPr>
              <w:spacing w:after="0"/>
              <w:rPr>
                <w:sz w:val="17"/>
                <w:szCs w:val="17"/>
                <w:color w:val="auto"/>
              </w:rPr>
            </w:pPr>
          </w:p>
        </w:tc>
        <w:tc>
          <w:tcPr>
            <w:tcW w:w="4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tienweitan@harryelias.com</w:t>
            </w:r>
          </w:p>
        </w:tc>
      </w:tr>
      <w:tr>
        <w:trPr>
          <w:trHeight w:val="453"/>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email only</w:t>
            </w:r>
          </w:p>
        </w:tc>
        <w:tc>
          <w:tcPr>
            <w:tcW w:w="142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Dear Sirs,</w:t>
            </w:r>
          </w:p>
        </w:tc>
        <w:tc>
          <w:tcPr>
            <w:tcW w:w="1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 FORM F-3</w:t>
            </w:r>
          </w:p>
        </w:tc>
        <w:tc>
          <w:tcPr>
            <w:tcW w:w="1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capitalised terms used in this letter shall have the same meaning as defined in the Form F-3.</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b w:val="1"/>
          <w:bCs w:val="1"/>
          <w:color w:val="auto"/>
        </w:rPr>
        <w:t>Harry Elias Partnership LLP</w:t>
      </w:r>
      <w:r>
        <w:rPr>
          <w:rFonts w:ascii="Times New Roman" w:cs="Times New Roman" w:eastAsia="Times New Roman" w:hAnsi="Times New Roman"/>
          <w:sz w:val="18"/>
          <w:szCs w:val="18"/>
          <w:color w:val="auto"/>
        </w:rPr>
        <w:t>, have acted as legal advisers as to the laws of Singapore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reference our name in the Company’s Registration Statement on Form F-3, including the documents incorporated by reference therein, as amended and supplemented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Save for the matters opined in the Registration Statement only, we do not make, or purport to make, any statement in the Registration Statement and are not aware of any statement in the Registration Statement which purports to be based on a statement made by us, and we make no representation, express or implied, regarding, and to the extent permitted by law, take no responsibility for, any statement in or omission from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Claudia Teo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0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Claudia Teo</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Designation</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w:t>
            </w: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404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Harry Elias Partnership LLP</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Harry Elias Partnership LLP </w:t>
      </w:r>
      <w:r>
        <w:rPr>
          <w:rFonts w:ascii="Times New Roman" w:cs="Times New Roman" w:eastAsia="Times New Roman" w:hAnsi="Times New Roman"/>
          <w:sz w:val="18"/>
          <w:szCs w:val="18"/>
          <w:color w:val="auto"/>
        </w:rPr>
        <w:t>is a limited liability partnership registered in Singapore under the Limited Liability Partnerships Act 2005, UEN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T10LL0175E and with our registered place of business at 4 Shenton Way #17-01 SGX Centre 2 Singapore 068807. We are regulated by the Law Society of Singapore and the Legal Services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1"/>
          <w:szCs w:val="21"/>
          <w:b w:val="1"/>
          <w:bCs w:val="1"/>
          <w:color w:val="auto"/>
        </w:rPr>
        <w:t>Exhibit 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175895</wp:posOffset>
            </wp:positionV>
            <wp:extent cx="2314575" cy="360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314575" cy="3600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 July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21st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Queen’s Road Central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3700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+852 3700 4099</w:t>
      </w:r>
    </w:p>
    <w:p>
      <w:pPr>
        <w:spacing w:after="0" w:line="200" w:lineRule="exact"/>
        <w:rPr>
          <w:sz w:val="20"/>
          <w:szCs w:val="20"/>
          <w:color w:val="auto"/>
        </w:rPr>
      </w:pPr>
    </w:p>
    <w:p>
      <w:pPr>
        <w:sectPr>
          <w:pgSz w:w="11900" w:h="16838" w:orient="portrait"/>
          <w:cols w:equalWidth="0" w:num="2">
            <w:col w:w="7160" w:space="720"/>
            <w:col w:w="3360"/>
          </w:cols>
          <w:pgMar w:left="320" w:top="108" w:right="339" w:bottom="1440" w:gutter="0" w:footer="0" w:header="0"/>
          <w:type w:val="continuous"/>
        </w:sectPr>
      </w:pP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Partners</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Wallich Street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 Ho Ming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 Tak Yi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Lau Yeung Yeung</w:t>
      </w:r>
    </w:p>
    <w:p>
      <w:pPr>
        <w:spacing w:after="0" w:line="20" w:lineRule="exact"/>
        <w:rPr>
          <w:sz w:val="20"/>
          <w:szCs w:val="20"/>
          <w:color w:val="auto"/>
        </w:rPr>
      </w:pPr>
    </w:p>
    <w:p>
      <w:pPr>
        <w:sectPr>
          <w:pgSz w:w="11900" w:h="16838" w:orient="portrait"/>
          <w:cols w:equalWidth="0" w:num="2">
            <w:col w:w="7160" w:space="720"/>
            <w:col w:w="3360"/>
          </w:cols>
          <w:pgMar w:left="320" w:top="1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#30-02 Guoco Tower</w:t>
      </w:r>
    </w:p>
    <w:p>
      <w:pPr>
        <w:sectPr>
          <w:pgSz w:w="11900" w:h="16838" w:orient="portrait"/>
          <w:cols w:equalWidth="0" w:num="1">
            <w:col w:w="11240"/>
          </w:cols>
          <w:pgMar w:left="320" w:top="10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078881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www.taylorwessing.com</w:t>
      </w:r>
    </w:p>
    <w:p>
      <w:pPr>
        <w:spacing w:after="0" w:line="211" w:lineRule="exact"/>
        <w:rPr>
          <w:sz w:val="20"/>
          <w:szCs w:val="20"/>
          <w:color w:val="auto"/>
        </w:rPr>
      </w:pPr>
    </w:p>
    <w:p>
      <w:pPr>
        <w:sectPr>
          <w:pgSz w:w="11900" w:h="16838" w:orient="portrait"/>
          <w:cols w:equalWidth="0" w:num="2">
            <w:col w:w="7160" w:space="720"/>
            <w:col w:w="3360"/>
          </w:cols>
          <w:pgMar w:left="320" w:top="108" w:right="339" w:bottom="1440" w:gutter="0" w:footer="0" w:header="0"/>
          <w:type w:val="continuous"/>
        </w:sectPr>
      </w:pP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Our Ref.: HMC102-035.MC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F-3 of Amber International Holding Limited</w:t>
      </w:r>
    </w:p>
    <w:p>
      <w:pPr>
        <w:sectPr>
          <w:pgSz w:w="11900" w:h="16838" w:orient="portrait"/>
          <w:cols w:equalWidth="0" w:num="1">
            <w:col w:w="11240"/>
          </w:cols>
          <w:pgMar w:left="320" w:top="108" w:right="339" w:bottom="1440" w:gutter="0" w:footer="0" w:header="0"/>
          <w:type w:val="continuous"/>
        </w:sectPr>
      </w:pP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acted as legal advisers as to the laws of Hong Kong to Amber International Holding Limited, a Cayman Islands exempted company incorporated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reference our name in the Company’s Registration Statement on Form F-3, including the documents incorporated by reference therein, as amended and supplemented,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will be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We also consent to the filing of this consent letter with the SEC as an exhibit to the Registration Statement. Save for the above, our consent is not to be read as extending, by implication or otherwise, to any other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Taylor Wessing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Taylor Wessing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Taylor Wessing is a firm of Hong Kong solicitors regulated by the Law Society of Hong Kong and practising Hong Kong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ectPr>
          <w:pgSz w:w="11900" w:h="16838" w:orient="portrait"/>
          <w:cols w:equalWidth="0" w:num="1">
            <w:col w:w="11140"/>
          </w:cols>
          <w:pgMar w:left="4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Title of Each Class of</w:t>
            </w:r>
          </w:p>
        </w:tc>
      </w:tr>
      <w:tr>
        <w:trPr>
          <w:trHeight w:val="238"/>
        </w:trPr>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80" w:type="dxa"/>
            <w:vAlign w:val="bottom"/>
          </w:tcPr>
          <w:p>
            <w:pPr>
              <w:spacing w:after="0"/>
              <w:rPr>
                <w:sz w:val="20"/>
                <w:szCs w:val="20"/>
                <w:color w:val="auto"/>
              </w:rPr>
            </w:pPr>
          </w:p>
        </w:tc>
        <w:tc>
          <w:tcPr>
            <w:tcW w:w="2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to Be Registered</w:t>
            </w:r>
          </w:p>
        </w:tc>
      </w:tr>
      <w:tr>
        <w:trPr>
          <w:trHeight w:val="191"/>
        </w:trPr>
        <w:tc>
          <w:tcPr>
            <w:tcW w:w="1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6"/>
                <w:szCs w:val="16"/>
                <w:color w:val="auto"/>
              </w:rPr>
            </w:pPr>
          </w:p>
        </w:tc>
        <w:tc>
          <w:tcPr>
            <w:tcW w:w="2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 ordinary shares, par</w:t>
            </w:r>
          </w:p>
        </w:tc>
      </w:tr>
      <w:tr>
        <w:trPr>
          <w:trHeight w:val="216"/>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value US$0.001 per share,</w:t>
            </w:r>
          </w:p>
        </w:tc>
      </w:tr>
      <w:tr>
        <w:trPr>
          <w:trHeight w:val="216"/>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including American</w:t>
            </w:r>
          </w:p>
        </w:tc>
      </w:tr>
      <w:tr>
        <w:trPr>
          <w:trHeight w:val="216"/>
        </w:trPr>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Depositary Shares (each</w:t>
            </w:r>
          </w:p>
        </w:tc>
      </w:tr>
      <w:tr>
        <w:trPr>
          <w:trHeight w:val="220"/>
        </w:trPr>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representing five Class A</w:t>
            </w:r>
          </w:p>
        </w:tc>
      </w:tr>
      <w:tr>
        <w:trPr>
          <w:trHeight w:val="253"/>
        </w:trPr>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ordinary shares)</w:t>
            </w:r>
            <w:r>
              <w:rPr>
                <w:rFonts w:ascii="Times New Roman" w:cs="Times New Roman" w:eastAsia="Times New Roman" w:hAnsi="Times New Roman"/>
                <w:sz w:val="29"/>
                <w:szCs w:val="29"/>
                <w:color w:val="auto"/>
                <w:vertAlign w:val="superscript"/>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rights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8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Unallocated (Universal) Shelf</w:t>
            </w:r>
          </w:p>
        </w:tc>
      </w:tr>
      <w:tr>
        <w:trPr>
          <w:trHeight w:val="22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(Universal)</w:t>
            </w:r>
          </w:p>
        </w:tc>
        <w:tc>
          <w:tcPr>
            <w:tcW w:w="1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9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Shelf</w:t>
            </w:r>
            <w:r>
              <w:rPr>
                <w:rFonts w:ascii="Times New Roman" w:cs="Times New Roman" w:eastAsia="Times New Roman" w:hAnsi="Times New Roman"/>
                <w:sz w:val="29"/>
                <w:szCs w:val="29"/>
                <w:color w:val="auto"/>
                <w:vertAlign w:val="superscript"/>
              </w:rPr>
              <w:t>(3)</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8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8"/>
                <w:szCs w:val="18"/>
                <w:color w:val="auto"/>
              </w:rPr>
            </w:pPr>
          </w:p>
        </w:tc>
        <w:tc>
          <w:tcPr>
            <w:tcW w:w="236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to Be</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80" w:type="dxa"/>
            <w:vAlign w:val="bottom"/>
          </w:tcPr>
          <w:p>
            <w:pPr>
              <w:spacing w:after="0"/>
              <w:rPr>
                <w:sz w:val="18"/>
                <w:szCs w:val="18"/>
                <w:color w:val="auto"/>
              </w:rPr>
            </w:pPr>
          </w:p>
        </w:tc>
        <w:tc>
          <w:tcPr>
            <w:tcW w:w="236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27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80" w:type="dxa"/>
            <w:vAlign w:val="bottom"/>
          </w:tcPr>
          <w:p>
            <w:pPr>
              <w:spacing w:after="0"/>
              <w:rPr>
                <w:sz w:val="23"/>
                <w:szCs w:val="23"/>
                <w:color w:val="auto"/>
              </w:rPr>
            </w:pPr>
          </w:p>
        </w:tc>
        <w:tc>
          <w:tcPr>
            <w:tcW w:w="11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1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180" w:type="dxa"/>
            <w:vAlign w:val="bottom"/>
          </w:tcPr>
          <w:p>
            <w:pPr>
              <w:spacing w:after="0"/>
              <w:rPr>
                <w:sz w:val="23"/>
                <w:szCs w:val="23"/>
                <w:color w:val="auto"/>
              </w:rPr>
            </w:pPr>
          </w:p>
        </w:tc>
        <w:tc>
          <w:tcPr>
            <w:tcW w:w="2360" w:type="dxa"/>
            <w:vAlign w:val="bottom"/>
            <w:gridSpan w:val="3"/>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b w:val="1"/>
                <w:bCs w:val="1"/>
                <w:color w:val="auto"/>
              </w:rPr>
              <w:t xml:space="preserve">    Fee Rate</w:t>
            </w:r>
          </w:p>
        </w:tc>
        <w:tc>
          <w:tcPr>
            <w:tcW w:w="1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0"/>
        <w:spacing w:after="0"/>
        <w:tabs>
          <w:tab w:leader="none" w:pos="1620" w:val="left"/>
          <w:tab w:leader="none" w:pos="2920" w:val="left"/>
          <w:tab w:leader="none" w:pos="3800" w:val="left"/>
          <w:tab w:leader="none" w:pos="5260" w:val="left"/>
          <w:tab w:leader="none" w:pos="6380" w:val="left"/>
        </w:tabs>
        <w:rPr>
          <w:sz w:val="20"/>
          <w:szCs w:val="20"/>
          <w:color w:val="auto"/>
        </w:rPr>
      </w:pPr>
      <w:r>
        <w:rPr>
          <w:rFonts w:ascii="Times New Roman" w:cs="Times New Roman" w:eastAsia="Times New Roman" w:hAnsi="Times New Roman"/>
          <w:sz w:val="18"/>
          <w:szCs w:val="18"/>
          <w:color w:val="auto"/>
        </w:rPr>
        <w:t>457(o)</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US$500,000,000</w:t>
        <w:tab/>
        <w:t>0.00015310</w:t>
        <w:tab/>
        <w:t>US$76,550</w:t>
      </w:r>
    </w:p>
    <w:p>
      <w:pPr>
        <w:spacing w:after="0" w:line="693" w:lineRule="exact"/>
        <w:rPr>
          <w:sz w:val="20"/>
          <w:szCs w:val="20"/>
          <w:color w:val="auto"/>
        </w:rPr>
      </w:pPr>
    </w:p>
    <w:p>
      <w:pPr>
        <w:sectPr>
          <w:pgSz w:w="11900" w:h="16838" w:orient="portrait"/>
          <w:cols w:equalWidth="0" w:num="2">
            <w:col w:w="3560" w:space="200"/>
            <w:col w:w="7380"/>
          </w:cols>
          <w:pgMar w:left="4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Offering Amount</w:t>
            </w:r>
          </w:p>
        </w:tc>
        <w:tc>
          <w:tcPr>
            <w:tcW w:w="61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US$500,000,000   0.00015310   US$76,550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6180" w:type="dxa"/>
            <w:vAlign w:val="bottom"/>
          </w:tcPr>
          <w:p>
            <w:pPr>
              <w:jc w:val="center"/>
              <w:ind w:left="5270"/>
              <w:spacing w:after="0"/>
              <w:rPr>
                <w:sz w:val="20"/>
                <w:szCs w:val="20"/>
                <w:color w:val="auto"/>
              </w:rPr>
            </w:pPr>
            <w:r>
              <w:rPr>
                <w:rFonts w:ascii="Times New Roman" w:cs="Times New Roman" w:eastAsia="Times New Roman" w:hAnsi="Times New Roman"/>
                <w:sz w:val="18"/>
                <w:szCs w:val="18"/>
                <w:color w:val="auto"/>
                <w:w w:val="96"/>
              </w:rPr>
              <w:t>N/A</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6180" w:type="dxa"/>
            <w:vAlign w:val="bottom"/>
          </w:tcPr>
          <w:p>
            <w:pPr>
              <w:jc w:val="center"/>
              <w:ind w:left="527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6180" w:type="dxa"/>
            <w:vAlign w:val="bottom"/>
          </w:tcPr>
          <w:p>
            <w:pPr>
              <w:jc w:val="center"/>
              <w:ind w:left="5270"/>
              <w:spacing w:after="0"/>
              <w:rPr>
                <w:sz w:val="20"/>
                <w:szCs w:val="20"/>
                <w:color w:val="auto"/>
              </w:rPr>
            </w:pPr>
            <w:r>
              <w:rPr>
                <w:rFonts w:ascii="Times New Roman" w:cs="Times New Roman" w:eastAsia="Times New Roman" w:hAnsi="Times New Roman"/>
                <w:sz w:val="18"/>
                <w:szCs w:val="18"/>
                <w:color w:val="auto"/>
              </w:rPr>
              <w:t>US$76,550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171450</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560" w:right="140"/>
        <w:spacing w:after="0" w:line="312" w:lineRule="auto"/>
        <w:rPr>
          <w:sz w:val="20"/>
          <w:szCs w:val="20"/>
          <w:color w:val="auto"/>
        </w:rPr>
      </w:pPr>
      <w:r>
        <w:rPr>
          <w:rFonts w:ascii="Times New Roman" w:cs="Times New Roman" w:eastAsia="Times New Roman" w:hAnsi="Times New Roman"/>
          <w:sz w:val="17"/>
          <w:szCs w:val="17"/>
          <w:color w:val="auto"/>
        </w:rPr>
        <w:t>(1)            Pursuant to Rule 416 of the Securities Act of 1933, as amended, or the Securities Act, this registration statement includes an indeterminate number of additional shares as may be issuable as a result of stock splits or stock dividends which occur during this continuous offering.</w:t>
      </w:r>
    </w:p>
    <w:p>
      <w:pPr>
        <w:spacing w:after="0" w:line="140"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(2)            There are being registered under this registration statement such indeterminate number of Class A ordinary shares, preferred shares, subscription rights, warrants, and units as may be sold by the registrant from time to time, which collectively shall have an aggregate initial offering price not to exceed US$500,000,000, or, if any securities are issued for consideration denominated in a foreign currency, such amount as shall result in an aggregate initial offering price equivalent to a maximum of US$500,000,000. The securities registered hereunder also include such indeterminate number of Class A ordinary shares as may be issued upon conversion, exercise or exchange of warrants that provide for such conversion into, exercise for or exchange into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430530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360" w:right="339" w:bottom="1440" w:gutter="0" w:footer="0" w:header="0"/>
          <w:type w:val="continuous"/>
        </w:sectPr>
      </w:pPr>
    </w:p>
    <w:bookmarkStart w:id="69" w:name="page70"/>
    <w:bookmarkEnd w:id="69"/>
    <w:p>
      <w:pPr>
        <w:ind w:right="260"/>
        <w:spacing w:after="0" w:line="282" w:lineRule="auto"/>
        <w:rPr>
          <w:sz w:val="20"/>
          <w:szCs w:val="20"/>
          <w:color w:val="auto"/>
        </w:rPr>
      </w:pPr>
      <w:r>
        <w:rPr>
          <w:rFonts w:ascii="Times New Roman" w:cs="Times New Roman" w:eastAsia="Times New Roman" w:hAnsi="Times New Roman"/>
          <w:sz w:val="18"/>
          <w:szCs w:val="18"/>
          <w:color w:val="auto"/>
        </w:rPr>
        <w:t>(3)            Not specified as to each class of securities to be registered pursuant to Instruction 2.A.iii.b to the Calculation of Filing Fee Tables and Related Disclosure in Item 9(b) of Form F-3.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An indeterminate aggregate amount of securities is being registered as may from time to time be sold at indeterminate prices.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            The registration fee has been calculated pursuant to Rule 457(o) under the Securities Act on the basis of the maximum aggregate offering price of the securities listed.</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(6)            American depositary shares issuable upon deposit of the Class A ordinary shares registered hereby have been registered under a separate registration statement on Form F-6 filed with the Securities and Exchange Commission on June 26, 2025 (Registration No. 333-288354). Each American depositary share represents five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360"/>
      </w:cols>
      <w:pgMar w:left="980" w:top="9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lowerRoman"/>
      <w:start w:val="2"/>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decimal"/>
      <w:start w:val="40"/>
    </w:lvl>
  </w:abstractNum>
  <w:abstractNum w:abstractNumId="22">
    <w:nsid w:val="3855585C"/>
    <w:multiLevelType w:val="hybridMultilevel"/>
    <w:lvl w:ilvl="0">
      <w:lvlJc w:val="left"/>
      <w:lvlText w:val="(%1)"/>
      <w:numFmt w:val="decimal"/>
      <w:start w:val="10"/>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lowerLetter"/>
      <w:start w:val="2"/>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lowerLetter"/>
      <w:start w:val="4"/>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decimal"/>
      <w:start w:val="1"/>
    </w:lvl>
    <w:lvl w:ilvl="1">
      <w:lvlJc w:val="left"/>
      <w:lvlText w:val="%2."/>
      <w:numFmt w:val="lowerRoman"/>
      <w:start w:val="1"/>
    </w:lvl>
  </w:abstractNum>
  <w:abstractNum w:abstractNumId="41">
    <w:nsid w:val="1BA026FA"/>
    <w:multiLevelType w:val="hybridMultilevel"/>
    <w:lvl w:ilvl="0">
      <w:lvlJc w:val="left"/>
      <w:lvlText w:val="%1."/>
      <w:numFmt w:val="lowerRoman"/>
      <w:start w:val="3"/>
    </w:lvl>
  </w:abstractNum>
  <w:abstractNum w:abstractNumId="42">
    <w:nsid w:val="79A1DEAA"/>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43">
    <w:nsid w:val="75C6C33A"/>
    <w:multiLevelType w:val="hybridMultilevel"/>
    <w:lvl w:ilvl="0">
      <w:lvlJc w:val="left"/>
      <w:lvlText w:val="%1"/>
      <w:numFmt w:val="decimal"/>
      <w:start w:val="1"/>
    </w:lvl>
    <w:lvl w:ilvl="1">
      <w:lvlJc w:val="left"/>
      <w:lvlText w:val="%2."/>
      <w:numFmt w:val="lowerRoman"/>
      <w:start w:val="2"/>
    </w:lvl>
  </w:abstractNum>
  <w:abstractNum w:abstractNumId="44">
    <w:nsid w:val="12E685FB"/>
    <w:multiLevelType w:val="hybridMultilevel"/>
    <w:lvl w:ilvl="0">
      <w:lvlJc w:val="left"/>
      <w:lvlText w:val="(%1)"/>
      <w:numFmt w:val="decimal"/>
      <w:start w:val="6"/>
    </w:lvl>
    <w:lvl w:ilvl="1">
      <w:lvlJc w:val="left"/>
      <w:lvlText w:val="%2"/>
      <w:numFmt w:val="lowerRoman"/>
      <w:start w:val="1"/>
    </w:lvl>
  </w:abstractNum>
  <w:abstractNum w:abstractNumId="45">
    <w:nsid w:val="70C6A529"/>
    <w:multiLevelType w:val="hybridMultilevel"/>
    <w:lvl w:ilvl="0">
      <w:lvlJc w:val="left"/>
      <w:lvlText w:val="%1"/>
      <w:numFmt w:val="decimal"/>
      <w:start w:val="1"/>
    </w:lvl>
    <w:lvl w:ilvl="1">
      <w:lvlJc w:val="left"/>
      <w:lvlText w:val="%2."/>
      <w:numFmt w:val="lowerRoman"/>
      <w:start w:val="1"/>
    </w:lvl>
  </w:abstractNum>
  <w:abstractNum w:abstractNumId="46">
    <w:nsid w:val="520EEDD1"/>
    <w:multiLevelType w:val="hybridMultilevel"/>
    <w:lvl w:ilvl="0">
      <w:lvlJc w:val="left"/>
      <w:lvlText w:val="(%1)"/>
      <w:numFmt w:val="decimal"/>
      <w:start w:val="7"/>
    </w:lvl>
    <w:lvl w:ilvl="1">
      <w:lvlJc w:val="left"/>
      <w:lvlText w:val="%2"/>
      <w:numFmt w:val="lowerRoman"/>
      <w:start w:val="1"/>
    </w:lvl>
  </w:abstractNum>
  <w:abstractNum w:abstractNumId="47">
    <w:nsid w:val="374A3FE6"/>
    <w:multiLevelType w:val="hybridMultilevel"/>
    <w:lvl w:ilvl="0">
      <w:lvlJc w:val="left"/>
      <w:lvlText w:val="%1"/>
      <w:numFmt w:val="decimal"/>
      <w:start w:val="107"/>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bullet"/>
      <w:start w:val="1"/>
    </w:lvl>
  </w:abstractNum>
  <w:abstractNum w:abstractNumId="51">
    <w:nsid w:val="275AC794"/>
    <w:multiLevelType w:val="hybridMultilevel"/>
    <w:lvl w:ilvl="0">
      <w:lvlJc w:val="left"/>
      <w:lvlText w:val="2"/>
      <w:numFmt w:val="bullet"/>
      <w:start w:val="1"/>
    </w:lvl>
  </w:abstractNum>
  <w:abstractNum w:abstractNumId="52">
    <w:nsid w:val="39386575"/>
    <w:multiLevelType w:val="hybridMultilevel"/>
    <w:lvl w:ilvl="0">
      <w:lvlJc w:val="left"/>
      <w:lvlText w:val="3"/>
      <w:numFmt w:val="bullet"/>
      <w:start w:val="1"/>
    </w:lvl>
  </w:abstractNum>
  <w:abstractNum w:abstractNumId="53">
    <w:nsid w:val="1CF10FD8"/>
    <w:multiLevelType w:val="hybridMultilevel"/>
    <w:lvl w:ilvl="0">
      <w:lvlJc w:val="left"/>
      <w:lvlText w:val="1"/>
      <w:numFmt w:val="bullet"/>
      <w:start w:val="1"/>
    </w:lvl>
  </w:abstractNum>
  <w:abstractNum w:abstractNumId="54">
    <w:nsid w:val="180115BE"/>
    <w:multiLevelType w:val="hybridMultilevel"/>
    <w:lvl w:ilvl="0">
      <w:lvlJc w:val="left"/>
      <w:lvlText w:val="2"/>
      <w:numFmt w:val="bullet"/>
      <w:start w:val="1"/>
    </w:lvl>
  </w:abstractNum>
  <w:abstractNum w:abstractNumId="55">
    <w:nsid w:val="235BA861"/>
    <w:multiLevelType w:val="hybridMultilevel"/>
    <w:lvl w:ilvl="0">
      <w:lvlJc w:val="left"/>
      <w:lvlText w:val="4"/>
      <w:numFmt w:val="bullet"/>
      <w:start w:val="1"/>
    </w:lvl>
  </w:abstractNum>
  <w:abstractNum w:abstractNumId="56">
    <w:nsid w:val="47398C89"/>
    <w:multiLevelType w:val="hybridMultilevel"/>
    <w:lvl w:ilvl="0">
      <w:lvlJc w:val="left"/>
      <w:lvlText w:val="5"/>
      <w:numFmt w:val="bullet"/>
      <w:start w:val="1"/>
    </w:lvl>
  </w:abstractNum>
  <w:abstractNum w:abstractNumId="57">
    <w:nsid w:val="354FE9F9"/>
    <w:multiLevelType w:val="hybridMultilevel"/>
    <w:lvl w:ilvl="0">
      <w:lvlJc w:val="left"/>
      <w:lvlText w:val="6"/>
      <w:numFmt w:val="bullet"/>
      <w:start w:val="1"/>
    </w:lvl>
  </w:abstractNum>
  <w:abstractNum w:abstractNumId="58">
    <w:nsid w:val="15B5AF5C"/>
    <w:multiLevelType w:val="hybridMultilevel"/>
    <w:lvl w:ilvl="0">
      <w:lvlJc w:val="left"/>
      <w:lvlText w:val="7"/>
      <w:numFmt w:val="bullet"/>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3"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jpeg"/><Relationship Id="rId125" Type="http://schemas.openxmlformats.org/officeDocument/2006/relationships/image" Target="media/image101.png"/><Relationship Id="rId126" Type="http://schemas.openxmlformats.org/officeDocument/2006/relationships/image" Target="media/image102.jpe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jpeg"/><Relationship Id="rId131" Type="http://schemas.openxmlformats.org/officeDocument/2006/relationships/image" Target="media/image107.jpeg"/><Relationship Id="rId132" Type="http://schemas.openxmlformats.org/officeDocument/2006/relationships/image" Target="media/image108.jpe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jpeg"/><Relationship Id="rId137" Type="http://schemas.openxmlformats.org/officeDocument/2006/relationships/image" Target="media/image113.png"/><Relationship Id="rId138" Type="http://schemas.openxmlformats.org/officeDocument/2006/relationships/image" Target="media/image114.jpe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27" Type="http://schemas.openxmlformats.org/officeDocument/2006/relationships/hyperlink" Target="https://www.sec.gov/ix?doc=/Archives/edgar/data/1697818/000141057825000996/ambr-20241231x20f.htm" TargetMode="External"/><Relationship Id="rId28" Type="http://schemas.openxmlformats.org/officeDocument/2006/relationships/hyperlink" Target="https://www.sec.gov/Archives/edgar/data/1697818/000119312517358777/d488906d8a12b.htm" TargetMode="External"/><Relationship Id="rId29" Type="http://schemas.openxmlformats.org/officeDocument/2006/relationships/hyperlink" Target="https://www.sec.gov/Archives/edgar/data/1697818/000110465924129903/tm2431462d1_6k.htm" TargetMode="External"/><Relationship Id="rId30" Type="http://schemas.openxmlformats.org/officeDocument/2006/relationships/hyperlink" Target="https://www.sec.gov/Archives/edgar/data/1697818/000110465925032866/tm2511805d1_6k.htm" TargetMode="External"/><Relationship Id="rId31" Type="http://schemas.openxmlformats.org/officeDocument/2006/relationships/hyperlink" Target="https://www.sec.gov/Archives/edgar/data/1697818/000110465925039232/tm2513215d1_6k.htm" TargetMode="External"/><Relationship Id="rId32" Type="http://schemas.openxmlformats.org/officeDocument/2006/relationships/hyperlink" Target="https://www.sec.gov/Archives/edgar/data/1697818/000110465925047073/tm2514778d1_6k.htm" TargetMode="External"/><Relationship Id="rId34" Type="http://schemas.openxmlformats.org/officeDocument/2006/relationships/hyperlink" Target="https://www.sec.gov/Archives/edgar/data/1697818/000110465925051975/tm2515970d1_6k.htm" TargetMode="External"/><Relationship Id="rId35" Type="http://schemas.openxmlformats.org/officeDocument/2006/relationships/hyperlink" Target="https://www.sec.gov/ix?doc=/Archives/edgar/data/1697818/000141057825001405/ambr-20241231x20f.htm" TargetMode="External"/><Relationship Id="rId36" Type="http://schemas.openxmlformats.org/officeDocument/2006/relationships/hyperlink" Target="https://www.sec.gov/Archives/edgar/data/1697818/000110465925065821/tm2519884d2_6k.htm" TargetMode="External"/><Relationship Id="rId37" Type="http://schemas.openxmlformats.org/officeDocument/2006/relationships/hyperlink" Target="https://www.sec.gov/Archives/edgar/data/1697818/000110465925065971/tm2519974d1_6k.htm" TargetMode="External"/><Relationship Id="rId101" Type="http://schemas.openxmlformats.org/officeDocument/2006/relationships/hyperlink" Target="https://www.sec.gov/Archives/edgar/data/1697818/000141057825000996/ambr-20241231xex1d1.htm" TargetMode="External"/><Relationship Id="rId102" Type="http://schemas.openxmlformats.org/officeDocument/2006/relationships/hyperlink" Target="https://www.sec.gov/Archives/edgar/data/1474274/000119380525000933/e664653_ex99-a.htm" TargetMode="External"/><Relationship Id="rId103" Type="http://schemas.openxmlformats.org/officeDocument/2006/relationships/hyperlink" Target="https://www.sec.gov/Archives/edgar/data/1697818/000119380525000292/e664265_424b3-iclickiag.htm" TargetMode="External"/><Relationship Id="rId104" Type="http://schemas.openxmlformats.org/officeDocument/2006/relationships/hyperlink" Target="https://www.sec.gov/Archives/edgar/data/1697818/000141057825000996/ambr-20241231xex2d2.htm" TargetMode="External"/><Relationship Id="rId105" Type="http://schemas.openxmlformats.org/officeDocument/2006/relationships/hyperlink" Target="https://www.sec.gov/Archives/edgar/data/1697818/000110465924124155/tm2429824d1_ex99-2.htm" TargetMode="External"/><Relationship Id="rId106" Type="http://schemas.openxmlformats.org/officeDocument/2006/relationships/hyperlink" Target="https://www.sec.gov/Archives/edgar/data/1697818/000110465925022786/tm258963d1_ex99-2.htm" TargetMode="External"/><Relationship Id="rId107" Type="http://schemas.openxmlformats.org/officeDocument/2006/relationships/hyperlink" Target="https://www.sec.gov/Archives/edgar/data/1697818/000110465925022786/tm258963d1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2025-07-07T07:55:10Z</dcterms:created>
  <dcterms:modified xsi:type="dcterms:W3CDTF">2025-07-07T07:55:10Z</dcterms:modified>
</cp:coreProperties>
</file>