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UNITED STATES</w:t>
      </w:r>
    </w:p>
    <w:p>
      <w:pPr>
        <w:ind w:left="8"/>
        <w:spacing w:after="0"/>
        <w:rPr>
          <w:sz w:val="20"/>
          <w:szCs w:val="20"/>
          <w:color w:val="auto"/>
        </w:rPr>
      </w:pPr>
      <w:r>
        <w:rPr>
          <w:rFonts w:ascii="Courier New" w:cs="Courier New" w:eastAsia="Courier New" w:hAnsi="Courier New"/>
          <w:sz w:val="12"/>
          <w:szCs w:val="12"/>
          <w:color w:val="auto"/>
        </w:rPr>
        <w:t>SECURITIES AND EXCHANGE COMMISSION</w:t>
      </w:r>
    </w:p>
    <w:p>
      <w:pPr>
        <w:ind w:left="8"/>
        <w:spacing w:after="0" w:line="237" w:lineRule="auto"/>
        <w:rPr>
          <w:sz w:val="20"/>
          <w:szCs w:val="20"/>
          <w:color w:val="auto"/>
        </w:rPr>
      </w:pPr>
      <w:r>
        <w:rPr>
          <w:rFonts w:ascii="Courier New" w:cs="Courier New" w:eastAsia="Courier New" w:hAnsi="Courier New"/>
          <w:sz w:val="12"/>
          <w:szCs w:val="12"/>
          <w:color w:val="auto"/>
        </w:rPr>
        <w:t>Washington, D.C. 20549</w:t>
      </w:r>
    </w:p>
    <w:p>
      <w:pPr>
        <w:ind w:left="8"/>
        <w:spacing w:after="0"/>
        <w:rPr>
          <w:sz w:val="20"/>
          <w:szCs w:val="20"/>
          <w:color w:val="auto"/>
        </w:rPr>
      </w:pPr>
      <w:r>
        <w:rPr>
          <w:rFonts w:ascii="Courier New" w:cs="Courier New" w:eastAsia="Courier New" w:hAnsi="Courier New"/>
          <w:sz w:val="12"/>
          <w:szCs w:val="12"/>
          <w:color w:val="auto"/>
        </w:rPr>
        <w:t>SCHEDULE 13G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Under the Securities Exchange Act of 1934</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(Amendment No. ___)*</w:t>
      </w:r>
    </w:p>
    <w:p>
      <w:pPr>
        <w:ind w:left="8"/>
        <w:spacing w:after="0"/>
        <w:rPr>
          <w:sz w:val="20"/>
          <w:szCs w:val="20"/>
          <w:color w:val="auto"/>
        </w:rPr>
      </w:pPr>
      <w:r>
        <w:rPr>
          <w:rFonts w:ascii="Courier New" w:cs="Courier New" w:eastAsia="Courier New" w:hAnsi="Courier New"/>
          <w:sz w:val="12"/>
          <w:szCs w:val="12"/>
          <w:color w:val="auto"/>
        </w:rPr>
        <w:t>iClick Interactive Asia Group Limited</w:t>
      </w:r>
    </w:p>
    <w:p>
      <w:pPr>
        <w:ind w:left="8"/>
        <w:spacing w:after="0" w:line="237" w:lineRule="auto"/>
        <w:rPr>
          <w:sz w:val="20"/>
          <w:szCs w:val="20"/>
          <w:color w:val="auto"/>
        </w:rPr>
      </w:pPr>
      <w:r>
        <w:rPr>
          <w:rFonts w:ascii="Courier New" w:cs="Courier New" w:eastAsia="Courier New" w:hAnsi="Courier New"/>
          <w:sz w:val="12"/>
          <w:szCs w:val="12"/>
          <w:color w:val="auto"/>
        </w:rPr>
        <w:t>(Name of Issuer)</w:t>
      </w:r>
    </w:p>
    <w:p>
      <w:pPr>
        <w:ind w:left="8"/>
        <w:spacing w:after="0"/>
        <w:rPr>
          <w:sz w:val="20"/>
          <w:szCs w:val="20"/>
          <w:color w:val="auto"/>
        </w:rPr>
      </w:pPr>
      <w:r>
        <w:rPr>
          <w:rFonts w:ascii="Courier New" w:cs="Courier New" w:eastAsia="Courier New" w:hAnsi="Courier New"/>
          <w:sz w:val="12"/>
          <w:szCs w:val="12"/>
          <w:color w:val="auto"/>
        </w:rPr>
        <w:t>Class A Ordinary Shares, Par Value of $0.001 per share</w:t>
      </w:r>
    </w:p>
    <w:p>
      <w:pPr>
        <w:ind w:left="8"/>
        <w:spacing w:after="0" w:line="237" w:lineRule="auto"/>
        <w:rPr>
          <w:sz w:val="20"/>
          <w:szCs w:val="20"/>
          <w:color w:val="auto"/>
        </w:rPr>
      </w:pPr>
      <w:r>
        <w:rPr>
          <w:rFonts w:ascii="Courier New" w:cs="Courier New" w:eastAsia="Courier New" w:hAnsi="Courier New"/>
          <w:sz w:val="12"/>
          <w:szCs w:val="12"/>
          <w:color w:val="auto"/>
        </w:rPr>
        <w:t>(Title of Class of Securities)</w:t>
      </w:r>
    </w:p>
    <w:p>
      <w:pPr>
        <w:ind w:left="8"/>
        <w:spacing w:after="0"/>
        <w:rPr>
          <w:sz w:val="20"/>
          <w:szCs w:val="20"/>
          <w:color w:val="auto"/>
        </w:rPr>
      </w:pPr>
      <w:r>
        <w:rPr>
          <w:rFonts w:ascii="Courier New" w:cs="Courier New" w:eastAsia="Courier New" w:hAnsi="Courier New"/>
          <w:sz w:val="12"/>
          <w:szCs w:val="12"/>
          <w:color w:val="auto"/>
        </w:rPr>
        <w:t>G47048 106</w:t>
      </w:r>
    </w:p>
    <w:p>
      <w:pPr>
        <w:ind w:left="8"/>
        <w:spacing w:after="0" w:line="237" w:lineRule="auto"/>
        <w:rPr>
          <w:sz w:val="20"/>
          <w:szCs w:val="20"/>
          <w:color w:val="auto"/>
        </w:rPr>
      </w:pPr>
      <w:r>
        <w:rPr>
          <w:rFonts w:ascii="Courier New" w:cs="Courier New" w:eastAsia="Courier New" w:hAnsi="Courier New"/>
          <w:sz w:val="12"/>
          <w:szCs w:val="12"/>
          <w:color w:val="auto"/>
        </w:rPr>
        <w:t>(CUSIP Number)</w:t>
      </w:r>
    </w:p>
    <w:p>
      <w:pPr>
        <w:ind w:left="8"/>
        <w:spacing w:after="0"/>
        <w:rPr>
          <w:sz w:val="20"/>
          <w:szCs w:val="20"/>
          <w:color w:val="auto"/>
        </w:rPr>
      </w:pPr>
      <w:r>
        <w:rPr>
          <w:rFonts w:ascii="Courier New" w:cs="Courier New" w:eastAsia="Courier New" w:hAnsi="Courier New"/>
          <w:sz w:val="12"/>
          <w:szCs w:val="12"/>
          <w:color w:val="auto"/>
        </w:rPr>
        <w:t>December 13, 2018</w:t>
      </w:r>
    </w:p>
    <w:p>
      <w:pPr>
        <w:ind w:left="8"/>
        <w:spacing w:after="0" w:line="237" w:lineRule="auto"/>
        <w:rPr>
          <w:sz w:val="20"/>
          <w:szCs w:val="20"/>
          <w:color w:val="auto"/>
        </w:rPr>
      </w:pPr>
      <w:r>
        <w:rPr>
          <w:rFonts w:ascii="Courier New" w:cs="Courier New" w:eastAsia="Courier New" w:hAnsi="Courier New"/>
          <w:sz w:val="12"/>
          <w:szCs w:val="12"/>
          <w:color w:val="auto"/>
        </w:rPr>
        <w:t>(Date of Event which Requires Filing of this Statement)</w:t>
      </w:r>
    </w:p>
    <w:p>
      <w:pPr>
        <w:spacing w:after="0" w:line="134"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Check the appropriate box to designate the rule pursuant</w:t>
      </w:r>
    </w:p>
    <w:p>
      <w:pPr>
        <w:ind w:left="8"/>
        <w:spacing w:after="0"/>
        <w:rPr>
          <w:sz w:val="20"/>
          <w:szCs w:val="20"/>
          <w:color w:val="auto"/>
        </w:rPr>
      </w:pPr>
      <w:r>
        <w:rPr>
          <w:rFonts w:ascii="Courier New" w:cs="Courier New" w:eastAsia="Courier New" w:hAnsi="Courier New"/>
          <w:sz w:val="12"/>
          <w:szCs w:val="12"/>
          <w:color w:val="auto"/>
        </w:rPr>
        <w:t>to which this Schedule is filed:</w:t>
      </w:r>
    </w:p>
    <w:p>
      <w:pPr>
        <w:spacing w:after="0" w:line="133" w:lineRule="exact"/>
        <w:rPr>
          <w:sz w:val="24"/>
          <w:szCs w:val="24"/>
          <w:color w:val="auto"/>
        </w:rPr>
      </w:pPr>
    </w:p>
    <w:p>
      <w:pPr>
        <w:ind w:left="568"/>
        <w:spacing w:after="0"/>
        <w:tabs>
          <w:tab w:leader="none" w:pos="888" w:val="left"/>
        </w:tabs>
        <w:rPr>
          <w:sz w:val="20"/>
          <w:szCs w:val="20"/>
          <w:color w:val="auto"/>
        </w:rPr>
      </w:pPr>
      <w:r>
        <w:rPr>
          <w:rFonts w:ascii="Courier New" w:cs="Courier New" w:eastAsia="Courier New" w:hAnsi="Courier New"/>
          <w:sz w:val="12"/>
          <w:szCs w:val="12"/>
          <w:color w:val="auto"/>
        </w:rPr>
        <w:t>[_]</w:t>
      </w:r>
      <w:r>
        <w:rPr>
          <w:sz w:val="20"/>
          <w:szCs w:val="20"/>
          <w:color w:val="auto"/>
        </w:rPr>
        <w:tab/>
      </w:r>
      <w:r>
        <w:rPr>
          <w:rFonts w:ascii="Courier New" w:cs="Courier New" w:eastAsia="Courier New" w:hAnsi="Courier New"/>
          <w:sz w:val="11"/>
          <w:szCs w:val="11"/>
          <w:color w:val="auto"/>
        </w:rPr>
        <w:t>Rule 13d-1(b)</w:t>
      </w:r>
    </w:p>
    <w:p>
      <w:pPr>
        <w:spacing w:after="0" w:line="139" w:lineRule="exact"/>
        <w:rPr>
          <w:sz w:val="24"/>
          <w:szCs w:val="24"/>
          <w:color w:val="auto"/>
        </w:rPr>
      </w:pPr>
    </w:p>
    <w:p>
      <w:pPr>
        <w:jc w:val="both"/>
        <w:ind w:left="568" w:right="9700" w:hanging="6"/>
        <w:spacing w:after="0" w:line="520" w:lineRule="auto"/>
        <w:tabs>
          <w:tab w:leader="none" w:pos="919"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Rule 13d-1(c) [ ] Rule 13d-1(d)</w:t>
      </w:r>
    </w:p>
    <w:p>
      <w:pPr>
        <w:ind w:left="8"/>
        <w:spacing w:after="0"/>
        <w:rPr>
          <w:sz w:val="20"/>
          <w:szCs w:val="20"/>
          <w:color w:val="auto"/>
        </w:rPr>
      </w:pPr>
      <w:r>
        <w:rPr>
          <w:rFonts w:ascii="Courier New" w:cs="Courier New" w:eastAsia="Courier New" w:hAnsi="Courier New"/>
          <w:sz w:val="11"/>
          <w:szCs w:val="11"/>
          <w:color w:val="auto"/>
        </w:rPr>
        <w:t>*The remainder of this cover page shall be filled out for a reporting persons initial filing on this form with respect to the subject class of securities, and for a</w:t>
      </w:r>
    </w:p>
    <w:p>
      <w:pPr>
        <w:spacing w:after="0" w:line="146"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The information required in the remainder of this cover page shall not be deemed to be filed for the purpose of Section 18 of the Securities Exchange Act of 1934 Ac</w:t>
      </w:r>
    </w:p>
    <w:p>
      <w:pPr>
        <w:spacing w:after="0" w:line="276" w:lineRule="exact"/>
        <w:rPr>
          <w:sz w:val="24"/>
          <w:szCs w:val="24"/>
          <w:color w:val="auto"/>
        </w:rPr>
      </w:pPr>
    </w:p>
    <w:tbl>
      <w:tblPr>
        <w:tblLayout w:type="fixed"/>
        <w:tblInd w:w="8" w:type="dxa"/>
        <w:tblCellMar>
          <w:top w:w="0" w:type="dxa"/>
          <w:left w:w="0" w:type="dxa"/>
          <w:bottom w:w="0" w:type="dxa"/>
          <w:right w:w="0" w:type="dxa"/>
        </w:tblCellMar>
      </w:tblPr>
      <w:tr>
        <w:trPr>
          <w:trHeight w:val="136"/>
        </w:trPr>
        <w:tc>
          <w:tcPr>
            <w:tcW w:w="980" w:type="dxa"/>
            <w:vAlign w:val="bottom"/>
          </w:tcPr>
          <w:p>
            <w:pPr>
              <w:spacing w:after="0"/>
              <w:rPr>
                <w:sz w:val="20"/>
                <w:szCs w:val="20"/>
                <w:color w:val="auto"/>
              </w:rPr>
            </w:pPr>
            <w:r>
              <w:rPr>
                <w:rFonts w:ascii="Courier New" w:cs="Courier New" w:eastAsia="Courier New" w:hAnsi="Courier New"/>
                <w:sz w:val="12"/>
                <w:szCs w:val="12"/>
                <w:color w:val="auto"/>
              </w:rPr>
              <w:t>SCHEDULE 13G</w:t>
            </w:r>
          </w:p>
        </w:tc>
        <w:tc>
          <w:tcPr>
            <w:tcW w:w="840" w:type="dxa"/>
            <w:vAlign w:val="bottom"/>
          </w:tcPr>
          <w:p>
            <w:pPr>
              <w:spacing w:after="0"/>
              <w:rPr>
                <w:sz w:val="11"/>
                <w:szCs w:val="11"/>
                <w:color w:val="auto"/>
              </w:rPr>
            </w:pPr>
          </w:p>
        </w:tc>
      </w:tr>
      <w:tr>
        <w:trPr>
          <w:trHeight w:val="135"/>
        </w:trPr>
        <w:tc>
          <w:tcPr>
            <w:tcW w:w="980" w:type="dxa"/>
            <w:vAlign w:val="bottom"/>
          </w:tcPr>
          <w:p>
            <w:pPr>
              <w:spacing w:after="0"/>
              <w:rPr>
                <w:sz w:val="20"/>
                <w:szCs w:val="20"/>
                <w:color w:val="auto"/>
              </w:rPr>
            </w:pPr>
            <w:r>
              <w:rPr>
                <w:rFonts w:ascii="Courier New" w:cs="Courier New" w:eastAsia="Courier New" w:hAnsi="Courier New"/>
                <w:sz w:val="12"/>
                <w:szCs w:val="12"/>
                <w:color w:val="auto"/>
              </w:rPr>
              <w:t>CUSIP No.</w:t>
            </w:r>
          </w:p>
        </w:tc>
        <w:tc>
          <w:tcPr>
            <w:tcW w:w="840" w:type="dxa"/>
            <w:vAlign w:val="bottom"/>
          </w:tcPr>
          <w:p>
            <w:pPr>
              <w:ind w:left="140"/>
              <w:spacing w:after="0"/>
              <w:rPr>
                <w:sz w:val="20"/>
                <w:szCs w:val="20"/>
                <w:color w:val="auto"/>
              </w:rPr>
            </w:pPr>
            <w:r>
              <w:rPr>
                <w:rFonts w:ascii="Courier New" w:cs="Courier New" w:eastAsia="Courier New" w:hAnsi="Courier New"/>
                <w:sz w:val="12"/>
                <w:szCs w:val="12"/>
                <w:color w:val="auto"/>
                <w:w w:val="94"/>
              </w:rPr>
              <w:t>G47048 106</w:t>
            </w:r>
          </w:p>
        </w:tc>
      </w:tr>
    </w:tbl>
    <w:p>
      <w:pPr>
        <w:spacing w:after="0" w:line="139" w:lineRule="exact"/>
        <w:rPr>
          <w:sz w:val="24"/>
          <w:szCs w:val="24"/>
          <w:color w:val="auto"/>
        </w:rPr>
      </w:pPr>
    </w:p>
    <w:p>
      <w:pPr>
        <w:ind w:left="1128" w:right="8580" w:hanging="566"/>
        <w:spacing w:after="0" w:line="235" w:lineRule="auto"/>
        <w:tabs>
          <w:tab w:leader="none" w:pos="1128"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Names of Reporting Persons Jiping Liu</w:t>
      </w:r>
    </w:p>
    <w:p>
      <w:pPr>
        <w:spacing w:after="0" w:line="135" w:lineRule="exact"/>
        <w:rPr>
          <w:sz w:val="24"/>
          <w:szCs w:val="24"/>
          <w:color w:val="auto"/>
        </w:rPr>
      </w:pPr>
    </w:p>
    <w:p>
      <w:pPr>
        <w:ind w:left="1128" w:hanging="566"/>
        <w:spacing w:after="0"/>
        <w:tabs>
          <w:tab w:leader="none" w:pos="1128"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Check the appropriate box if a member of a Group (see instructions)</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ind w:left="1468" w:hanging="344"/>
        <w:spacing w:after="0"/>
        <w:tabs>
          <w:tab w:leader="none" w:pos="1468" w:val="left"/>
        </w:tabs>
        <w:numPr>
          <w:ilvl w:val="1"/>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 ]</w:t>
      </w:r>
    </w:p>
    <w:p>
      <w:pPr>
        <w:spacing w:after="0" w:line="133" w:lineRule="exact"/>
        <w:rPr>
          <w:sz w:val="24"/>
          <w:szCs w:val="24"/>
          <w:color w:val="auto"/>
        </w:rPr>
      </w:pPr>
    </w:p>
    <w:p>
      <w:pPr>
        <w:ind w:left="1128" w:hanging="566"/>
        <w:spacing w:after="0"/>
        <w:tabs>
          <w:tab w:leader="none" w:pos="1128"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Sec Use Only</w:t>
      </w:r>
    </w:p>
    <w:p>
      <w:pPr>
        <w:spacing w:after="0" w:line="139" w:lineRule="exact"/>
        <w:rPr>
          <w:sz w:val="24"/>
          <w:szCs w:val="24"/>
          <w:color w:val="auto"/>
        </w:rPr>
      </w:pPr>
    </w:p>
    <w:p>
      <w:pPr>
        <w:ind w:left="1128" w:right="7880" w:hanging="566"/>
        <w:spacing w:after="0" w:line="273" w:lineRule="auto"/>
        <w:tabs>
          <w:tab w:leader="none" w:pos="112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Citizenship or Place of Organization Peoples Republic of China</w:t>
      </w:r>
    </w:p>
    <w:p>
      <w:pPr>
        <w:spacing w:after="0" w:line="117"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Number of Shares Beneficially Owned by Each Reporting Person With:</w:t>
      </w:r>
    </w:p>
    <w:p>
      <w:pPr>
        <w:spacing w:after="0" w:line="134" w:lineRule="exact"/>
        <w:rPr>
          <w:sz w:val="24"/>
          <w:szCs w:val="24"/>
          <w:color w:val="auto"/>
        </w:rPr>
      </w:pPr>
    </w:p>
    <w:p>
      <w:pPr>
        <w:ind w:left="1128" w:hanging="566"/>
        <w:spacing w:after="0"/>
        <w:tabs>
          <w:tab w:leader="none" w:pos="1128"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Voting Power</w:t>
      </w:r>
    </w:p>
    <w:p>
      <w:pPr>
        <w:ind w:left="1128"/>
        <w:spacing w:after="0"/>
        <w:rPr>
          <w:sz w:val="20"/>
          <w:szCs w:val="20"/>
          <w:color w:val="auto"/>
        </w:rPr>
      </w:pPr>
      <w:r>
        <w:rPr>
          <w:rFonts w:ascii="Courier New" w:cs="Courier New" w:eastAsia="Courier New" w:hAnsi="Courier New"/>
          <w:sz w:val="12"/>
          <w:szCs w:val="12"/>
          <w:color w:val="auto"/>
        </w:rPr>
        <w:t>602,210</w:t>
      </w:r>
    </w:p>
    <w:p>
      <w:pPr>
        <w:spacing w:after="0" w:line="3" w:lineRule="exact"/>
        <w:rPr>
          <w:sz w:val="24"/>
          <w:szCs w:val="24"/>
          <w:color w:val="auto"/>
        </w:rPr>
      </w:pPr>
    </w:p>
    <w:p>
      <w:pPr>
        <w:ind w:left="1128" w:right="9060" w:hanging="566"/>
        <w:spacing w:after="0" w:line="235" w:lineRule="auto"/>
        <w:tabs>
          <w:tab w:leader="none" w:pos="1128"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Voting Power 2,011,997</w:t>
      </w:r>
    </w:p>
    <w:p>
      <w:pPr>
        <w:spacing w:after="0" w:line="4" w:lineRule="exact"/>
        <w:rPr>
          <w:sz w:val="24"/>
          <w:szCs w:val="24"/>
          <w:color w:val="auto"/>
        </w:rPr>
      </w:pPr>
    </w:p>
    <w:p>
      <w:pPr>
        <w:ind w:left="1128" w:right="8860" w:hanging="566"/>
        <w:spacing w:after="0" w:line="235" w:lineRule="auto"/>
        <w:tabs>
          <w:tab w:leader="none" w:pos="1128" w:val="left"/>
        </w:tabs>
        <w:numPr>
          <w:ilvl w:val="0"/>
          <w:numId w:val="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Dispositive Power 602,210</w:t>
      </w:r>
    </w:p>
    <w:p>
      <w:pPr>
        <w:ind w:left="1128" w:hanging="566"/>
        <w:spacing w:after="0"/>
        <w:tabs>
          <w:tab w:leader="none" w:pos="112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Dispositive Power</w:t>
      </w:r>
    </w:p>
    <w:p>
      <w:pPr>
        <w:ind w:left="1128"/>
        <w:spacing w:after="0" w:line="237" w:lineRule="auto"/>
        <w:rPr>
          <w:sz w:val="20"/>
          <w:szCs w:val="20"/>
          <w:color w:val="auto"/>
        </w:rPr>
      </w:pPr>
      <w:r>
        <w:rPr>
          <w:rFonts w:ascii="Courier New" w:cs="Courier New" w:eastAsia="Courier New" w:hAnsi="Courier New"/>
          <w:sz w:val="12"/>
          <w:szCs w:val="12"/>
          <w:color w:val="auto"/>
        </w:rPr>
        <w:t>2,011,997</w:t>
      </w:r>
    </w:p>
    <w:p>
      <w:pPr>
        <w:spacing w:after="0" w:line="4" w:lineRule="exact"/>
        <w:rPr>
          <w:sz w:val="24"/>
          <w:szCs w:val="24"/>
          <w:color w:val="auto"/>
        </w:rPr>
      </w:pPr>
    </w:p>
    <w:p>
      <w:pPr>
        <w:ind w:left="1128" w:right="6180" w:hanging="566"/>
        <w:spacing w:after="0" w:line="235" w:lineRule="auto"/>
        <w:tabs>
          <w:tab w:leader="none" w:pos="1128"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Aggregate Amount Beneficially Owned by Each Reporting Person 2,614,207</w:t>
      </w:r>
    </w:p>
    <w:p>
      <w:pPr>
        <w:spacing w:after="0" w:line="139" w:lineRule="exact"/>
        <w:rPr>
          <w:sz w:val="24"/>
          <w:szCs w:val="24"/>
          <w:color w:val="auto"/>
        </w:rPr>
      </w:pPr>
    </w:p>
    <w:p>
      <w:pPr>
        <w:ind w:left="1128" w:right="7320" w:hanging="566"/>
        <w:spacing w:after="0" w:line="260" w:lineRule="auto"/>
        <w:tabs>
          <w:tab w:leader="none" w:pos="1128" w:val="left"/>
        </w:tabs>
        <w:numPr>
          <w:ilvl w:val="0"/>
          <w:numId w:val="11"/>
        </w:numPr>
        <w:rPr>
          <w:rFonts w:ascii="Courier New" w:cs="Courier New" w:eastAsia="Courier New" w:hAnsi="Courier New"/>
          <w:sz w:val="11"/>
          <w:szCs w:val="11"/>
          <w:color w:val="auto"/>
        </w:rPr>
      </w:pPr>
      <w:r>
        <w:rPr>
          <w:rFonts w:ascii="Courier New" w:cs="Courier New" w:eastAsia="Courier New" w:hAnsi="Courier New"/>
          <w:sz w:val="11"/>
          <w:szCs w:val="11"/>
          <w:color w:val="auto"/>
        </w:rPr>
        <w:t>Check box if the aggregate amount in row (9) excludes certain shares (See Instructions)</w:t>
      </w:r>
    </w:p>
    <w:p>
      <w:pPr>
        <w:ind w:left="1128"/>
        <w:spacing w:after="0"/>
        <w:rPr>
          <w:rFonts w:ascii="Courier New" w:cs="Courier New" w:eastAsia="Courier New" w:hAnsi="Courier New"/>
          <w:sz w:val="11"/>
          <w:szCs w:val="11"/>
          <w:color w:val="auto"/>
        </w:rPr>
      </w:pPr>
      <w:r>
        <w:rPr>
          <w:rFonts w:ascii="Courier New" w:cs="Courier New" w:eastAsia="Courier New" w:hAnsi="Courier New"/>
          <w:sz w:val="12"/>
          <w:szCs w:val="12"/>
          <w:color w:val="auto"/>
        </w:rPr>
        <w:t>[ ]</w:t>
      </w:r>
    </w:p>
    <w:p>
      <w:pPr>
        <w:spacing w:after="0" w:line="2" w:lineRule="exact"/>
        <w:rPr>
          <w:rFonts w:ascii="Courier New" w:cs="Courier New" w:eastAsia="Courier New" w:hAnsi="Courier New"/>
          <w:sz w:val="11"/>
          <w:szCs w:val="11"/>
          <w:color w:val="auto"/>
        </w:rPr>
      </w:pPr>
    </w:p>
    <w:p>
      <w:pPr>
        <w:ind w:left="1128" w:right="6960" w:hanging="566"/>
        <w:spacing w:after="0" w:line="235" w:lineRule="auto"/>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 represented by amount in row (9) 8.30%</w:t>
      </w:r>
    </w:p>
    <w:p>
      <w:pPr>
        <w:ind w:left="1128" w:hanging="566"/>
        <w:spacing w:after="0"/>
        <w:tabs>
          <w:tab w:leader="none" w:pos="112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Type of Reporting Person (See Instructions)</w:t>
      </w:r>
    </w:p>
    <w:p>
      <w:pPr>
        <w:ind w:left="112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IN</w:t>
      </w:r>
    </w:p>
    <w:p>
      <w:pPr>
        <w:ind w:left="8"/>
        <w:spacing w:after="0" w:line="237" w:lineRule="auto"/>
        <w:rPr>
          <w:sz w:val="20"/>
          <w:szCs w:val="20"/>
          <w:color w:val="auto"/>
        </w:rPr>
      </w:pPr>
      <w:r>
        <w:rPr>
          <w:rFonts w:ascii="Courier New" w:cs="Courier New" w:eastAsia="Courier New" w:hAnsi="Courier New"/>
          <w:sz w:val="12"/>
          <w:szCs w:val="12"/>
          <w:color w:val="auto"/>
        </w:rPr>
        <w:t>?</w:t>
      </w:r>
    </w:p>
    <w:p>
      <w:pPr>
        <w:ind w:left="8"/>
        <w:spacing w:after="0"/>
        <w:rPr>
          <w:sz w:val="20"/>
          <w:szCs w:val="20"/>
          <w:color w:val="auto"/>
        </w:rPr>
      </w:pPr>
      <w:r>
        <w:rPr>
          <w:rFonts w:ascii="Courier New" w:cs="Courier New" w:eastAsia="Courier New" w:hAnsi="Courier New"/>
          <w:sz w:val="12"/>
          <w:szCs w:val="12"/>
          <w:color w:val="auto"/>
        </w:rPr>
        <w:t>Item 1.</w:t>
      </w:r>
    </w:p>
    <w:p>
      <w:pPr>
        <w:ind w:left="568" w:hanging="568"/>
        <w:spacing w:after="0" w:line="237" w:lineRule="auto"/>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Name of Issuer:</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iClick Interactive Asia Group Limited</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Issuers Principal Executive Offices:</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15/F, Prosperity Millennia Plaza, 663 Kings Road, Quarry Bay, Hong Kong</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2.</w:t>
      </w:r>
    </w:p>
    <w:p>
      <w:pPr>
        <w:spacing w:after="0" w:line="4" w:lineRule="exact"/>
        <w:rPr>
          <w:sz w:val="24"/>
          <w:szCs w:val="24"/>
          <w:color w:val="auto"/>
        </w:rPr>
      </w:pPr>
    </w:p>
    <w:p>
      <w:pPr>
        <w:ind w:left="568" w:right="9280" w:hanging="568"/>
        <w:spacing w:after="0" w:line="273" w:lineRule="auto"/>
        <w:tabs>
          <w:tab w:leader="none" w:pos="568" w:val="left"/>
        </w:tabs>
        <w:numPr>
          <w:ilvl w:val="0"/>
          <w:numId w:val="13"/>
        </w:numPr>
        <w:rPr>
          <w:rFonts w:ascii="Courier New" w:cs="Courier New" w:eastAsia="Courier New" w:hAnsi="Courier New"/>
          <w:sz w:val="11"/>
          <w:szCs w:val="11"/>
          <w:color w:val="auto"/>
        </w:rPr>
      </w:pPr>
      <w:r>
        <w:rPr>
          <w:rFonts w:ascii="Courier New" w:cs="Courier New" w:eastAsia="Courier New" w:hAnsi="Courier New"/>
          <w:sz w:val="11"/>
          <w:szCs w:val="11"/>
          <w:color w:val="auto"/>
        </w:rPr>
        <w:t>Name of Person Filing: Valuable Capital Limited</w:t>
      </w:r>
    </w:p>
    <w:p>
      <w:pPr>
        <w:spacing w:after="0" w:line="117" w:lineRule="exact"/>
        <w:rPr>
          <w:rFonts w:ascii="Courier New" w:cs="Courier New" w:eastAsia="Courier New" w:hAnsi="Courier New"/>
          <w:sz w:val="11"/>
          <w:szCs w:val="11"/>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Address of Principal Business Office or, if None, Residence:</w:t>
      </w:r>
    </w:p>
    <w:p>
      <w:pPr>
        <w:ind w:left="56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Room 2807-2809, 28/F, China Merchants Tower, Shun Tak Centre, 168-200 Connaught Road Central, Hong Kong</w:t>
      </w:r>
    </w:p>
    <w:p>
      <w:pPr>
        <w:spacing w:after="0" w:line="133"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Citizenship:</w:t>
      </w:r>
      <w:r>
        <w:rPr>
          <w:rFonts w:ascii="Courier New" w:cs="Courier New" w:eastAsia="Courier New" w:hAnsi="Courier New"/>
          <w:sz w:val="11"/>
          <w:szCs w:val="11"/>
          <w:color w:val="auto"/>
        </w:rPr>
        <w:t>Hong Kong</w:t>
      </w:r>
    </w:p>
    <w:p>
      <w:pPr>
        <w:spacing w:after="0" w:line="134" w:lineRule="exact"/>
        <w:rPr>
          <w:rFonts w:ascii="Courier New" w:cs="Courier New" w:eastAsia="Courier New" w:hAnsi="Courier New"/>
          <w:sz w:val="12"/>
          <w:szCs w:val="12"/>
          <w:color w:val="auto"/>
        </w:rPr>
      </w:pPr>
    </w:p>
    <w:p>
      <w:pPr>
        <w:ind w:left="568" w:hanging="568"/>
        <w:spacing w:after="0"/>
        <w:tabs>
          <w:tab w:leader="none" w:pos="56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Title and Class of Securities: Class A ordinary shares, par value of US$0.001 per share</w:t>
      </w:r>
    </w:p>
    <w:p>
      <w:pPr>
        <w:spacing w:after="0" w:line="134" w:lineRule="exact"/>
        <w:rPr>
          <w:sz w:val="24"/>
          <w:szCs w:val="24"/>
          <w:color w:val="auto"/>
        </w:rPr>
      </w:pPr>
    </w:p>
    <w:p>
      <w:pPr>
        <w:ind w:left="8"/>
        <w:spacing w:after="0"/>
        <w:tabs>
          <w:tab w:leader="none" w:pos="548" w:val="left"/>
          <w:tab w:leader="none" w:pos="1668" w:val="left"/>
        </w:tabs>
        <w:rPr>
          <w:sz w:val="20"/>
          <w:szCs w:val="20"/>
          <w:color w:val="auto"/>
        </w:rPr>
      </w:pPr>
      <w:r>
        <w:rPr>
          <w:rFonts w:ascii="Courier New" w:cs="Courier New" w:eastAsia="Courier New" w:hAnsi="Courier New"/>
          <w:sz w:val="12"/>
          <w:szCs w:val="12"/>
          <w:color w:val="auto"/>
        </w:rPr>
        <w:t>(e)</w:t>
      </w:r>
      <w:r>
        <w:rPr>
          <w:sz w:val="20"/>
          <w:szCs w:val="20"/>
          <w:color w:val="auto"/>
        </w:rPr>
        <w:tab/>
      </w:r>
      <w:r>
        <w:rPr>
          <w:rFonts w:ascii="Courier New" w:cs="Courier New" w:eastAsia="Courier New" w:hAnsi="Courier New"/>
          <w:sz w:val="12"/>
          <w:szCs w:val="12"/>
          <w:color w:val="auto"/>
        </w:rPr>
        <w:t>CUSIP No.:</w:t>
      </w:r>
      <w:r>
        <w:rPr>
          <w:sz w:val="20"/>
          <w:szCs w:val="20"/>
          <w:color w:val="auto"/>
        </w:rPr>
        <w:tab/>
      </w:r>
      <w:r>
        <w:rPr>
          <w:rFonts w:ascii="Courier New" w:cs="Courier New" w:eastAsia="Courier New" w:hAnsi="Courier New"/>
          <w:sz w:val="11"/>
          <w:szCs w:val="11"/>
          <w:color w:val="auto"/>
        </w:rPr>
        <w:t>G47048 106</w:t>
      </w:r>
    </w:p>
    <w:p>
      <w:pPr>
        <w:spacing w:after="0" w:line="139" w:lineRule="exact"/>
        <w:rPr>
          <w:sz w:val="24"/>
          <w:szCs w:val="24"/>
          <w:color w:val="auto"/>
        </w:rPr>
      </w:pPr>
    </w:p>
    <w:p>
      <w:pPr>
        <w:ind w:left="1128" w:right="5140" w:hanging="1123"/>
        <w:spacing w:after="0" w:line="235" w:lineRule="auto"/>
        <w:tabs>
          <w:tab w:leader="none" w:pos="1108" w:val="left"/>
        </w:tabs>
        <w:rPr>
          <w:sz w:val="20"/>
          <w:szCs w:val="20"/>
          <w:color w:val="auto"/>
        </w:rPr>
      </w:pPr>
      <w:r>
        <w:rPr>
          <w:rFonts w:ascii="Courier New" w:cs="Courier New" w:eastAsia="Courier New" w:hAnsi="Courier New"/>
          <w:sz w:val="12"/>
          <w:szCs w:val="12"/>
          <w:color w:val="auto"/>
        </w:rPr>
        <w:t>Item 3.</w:t>
      </w:r>
      <w:r>
        <w:rPr>
          <w:sz w:val="20"/>
          <w:szCs w:val="20"/>
          <w:color w:val="auto"/>
        </w:rPr>
        <w:tab/>
      </w:r>
      <w:r>
        <w:rPr>
          <w:rFonts w:ascii="Courier New" w:cs="Courier New" w:eastAsia="Courier New" w:hAnsi="Courier New"/>
          <w:sz w:val="12"/>
          <w:szCs w:val="12"/>
          <w:color w:val="auto"/>
        </w:rPr>
        <w:t>If this statement is filed pursuant to 240.13d-1(b) or 240.13d-2(b) or (c), check whether the person filing is a:</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Broker or dealer registered under Section 15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Bank as defined in Section 3(a)(6) of the Act;</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Insurance company as defined in Section 3(a)(19) of the Act;</w:t>
      </w:r>
    </w:p>
    <w:p>
      <w:pPr>
        <w:spacing w:after="0" w:line="2" w:lineRule="exact"/>
        <w:rPr>
          <w:rFonts w:ascii="Courier New" w:cs="Courier New" w:eastAsia="Courier New" w:hAnsi="Courier New"/>
          <w:sz w:val="12"/>
          <w:szCs w:val="12"/>
          <w:color w:val="auto"/>
        </w:rPr>
      </w:pPr>
    </w:p>
    <w:p>
      <w:pPr>
        <w:ind w:left="1128" w:right="6760" w:hanging="1128"/>
        <w:spacing w:after="0" w:line="235" w:lineRule="auto"/>
        <w:tabs>
          <w:tab w:leader="none" w:pos="566"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[_]Investment company registered under Section 8 of the Investment Company Act of 1940;</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[x]</w:t>
      </w:r>
      <w:r>
        <w:rPr>
          <w:rFonts w:ascii="Courier New" w:cs="Courier New" w:eastAsia="Courier New" w:hAnsi="Courier New"/>
          <w:sz w:val="11"/>
          <w:szCs w:val="11"/>
          <w:color w:val="auto"/>
        </w:rPr>
        <w:t>An investment adviser in accordance with Rule 13d-1(b)(1)(ii)(E);</w:t>
      </w:r>
    </w:p>
    <w:p>
      <w:pPr>
        <w:ind w:left="568" w:hanging="568"/>
        <w:spacing w:after="0"/>
        <w:tabs>
          <w:tab w:leader="none" w:pos="56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An employee benefit plan or endowment fund</w:t>
      </w:r>
    </w:p>
    <w:p>
      <w:pPr>
        <w:ind w:left="1128"/>
        <w:spacing w:after="0" w:line="237" w:lineRule="auto"/>
        <w:rPr>
          <w:sz w:val="20"/>
          <w:szCs w:val="20"/>
          <w:color w:val="auto"/>
        </w:rPr>
      </w:pPr>
      <w:r>
        <w:rPr>
          <w:rFonts w:ascii="Courier New" w:cs="Courier New" w:eastAsia="Courier New" w:hAnsi="Courier New"/>
          <w:sz w:val="12"/>
          <w:szCs w:val="12"/>
          <w:color w:val="auto"/>
        </w:rPr>
        <w:t>in accordance with Rule 13d-1(b)(1)(ii)(F);</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parent holding company or control person in accordance with Rule 13d-1(b)(1)(ii)(G);</w:t>
      </w:r>
    </w:p>
    <w:p>
      <w:pPr>
        <w:ind w:left="568" w:hanging="568"/>
        <w:spacing w:after="0"/>
        <w:tabs>
          <w:tab w:leader="none" w:pos="568"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savings associations as defined in Section 3(b) of the</w:t>
      </w:r>
    </w:p>
    <w:p>
      <w:pPr>
        <w:spacing w:after="0" w:line="133" w:lineRule="exact"/>
        <w:rPr>
          <w:sz w:val="24"/>
          <w:szCs w:val="24"/>
          <w:color w:val="auto"/>
        </w:rPr>
      </w:pPr>
    </w:p>
    <w:p>
      <w:pPr>
        <w:ind w:left="568" w:hanging="568"/>
        <w:spacing w:after="0"/>
        <w:tabs>
          <w:tab w:leader="none" w:pos="568"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church plan that is excluded from the definition of</w:t>
      </w:r>
    </w:p>
    <w:p>
      <w:pPr>
        <w:ind w:left="1128"/>
        <w:spacing w:after="0"/>
        <w:rPr>
          <w:sz w:val="20"/>
          <w:szCs w:val="20"/>
          <w:color w:val="auto"/>
        </w:rPr>
      </w:pPr>
      <w:r>
        <w:rPr>
          <w:rFonts w:ascii="Courier New" w:cs="Courier New" w:eastAsia="Courier New" w:hAnsi="Courier New"/>
          <w:sz w:val="12"/>
          <w:szCs w:val="12"/>
          <w:color w:val="auto"/>
        </w:rPr>
        <w:t>an investment company under section 3(c)(14) of the Investment Company Act of 1940;</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A non-U.S. institution in accordance with Rule 240.13d-1(b)(1)(ii)(J);</w:t>
      </w:r>
    </w:p>
    <w:p>
      <w:pPr>
        <w:ind w:left="568" w:hanging="568"/>
        <w:spacing w:after="0"/>
        <w:tabs>
          <w:tab w:leader="none" w:pos="568"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[_]</w:t>
      </w:r>
      <w:r>
        <w:rPr>
          <w:rFonts w:ascii="Courier New" w:cs="Courier New" w:eastAsia="Courier New" w:hAnsi="Courier New"/>
          <w:sz w:val="11"/>
          <w:szCs w:val="11"/>
          <w:color w:val="auto"/>
        </w:rPr>
        <w:t>Group, in accordance with Rule 240.13d-1(b)(1)(ii)(K). If filing as a non-U.S. institution in accordance with Rule 240.13d-1(b)(1)(ii)(J), please sp</w:t>
      </w:r>
    </w:p>
    <w:p>
      <w:pPr>
        <w:spacing w:after="0" w:line="133" w:lineRule="exact"/>
        <w:rPr>
          <w:sz w:val="24"/>
          <w:szCs w:val="24"/>
          <w:color w:val="auto"/>
        </w:rPr>
      </w:pPr>
    </w:p>
    <w:p>
      <w:pPr>
        <w:ind w:left="8"/>
        <w:spacing w:after="0"/>
        <w:rPr>
          <w:sz w:val="20"/>
          <w:szCs w:val="20"/>
          <w:color w:val="auto"/>
        </w:rPr>
      </w:pPr>
      <w:r>
        <w:rPr>
          <w:rFonts w:ascii="Courier New" w:cs="Courier New" w:eastAsia="Courier New" w:hAnsi="Courier New"/>
          <w:sz w:val="12"/>
          <w:szCs w:val="12"/>
          <w:color w:val="auto"/>
        </w:rPr>
        <w:t>Item 4. Ownership</w:t>
      </w:r>
    </w:p>
    <w:p>
      <w:pPr>
        <w:spacing w:after="0" w:line="134" w:lineRule="exact"/>
        <w:rPr>
          <w:sz w:val="24"/>
          <w:szCs w:val="24"/>
          <w:color w:val="auto"/>
        </w:rPr>
      </w:pP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Amount Beneficially Owned:</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Percent of Class:</w:t>
      </w:r>
    </w:p>
    <w:p>
      <w:pPr>
        <w:ind w:left="568" w:hanging="568"/>
        <w:spacing w:after="0"/>
        <w:tabs>
          <w:tab w:leader="none" w:pos="568"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Number of shares as to which such person has:</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vote or to direct the vote:</w:t>
      </w:r>
    </w:p>
    <w:p>
      <w:pPr>
        <w:ind w:left="1128" w:hanging="566"/>
        <w:spacing w:after="0"/>
        <w:tabs>
          <w:tab w:leader="none" w:pos="112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vote or to direct the vote:</w:t>
      </w:r>
    </w:p>
    <w:p>
      <w:pPr>
        <w:ind w:left="568" w:hanging="568"/>
        <w:spacing w:after="0" w:line="237" w:lineRule="auto"/>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Sole power to dispose or to direct the disposition of:</w:t>
      </w:r>
    </w:p>
    <w:p>
      <w:pPr>
        <w:ind w:left="568" w:hanging="568"/>
        <w:spacing w:after="0"/>
        <w:tabs>
          <w:tab w:leader="none" w:pos="568"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Shared power to dispose or to direct the disposition of:</w:t>
      </w:r>
    </w:p>
    <w:p>
      <w:pPr>
        <w:sectPr>
          <w:pgSz w:w="11900" w:h="16886" w:orient="portrait"/>
          <w:cols w:equalWidth="0" w:num="1">
            <w:col w:w="11528"/>
          </w:cols>
          <w:pgMar w:left="212" w:top="614" w:right="159" w:bottom="0" w:gutter="0" w:footer="0" w:header="0"/>
        </w:sectPr>
      </w:pPr>
    </w:p>
    <w:p>
      <w:pPr>
        <w:spacing w:after="0" w:line="273" w:lineRule="exact"/>
        <w:rPr>
          <w:sz w:val="24"/>
          <w:szCs w:val="24"/>
          <w:color w:val="auto"/>
        </w:rPr>
      </w:pPr>
    </w:p>
    <w:p>
      <w:pPr>
        <w:ind w:left="8"/>
        <w:spacing w:after="0"/>
        <w:rPr>
          <w:sz w:val="20"/>
          <w:szCs w:val="20"/>
          <w:color w:val="auto"/>
        </w:rPr>
      </w:pPr>
      <w:r>
        <w:rPr>
          <w:rFonts w:ascii="Courier New" w:cs="Courier New" w:eastAsia="Courier New" w:hAnsi="Courier New"/>
          <w:sz w:val="11"/>
          <w:szCs w:val="11"/>
          <w:color w:val="auto"/>
        </w:rPr>
        <w:t>Reporting Person</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Amount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Beneficially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Percent of Class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Sole Power to Vote or Direct to Vote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260" w:lineRule="auto"/>
        <w:rPr>
          <w:sz w:val="20"/>
          <w:szCs w:val="20"/>
          <w:color w:val="auto"/>
        </w:rPr>
      </w:pPr>
      <w:r>
        <w:rPr>
          <w:rFonts w:ascii="Courier New" w:cs="Courier New" w:eastAsia="Courier New" w:hAnsi="Courier New"/>
          <w:sz w:val="11"/>
          <w:szCs w:val="11"/>
          <w:color w:val="auto"/>
        </w:rPr>
        <w:t>Shared Power to Vote or to Direct the Vote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Sole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Shared Power to Dispose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or to Direct the Disposition of:</w:t>
      </w:r>
    </w:p>
    <w:p>
      <w:pPr>
        <w:spacing w:after="0" w:line="11" w:lineRule="exact"/>
        <w:rPr>
          <w:sz w:val="24"/>
          <w:szCs w:val="24"/>
          <w:color w:val="auto"/>
        </w:rPr>
      </w:pPr>
    </w:p>
    <w:p>
      <w:pPr>
        <w:sectPr>
          <w:pgSz w:w="11900" w:h="16886" w:orient="portrait"/>
          <w:cols w:equalWidth="0" w:num="7">
            <w:col w:w="1128" w:space="560"/>
            <w:col w:w="840" w:space="280"/>
            <w:col w:w="560" w:space="220"/>
            <w:col w:w="1260" w:space="220"/>
            <w:col w:w="1460" w:space="220"/>
            <w:col w:w="2240" w:space="220"/>
            <w:col w:w="2320"/>
          </w:cols>
          <w:pgMar w:left="212" w:top="614" w:right="159" w:bottom="0" w:gutter="0" w:footer="0" w:header="0"/>
          <w:type w:val="continuous"/>
        </w:sectPr>
      </w:pPr>
    </w:p>
    <w:p>
      <w:pPr>
        <w:ind w:left="1688"/>
        <w:spacing w:after="0"/>
        <w:rPr>
          <w:sz w:val="20"/>
          <w:szCs w:val="20"/>
          <w:color w:val="auto"/>
        </w:rPr>
      </w:pPr>
      <w:r>
        <w:rPr>
          <w:rFonts w:ascii="Courier New" w:cs="Courier New" w:eastAsia="Courier New" w:hAnsi="Courier New"/>
          <w:sz w:val="11"/>
          <w:szCs w:val="11"/>
          <w:color w:val="auto"/>
        </w:rPr>
        <w:t>Owned</w:t>
      </w:r>
    </w:p>
    <w:p>
      <w:pPr>
        <w:sectPr>
          <w:pgSz w:w="11900" w:h="16886" w:orient="portrait"/>
          <w:cols w:equalWidth="0" w:num="1">
            <w:col w:w="11528"/>
          </w:cols>
          <w:pgMar w:left="212" w:top="614" w:right="1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6"/>
        </w:trPr>
        <w:tc>
          <w:tcPr>
            <w:tcW w:w="1460" w:type="dxa"/>
            <w:vAlign w:val="bottom"/>
          </w:tcPr>
          <w:p>
            <w:pPr>
              <w:spacing w:after="0"/>
              <w:rPr>
                <w:sz w:val="20"/>
                <w:szCs w:val="20"/>
                <w:color w:val="auto"/>
              </w:rPr>
            </w:pPr>
            <w:r>
              <w:rPr>
                <w:rFonts w:ascii="Courier New" w:cs="Courier New" w:eastAsia="Courier New" w:hAnsi="Courier New"/>
                <w:sz w:val="12"/>
                <w:szCs w:val="12"/>
                <w:color w:val="auto"/>
              </w:rPr>
              <w:t>Jiping Liu</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2,614,207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8.30%</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602,210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602,210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270"/>
        </w:trPr>
        <w:tc>
          <w:tcPr>
            <w:tcW w:w="1460" w:type="dxa"/>
            <w:vAlign w:val="bottom"/>
          </w:tcPr>
          <w:p>
            <w:pPr>
              <w:spacing w:after="0"/>
              <w:rPr>
                <w:sz w:val="20"/>
                <w:szCs w:val="20"/>
                <w:color w:val="auto"/>
              </w:rPr>
            </w:pPr>
            <w:r>
              <w:rPr>
                <w:rFonts w:ascii="Courier New" w:cs="Courier New" w:eastAsia="Courier New" w:hAnsi="Courier New"/>
                <w:sz w:val="12"/>
                <w:szCs w:val="12"/>
                <w:color w:val="auto"/>
              </w:rPr>
              <w:t>Maestro Investment</w:t>
            </w:r>
          </w:p>
        </w:tc>
        <w:tc>
          <w:tcPr>
            <w:tcW w:w="11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2,011,997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6.39%</w:t>
            </w:r>
          </w:p>
        </w:tc>
        <w:tc>
          <w:tcPr>
            <w:tcW w:w="1200" w:type="dxa"/>
            <w:vAlign w:val="bottom"/>
          </w:tcPr>
          <w:p>
            <w:pPr>
              <w:ind w:left="380"/>
              <w:spacing w:after="0"/>
              <w:rPr>
                <w:sz w:val="20"/>
                <w:szCs w:val="20"/>
                <w:color w:val="auto"/>
              </w:rPr>
            </w:pPr>
            <w:r>
              <w:rPr>
                <w:rFonts w:ascii="Courier New" w:cs="Courier New" w:eastAsia="Courier New" w:hAnsi="Courier New"/>
                <w:sz w:val="12"/>
                <w:szCs w:val="12"/>
                <w:color w:val="auto"/>
              </w:rPr>
              <w:t>0</w:t>
            </w:r>
          </w:p>
        </w:tc>
        <w:tc>
          <w:tcPr>
            <w:tcW w:w="154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2,011,997</w:t>
            </w:r>
          </w:p>
        </w:tc>
        <w:tc>
          <w:tcPr>
            <w:tcW w:w="2180" w:type="dxa"/>
            <w:vAlign w:val="bottom"/>
          </w:tcPr>
          <w:p>
            <w:pPr>
              <w:ind w:left="600"/>
              <w:spacing w:after="0"/>
              <w:rPr>
                <w:sz w:val="20"/>
                <w:szCs w:val="20"/>
                <w:color w:val="auto"/>
              </w:rPr>
            </w:pPr>
            <w:r>
              <w:rPr>
                <w:rFonts w:ascii="Courier New" w:cs="Courier New" w:eastAsia="Courier New" w:hAnsi="Courier New"/>
                <w:sz w:val="12"/>
                <w:szCs w:val="12"/>
                <w:color w:val="auto"/>
              </w:rPr>
              <w:t>0</w:t>
            </w:r>
          </w:p>
        </w:tc>
        <w:tc>
          <w:tcPr>
            <w:tcW w:w="1720" w:type="dxa"/>
            <w:vAlign w:val="bottom"/>
          </w:tcPr>
          <w:p>
            <w:pPr>
              <w:jc w:val="right"/>
              <w:spacing w:after="0"/>
              <w:rPr>
                <w:sz w:val="20"/>
                <w:szCs w:val="20"/>
                <w:color w:val="auto"/>
              </w:rPr>
            </w:pPr>
            <w:r>
              <w:rPr>
                <w:rFonts w:ascii="Courier New" w:cs="Courier New" w:eastAsia="Courier New" w:hAnsi="Courier New"/>
                <w:sz w:val="12"/>
                <w:szCs w:val="12"/>
                <w:color w:val="auto"/>
              </w:rPr>
              <w:t>2,011,997</w:t>
            </w:r>
          </w:p>
        </w:tc>
      </w:tr>
      <w:tr>
        <w:trPr>
          <w:trHeight w:val="135"/>
        </w:trPr>
        <w:tc>
          <w:tcPr>
            <w:tcW w:w="1460" w:type="dxa"/>
            <w:vAlign w:val="bottom"/>
          </w:tcPr>
          <w:p>
            <w:pPr>
              <w:spacing w:after="0"/>
              <w:rPr>
                <w:sz w:val="20"/>
                <w:szCs w:val="20"/>
                <w:color w:val="auto"/>
              </w:rPr>
            </w:pPr>
            <w:r>
              <w:rPr>
                <w:rFonts w:ascii="Courier New" w:cs="Courier New" w:eastAsia="Courier New" w:hAnsi="Courier New"/>
                <w:sz w:val="12"/>
                <w:szCs w:val="12"/>
                <w:color w:val="auto"/>
              </w:rPr>
              <w:t>Holdings Limited</w:t>
            </w: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Ownership of Five Percent or Less of a Class.</w:t>
      </w:r>
    </w:p>
    <w:p>
      <w:pPr>
        <w:spacing w:after="0" w:line="4" w:lineRule="exact"/>
        <w:rPr>
          <w:sz w:val="20"/>
          <w:szCs w:val="20"/>
          <w:color w:val="auto"/>
        </w:rPr>
      </w:pPr>
    </w:p>
    <w:p>
      <w:pPr>
        <w:ind w:left="560"/>
        <w:spacing w:after="0"/>
        <w:rPr>
          <w:sz w:val="20"/>
          <w:szCs w:val="20"/>
          <w:color w:val="auto"/>
        </w:rPr>
      </w:pPr>
      <w:r>
        <w:rPr>
          <w:rFonts w:ascii="Courier New" w:cs="Courier New" w:eastAsia="Courier New" w:hAnsi="Courier New"/>
          <w:sz w:val="11"/>
          <w:szCs w:val="11"/>
          <w:color w:val="auto"/>
        </w:rPr>
        <w:t>If this statement is being filed to report the fact that as of the date hereof the reporting person has ceased to be the beneficial owner of more than five</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Ownership of more than Five Percent on Behalf of Another Person.</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8" w:lineRule="exact"/>
        <w:rPr>
          <w:sz w:val="20"/>
          <w:szCs w:val="20"/>
          <w:color w:val="auto"/>
        </w:rPr>
      </w:pPr>
    </w:p>
    <w:p>
      <w:pPr>
        <w:ind w:left="560" w:right="620" w:hanging="561"/>
        <w:spacing w:after="0" w:line="235" w:lineRule="auto"/>
        <w:rPr>
          <w:sz w:val="20"/>
          <w:szCs w:val="20"/>
          <w:color w:val="auto"/>
        </w:rPr>
      </w:pPr>
      <w:r>
        <w:rPr>
          <w:rFonts w:ascii="Courier New" w:cs="Courier New" w:eastAsia="Courier New" w:hAnsi="Courier New"/>
          <w:sz w:val="12"/>
          <w:szCs w:val="12"/>
          <w:color w:val="auto"/>
        </w:rPr>
        <w:t>Item 7. Identification and classification of the subsidiary which acquired the security being reported on by the parent holding company or control person. Not applicable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Identification and classification of members of the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Notice of Dissolution of Group.</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10.Certifications.</w:t>
      </w:r>
    </w:p>
    <w:p>
      <w:pPr>
        <w:ind w:left="560"/>
        <w:spacing w:after="0"/>
        <w:rPr>
          <w:sz w:val="20"/>
          <w:szCs w:val="20"/>
          <w:color w:val="auto"/>
        </w:rPr>
      </w:pPr>
      <w:r>
        <w:rPr>
          <w:rFonts w:ascii="Courier New" w:cs="Courier New" w:eastAsia="Courier New" w:hAnsi="Courier New"/>
          <w:sz w:val="12"/>
          <w:szCs w:val="12"/>
          <w:color w:val="auto"/>
        </w:rPr>
        <w:t>Not applicable</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SIGNATURE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After reasonable inquiry and to the best of my knowledge and belief, I certify that the information set forth in this statement is true, complete and correct.</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Dated:</w:t>
      </w:r>
      <w:r>
        <w:rPr>
          <w:sz w:val="20"/>
          <w:szCs w:val="20"/>
          <w:color w:val="auto"/>
        </w:rPr>
        <w:tab/>
      </w:r>
      <w:r>
        <w:rPr>
          <w:rFonts w:ascii="Courier New" w:cs="Courier New" w:eastAsia="Courier New" w:hAnsi="Courier New"/>
          <w:sz w:val="11"/>
          <w:szCs w:val="11"/>
          <w:color w:val="auto"/>
        </w:rPr>
        <w:t>December 12, 2018</w:t>
      </w:r>
    </w:p>
    <w:p>
      <w:pPr>
        <w:spacing w:after="0" w:line="134"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2"/>
          <w:szCs w:val="12"/>
          <w:color w:val="auto"/>
        </w:rPr>
        <w:t>By:</w:t>
      </w:r>
      <w:r>
        <w:rPr>
          <w:sz w:val="20"/>
          <w:szCs w:val="20"/>
          <w:color w:val="auto"/>
        </w:rPr>
        <w:tab/>
      </w:r>
      <w:r>
        <w:rPr>
          <w:rFonts w:ascii="Courier New" w:cs="Courier New" w:eastAsia="Courier New" w:hAnsi="Courier New"/>
          <w:sz w:val="12"/>
          <w:szCs w:val="12"/>
          <w:color w:val="auto"/>
        </w:rPr>
        <w:t>/s/Anthony Chan</w:t>
      </w:r>
    </w:p>
    <w:p>
      <w:pPr>
        <w:spacing w:after="0"/>
        <w:tabs>
          <w:tab w:leader="none" w:pos="540" w:val="left"/>
        </w:tabs>
        <w:rPr>
          <w:sz w:val="20"/>
          <w:szCs w:val="20"/>
          <w:color w:val="auto"/>
        </w:rPr>
      </w:pPr>
      <w:r>
        <w:rPr>
          <w:rFonts w:ascii="Courier New" w:cs="Courier New" w:eastAsia="Courier New" w:hAnsi="Courier New"/>
          <w:sz w:val="12"/>
          <w:szCs w:val="12"/>
          <w:color w:val="auto"/>
        </w:rPr>
        <w:t>Name:</w:t>
      </w:r>
      <w:r>
        <w:rPr>
          <w:sz w:val="20"/>
          <w:szCs w:val="20"/>
          <w:color w:val="auto"/>
        </w:rPr>
        <w:tab/>
      </w:r>
      <w:r>
        <w:rPr>
          <w:rFonts w:ascii="Courier New" w:cs="Courier New" w:eastAsia="Courier New" w:hAnsi="Courier New"/>
          <w:sz w:val="12"/>
          <w:szCs w:val="12"/>
          <w:color w:val="auto"/>
        </w:rPr>
        <w:t>Anthony Chan</w:t>
      </w:r>
    </w:p>
    <w:p>
      <w:pPr>
        <w:spacing w:after="0" w:line="237" w:lineRule="auto"/>
        <w:tabs>
          <w:tab w:leader="none" w:pos="540" w:val="left"/>
        </w:tabs>
        <w:rPr>
          <w:sz w:val="20"/>
          <w:szCs w:val="20"/>
          <w:color w:val="auto"/>
        </w:rPr>
      </w:pPr>
      <w:r>
        <w:rPr>
          <w:rFonts w:ascii="Courier New" w:cs="Courier New" w:eastAsia="Courier New" w:hAnsi="Courier New"/>
          <w:sz w:val="12"/>
          <w:szCs w:val="12"/>
          <w:color w:val="auto"/>
        </w:rPr>
        <w:t>Title:</w:t>
        <w:tab/>
        <w:t>Director</w:t>
      </w:r>
    </w:p>
    <w:sectPr>
      <w:pgSz w:w="11900" w:h="16838" w:orient="portrait"/>
      <w:cols w:equalWidth="0" w:num="1">
        <w:col w:w="11440"/>
      </w:cols>
      <w:pgMar w:left="22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1"/>
      <w:numFmt w:val="bullet"/>
      <w:start w:val="1"/>
    </w:lvl>
  </w:abstractNum>
  <w:abstractNum w:abstractNumId="2">
    <w:nsid w:val="1F16E9E8"/>
    <w:multiLevelType w:val="hybridMultilevel"/>
    <w:lvl w:ilvl="0">
      <w:lvlJc w:val="left"/>
      <w:lvlText w:val="2"/>
      <w:numFmt w:val="bullet"/>
      <w:start w:val="1"/>
    </w:lvl>
    <w:lvl w:ilvl="1">
      <w:lvlJc w:val="left"/>
      <w:lvlText w:val="(%2)"/>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4"/>
      <w:numFmt w:val="bullet"/>
      <w:start w:val="1"/>
    </w:lvl>
  </w:abstractNum>
  <w:abstractNum w:abstractNumId="5">
    <w:nsid w:val="140E0F76"/>
    <w:multiLevelType w:val="hybridMultilevel"/>
    <w:lvl w:ilvl="0">
      <w:lvlJc w:val="left"/>
      <w:lvlText w:val="5"/>
      <w:numFmt w:val="bullet"/>
      <w:start w:val="1"/>
    </w:lvl>
  </w:abstractNum>
  <w:abstractNum w:abstractNumId="6">
    <w:nsid w:val="3352255A"/>
    <w:multiLevelType w:val="hybridMultilevel"/>
    <w:lvl w:ilvl="0">
      <w:lvlJc w:val="left"/>
      <w:lvlText w:val="6"/>
      <w:numFmt w:val="bullet"/>
      <w:start w:val="1"/>
    </w:lvl>
  </w:abstractNum>
  <w:abstractNum w:abstractNumId="7">
    <w:nsid w:val="109CF92E"/>
    <w:multiLevelType w:val="hybridMultilevel"/>
    <w:lvl w:ilvl="0">
      <w:lvlJc w:val="left"/>
      <w:lvlText w:val="7"/>
      <w:numFmt w:val="bullet"/>
      <w:start w:val="1"/>
    </w:lvl>
  </w:abstractNum>
  <w:abstractNum w:abstractNumId="8">
    <w:nsid w:val="DED7263"/>
    <w:multiLevelType w:val="hybridMultilevel"/>
    <w:lvl w:ilvl="0">
      <w:lvlJc w:val="left"/>
      <w:lvlText w:val="8"/>
      <w:numFmt w:val="bullet"/>
      <w:start w:val="1"/>
    </w:lvl>
  </w:abstractNum>
  <w:abstractNum w:abstractNumId="9">
    <w:nsid w:val="7FDCC233"/>
    <w:multiLevelType w:val="hybridMultilevel"/>
    <w:lvl w:ilvl="0">
      <w:lvlJc w:val="left"/>
      <w:lvlText w:val="9"/>
      <w:numFmt w:val="bullet"/>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7"/>
    </w:lvl>
  </w:abstractNum>
  <w:abstractNum w:abstractNumId="15">
    <w:nsid w:val="519B500D"/>
    <w:multiLevelType w:val="hybridMultilevel"/>
    <w:lvl w:ilvl="0">
      <w:lvlJc w:val="left"/>
      <w:lvlText w:val="(%1)"/>
      <w:numFmt w:val="lowerRoman"/>
      <w:start w:val="1"/>
    </w:lvl>
  </w:abstractNum>
  <w:abstractNum w:abstractNumId="16">
    <w:nsid w:val="431BD7B7"/>
    <w:multiLevelType w:val="hybridMultilevel"/>
    <w:lvl w:ilvl="0">
      <w:lvlJc w:val="left"/>
      <w:lvlText w:val="(%1)"/>
      <w:numFmt w:val="lowerLetter"/>
      <w:start w:val="10"/>
    </w:lvl>
  </w:abstractNum>
  <w:abstractNum w:abstractNumId="17">
    <w:nsid w:val="3F2DBA31"/>
    <w:multiLevelType w:val="hybridMultilevel"/>
    <w:lvl w:ilvl="0">
      <w:lvlJc w:val="left"/>
      <w:lvlText w:val="(%1)"/>
      <w:numFmt w:val="lowerLetter"/>
      <w:start w:val="1"/>
    </w:lvl>
    <w:lvl w:ilvl="1">
      <w:lvlJc w:val="left"/>
      <w:lvlText w:val="(%2)"/>
      <w:numFmt w:val="lowerRoman"/>
      <w:start w:val="1"/>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2019-12-08T16:26:06Z</dcterms:created>
  <dcterms:modified xsi:type="dcterms:W3CDTF">2019-12-08T16:26:06Z</dcterms:modified>
</cp:coreProperties>
</file>