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17,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Jian Tang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 Interactive Asia Group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Prosperity</w:t>
            </w:r>
          </w:p>
        </w:tc>
        <w:tc>
          <w:tcPr>
            <w:tcW w:w="6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Millennia Plaza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663 King</w:t>
            </w:r>
          </w:p>
        </w:tc>
        <w:tc>
          <w:tcPr>
            <w:tcW w:w="6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Road, Quarry Bay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Hong Kong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Asia Group Limited</w:t>
            </w:r>
          </w:p>
        </w:tc>
        <w:tc>
          <w:tcPr>
            <w:tcW w:w="6320" w:type="dxa"/>
            <w:vAlign w:val="bottom"/>
          </w:tcPr>
          <w:p>
            <w:pPr>
              <w:ind w:left="4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Re: iClick Interactive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vMerge w:val="restart"/>
          </w:tcPr>
          <w:p>
            <w:pPr>
              <w:ind w:left="4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13E-3/A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January 10, 2024 by Jian Tang et al.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4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File No. 005-90348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Jian Tang: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4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and have the following comment.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 applies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circumstances, please tell us why in your response.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this comment,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13E-3/A filed January 10,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 to comment three,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which we reissue in part. In this respect, we note your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"[e]xcept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as revised and summarized in the amended proxy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... there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were no substantive discussions with or presentations by Houlihan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analysis or fairness of the Merger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Lokey concerning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Consideration."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However, Item 1015(a) of Regulation M-A and Item 9 of Schedule 13E-3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about any report, opinion or appraisal that is materially related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those relating to the financial analysis or fairness of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transaction, not simply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Merger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or advise. Among other matters, your response should make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 whether Houlihan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Lokey provided written materials to a filing person or 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have not already been filed as exhibits. If so, but you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representatives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 not believe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filed or described in your filing, your response should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those materials must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outline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views on why those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materials are not materially related to the going private transaction.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persons are responsible for the accuracy and adequacy of Jian Tang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 or Tina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Chalk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3263.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LastNameJian Tang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NameiClick Interactive Asia Group Limited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Mergers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17, 2024 Page 2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Acquisitions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2024-07-05T23:17:03Z</dcterms:created>
  <dcterms:modified xsi:type="dcterms:W3CDTF">2024-07-05T23:17:03Z</dcterms:modified>
</cp:coreProperties>
</file>