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320040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iClick Interactive Asia Group Limited</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ordinary shares, par value of $0.001 per share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G47048 106</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12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p>
      <w:pPr>
        <w:ind w:left="380" w:hanging="375"/>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-130175</wp:posOffset>
            </wp:positionV>
            <wp:extent cx="7254875" cy="5240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22"/>
          <w:szCs w:val="22"/>
          <w:color w:val="auto"/>
        </w:rPr>
        <w:t>Jian Tang</w:t>
      </w:r>
    </w:p>
    <w:p>
      <w:pPr>
        <w:spacing w:after="0" w:line="24" w:lineRule="exact"/>
        <w:rPr>
          <w:sz w:val="20"/>
          <w:szCs w:val="20"/>
          <w:color w:val="auto"/>
        </w:rPr>
      </w:pPr>
    </w:p>
    <w:p>
      <w:pPr>
        <w:ind w:left="380" w:hanging="375"/>
        <w:spacing w:after="0"/>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Check the Appropriate Box if a Member of a Group</w:t>
      </w:r>
    </w:p>
    <w:p>
      <w:pPr>
        <w:spacing w:after="0" w:line="41" w:lineRule="exact"/>
        <w:rPr>
          <w:sz w:val="20"/>
          <w:szCs w:val="20"/>
          <w:color w:val="auto"/>
        </w:rPr>
      </w:pPr>
    </w:p>
    <w:p>
      <w:pPr>
        <w:ind w:left="380"/>
        <w:spacing w:after="0" w:line="207" w:lineRule="exact"/>
        <w:tabs>
          <w:tab w:leader="none" w:pos="11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380" w:hanging="375"/>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380" w:hanging="375"/>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380"/>
        <w:spacing w:after="0"/>
        <w:rPr>
          <w:sz w:val="20"/>
          <w:szCs w:val="20"/>
          <w:color w:val="auto"/>
        </w:rPr>
      </w:pPr>
      <w:r>
        <w:rPr>
          <w:rFonts w:ascii="Arial" w:cs="Arial" w:eastAsia="Arial" w:hAnsi="Arial"/>
          <w:sz w:val="22"/>
          <w:szCs w:val="22"/>
          <w:color w:val="auto"/>
        </w:rPr>
        <w:t>People’s Republic of China</w:t>
      </w:r>
    </w:p>
    <w:p>
      <w:pPr>
        <w:sectPr>
          <w:pgSz w:w="11900" w:h="16838" w:orient="portrait"/>
          <w:cols w:equalWidth="0" w:num="1">
            <w:col w:w="10059"/>
          </w:cols>
          <w:pgMar w:left="400" w:top="2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6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389" w:hanging="389"/>
        <w:spacing w:after="0"/>
        <w:tabs>
          <w:tab w:leader="none" w:pos="389"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5" w:lineRule="exact"/>
        <w:rPr>
          <w:sz w:val="20"/>
          <w:szCs w:val="20"/>
          <w:color w:val="auto"/>
        </w:rPr>
      </w:pPr>
    </w:p>
    <w:p>
      <w:pPr>
        <w:ind w:left="389"/>
        <w:spacing w:after="0"/>
        <w:rPr>
          <w:sz w:val="20"/>
          <w:szCs w:val="20"/>
          <w:color w:val="auto"/>
        </w:rPr>
      </w:pPr>
      <w:r>
        <w:rPr>
          <w:rFonts w:ascii="Arial" w:cs="Arial" w:eastAsia="Arial" w:hAnsi="Arial"/>
          <w:sz w:val="21"/>
          <w:szCs w:val="21"/>
          <w:color w:val="auto"/>
        </w:rPr>
        <w:t>20,039 ordinary shares. See Item 4.</w:t>
      </w:r>
    </w:p>
    <w:p>
      <w:pPr>
        <w:spacing w:after="0" w:line="36" w:lineRule="exact"/>
        <w:rPr>
          <w:sz w:val="20"/>
          <w:szCs w:val="20"/>
          <w:color w:val="auto"/>
        </w:rPr>
      </w:pPr>
    </w:p>
    <w:p>
      <w:pPr>
        <w:ind w:left="389" w:hanging="389"/>
        <w:spacing w:after="0"/>
        <w:tabs>
          <w:tab w:leader="none" w:pos="389"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45" w:lineRule="exact"/>
        <w:rPr>
          <w:sz w:val="20"/>
          <w:szCs w:val="20"/>
          <w:color w:val="auto"/>
        </w:rPr>
      </w:pPr>
    </w:p>
    <w:p>
      <w:pPr>
        <w:jc w:val="right"/>
        <w:ind w:right="5239"/>
        <w:spacing w:after="0"/>
        <w:rPr>
          <w:sz w:val="20"/>
          <w:szCs w:val="20"/>
          <w:color w:val="auto"/>
        </w:rPr>
      </w:pPr>
      <w:r>
        <w:rPr>
          <w:rFonts w:ascii="Arial" w:cs="Arial" w:eastAsia="Arial" w:hAnsi="Arial"/>
          <w:sz w:val="19"/>
          <w:szCs w:val="19"/>
          <w:color w:val="auto"/>
        </w:rPr>
        <w:t>2,320,028 ordinary shares. See Item 4.</w:t>
      </w:r>
    </w:p>
    <w:p>
      <w:pPr>
        <w:spacing w:after="0" w:line="59" w:lineRule="exact"/>
        <w:rPr>
          <w:sz w:val="20"/>
          <w:szCs w:val="20"/>
          <w:color w:val="auto"/>
        </w:rPr>
      </w:pPr>
    </w:p>
    <w:p>
      <w:pPr>
        <w:ind w:left="389" w:hanging="389"/>
        <w:spacing w:after="0"/>
        <w:tabs>
          <w:tab w:leader="none" w:pos="389"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45" w:lineRule="exact"/>
        <w:rPr>
          <w:sz w:val="20"/>
          <w:szCs w:val="20"/>
          <w:color w:val="auto"/>
        </w:rPr>
      </w:pPr>
    </w:p>
    <w:p>
      <w:pPr>
        <w:ind w:left="389"/>
        <w:spacing w:after="0"/>
        <w:rPr>
          <w:sz w:val="20"/>
          <w:szCs w:val="20"/>
          <w:color w:val="auto"/>
        </w:rPr>
      </w:pPr>
      <w:r>
        <w:rPr>
          <w:rFonts w:ascii="Arial" w:cs="Arial" w:eastAsia="Arial" w:hAnsi="Arial"/>
          <w:sz w:val="21"/>
          <w:szCs w:val="21"/>
          <w:color w:val="auto"/>
        </w:rPr>
        <w:t>20,039 ordinary shares. See Item 4.</w:t>
      </w:r>
    </w:p>
    <w:p>
      <w:pPr>
        <w:spacing w:after="0" w:line="36" w:lineRule="exact"/>
        <w:rPr>
          <w:sz w:val="20"/>
          <w:szCs w:val="20"/>
          <w:color w:val="auto"/>
        </w:rPr>
      </w:pPr>
    </w:p>
    <w:p>
      <w:pPr>
        <w:ind w:left="389" w:hanging="389"/>
        <w:spacing w:after="0"/>
        <w:tabs>
          <w:tab w:leader="none" w:pos="389"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45" w:lineRule="exact"/>
        <w:rPr>
          <w:sz w:val="20"/>
          <w:szCs w:val="20"/>
          <w:color w:val="auto"/>
        </w:rPr>
      </w:pPr>
    </w:p>
    <w:p>
      <w:pPr>
        <w:jc w:val="right"/>
        <w:ind w:right="5239"/>
        <w:spacing w:after="0"/>
        <w:rPr>
          <w:sz w:val="20"/>
          <w:szCs w:val="20"/>
          <w:color w:val="auto"/>
        </w:rPr>
      </w:pPr>
      <w:r>
        <w:rPr>
          <w:rFonts w:ascii="Arial" w:cs="Arial" w:eastAsia="Arial" w:hAnsi="Arial"/>
          <w:sz w:val="19"/>
          <w:szCs w:val="19"/>
          <w:color w:val="auto"/>
        </w:rPr>
        <w:t>2,320,028 ordinary shares. See Item 4.</w:t>
      </w:r>
    </w:p>
    <w:p>
      <w:pPr>
        <w:spacing w:after="0" w:line="59" w:lineRule="exact"/>
        <w:rPr>
          <w:sz w:val="20"/>
          <w:szCs w:val="20"/>
          <w:color w:val="auto"/>
        </w:rPr>
      </w:pPr>
    </w:p>
    <w:p>
      <w:pPr>
        <w:sectPr>
          <w:pgSz w:w="11900" w:h="16838" w:orient="portrait"/>
          <w:cols w:equalWidth="0" w:num="2">
            <w:col w:w="940" w:space="151"/>
            <w:col w:w="8969"/>
          </w:cols>
          <w:pgMar w:left="400" w:top="287" w:right="1440" w:bottom="1440" w:gutter="0" w:footer="0" w:header="0"/>
          <w:type w:val="continuous"/>
        </w:sectPr>
      </w:pPr>
    </w:p>
    <w:p>
      <w:pPr>
        <w:ind w:left="380" w:hanging="375"/>
        <w:spacing w:after="0"/>
        <w:tabs>
          <w:tab w:leader="none" w:pos="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w:t>
      </w:r>
    </w:p>
    <w:p>
      <w:pPr>
        <w:spacing w:after="0" w:line="257" w:lineRule="exact"/>
        <w:rPr>
          <w:sz w:val="20"/>
          <w:szCs w:val="20"/>
          <w:color w:val="auto"/>
        </w:rPr>
      </w:pPr>
    </w:p>
    <w:p>
      <w:pPr>
        <w:ind w:left="380"/>
        <w:spacing w:after="0"/>
        <w:rPr>
          <w:sz w:val="20"/>
          <w:szCs w:val="20"/>
          <w:color w:val="auto"/>
        </w:rPr>
      </w:pPr>
      <w:r>
        <w:rPr>
          <w:rFonts w:ascii="Arial" w:cs="Arial" w:eastAsia="Arial" w:hAnsi="Arial"/>
          <w:sz w:val="22"/>
          <w:szCs w:val="22"/>
          <w:color w:val="auto"/>
        </w:rPr>
        <w:t>2,340,067 ordinary shares. See Item 4.</w:t>
      </w:r>
    </w:p>
    <w:p>
      <w:pPr>
        <w:spacing w:after="0" w:line="22" w:lineRule="exact"/>
        <w:rPr>
          <w:sz w:val="20"/>
          <w:szCs w:val="20"/>
          <w:color w:val="auto"/>
        </w:rPr>
      </w:pPr>
    </w:p>
    <w:p>
      <w:pPr>
        <w:ind w:left="380" w:hanging="375"/>
        <w:spacing w:after="0" w:line="184" w:lineRule="exact"/>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Check if the Aggregate Amount in Row (9) Excludes Certain Shares </w:t>
      </w:r>
      <w:r>
        <w:rPr>
          <w:rFonts w:ascii="MS PGothic" w:cs="MS PGothic" w:eastAsia="MS PGothic" w:hAnsi="MS PGothic"/>
          <w:sz w:val="16"/>
          <w:szCs w:val="16"/>
          <w:color w:val="auto"/>
        </w:rPr>
        <w:t>☐</w:t>
      </w:r>
    </w:p>
    <w:p>
      <w:pPr>
        <w:spacing w:after="0" w:line="304" w:lineRule="exact"/>
        <w:rPr>
          <w:rFonts w:ascii="Arial" w:cs="Arial" w:eastAsia="Arial" w:hAnsi="Arial"/>
          <w:sz w:val="16"/>
          <w:szCs w:val="16"/>
          <w:color w:val="auto"/>
        </w:rPr>
      </w:pPr>
    </w:p>
    <w:p>
      <w:pPr>
        <w:ind w:left="380" w:hanging="375"/>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380"/>
        <w:spacing w:after="0"/>
        <w:rPr>
          <w:sz w:val="20"/>
          <w:szCs w:val="20"/>
          <w:color w:val="auto"/>
        </w:rPr>
      </w:pPr>
      <w:r>
        <w:rPr>
          <w:rFonts w:ascii="Arial" w:cs="Arial" w:eastAsia="Arial" w:hAnsi="Arial"/>
          <w:sz w:val="22"/>
          <w:szCs w:val="22"/>
          <w:color w:val="auto"/>
        </w:rPr>
        <w:t>9.0%. See Item 4.</w:t>
      </w:r>
    </w:p>
    <w:p>
      <w:pPr>
        <w:spacing w:after="0" w:line="2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tab/>
        <w:t>Type of Reporting Person</w:t>
      </w:r>
    </w:p>
    <w:p>
      <w:pPr>
        <w:spacing w:after="0" w:line="245" w:lineRule="exact"/>
        <w:rPr>
          <w:sz w:val="20"/>
          <w:szCs w:val="20"/>
          <w:color w:val="auto"/>
        </w:rPr>
      </w:pPr>
    </w:p>
    <w:p>
      <w:pPr>
        <w:ind w:left="380"/>
        <w:spacing w:after="0"/>
        <w:rPr>
          <w:sz w:val="20"/>
          <w:szCs w:val="20"/>
          <w:color w:val="auto"/>
        </w:rPr>
      </w:pPr>
      <w:r>
        <w:rPr>
          <w:rFonts w:ascii="Arial" w:cs="Arial" w:eastAsia="Arial" w:hAnsi="Arial"/>
          <w:sz w:val="22"/>
          <w:szCs w:val="22"/>
          <w:color w:val="auto"/>
        </w:rPr>
        <w:t>IN</w:t>
      </w:r>
    </w:p>
    <w:p>
      <w:pPr>
        <w:spacing w:after="0" w:line="200" w:lineRule="exact"/>
        <w:rPr>
          <w:sz w:val="20"/>
          <w:szCs w:val="20"/>
          <w:color w:val="auto"/>
        </w:rPr>
      </w:pPr>
    </w:p>
    <w:p>
      <w:pPr>
        <w:spacing w:after="0" w:line="216"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059"/>
          </w:cols>
          <w:pgMar w:left="400" w:top="287" w:right="1440" w:bottom="1440" w:gutter="0" w:footer="0" w:header="0"/>
          <w:type w:val="continuous"/>
        </w:sectPr>
      </w:pPr>
    </w:p>
    <w:bookmarkStart w:id="2" w:name="page3"/>
    <w:bookmarkEnd w:id="2"/>
    <w:p>
      <w:pPr>
        <w:ind w:left="380" w:hanging="375"/>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-130175</wp:posOffset>
            </wp:positionV>
            <wp:extent cx="7254875" cy="5240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22"/>
          <w:szCs w:val="22"/>
          <w:color w:val="auto"/>
        </w:rPr>
        <w:t>Igomax Inc.</w:t>
      </w:r>
    </w:p>
    <w:p>
      <w:pPr>
        <w:spacing w:after="0" w:line="24" w:lineRule="exact"/>
        <w:rPr>
          <w:sz w:val="20"/>
          <w:szCs w:val="20"/>
          <w:color w:val="auto"/>
        </w:rPr>
      </w:pPr>
    </w:p>
    <w:p>
      <w:pPr>
        <w:ind w:left="380" w:hanging="375"/>
        <w:spacing w:after="0"/>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Check the Appropriate Box if a Member of a Group</w:t>
      </w:r>
    </w:p>
    <w:p>
      <w:pPr>
        <w:spacing w:after="0" w:line="41" w:lineRule="exact"/>
        <w:rPr>
          <w:sz w:val="20"/>
          <w:szCs w:val="20"/>
          <w:color w:val="auto"/>
        </w:rPr>
      </w:pPr>
    </w:p>
    <w:p>
      <w:pPr>
        <w:ind w:left="380"/>
        <w:spacing w:after="0" w:line="207" w:lineRule="exact"/>
        <w:tabs>
          <w:tab w:leader="none" w:pos="11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380" w:hanging="375"/>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380" w:hanging="375"/>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380"/>
        <w:spacing w:after="0"/>
        <w:rPr>
          <w:sz w:val="20"/>
          <w:szCs w:val="20"/>
          <w:color w:val="auto"/>
        </w:rPr>
      </w:pPr>
      <w:r>
        <w:rPr>
          <w:rFonts w:ascii="Arial" w:cs="Arial" w:eastAsia="Arial" w:hAnsi="Arial"/>
          <w:sz w:val="22"/>
          <w:szCs w:val="22"/>
          <w:color w:val="auto"/>
        </w:rPr>
        <w:t>British Virgin Islands</w:t>
      </w:r>
    </w:p>
    <w:p>
      <w:pPr>
        <w:sectPr>
          <w:pgSz w:w="11900" w:h="16838" w:orient="portrait"/>
          <w:cols w:equalWidth="0" w:num="1">
            <w:col w:w="10059"/>
          </w:cols>
          <w:pgMar w:left="400" w:top="2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6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389" w:hanging="389"/>
        <w:spacing w:after="0"/>
        <w:tabs>
          <w:tab w:leader="none" w:pos="389"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5" w:lineRule="exact"/>
        <w:rPr>
          <w:sz w:val="20"/>
          <w:szCs w:val="20"/>
          <w:color w:val="auto"/>
        </w:rPr>
      </w:pPr>
    </w:p>
    <w:p>
      <w:pPr>
        <w:ind w:left="389"/>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389" w:hanging="389"/>
        <w:spacing w:after="0"/>
        <w:tabs>
          <w:tab w:leader="none" w:pos="389"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45" w:lineRule="exact"/>
        <w:rPr>
          <w:sz w:val="20"/>
          <w:szCs w:val="20"/>
          <w:color w:val="auto"/>
        </w:rPr>
      </w:pPr>
    </w:p>
    <w:p>
      <w:pPr>
        <w:jc w:val="right"/>
        <w:ind w:right="5239"/>
        <w:spacing w:after="0"/>
        <w:rPr>
          <w:sz w:val="20"/>
          <w:szCs w:val="20"/>
          <w:color w:val="auto"/>
        </w:rPr>
      </w:pPr>
      <w:r>
        <w:rPr>
          <w:rFonts w:ascii="Arial" w:cs="Arial" w:eastAsia="Arial" w:hAnsi="Arial"/>
          <w:sz w:val="19"/>
          <w:szCs w:val="19"/>
          <w:color w:val="auto"/>
        </w:rPr>
        <w:t>2,320,028 ordinary shares. See Item 4.</w:t>
      </w:r>
    </w:p>
    <w:p>
      <w:pPr>
        <w:spacing w:after="0" w:line="59" w:lineRule="exact"/>
        <w:rPr>
          <w:sz w:val="20"/>
          <w:szCs w:val="20"/>
          <w:color w:val="auto"/>
        </w:rPr>
      </w:pPr>
    </w:p>
    <w:p>
      <w:pPr>
        <w:ind w:left="389" w:hanging="389"/>
        <w:spacing w:after="0"/>
        <w:tabs>
          <w:tab w:leader="none" w:pos="389"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45" w:lineRule="exact"/>
        <w:rPr>
          <w:sz w:val="20"/>
          <w:szCs w:val="20"/>
          <w:color w:val="auto"/>
        </w:rPr>
      </w:pPr>
    </w:p>
    <w:p>
      <w:pPr>
        <w:ind w:left="389"/>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389" w:hanging="389"/>
        <w:spacing w:after="0"/>
        <w:tabs>
          <w:tab w:leader="none" w:pos="389"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45" w:lineRule="exact"/>
        <w:rPr>
          <w:sz w:val="20"/>
          <w:szCs w:val="20"/>
          <w:color w:val="auto"/>
        </w:rPr>
      </w:pPr>
    </w:p>
    <w:p>
      <w:pPr>
        <w:jc w:val="right"/>
        <w:ind w:right="5239"/>
        <w:spacing w:after="0"/>
        <w:rPr>
          <w:sz w:val="20"/>
          <w:szCs w:val="20"/>
          <w:color w:val="auto"/>
        </w:rPr>
      </w:pPr>
      <w:r>
        <w:rPr>
          <w:rFonts w:ascii="Arial" w:cs="Arial" w:eastAsia="Arial" w:hAnsi="Arial"/>
          <w:sz w:val="19"/>
          <w:szCs w:val="19"/>
          <w:color w:val="auto"/>
        </w:rPr>
        <w:t>2,320,028 ordinary shares. See Item 4.</w:t>
      </w:r>
    </w:p>
    <w:p>
      <w:pPr>
        <w:spacing w:after="0" w:line="59" w:lineRule="exact"/>
        <w:rPr>
          <w:sz w:val="20"/>
          <w:szCs w:val="20"/>
          <w:color w:val="auto"/>
        </w:rPr>
      </w:pPr>
    </w:p>
    <w:p>
      <w:pPr>
        <w:sectPr>
          <w:pgSz w:w="11900" w:h="16838" w:orient="portrait"/>
          <w:cols w:equalWidth="0" w:num="2">
            <w:col w:w="940" w:space="151"/>
            <w:col w:w="8969"/>
          </w:cols>
          <w:pgMar w:left="400" w:top="287" w:right="1440" w:bottom="1440" w:gutter="0" w:footer="0" w:header="0"/>
          <w:type w:val="continuous"/>
        </w:sectPr>
      </w:pPr>
    </w:p>
    <w:p>
      <w:pPr>
        <w:ind w:left="380" w:hanging="375"/>
        <w:spacing w:after="0"/>
        <w:tabs>
          <w:tab w:leader="none" w:pos="3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w:t>
      </w:r>
    </w:p>
    <w:p>
      <w:pPr>
        <w:spacing w:after="0" w:line="257" w:lineRule="exact"/>
        <w:rPr>
          <w:sz w:val="20"/>
          <w:szCs w:val="20"/>
          <w:color w:val="auto"/>
        </w:rPr>
      </w:pPr>
    </w:p>
    <w:p>
      <w:pPr>
        <w:ind w:left="380"/>
        <w:spacing w:after="0"/>
        <w:rPr>
          <w:sz w:val="20"/>
          <w:szCs w:val="20"/>
          <w:color w:val="auto"/>
        </w:rPr>
      </w:pPr>
      <w:r>
        <w:rPr>
          <w:rFonts w:ascii="Arial" w:cs="Arial" w:eastAsia="Arial" w:hAnsi="Arial"/>
          <w:sz w:val="22"/>
          <w:szCs w:val="22"/>
          <w:color w:val="auto"/>
        </w:rPr>
        <w:t>2,320,028 ordinary shares. See Item 4.</w:t>
      </w:r>
    </w:p>
    <w:p>
      <w:pPr>
        <w:spacing w:after="0" w:line="22" w:lineRule="exact"/>
        <w:rPr>
          <w:sz w:val="20"/>
          <w:szCs w:val="20"/>
          <w:color w:val="auto"/>
        </w:rPr>
      </w:pPr>
    </w:p>
    <w:p>
      <w:pPr>
        <w:ind w:left="380" w:hanging="375"/>
        <w:spacing w:after="0" w:line="184" w:lineRule="exact"/>
        <w:tabs>
          <w:tab w:leader="none" w:pos="3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Check if the Aggregate Amount in Row (9) Excludes Certain Shares </w:t>
      </w:r>
      <w:r>
        <w:rPr>
          <w:rFonts w:ascii="MS PGothic" w:cs="MS PGothic" w:eastAsia="MS PGothic" w:hAnsi="MS PGothic"/>
          <w:sz w:val="16"/>
          <w:szCs w:val="16"/>
          <w:color w:val="auto"/>
        </w:rPr>
        <w:t>☐</w:t>
      </w:r>
    </w:p>
    <w:p>
      <w:pPr>
        <w:spacing w:after="0" w:line="304" w:lineRule="exact"/>
        <w:rPr>
          <w:rFonts w:ascii="Arial" w:cs="Arial" w:eastAsia="Arial" w:hAnsi="Arial"/>
          <w:sz w:val="16"/>
          <w:szCs w:val="16"/>
          <w:color w:val="auto"/>
        </w:rPr>
      </w:pPr>
    </w:p>
    <w:p>
      <w:pPr>
        <w:ind w:left="380" w:hanging="375"/>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380"/>
        <w:spacing w:after="0"/>
        <w:rPr>
          <w:sz w:val="20"/>
          <w:szCs w:val="20"/>
          <w:color w:val="auto"/>
        </w:rPr>
      </w:pPr>
      <w:r>
        <w:rPr>
          <w:rFonts w:ascii="Arial" w:cs="Arial" w:eastAsia="Arial" w:hAnsi="Arial"/>
          <w:sz w:val="22"/>
          <w:szCs w:val="22"/>
          <w:color w:val="auto"/>
        </w:rPr>
        <w:t>8.9%. See Item 4.</w:t>
      </w:r>
    </w:p>
    <w:p>
      <w:pPr>
        <w:spacing w:after="0" w:line="2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tab/>
        <w:t>Type of Reporting Person</w:t>
      </w:r>
    </w:p>
    <w:p>
      <w:pPr>
        <w:spacing w:after="0" w:line="245" w:lineRule="exact"/>
        <w:rPr>
          <w:sz w:val="20"/>
          <w:szCs w:val="20"/>
          <w:color w:val="auto"/>
        </w:rPr>
      </w:pPr>
    </w:p>
    <w:p>
      <w:pPr>
        <w:ind w:left="380"/>
        <w:spacing w:after="0"/>
        <w:rPr>
          <w:sz w:val="20"/>
          <w:szCs w:val="20"/>
          <w:color w:val="auto"/>
        </w:rPr>
      </w:pPr>
      <w:r>
        <w:rPr>
          <w:rFonts w:ascii="Arial" w:cs="Arial" w:eastAsia="Arial" w:hAnsi="Arial"/>
          <w:sz w:val="22"/>
          <w:szCs w:val="22"/>
          <w:color w:val="auto"/>
        </w:rPr>
        <w:t>CO</w:t>
      </w:r>
    </w:p>
    <w:p>
      <w:pPr>
        <w:spacing w:after="0" w:line="200" w:lineRule="exact"/>
        <w:rPr>
          <w:sz w:val="20"/>
          <w:szCs w:val="20"/>
          <w:color w:val="auto"/>
        </w:rPr>
      </w:pPr>
    </w:p>
    <w:p>
      <w:pPr>
        <w:spacing w:after="0" w:line="216"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059"/>
          </w:cols>
          <w:pgMar w:left="400" w:top="287" w:right="1440" w:bottom="1440" w:gutter="0" w:footer="0" w:header="0"/>
          <w:type w:val="continuous"/>
        </w:sectPr>
      </w:pPr>
    </w:p>
    <w:bookmarkStart w:id="3" w:name="page4"/>
    <w:bookmarkEnd w:id="3"/>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u w:val="single" w:color="auto"/>
          <w:color w:val="auto"/>
        </w:rPr>
        <w:t>Name of Issuer</w:t>
      </w:r>
      <w:r>
        <w:rPr>
          <w:rFonts w:ascii="Arial" w:cs="Arial" w:eastAsia="Arial" w:hAnsi="Arial"/>
          <w:sz w:val="16"/>
          <w:szCs w:val="16"/>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iClick Interactive Asia Group Limited (the “Issuer”)</w:t>
      </w:r>
    </w:p>
    <w:p>
      <w:pPr>
        <w:spacing w:after="0" w:line="37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u w:val="single" w:color="auto"/>
          <w:color w:val="auto"/>
        </w:rPr>
        <w:t>Address of Issuer’s Principal Executive Offices</w:t>
      </w:r>
      <w:r>
        <w:rPr>
          <w:rFonts w:ascii="Arial" w:cs="Arial" w:eastAsia="Arial" w:hAnsi="Arial"/>
          <w:sz w:val="16"/>
          <w:szCs w:val="16"/>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15/F, Prosperity Millennia Plaza</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663 King’s Road, Quarry Bay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Hong Kong S.A.R.</w:t>
      </w:r>
    </w:p>
    <w:p>
      <w:pPr>
        <w:spacing w:after="0" w:line="35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u w:val="single" w:color="auto"/>
          <w:color w:val="auto"/>
        </w:rPr>
        <w:t>Name of Person Filing</w:t>
      </w:r>
      <w:r>
        <w:rPr>
          <w:rFonts w:ascii="Arial" w:cs="Arial" w:eastAsia="Arial" w:hAnsi="Arial"/>
          <w:sz w:val="16"/>
          <w:szCs w:val="16"/>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Jian Tang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Igomax Inc.</w:t>
      </w:r>
    </w:p>
    <w:p>
      <w:pPr>
        <w:spacing w:after="0" w:line="37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u w:val="single" w:color="auto"/>
          <w:color w:val="auto"/>
        </w:rPr>
        <w:t>Address of Principal Business Office, or, if none, Residence</w:t>
      </w:r>
      <w:r>
        <w:rPr>
          <w:rFonts w:ascii="Arial" w:cs="Arial" w:eastAsia="Arial" w:hAnsi="Arial"/>
          <w:sz w:val="15"/>
          <w:szCs w:val="15"/>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Jian Tang</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15/F, Prosperity Millennia Plaza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663 King’s Road, Quarry Bay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Hong Kong S.A.R.</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Igomax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Jordans Trust Company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Geneva Place, Waterfront Drive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 Box 3469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Road Town, Tortola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British Virgin Islands</w:t>
      </w:r>
    </w:p>
    <w:p>
      <w:pPr>
        <w:spacing w:after="0" w:line="35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u w:val="single" w:color="auto"/>
          <w:color w:val="auto"/>
        </w:rPr>
        <w:t>Citizenship</w:t>
      </w:r>
      <w:r>
        <w:rPr>
          <w:rFonts w:ascii="Arial" w:cs="Arial" w:eastAsia="Arial" w:hAnsi="Arial"/>
          <w:sz w:val="16"/>
          <w:szCs w:val="16"/>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Jian Tang — People’s Republic of China</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Igomax Inc. — British Virgin Islands</w:t>
      </w:r>
    </w:p>
    <w:p>
      <w:pPr>
        <w:spacing w:after="0" w:line="37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u w:val="single" w:color="auto"/>
          <w:color w:val="auto"/>
        </w:rPr>
        <w:t>Title of Class of Securities</w:t>
      </w:r>
      <w:r>
        <w:rPr>
          <w:rFonts w:ascii="Arial" w:cs="Arial" w:eastAsia="Arial" w:hAnsi="Arial"/>
          <w:sz w:val="15"/>
          <w:szCs w:val="15"/>
          <w:b w:val="1"/>
          <w:bCs w:val="1"/>
          <w:color w:val="auto"/>
        </w:rPr>
        <w:t>:</w:t>
      </w:r>
    </w:p>
    <w:p>
      <w:pPr>
        <w:spacing w:after="0" w:line="121"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Class A ordinary shares, par value of $0.001 per share (the “Class A Ordinary Shares”). The Issuer’s ordinary shares consist of Class A Ordinary Shares and Class B ordinary shares, par value of $0.001 per share (“Class B Ordinary Shares”). The rights of the holders of Class A Ordinary Shares and Class B Ordinary Shares are identical, except with respect to conversion rights and voting rights. Each Class B Ordinary Share is convertible at the option of the holder at any time into one Class A Ordinary Share. Each Class B Ordinary Share is entitled to twenty (20) votes per share, whereas each Class A Ordinary Share is entitled to one vote per share.</w:t>
      </w:r>
    </w:p>
    <w:p>
      <w:pPr>
        <w:spacing w:after="0" w:line="33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u w:val="single" w:color="auto"/>
          <w:color w:val="auto"/>
        </w:rPr>
        <w:t>CUSIP No.</w:t>
      </w:r>
      <w:r>
        <w:rPr>
          <w:rFonts w:ascii="Arial" w:cs="Arial" w:eastAsia="Arial" w:hAnsi="Arial"/>
          <w:sz w:val="17"/>
          <w:szCs w:val="17"/>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G47048 106</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4" w:name="page5"/>
    <w:bookmarkEnd w:id="4"/>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w:t>
      </w:r>
      <w:r>
        <w:rPr>
          <w:sz w:val="20"/>
          <w:szCs w:val="20"/>
          <w:color w:val="auto"/>
        </w:rPr>
        <w:tab/>
      </w:r>
      <w:r>
        <w:rPr>
          <w:rFonts w:ascii="Arial" w:cs="Arial" w:eastAsia="Arial" w:hAnsi="Arial"/>
          <w:sz w:val="16"/>
          <w:szCs w:val="16"/>
          <w:b w:val="1"/>
          <w:bCs w:val="1"/>
          <w:u w:val="single" w:color="auto"/>
          <w:color w:val="auto"/>
        </w:rPr>
        <w:t>If this statement is filed pursuant to §§ 240.13d-1(b), or 240.13d -2(b) or (c), check whether the persons filing is a</w:t>
      </w:r>
      <w:r>
        <w:rPr>
          <w:rFonts w:ascii="Arial" w:cs="Arial" w:eastAsia="Arial" w:hAnsi="Arial"/>
          <w:sz w:val="16"/>
          <w:szCs w:val="16"/>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u w:val="single" w:color="auto"/>
          <w:color w:val="auto"/>
        </w:rPr>
        <w:t>Ownership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with respect to the ownership of the Class A Ordinary Shares by each of the reporting persons is provided as of</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December 31, 2017: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40" w:type="dxa"/>
            <w:vAlign w:val="bottom"/>
            <w:gridSpan w:val="2"/>
            <w:vMerge w:val="restart"/>
          </w:tcPr>
          <w:p>
            <w:pPr>
              <w:jc w:val="center"/>
              <w:ind w:right="383"/>
              <w:spacing w:after="0"/>
              <w:rPr>
                <w:sz w:val="20"/>
                <w:szCs w:val="20"/>
                <w:color w:val="auto"/>
              </w:rPr>
            </w:pPr>
            <w:r>
              <w:rPr>
                <w:rFonts w:ascii="Arial" w:cs="Arial" w:eastAsia="Arial" w:hAnsi="Arial"/>
                <w:sz w:val="14"/>
                <w:szCs w:val="14"/>
                <w:b w:val="1"/>
                <w:bCs w:val="1"/>
                <w:color w:val="auto"/>
                <w:w w:val="94"/>
              </w:rPr>
              <w:t>Amount</w:t>
            </w: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gridSpan w:val="2"/>
            <w:vMerge w:val="restart"/>
          </w:tcPr>
          <w:p>
            <w:pPr>
              <w:jc w:val="center"/>
              <w:ind w:right="363"/>
              <w:spacing w:after="0"/>
              <w:rPr>
                <w:sz w:val="20"/>
                <w:szCs w:val="20"/>
                <w:color w:val="auto"/>
              </w:rPr>
            </w:pPr>
            <w:r>
              <w:rPr>
                <w:rFonts w:ascii="Arial" w:cs="Arial" w:eastAsia="Arial" w:hAnsi="Arial"/>
                <w:sz w:val="14"/>
                <w:szCs w:val="14"/>
                <w:b w:val="1"/>
                <w:bCs w:val="1"/>
                <w:color w:val="auto"/>
                <w:w w:val="90"/>
              </w:rPr>
              <w:t>Sole Power to</w:t>
            </w:r>
          </w:p>
        </w:tc>
        <w:tc>
          <w:tcPr>
            <w:tcW w:w="1440" w:type="dxa"/>
            <w:vAlign w:val="bottom"/>
            <w:gridSpan w:val="2"/>
            <w:vMerge w:val="restart"/>
          </w:tcPr>
          <w:p>
            <w:pPr>
              <w:jc w:val="center"/>
              <w:ind w:right="383"/>
              <w:spacing w:after="0"/>
              <w:rPr>
                <w:sz w:val="20"/>
                <w:szCs w:val="20"/>
                <w:color w:val="auto"/>
              </w:rPr>
            </w:pPr>
            <w:r>
              <w:rPr>
                <w:rFonts w:ascii="Arial" w:cs="Arial" w:eastAsia="Arial" w:hAnsi="Arial"/>
                <w:sz w:val="14"/>
                <w:szCs w:val="14"/>
                <w:b w:val="1"/>
                <w:bCs w:val="1"/>
                <w:color w:val="auto"/>
                <w:w w:val="92"/>
              </w:rPr>
              <w:t>Shared Power</w:t>
            </w:r>
          </w:p>
        </w:tc>
        <w:tc>
          <w:tcPr>
            <w:tcW w:w="1360" w:type="dxa"/>
            <w:vAlign w:val="bottom"/>
            <w:gridSpan w:val="2"/>
          </w:tcPr>
          <w:p>
            <w:pPr>
              <w:jc w:val="center"/>
              <w:ind w:right="363"/>
              <w:spacing w:after="0"/>
              <w:rPr>
                <w:sz w:val="20"/>
                <w:szCs w:val="20"/>
                <w:color w:val="auto"/>
              </w:rPr>
            </w:pPr>
            <w:r>
              <w:rPr>
                <w:rFonts w:ascii="Arial" w:cs="Arial" w:eastAsia="Arial" w:hAnsi="Arial"/>
                <w:sz w:val="14"/>
                <w:szCs w:val="14"/>
                <w:b w:val="1"/>
                <w:bCs w:val="1"/>
                <w:color w:val="auto"/>
                <w:w w:val="90"/>
              </w:rPr>
              <w:t>Sole Power to</w:t>
            </w:r>
          </w:p>
        </w:tc>
        <w:tc>
          <w:tcPr>
            <w:tcW w:w="1260" w:type="dxa"/>
            <w:vAlign w:val="bottom"/>
            <w:gridSpan w:val="2"/>
          </w:tcPr>
          <w:p>
            <w:pPr>
              <w:jc w:val="center"/>
              <w:ind w:right="163"/>
              <w:spacing w:after="0"/>
              <w:rPr>
                <w:sz w:val="20"/>
                <w:szCs w:val="20"/>
                <w:color w:val="auto"/>
              </w:rPr>
            </w:pPr>
            <w:r>
              <w:rPr>
                <w:rFonts w:ascii="Arial" w:cs="Arial" w:eastAsia="Arial" w:hAnsi="Arial"/>
                <w:sz w:val="14"/>
                <w:szCs w:val="14"/>
                <w:b w:val="1"/>
                <w:bCs w:val="1"/>
                <w:color w:val="auto"/>
                <w:w w:val="92"/>
              </w:rPr>
              <w:t>Shared Power to</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0"/>
              </w:rPr>
              <w:t>Percent of</w:t>
            </w:r>
          </w:p>
        </w:tc>
        <w:tc>
          <w:tcPr>
            <w:tcW w:w="132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360" w:type="dxa"/>
            <w:vAlign w:val="bottom"/>
            <w:gridSpan w:val="2"/>
          </w:tcPr>
          <w:p>
            <w:pPr>
              <w:jc w:val="center"/>
              <w:ind w:right="363"/>
              <w:spacing w:after="0" w:line="149" w:lineRule="exact"/>
              <w:rPr>
                <w:sz w:val="20"/>
                <w:szCs w:val="20"/>
                <w:color w:val="auto"/>
              </w:rPr>
            </w:pPr>
            <w:r>
              <w:rPr>
                <w:rFonts w:ascii="Arial" w:cs="Arial" w:eastAsia="Arial" w:hAnsi="Arial"/>
                <w:sz w:val="14"/>
                <w:szCs w:val="14"/>
                <w:b w:val="1"/>
                <w:bCs w:val="1"/>
                <w:color w:val="auto"/>
                <w:w w:val="89"/>
              </w:rPr>
              <w:t>Dispose or to</w:t>
            </w:r>
          </w:p>
        </w:tc>
        <w:tc>
          <w:tcPr>
            <w:tcW w:w="1260" w:type="dxa"/>
            <w:vAlign w:val="bottom"/>
            <w:gridSpan w:val="2"/>
          </w:tcPr>
          <w:p>
            <w:pPr>
              <w:jc w:val="center"/>
              <w:ind w:right="143"/>
              <w:spacing w:after="0" w:line="149" w:lineRule="exact"/>
              <w:rPr>
                <w:sz w:val="20"/>
                <w:szCs w:val="20"/>
                <w:color w:val="auto"/>
              </w:rPr>
            </w:pPr>
            <w:r>
              <w:rPr>
                <w:rFonts w:ascii="Arial" w:cs="Arial" w:eastAsia="Arial" w:hAnsi="Arial"/>
                <w:sz w:val="14"/>
                <w:szCs w:val="14"/>
                <w:b w:val="1"/>
                <w:bCs w:val="1"/>
                <w:color w:val="auto"/>
                <w:w w:val="89"/>
              </w:rPr>
              <w:t>Dispose or to</w:t>
            </w:r>
          </w:p>
        </w:tc>
        <w:tc>
          <w:tcPr>
            <w:tcW w:w="0" w:type="dxa"/>
            <w:vAlign w:val="bottom"/>
          </w:tcPr>
          <w:p>
            <w:pPr>
              <w:spacing w:after="0"/>
              <w:rPr>
                <w:sz w:val="1"/>
                <w:szCs w:val="1"/>
                <w:color w:val="auto"/>
              </w:rPr>
            </w:pPr>
          </w:p>
        </w:tc>
      </w:tr>
      <w:tr>
        <w:trPr>
          <w:trHeight w:val="149"/>
        </w:trPr>
        <w:tc>
          <w:tcPr>
            <w:tcW w:w="1140" w:type="dxa"/>
            <w:vAlign w:val="bottom"/>
            <w:vMerge w:val="restart"/>
          </w:tcPr>
          <w:p>
            <w:pPr>
              <w:spacing w:after="0"/>
              <w:rPr>
                <w:sz w:val="20"/>
                <w:szCs w:val="20"/>
                <w:color w:val="auto"/>
              </w:rPr>
            </w:pPr>
            <w:r>
              <w:rPr>
                <w:rFonts w:ascii="Arial" w:cs="Arial" w:eastAsia="Arial" w:hAnsi="Arial"/>
                <w:sz w:val="14"/>
                <w:szCs w:val="14"/>
                <w:b w:val="1"/>
                <w:bCs w:val="1"/>
                <w:color w:val="auto"/>
                <w:w w:val="91"/>
              </w:rPr>
              <w:t>Reporting Person:</w:t>
            </w:r>
          </w:p>
        </w:tc>
        <w:tc>
          <w:tcPr>
            <w:tcW w:w="2600" w:type="dxa"/>
            <w:vAlign w:val="bottom"/>
            <w:vMerge w:val="restart"/>
          </w:tcPr>
          <w:p>
            <w:pPr>
              <w:spacing w:after="0"/>
              <w:rPr>
                <w:sz w:val="12"/>
                <w:szCs w:val="12"/>
                <w:color w:val="auto"/>
              </w:rPr>
            </w:pPr>
          </w:p>
        </w:tc>
        <w:tc>
          <w:tcPr>
            <w:tcW w:w="1240" w:type="dxa"/>
            <w:vAlign w:val="bottom"/>
            <w:gridSpan w:val="2"/>
          </w:tcPr>
          <w:p>
            <w:pPr>
              <w:jc w:val="center"/>
              <w:ind w:right="403"/>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060" w:type="dxa"/>
            <w:vAlign w:val="bottom"/>
            <w:gridSpan w:val="2"/>
            <w:vMerge w:val="continue"/>
          </w:tcPr>
          <w:p>
            <w:pPr>
              <w:spacing w:after="0"/>
              <w:rPr>
                <w:sz w:val="12"/>
                <w:szCs w:val="12"/>
                <w:color w:val="auto"/>
              </w:rPr>
            </w:pPr>
          </w:p>
        </w:tc>
        <w:tc>
          <w:tcPr>
            <w:tcW w:w="1320" w:type="dxa"/>
            <w:vAlign w:val="bottom"/>
            <w:gridSpan w:val="2"/>
          </w:tcPr>
          <w:p>
            <w:pPr>
              <w:jc w:val="center"/>
              <w:ind w:right="383"/>
              <w:spacing w:after="0" w:line="149" w:lineRule="exact"/>
              <w:rPr>
                <w:sz w:val="20"/>
                <w:szCs w:val="20"/>
                <w:color w:val="auto"/>
              </w:rPr>
            </w:pPr>
            <w:r>
              <w:rPr>
                <w:rFonts w:ascii="Arial" w:cs="Arial" w:eastAsia="Arial" w:hAnsi="Arial"/>
                <w:sz w:val="14"/>
                <w:szCs w:val="14"/>
                <w:b w:val="1"/>
                <w:bCs w:val="1"/>
                <w:color w:val="auto"/>
                <w:w w:val="93"/>
              </w:rPr>
              <w:t>Vote or Direct</w:t>
            </w:r>
          </w:p>
        </w:tc>
        <w:tc>
          <w:tcPr>
            <w:tcW w:w="1440" w:type="dxa"/>
            <w:vAlign w:val="bottom"/>
            <w:gridSpan w:val="2"/>
          </w:tcPr>
          <w:p>
            <w:pPr>
              <w:jc w:val="center"/>
              <w:ind w:right="363"/>
              <w:spacing w:after="0" w:line="149" w:lineRule="exact"/>
              <w:rPr>
                <w:sz w:val="20"/>
                <w:szCs w:val="20"/>
                <w:color w:val="auto"/>
              </w:rPr>
            </w:pPr>
            <w:r>
              <w:rPr>
                <w:rFonts w:ascii="Arial" w:cs="Arial" w:eastAsia="Arial" w:hAnsi="Arial"/>
                <w:sz w:val="14"/>
                <w:szCs w:val="14"/>
                <w:b w:val="1"/>
                <w:bCs w:val="1"/>
                <w:color w:val="auto"/>
                <w:w w:val="92"/>
              </w:rPr>
              <w:t>to Vote or to</w:t>
            </w:r>
          </w:p>
        </w:tc>
        <w:tc>
          <w:tcPr>
            <w:tcW w:w="1360" w:type="dxa"/>
            <w:vAlign w:val="bottom"/>
            <w:gridSpan w:val="2"/>
          </w:tcPr>
          <w:p>
            <w:pPr>
              <w:jc w:val="center"/>
              <w:ind w:right="383"/>
              <w:spacing w:after="0" w:line="149" w:lineRule="exact"/>
              <w:rPr>
                <w:sz w:val="20"/>
                <w:szCs w:val="20"/>
                <w:color w:val="auto"/>
              </w:rPr>
            </w:pPr>
            <w:r>
              <w:rPr>
                <w:rFonts w:ascii="Arial" w:cs="Arial" w:eastAsia="Arial" w:hAnsi="Arial"/>
                <w:sz w:val="14"/>
                <w:szCs w:val="14"/>
                <w:b w:val="1"/>
                <w:bCs w:val="1"/>
                <w:color w:val="auto"/>
                <w:w w:val="95"/>
              </w:rPr>
              <w:t>Direct the</w:t>
            </w:r>
          </w:p>
        </w:tc>
        <w:tc>
          <w:tcPr>
            <w:tcW w:w="1260" w:type="dxa"/>
            <w:vAlign w:val="bottom"/>
            <w:gridSpan w:val="2"/>
          </w:tcPr>
          <w:p>
            <w:pPr>
              <w:jc w:val="center"/>
              <w:ind w:right="143"/>
              <w:spacing w:after="0" w:line="149" w:lineRule="exact"/>
              <w:rPr>
                <w:sz w:val="20"/>
                <w:szCs w:val="20"/>
                <w:color w:val="auto"/>
              </w:rPr>
            </w:pPr>
            <w:r>
              <w:rPr>
                <w:rFonts w:ascii="Arial" w:cs="Arial" w:eastAsia="Arial" w:hAnsi="Arial"/>
                <w:sz w:val="14"/>
                <w:szCs w:val="14"/>
                <w:b w:val="1"/>
                <w:bCs w:val="1"/>
                <w:color w:val="auto"/>
                <w:w w:val="92"/>
              </w:rPr>
              <w:t>Direct the</w:t>
            </w:r>
          </w:p>
        </w:tc>
        <w:tc>
          <w:tcPr>
            <w:tcW w:w="0" w:type="dxa"/>
            <w:vAlign w:val="bottom"/>
          </w:tcPr>
          <w:p>
            <w:pPr>
              <w:spacing w:after="0"/>
              <w:rPr>
                <w:sz w:val="1"/>
                <w:szCs w:val="1"/>
                <w:color w:val="auto"/>
              </w:rPr>
            </w:pPr>
          </w:p>
        </w:tc>
      </w:tr>
      <w:tr>
        <w:trPr>
          <w:trHeight w:val="171"/>
        </w:trPr>
        <w:tc>
          <w:tcPr>
            <w:tcW w:w="1140" w:type="dxa"/>
            <w:vAlign w:val="bottom"/>
            <w:tcBorders>
              <w:bottom w:val="single" w:sz="8" w:color="auto"/>
            </w:tcBorders>
            <w:vMerge w:val="continue"/>
          </w:tcPr>
          <w:p>
            <w:pPr>
              <w:spacing w:after="0"/>
              <w:rPr>
                <w:sz w:val="14"/>
                <w:szCs w:val="14"/>
                <w:color w:val="auto"/>
              </w:rPr>
            </w:pPr>
          </w:p>
        </w:tc>
        <w:tc>
          <w:tcPr>
            <w:tcW w:w="2600" w:type="dxa"/>
            <w:vAlign w:val="bottom"/>
            <w:tcBorders>
              <w:bottom w:val="single" w:sz="8" w:color="CCEEFF"/>
            </w:tcBorders>
            <w:vMerge w:val="continue"/>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Owned:</w:t>
            </w:r>
          </w:p>
        </w:tc>
        <w:tc>
          <w:tcPr>
            <w:tcW w:w="4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Class:</w:t>
            </w:r>
            <w:r>
              <w:rPr>
                <w:rFonts w:ascii="Arial" w:cs="Arial" w:eastAsia="Arial" w:hAnsi="Arial"/>
                <w:sz w:val="12"/>
                <w:szCs w:val="12"/>
                <w:b w:val="1"/>
                <w:bCs w:val="1"/>
                <w:color w:val="auto"/>
                <w:w w:val="91"/>
              </w:rPr>
              <w:t>(1)</w:t>
            </w:r>
          </w:p>
        </w:tc>
        <w:tc>
          <w:tcPr>
            <w:tcW w:w="4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the Vote:</w:t>
            </w:r>
          </w:p>
        </w:tc>
        <w:tc>
          <w:tcPr>
            <w:tcW w:w="4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Direct the Vote:</w:t>
            </w:r>
          </w:p>
        </w:tc>
        <w:tc>
          <w:tcPr>
            <w:tcW w:w="4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Disposition of:</w:t>
            </w:r>
          </w:p>
        </w:tc>
        <w:tc>
          <w:tcPr>
            <w:tcW w:w="4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Disposition of:</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Jian Tang</w:t>
            </w:r>
          </w:p>
        </w:tc>
        <w:tc>
          <w:tcPr>
            <w:tcW w:w="26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2,340,067</w:t>
            </w:r>
          </w:p>
        </w:tc>
        <w:tc>
          <w:tcPr>
            <w:tcW w:w="4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87"/>
              </w:rPr>
              <w:t>(2)</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20,039</w:t>
            </w:r>
          </w:p>
        </w:tc>
        <w:tc>
          <w:tcPr>
            <w:tcW w:w="4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87"/>
              </w:rPr>
              <w:t>(2)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2,320,028</w:t>
            </w:r>
          </w:p>
        </w:tc>
        <w:tc>
          <w:tcPr>
            <w:tcW w:w="4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87"/>
              </w:rPr>
              <w:t>(2)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20,039</w:t>
            </w:r>
          </w:p>
        </w:tc>
        <w:tc>
          <w:tcPr>
            <w:tcW w:w="4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87"/>
              </w:rPr>
              <w:t>(2)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2,320,028</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6"/>
              </w:rPr>
              <w:t>(2)</w:t>
            </w: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Igomax Inc.</w:t>
            </w:r>
          </w:p>
        </w:tc>
        <w:tc>
          <w:tcPr>
            <w:tcW w:w="1240" w:type="dxa"/>
            <w:vAlign w:val="bottom"/>
            <w:gridSpan w:val="2"/>
          </w:tcPr>
          <w:p>
            <w:pPr>
              <w:jc w:val="right"/>
              <w:ind w:right="203"/>
              <w:spacing w:after="0"/>
              <w:rPr>
                <w:sz w:val="20"/>
                <w:szCs w:val="20"/>
                <w:color w:val="auto"/>
              </w:rPr>
            </w:pPr>
            <w:r>
              <w:rPr>
                <w:rFonts w:ascii="Arial" w:cs="Arial" w:eastAsia="Arial" w:hAnsi="Arial"/>
                <w:sz w:val="18"/>
                <w:szCs w:val="18"/>
                <w:color w:val="auto"/>
                <w:w w:val="95"/>
              </w:rPr>
              <w:t>2,320,028</w:t>
            </w:r>
            <w:r>
              <w:rPr>
                <w:rFonts w:ascii="Arial" w:cs="Arial" w:eastAsia="Arial" w:hAnsi="Arial"/>
                <w:sz w:val="15"/>
                <w:szCs w:val="15"/>
                <w:color w:val="auto"/>
                <w:w w:val="95"/>
              </w:rPr>
              <w:t>(3)</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8.9%</w:t>
            </w:r>
          </w:p>
        </w:tc>
        <w:tc>
          <w:tcPr>
            <w:tcW w:w="1320" w:type="dxa"/>
            <w:vAlign w:val="bottom"/>
            <w:gridSpan w:val="2"/>
          </w:tcPr>
          <w:p>
            <w:pPr>
              <w:jc w:val="right"/>
              <w:ind w:right="383"/>
              <w:spacing w:after="0"/>
              <w:rPr>
                <w:sz w:val="20"/>
                <w:szCs w:val="20"/>
                <w:color w:val="auto"/>
              </w:rPr>
            </w:pPr>
            <w:r>
              <w:rPr>
                <w:rFonts w:ascii="Arial" w:cs="Arial" w:eastAsia="Arial" w:hAnsi="Arial"/>
                <w:sz w:val="18"/>
                <w:szCs w:val="18"/>
                <w:color w:val="auto"/>
              </w:rPr>
              <w:t>0</w:t>
            </w:r>
          </w:p>
        </w:tc>
        <w:tc>
          <w:tcPr>
            <w:tcW w:w="1440" w:type="dxa"/>
            <w:vAlign w:val="bottom"/>
            <w:gridSpan w:val="2"/>
          </w:tcPr>
          <w:p>
            <w:pPr>
              <w:jc w:val="right"/>
              <w:ind w:right="203"/>
              <w:spacing w:after="0"/>
              <w:rPr>
                <w:sz w:val="20"/>
                <w:szCs w:val="20"/>
                <w:color w:val="auto"/>
              </w:rPr>
            </w:pPr>
            <w:r>
              <w:rPr>
                <w:rFonts w:ascii="Arial" w:cs="Arial" w:eastAsia="Arial" w:hAnsi="Arial"/>
                <w:sz w:val="18"/>
                <w:szCs w:val="18"/>
                <w:color w:val="auto"/>
              </w:rPr>
              <w:t>2,320,028</w:t>
            </w:r>
            <w:r>
              <w:rPr>
                <w:rFonts w:ascii="Arial" w:cs="Arial" w:eastAsia="Arial" w:hAnsi="Arial"/>
                <w:sz w:val="15"/>
                <w:szCs w:val="15"/>
                <w:color w:val="auto"/>
              </w:rPr>
              <w:t>(3)</w:t>
            </w:r>
          </w:p>
        </w:tc>
        <w:tc>
          <w:tcPr>
            <w:tcW w:w="1360" w:type="dxa"/>
            <w:vAlign w:val="bottom"/>
            <w:gridSpan w:val="2"/>
          </w:tcPr>
          <w:p>
            <w:pPr>
              <w:jc w:val="right"/>
              <w:ind w:right="383"/>
              <w:spacing w:after="0"/>
              <w:rPr>
                <w:sz w:val="20"/>
                <w:szCs w:val="20"/>
                <w:color w:val="auto"/>
              </w:rPr>
            </w:pPr>
            <w:r>
              <w:rPr>
                <w:rFonts w:ascii="Arial" w:cs="Arial" w:eastAsia="Arial" w:hAnsi="Arial"/>
                <w:sz w:val="18"/>
                <w:szCs w:val="18"/>
                <w:color w:val="auto"/>
              </w:rPr>
              <w:t>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2,320,028</w:t>
            </w:r>
            <w:r>
              <w:rPr>
                <w:rFonts w:ascii="Arial" w:cs="Arial" w:eastAsia="Arial" w:hAnsi="Arial"/>
                <w:sz w:val="15"/>
                <w:szCs w:val="15"/>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220" w:hanging="452"/>
        <w:spacing w:after="0" w:line="254"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percentage of the class of securities beneficially owned by each reporting person is based on 26,059,433 outstanding ordinary shares (being the sum of 21,238,825 Class A Ordinary Shares and 4,820,608 Class B ordinary shares outstanding as of December 31, 2017, assuming conversion of all Class B Ordinary Shares into Class A Ordinary Shares) and the number of ordinary shares such person or group has the right to acquire upon the exercise of options, warrants or other rights within 60 days after December 31, 2017.</w:t>
      </w:r>
    </w:p>
    <w:p>
      <w:pPr>
        <w:spacing w:after="0" w:line="2"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(i) 2,320,028 Class B Ordinary Shares held by Igomax Inc.,which may be converted into 2,320,028 Class A Ordinary Shares at any time by the holder thereof; and (ii) 20,039 Class A Ordinary Shares that are issuable upon exercise of options held in trust by Mr. Jian Tang. Mr. Jian Tang is the sole director of Igomax Inc.</w:t>
      </w:r>
    </w:p>
    <w:p>
      <w:pPr>
        <w:spacing w:after="0" w:line="1" w:lineRule="exact"/>
        <w:rPr>
          <w:rFonts w:ascii="Arial" w:cs="Arial" w:eastAsia="Arial" w:hAnsi="Arial"/>
          <w:sz w:val="18"/>
          <w:szCs w:val="18"/>
          <w:color w:val="auto"/>
        </w:rPr>
      </w:pPr>
    </w:p>
    <w:p>
      <w:pPr>
        <w:ind w:left="460" w:right="320" w:hanging="452"/>
        <w:spacing w:after="0" w:line="261"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2,320,028 Class B Ordinary Shares held by Igomax Inc., which may be converted into 2,320,028 Class A Ordinary Shares at any time by the holder thereof.</w:t>
      </w:r>
    </w:p>
    <w:p>
      <w:pPr>
        <w:spacing w:after="0" w:line="32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u w:val="single" w:color="auto"/>
          <w:color w:val="auto"/>
        </w:rPr>
        <w:t>Ownership of Five Percent or Less of a Class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Ownership of More than Five Percent on Behalf of Another Person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380" w:right="700" w:hanging="1363"/>
        <w:spacing w:after="0" w:line="282" w:lineRule="auto"/>
        <w:tabs>
          <w:tab w:leader="none" w:pos="13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u w:val="single" w:color="auto"/>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4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0"/>
              </w:rPr>
              <w:t>Identification and Classification of Members of the Group</w:t>
            </w:r>
          </w:p>
        </w:tc>
      </w:tr>
      <w:tr>
        <w:trPr>
          <w:trHeight w:val="345"/>
        </w:trPr>
        <w:tc>
          <w:tcPr>
            <w:tcW w:w="5840" w:type="dxa"/>
            <w:vAlign w:val="bottom"/>
            <w:gridSpan w:val="4"/>
          </w:tcPr>
          <w:p>
            <w:pPr>
              <w:ind w:left="460"/>
              <w:spacing w:after="0"/>
              <w:rPr>
                <w:sz w:val="20"/>
                <w:szCs w:val="20"/>
                <w:color w:val="auto"/>
              </w:rPr>
            </w:pPr>
            <w:r>
              <w:rPr>
                <w:rFonts w:ascii="Arial" w:cs="Arial" w:eastAsia="Arial" w:hAnsi="Arial"/>
                <w:sz w:val="18"/>
                <w:szCs w:val="18"/>
                <w:color w:val="auto"/>
              </w:rPr>
              <w:t>Not applicable</w:t>
            </w:r>
          </w:p>
        </w:tc>
      </w:tr>
      <w:tr>
        <w:trPr>
          <w:trHeight w:val="540"/>
        </w:trPr>
        <w:tc>
          <w:tcPr>
            <w:tcW w:w="138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4460" w:type="dxa"/>
            <w:vAlign w:val="bottom"/>
            <w:gridSpan w:val="3"/>
          </w:tcPr>
          <w:p>
            <w:pPr>
              <w:spacing w:after="0"/>
              <w:rPr>
                <w:sz w:val="20"/>
                <w:szCs w:val="20"/>
                <w:color w:val="auto"/>
              </w:rPr>
            </w:pPr>
            <w:r>
              <w:rPr>
                <w:rFonts w:ascii="Arial" w:cs="Arial" w:eastAsia="Arial" w:hAnsi="Arial"/>
                <w:sz w:val="18"/>
                <w:szCs w:val="18"/>
                <w:b w:val="1"/>
                <w:bCs w:val="1"/>
                <w:color w:val="auto"/>
              </w:rPr>
              <w:t>Notice of Dissolution of Group</w:t>
            </w:r>
          </w:p>
        </w:tc>
      </w:tr>
      <w:tr>
        <w:trPr>
          <w:trHeight w:val="20"/>
        </w:trPr>
        <w:tc>
          <w:tcPr>
            <w:tcW w:w="13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345"/>
        </w:trPr>
        <w:tc>
          <w:tcPr>
            <w:tcW w:w="5840" w:type="dxa"/>
            <w:vAlign w:val="bottom"/>
            <w:gridSpan w:val="4"/>
          </w:tcPr>
          <w:p>
            <w:pPr>
              <w:ind w:left="460"/>
              <w:spacing w:after="0"/>
              <w:rPr>
                <w:sz w:val="20"/>
                <w:szCs w:val="20"/>
                <w:color w:val="auto"/>
              </w:rPr>
            </w:pPr>
            <w:r>
              <w:rPr>
                <w:rFonts w:ascii="Arial" w:cs="Arial" w:eastAsia="Arial" w:hAnsi="Arial"/>
                <w:sz w:val="18"/>
                <w:szCs w:val="18"/>
                <w:color w:val="auto"/>
              </w:rPr>
              <w:t>Not applicable</w:t>
            </w:r>
          </w:p>
        </w:tc>
      </w:tr>
      <w:tr>
        <w:trPr>
          <w:trHeight w:val="540"/>
        </w:trPr>
        <w:tc>
          <w:tcPr>
            <w:tcW w:w="138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4460" w:type="dxa"/>
            <w:vAlign w:val="bottom"/>
            <w:gridSpan w:val="3"/>
          </w:tcPr>
          <w:p>
            <w:pPr>
              <w:spacing w:after="0"/>
              <w:rPr>
                <w:sz w:val="20"/>
                <w:szCs w:val="20"/>
                <w:color w:val="auto"/>
              </w:rPr>
            </w:pPr>
            <w:r>
              <w:rPr>
                <w:rFonts w:ascii="Arial" w:cs="Arial" w:eastAsia="Arial" w:hAnsi="Arial"/>
                <w:sz w:val="18"/>
                <w:szCs w:val="18"/>
                <w:b w:val="1"/>
                <w:bCs w:val="1"/>
                <w:color w:val="auto"/>
              </w:rPr>
              <w:t>Certifications</w:t>
            </w:r>
          </w:p>
        </w:tc>
      </w:tr>
      <w:tr>
        <w:trPr>
          <w:trHeight w:val="20"/>
        </w:trPr>
        <w:tc>
          <w:tcPr>
            <w:tcW w:w="13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Dated: February 13, 2018</w:t>
            </w:r>
          </w:p>
        </w:tc>
        <w:tc>
          <w:tcPr>
            <w:tcW w:w="2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20" w:type="dxa"/>
            <w:vAlign w:val="bottom"/>
          </w:tcPr>
          <w:p>
            <w:pPr>
              <w:spacing w:after="0"/>
              <w:rPr>
                <w:sz w:val="20"/>
                <w:szCs w:val="20"/>
                <w:color w:val="auto"/>
              </w:rPr>
            </w:pPr>
          </w:p>
        </w:tc>
      </w:tr>
      <w:tr>
        <w:trPr>
          <w:trHeight w:val="459"/>
        </w:trPr>
        <w:tc>
          <w:tcPr>
            <w:tcW w:w="3760" w:type="dxa"/>
            <w:vAlign w:val="bottom"/>
          </w:tcPr>
          <w:p>
            <w:pPr>
              <w:spacing w:after="0"/>
              <w:rPr>
                <w:sz w:val="20"/>
                <w:szCs w:val="20"/>
                <w:color w:val="auto"/>
              </w:rPr>
            </w:pPr>
            <w:r>
              <w:rPr>
                <w:rFonts w:ascii="Arial" w:cs="Arial" w:eastAsia="Arial" w:hAnsi="Arial"/>
                <w:sz w:val="18"/>
                <w:szCs w:val="18"/>
                <w:color w:val="auto"/>
              </w:rPr>
              <w:t>Jian Tang</w:t>
            </w:r>
          </w:p>
        </w:tc>
        <w:tc>
          <w:tcPr>
            <w:tcW w:w="2060" w:type="dxa"/>
            <w:vAlign w:val="bottom"/>
          </w:tcPr>
          <w:p>
            <w:pPr>
              <w:spacing w:after="0"/>
              <w:rPr>
                <w:sz w:val="24"/>
                <w:szCs w:val="24"/>
                <w:color w:val="auto"/>
              </w:rPr>
            </w:pP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/s/Jian Tang</w:t>
            </w:r>
          </w:p>
        </w:tc>
      </w:tr>
      <w:tr>
        <w:trPr>
          <w:trHeight w:val="439"/>
        </w:trPr>
        <w:tc>
          <w:tcPr>
            <w:tcW w:w="3760" w:type="dxa"/>
            <w:vAlign w:val="bottom"/>
          </w:tcPr>
          <w:p>
            <w:pPr>
              <w:spacing w:after="0"/>
              <w:rPr>
                <w:sz w:val="20"/>
                <w:szCs w:val="20"/>
                <w:color w:val="auto"/>
              </w:rPr>
            </w:pPr>
            <w:r>
              <w:rPr>
                <w:rFonts w:ascii="Arial" w:cs="Arial" w:eastAsia="Arial" w:hAnsi="Arial"/>
                <w:sz w:val="18"/>
                <w:szCs w:val="18"/>
                <w:color w:val="auto"/>
              </w:rPr>
              <w:t>Igomax Inc.</w:t>
            </w:r>
          </w:p>
        </w:tc>
        <w:tc>
          <w:tcPr>
            <w:tcW w:w="206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Jian Tang</w:t>
            </w:r>
          </w:p>
        </w:tc>
      </w:tr>
      <w:tr>
        <w:trPr>
          <w:trHeight w:val="209"/>
        </w:trPr>
        <w:tc>
          <w:tcPr>
            <w:tcW w:w="37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Jian Tang</w:t>
            </w:r>
          </w:p>
        </w:tc>
      </w:tr>
      <w:tr>
        <w:trPr>
          <w:trHeight w:val="230"/>
        </w:trPr>
        <w:tc>
          <w:tcPr>
            <w:tcW w:w="37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Director</w:t>
            </w:r>
          </w:p>
        </w:tc>
      </w:tr>
      <w:tr>
        <w:trPr>
          <w:trHeight w:val="365"/>
        </w:trPr>
        <w:tc>
          <w:tcPr>
            <w:tcW w:w="376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24"/>
                <w:szCs w:val="24"/>
                <w:color w:val="auto"/>
              </w:rPr>
            </w:pPr>
          </w:p>
        </w:tc>
        <w:tc>
          <w:tcPr>
            <w:tcW w:w="502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6" w:name="page7"/>
    <w:bookmarkEnd w:id="6"/>
    <w:p>
      <w:pPr>
        <w:jc w:val="right"/>
        <w:ind w:right="36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LIST OF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99.1 — Joint Filing Agreement</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19"/>
          </w:cols>
          <w:pgMar w:left="240" w:top="270" w:right="1440"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29"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In accordance with Rule 13d-1(k) promulgated under the Securities Exchange Act of 1934, as amended, the undersigned hereby agree to the joint filing with all other Reporting Persons (as such term is defined in the Schedule 13G referred to below) on behalf of each of them of a statement on Schedule 13G (including amendments thereto) with respect to the Class A ordinary shares, par value of $0.001 per share, of iClick Interactive Asia Group Limited, a Cayman Islands exempted company, and that this Agreement may be included as an exhibit to such joint filing. This Agreement may be executed in any number of counterparts, all of which taken together shall constitute one and the same instrument.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hereby execute this Agreement as of February 13, 2018.</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Jian Tang</w:t>
            </w: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Jian Tang</w:t>
            </w:r>
          </w:p>
        </w:tc>
      </w:tr>
      <w:tr>
        <w:trPr>
          <w:trHeight w:val="439"/>
        </w:trPr>
        <w:tc>
          <w:tcPr>
            <w:tcW w:w="5820" w:type="dxa"/>
            <w:vAlign w:val="bottom"/>
          </w:tcPr>
          <w:p>
            <w:pPr>
              <w:spacing w:after="0"/>
              <w:rPr>
                <w:sz w:val="20"/>
                <w:szCs w:val="20"/>
                <w:color w:val="auto"/>
              </w:rPr>
            </w:pPr>
            <w:r>
              <w:rPr>
                <w:rFonts w:ascii="Arial" w:cs="Arial" w:eastAsia="Arial" w:hAnsi="Arial"/>
                <w:sz w:val="18"/>
                <w:szCs w:val="18"/>
                <w:color w:val="auto"/>
              </w:rPr>
              <w:t>Igomax Inc.</w:t>
            </w:r>
          </w:p>
        </w:tc>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Jian Tang</w:t>
            </w:r>
          </w:p>
        </w:tc>
      </w:tr>
      <w:tr>
        <w:trPr>
          <w:trHeight w:val="209"/>
        </w:trPr>
        <w:tc>
          <w:tcPr>
            <w:tcW w:w="58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Jian Tang</w:t>
            </w:r>
          </w:p>
        </w:tc>
      </w:tr>
      <w:tr>
        <w:trPr>
          <w:trHeight w:val="230"/>
        </w:trPr>
        <w:tc>
          <w:tcPr>
            <w:tcW w:w="582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lvl w:ilvl="1">
      <w:lvlJc w:val="left"/>
      <w:lvlText w:val="☒"/>
      <w:numFmt w:val="bullet"/>
      <w:start w:val="1"/>
    </w:lvl>
  </w:abstractNum>
  <w:abstractNum w:abstractNumId="2">
    <w:nsid w:val="3352255A"/>
    <w:multiLevelType w:val="hybridMultilevel"/>
    <w:lvl w:ilvl="0">
      <w:lvlJc w:val="left"/>
      <w:lvlText w:val="1"/>
      <w:numFmt w:val="bullet"/>
      <w:start w:val="1"/>
    </w:lvl>
  </w:abstractNum>
  <w:abstractNum w:abstractNumId="3">
    <w:nsid w:val="109CF92E"/>
    <w:multiLevelType w:val="hybridMultilevel"/>
    <w:lvl w:ilvl="0">
      <w:lvlJc w:val="left"/>
      <w:lvlText w:val="2"/>
      <w:numFmt w:val="bullet"/>
      <w:start w:val="1"/>
    </w:lvl>
  </w:abstractNum>
  <w:abstractNum w:abstractNumId="4">
    <w:nsid w:val="DED7263"/>
    <w:multiLevelType w:val="hybridMultilevel"/>
    <w:lvl w:ilvl="0">
      <w:lvlJc w:val="left"/>
      <w:lvlText w:val="3"/>
      <w:numFmt w:val="bullet"/>
      <w:start w:val="1"/>
    </w:lvl>
  </w:abstractNum>
  <w:abstractNum w:abstractNumId="5">
    <w:nsid w:val="7FDCC233"/>
    <w:multiLevelType w:val="hybridMultilevel"/>
    <w:lvl w:ilvl="0">
      <w:lvlJc w:val="left"/>
      <w:lvlText w:val="4"/>
      <w:numFmt w:val="bullet"/>
      <w:start w:val="1"/>
    </w:lvl>
  </w:abstractNum>
  <w:abstractNum w:abstractNumId="6">
    <w:nsid w:val="1BEFD79F"/>
    <w:multiLevelType w:val="hybridMultilevel"/>
    <w:lvl w:ilvl="0">
      <w:lvlJc w:val="left"/>
      <w:lvlText w:val="5"/>
      <w:numFmt w:val="bullet"/>
      <w:start w:val="1"/>
    </w:lvl>
  </w:abstractNum>
  <w:abstractNum w:abstractNumId="7">
    <w:nsid w:val="41A7C4C9"/>
    <w:multiLevelType w:val="hybridMultilevel"/>
    <w:lvl w:ilvl="0">
      <w:lvlJc w:val="left"/>
      <w:lvlText w:val="6"/>
      <w:numFmt w:val="bullet"/>
      <w:start w:val="1"/>
    </w:lvl>
  </w:abstractNum>
  <w:abstractNum w:abstractNumId="8">
    <w:nsid w:val="6B68079A"/>
    <w:multiLevelType w:val="hybridMultilevel"/>
    <w:lvl w:ilvl="0">
      <w:lvlJc w:val="left"/>
      <w:lvlText w:val="7"/>
      <w:numFmt w:val="bullet"/>
      <w:start w:val="1"/>
    </w:lvl>
  </w:abstractNum>
  <w:abstractNum w:abstractNumId="9">
    <w:nsid w:val="4E6AFB66"/>
    <w:multiLevelType w:val="hybridMultilevel"/>
    <w:lvl w:ilvl="0">
      <w:lvlJc w:val="left"/>
      <w:lvlText w:val="8"/>
      <w:numFmt w:val="bullet"/>
      <w:start w:val="1"/>
    </w:lvl>
  </w:abstractNum>
  <w:abstractNum w:abstractNumId="10">
    <w:nsid w:val="25E45D32"/>
    <w:multiLevelType w:val="hybridMultilevel"/>
    <w:lvl w:ilvl="0">
      <w:lvlJc w:val="left"/>
      <w:lvlText w:val="9"/>
      <w:numFmt w:val="bullet"/>
      <w:start w:val="1"/>
    </w:lvl>
  </w:abstractNum>
  <w:abstractNum w:abstractNumId="11">
    <w:nsid w:val="519B500D"/>
    <w:multiLevelType w:val="hybridMultilevel"/>
    <w:lvl w:ilvl="0">
      <w:lvlJc w:val="left"/>
      <w:lvlText w:val="%1"/>
      <w:numFmt w:val="decimal"/>
      <w:start w:val="10"/>
    </w:lvl>
  </w:abstractNum>
  <w:abstractNum w:abstractNumId="12">
    <w:nsid w:val="431BD7B7"/>
    <w:multiLevelType w:val="hybridMultilevel"/>
    <w:lvl w:ilvl="0">
      <w:lvlJc w:val="left"/>
      <w:lvlText w:val="1"/>
      <w:numFmt w:val="bullet"/>
      <w:start w:val="1"/>
    </w:lvl>
  </w:abstractNum>
  <w:abstractNum w:abstractNumId="13">
    <w:nsid w:val="3F2DBA31"/>
    <w:multiLevelType w:val="hybridMultilevel"/>
    <w:lvl w:ilvl="0">
      <w:lvlJc w:val="left"/>
      <w:lvlText w:val="2"/>
      <w:numFmt w:val="bullet"/>
      <w:start w:val="1"/>
    </w:lvl>
  </w:abstractNum>
  <w:abstractNum w:abstractNumId="14">
    <w:nsid w:val="7C83E458"/>
    <w:multiLevelType w:val="hybridMultilevel"/>
    <w:lvl w:ilvl="0">
      <w:lvlJc w:val="left"/>
      <w:lvlText w:val="3"/>
      <w:numFmt w:val="bullet"/>
      <w:start w:val="1"/>
    </w:lvl>
  </w:abstractNum>
  <w:abstractNum w:abstractNumId="15">
    <w:nsid w:val="257130A3"/>
    <w:multiLevelType w:val="hybridMultilevel"/>
    <w:lvl w:ilvl="0">
      <w:lvlJc w:val="left"/>
      <w:lvlText w:val="4"/>
      <w:numFmt w:val="bullet"/>
      <w:start w:val="1"/>
    </w:lvl>
  </w:abstractNum>
  <w:abstractNum w:abstractNumId="16">
    <w:nsid w:val="62BBD95A"/>
    <w:multiLevelType w:val="hybridMultilevel"/>
    <w:lvl w:ilvl="0">
      <w:lvlJc w:val="left"/>
      <w:lvlText w:val="5"/>
      <w:numFmt w:val="bullet"/>
      <w:start w:val="1"/>
    </w:lvl>
  </w:abstractNum>
  <w:abstractNum w:abstractNumId="17">
    <w:nsid w:val="436C6125"/>
    <w:multiLevelType w:val="hybridMultilevel"/>
    <w:lvl w:ilvl="0">
      <w:lvlJc w:val="left"/>
      <w:lvlText w:val="6"/>
      <w:numFmt w:val="bullet"/>
      <w:start w:val="1"/>
    </w:lvl>
  </w:abstractNum>
  <w:abstractNum w:abstractNumId="18">
    <w:nsid w:val="628C895D"/>
    <w:multiLevelType w:val="hybridMultilevel"/>
    <w:lvl w:ilvl="0">
      <w:lvlJc w:val="left"/>
      <w:lvlText w:val="7"/>
      <w:numFmt w:val="bullet"/>
      <w:start w:val="1"/>
    </w:lvl>
  </w:abstractNum>
  <w:abstractNum w:abstractNumId="19">
    <w:nsid w:val="333AB105"/>
    <w:multiLevelType w:val="hybridMultilevel"/>
    <w:lvl w:ilvl="0">
      <w:lvlJc w:val="left"/>
      <w:lvlText w:val="8"/>
      <w:numFmt w:val="bullet"/>
      <w:start w:val="1"/>
    </w:lvl>
  </w:abstractNum>
  <w:abstractNum w:abstractNumId="20">
    <w:nsid w:val="721DA317"/>
    <w:multiLevelType w:val="hybridMultilevel"/>
    <w:lvl w:ilvl="0">
      <w:lvlJc w:val="left"/>
      <w:lvlText w:val="9"/>
      <w:numFmt w:val="bullet"/>
      <w:start w:val="1"/>
    </w:lvl>
  </w:abstractNum>
  <w:abstractNum w:abstractNumId="21">
    <w:nsid w:val="2443A858"/>
    <w:multiLevelType w:val="hybridMultilevel"/>
    <w:lvl w:ilvl="0">
      <w:lvlJc w:val="left"/>
      <w:lvlText w:val="%1"/>
      <w:numFmt w:val="decimal"/>
      <w:start w:val="10"/>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2019-12-08T15:16:10Z</dcterms:created>
  <dcterms:modified xsi:type="dcterms:W3CDTF">2019-12-08T15:16:10Z</dcterms:modified>
</cp:coreProperties>
</file>