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G47048 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ind w:left="500" w:hanging="40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Blue Focus International Limited</w:t>
      </w:r>
    </w:p>
    <w:p>
      <w:pPr>
        <w:spacing w:after="0" w:line="24" w:lineRule="exact"/>
        <w:rPr>
          <w:sz w:val="20"/>
          <w:szCs w:val="20"/>
          <w:color w:val="auto"/>
        </w:rPr>
      </w:pPr>
    </w:p>
    <w:p>
      <w:pPr>
        <w:ind w:left="500" w:hanging="405"/>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500"/>
        <w:spacing w:after="0" w:line="207" w:lineRule="exact"/>
        <w:tabs>
          <w:tab w:leader="none" w:pos="13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00" w:hanging="405"/>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500" w:hanging="405"/>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Hong Kong</w:t>
      </w:r>
    </w:p>
    <w:p>
      <w:pPr>
        <w:spacing w:after="0" w:line="24" w:lineRule="exact"/>
        <w:rPr>
          <w:sz w:val="20"/>
          <w:szCs w:val="20"/>
          <w:color w:val="auto"/>
        </w:rPr>
      </w:pPr>
    </w:p>
    <w:p>
      <w:pPr>
        <w:ind w:left="1540" w:hanging="44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40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960" w:type="dxa"/>
            <w:vAlign w:val="bottom"/>
            <w:vMerge w:val="continue"/>
          </w:tcPr>
          <w:p>
            <w:pPr>
              <w:spacing w:after="0"/>
              <w:rPr>
                <w:sz w:val="4"/>
                <w:szCs w:val="4"/>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6</w:t>
            </w:r>
          </w:p>
        </w:tc>
        <w:tc>
          <w:tcPr>
            <w:tcW w:w="992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00" w:type="dxa"/>
            <w:vAlign w:val="bottom"/>
            <w:vMerge w:val="continue"/>
          </w:tcPr>
          <w:p>
            <w:pPr>
              <w:spacing w:after="0"/>
              <w:rPr>
                <w:sz w:val="15"/>
                <w:szCs w:val="15"/>
                <w:color w:val="auto"/>
              </w:rPr>
            </w:pPr>
          </w:p>
        </w:tc>
        <w:tc>
          <w:tcPr>
            <w:tcW w:w="9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96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9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00" w:type="dxa"/>
            <w:vAlign w:val="bottom"/>
          </w:tcPr>
          <w:p>
            <w:pPr>
              <w:spacing w:after="0"/>
              <w:rPr>
                <w:sz w:val="18"/>
                <w:szCs w:val="18"/>
                <w:color w:val="auto"/>
              </w:rPr>
            </w:pPr>
          </w:p>
        </w:tc>
        <w:tc>
          <w:tcPr>
            <w:tcW w:w="9920" w:type="dxa"/>
            <w:vAlign w:val="bottom"/>
            <w:vMerge w:val="restart"/>
          </w:tcPr>
          <w:p>
            <w:pPr>
              <w:ind w:left="180"/>
              <w:spacing w:after="0"/>
              <w:rPr>
                <w:sz w:val="20"/>
                <w:szCs w:val="20"/>
                <w:color w:val="auto"/>
              </w:rPr>
            </w:pPr>
            <w:r>
              <w:rPr>
                <w:rFonts w:ascii="Arial" w:cs="Arial" w:eastAsia="Arial" w:hAnsi="Arial"/>
                <w:sz w:val="22"/>
                <w:szCs w:val="22"/>
                <w:color w:val="auto"/>
              </w:rPr>
              <w:t>3,235,338 ordinary shares. See Item 4.</w:t>
            </w: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400" w:type="dxa"/>
            <w:vAlign w:val="bottom"/>
            <w:tcBorders>
              <w:bottom w:val="single" w:sz="8" w:color="auto"/>
            </w:tcBorders>
          </w:tcPr>
          <w:p>
            <w:pPr>
              <w:spacing w:after="0"/>
              <w:rPr>
                <w:sz w:val="20"/>
                <w:szCs w:val="20"/>
                <w:color w:val="auto"/>
              </w:rPr>
            </w:pPr>
          </w:p>
        </w:tc>
        <w:tc>
          <w:tcPr>
            <w:tcW w:w="9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0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9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20"/>
                <w:szCs w:val="20"/>
                <w:color w:val="auto"/>
              </w:rPr>
            </w:pPr>
          </w:p>
        </w:tc>
        <w:tc>
          <w:tcPr>
            <w:tcW w:w="9920" w:type="dxa"/>
            <w:vAlign w:val="bottom"/>
          </w:tcPr>
          <w:p>
            <w:pPr>
              <w:ind w:left="18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00" w:type="dxa"/>
            <w:vAlign w:val="bottom"/>
            <w:tcBorders>
              <w:bottom w:val="single" w:sz="8" w:color="auto"/>
            </w:tcBorders>
          </w:tcPr>
          <w:p>
            <w:pPr>
              <w:spacing w:after="0"/>
              <w:rPr>
                <w:sz w:val="6"/>
                <w:szCs w:val="6"/>
                <w:color w:val="auto"/>
              </w:rPr>
            </w:pPr>
          </w:p>
        </w:tc>
        <w:tc>
          <w:tcPr>
            <w:tcW w:w="9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960" w:type="dxa"/>
            <w:vAlign w:val="bottom"/>
            <w:vMerge w:val="continue"/>
          </w:tcPr>
          <w:p>
            <w:pPr>
              <w:spacing w:after="0"/>
              <w:rPr>
                <w:sz w:val="11"/>
                <w:szCs w:val="11"/>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9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9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3,235,338 ordinary shares. See Item 4.</w:t>
      </w:r>
    </w:p>
    <w:p>
      <w:pPr>
        <w:spacing w:after="0" w:line="24" w:lineRule="exact"/>
        <w:rPr>
          <w:sz w:val="20"/>
          <w:szCs w:val="20"/>
          <w:color w:val="auto"/>
        </w:rPr>
      </w:pPr>
    </w:p>
    <w:p>
      <w:pPr>
        <w:ind w:left="500" w:hanging="405"/>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3,235,338 ordinary shares. See Item 4.</w:t>
      </w:r>
    </w:p>
    <w:p>
      <w:pPr>
        <w:spacing w:after="0" w:line="22" w:lineRule="exact"/>
        <w:rPr>
          <w:sz w:val="20"/>
          <w:szCs w:val="20"/>
          <w:color w:val="auto"/>
        </w:rPr>
      </w:pPr>
    </w:p>
    <w:p>
      <w:pPr>
        <w:ind w:left="500" w:hanging="495"/>
        <w:spacing w:after="0" w:line="207" w:lineRule="exact"/>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00" w:hanging="495"/>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12.4%. See Item 4.</w:t>
      </w:r>
    </w:p>
    <w:p>
      <w:pPr>
        <w:spacing w:after="0" w:line="2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w:t>
      </w:r>
    </w:p>
    <w:p>
      <w:pPr>
        <w:spacing w:after="0" w:line="200" w:lineRule="exact"/>
        <w:rPr>
          <w:sz w:val="20"/>
          <w:szCs w:val="20"/>
          <w:color w:val="auto"/>
        </w:rPr>
      </w:pPr>
    </w:p>
    <w:p>
      <w:pPr>
        <w:spacing w:after="0" w:line="21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400" w:top="287" w:right="219" w:bottom="1440" w:gutter="0" w:footer="0" w:header="0"/>
        </w:sectPr>
      </w:pPr>
    </w:p>
    <w:bookmarkStart w:id="2" w:name="page3"/>
    <w:bookmarkEnd w:id="2"/>
    <w:p>
      <w:pPr>
        <w:ind w:left="500" w:hanging="405"/>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-130175</wp:posOffset>
            </wp:positionV>
            <wp:extent cx="7254875"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BlueFocus Communication Group Co., Ltd.</w:t>
      </w:r>
    </w:p>
    <w:p>
      <w:pPr>
        <w:spacing w:after="0" w:line="24" w:lineRule="exact"/>
        <w:rPr>
          <w:sz w:val="20"/>
          <w:szCs w:val="20"/>
          <w:color w:val="auto"/>
        </w:rPr>
      </w:pPr>
    </w:p>
    <w:p>
      <w:pPr>
        <w:ind w:left="500" w:hanging="405"/>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500"/>
        <w:spacing w:after="0" w:line="207" w:lineRule="exact"/>
        <w:tabs>
          <w:tab w:leader="none" w:pos="13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00" w:hanging="405"/>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500" w:hanging="405"/>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People’s Republic of China</w:t>
      </w:r>
    </w:p>
    <w:p>
      <w:pPr>
        <w:spacing w:after="0" w:line="24" w:lineRule="exact"/>
        <w:rPr>
          <w:sz w:val="20"/>
          <w:szCs w:val="20"/>
          <w:color w:val="auto"/>
        </w:rPr>
      </w:pPr>
    </w:p>
    <w:p>
      <w:pPr>
        <w:ind w:left="1540" w:hanging="449"/>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40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960" w:type="dxa"/>
            <w:vAlign w:val="bottom"/>
            <w:vMerge w:val="continue"/>
          </w:tcPr>
          <w:p>
            <w:pPr>
              <w:spacing w:after="0"/>
              <w:rPr>
                <w:sz w:val="4"/>
                <w:szCs w:val="4"/>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6</w:t>
            </w:r>
          </w:p>
        </w:tc>
        <w:tc>
          <w:tcPr>
            <w:tcW w:w="992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00" w:type="dxa"/>
            <w:vAlign w:val="bottom"/>
            <w:vMerge w:val="continue"/>
          </w:tcPr>
          <w:p>
            <w:pPr>
              <w:spacing w:after="0"/>
              <w:rPr>
                <w:sz w:val="15"/>
                <w:szCs w:val="15"/>
                <w:color w:val="auto"/>
              </w:rPr>
            </w:pPr>
          </w:p>
        </w:tc>
        <w:tc>
          <w:tcPr>
            <w:tcW w:w="9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96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9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00" w:type="dxa"/>
            <w:vAlign w:val="bottom"/>
          </w:tcPr>
          <w:p>
            <w:pPr>
              <w:spacing w:after="0"/>
              <w:rPr>
                <w:sz w:val="18"/>
                <w:szCs w:val="18"/>
                <w:color w:val="auto"/>
              </w:rPr>
            </w:pPr>
          </w:p>
        </w:tc>
        <w:tc>
          <w:tcPr>
            <w:tcW w:w="9920" w:type="dxa"/>
            <w:vAlign w:val="bottom"/>
            <w:vMerge w:val="restart"/>
          </w:tcPr>
          <w:p>
            <w:pPr>
              <w:ind w:left="180"/>
              <w:spacing w:after="0"/>
              <w:rPr>
                <w:sz w:val="20"/>
                <w:szCs w:val="20"/>
                <w:color w:val="auto"/>
              </w:rPr>
            </w:pPr>
            <w:r>
              <w:rPr>
                <w:rFonts w:ascii="Arial" w:cs="Arial" w:eastAsia="Arial" w:hAnsi="Arial"/>
                <w:sz w:val="22"/>
                <w:szCs w:val="22"/>
                <w:color w:val="auto"/>
              </w:rPr>
              <w:t>3,235,338 ordinary shares. See Item 4.</w:t>
            </w: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400" w:type="dxa"/>
            <w:vAlign w:val="bottom"/>
            <w:tcBorders>
              <w:bottom w:val="single" w:sz="8" w:color="auto"/>
            </w:tcBorders>
          </w:tcPr>
          <w:p>
            <w:pPr>
              <w:spacing w:after="0"/>
              <w:rPr>
                <w:sz w:val="20"/>
                <w:szCs w:val="20"/>
                <w:color w:val="auto"/>
              </w:rPr>
            </w:pPr>
          </w:p>
        </w:tc>
        <w:tc>
          <w:tcPr>
            <w:tcW w:w="9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0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9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20"/>
                <w:szCs w:val="20"/>
                <w:color w:val="auto"/>
              </w:rPr>
            </w:pPr>
          </w:p>
        </w:tc>
        <w:tc>
          <w:tcPr>
            <w:tcW w:w="9920" w:type="dxa"/>
            <w:vAlign w:val="bottom"/>
          </w:tcPr>
          <w:p>
            <w:pPr>
              <w:ind w:left="18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00" w:type="dxa"/>
            <w:vAlign w:val="bottom"/>
            <w:tcBorders>
              <w:bottom w:val="single" w:sz="8" w:color="auto"/>
            </w:tcBorders>
          </w:tcPr>
          <w:p>
            <w:pPr>
              <w:spacing w:after="0"/>
              <w:rPr>
                <w:sz w:val="6"/>
                <w:szCs w:val="6"/>
                <w:color w:val="auto"/>
              </w:rPr>
            </w:pPr>
          </w:p>
        </w:tc>
        <w:tc>
          <w:tcPr>
            <w:tcW w:w="9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960" w:type="dxa"/>
            <w:vAlign w:val="bottom"/>
            <w:vMerge w:val="continue"/>
          </w:tcPr>
          <w:p>
            <w:pPr>
              <w:spacing w:after="0"/>
              <w:rPr>
                <w:sz w:val="11"/>
                <w:szCs w:val="11"/>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9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9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3,235,338 ordinary shares. See Item 4.</w:t>
      </w:r>
    </w:p>
    <w:p>
      <w:pPr>
        <w:spacing w:after="0" w:line="24" w:lineRule="exact"/>
        <w:rPr>
          <w:sz w:val="20"/>
          <w:szCs w:val="20"/>
          <w:color w:val="auto"/>
        </w:rPr>
      </w:pPr>
    </w:p>
    <w:p>
      <w:pPr>
        <w:ind w:left="500" w:hanging="405"/>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3,235,338 ordinary shares. See Item 4.</w:t>
      </w:r>
    </w:p>
    <w:p>
      <w:pPr>
        <w:spacing w:after="0" w:line="22" w:lineRule="exact"/>
        <w:rPr>
          <w:sz w:val="20"/>
          <w:szCs w:val="20"/>
          <w:color w:val="auto"/>
        </w:rPr>
      </w:pPr>
    </w:p>
    <w:p>
      <w:pPr>
        <w:ind w:left="500" w:hanging="495"/>
        <w:spacing w:after="0" w:line="207" w:lineRule="exact"/>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00" w:hanging="495"/>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12.4%. See Item 4.</w:t>
      </w:r>
    </w:p>
    <w:p>
      <w:pPr>
        <w:spacing w:after="0" w:line="2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w:t>
      </w:r>
    </w:p>
    <w:p>
      <w:pPr>
        <w:spacing w:after="0" w:line="200" w:lineRule="exact"/>
        <w:rPr>
          <w:sz w:val="20"/>
          <w:szCs w:val="20"/>
          <w:color w:val="auto"/>
        </w:rPr>
      </w:pPr>
    </w:p>
    <w:p>
      <w:pPr>
        <w:spacing w:after="0" w:line="21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400" w:top="287" w:right="219" w:bottom="1440" w:gutter="0" w:footer="0" w:header="0"/>
        </w:sectPr>
      </w:pPr>
    </w:p>
    <w:bookmarkStart w:id="3" w:name="page4"/>
    <w:bookmarkEnd w:id="3"/>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iClick Interactive Asia Group Limited (the “Issuer”)</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15/F, Prosperity Millennia Plaza</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Hong Kong S.A.R.</w:t>
      </w:r>
    </w:p>
    <w:p>
      <w:pPr>
        <w:spacing w:after="0" w:line="3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Blue Focus International Limited</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BlueFocus Communication Group Co., Ltd.</w:t>
      </w:r>
    </w:p>
    <w:p>
      <w:pPr>
        <w:spacing w:after="0" w:line="3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Blue Focus International Limited</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RM.19C, LOCKHART CTR., 301-307 LOCKHART RD., WAN CHAI, HONG KONG</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BlueFocus Communication Group Co., Ltd.</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Bldg. C9-C Universal Creative Park, 9 Jiuxianqiao North Rd, Chaoyang District, Beijing 100015, China</w:t>
      </w:r>
    </w:p>
    <w:p>
      <w:pPr>
        <w:spacing w:after="0" w:line="3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Blue Focus International Limited — Hong Kong S.A.R.</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BlueFocus Communication Group Co., Ltd. — People’s Republic of China</w:t>
      </w:r>
    </w:p>
    <w:p>
      <w:pPr>
        <w:spacing w:after="0" w:line="3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Class A ordinary shares, par value of $0.001 per share (the “Class A Ordinary Shares”)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No.</w:t>
      </w:r>
      <w:r>
        <w:rPr>
          <w:rFonts w:ascii="Arial" w:cs="Arial" w:eastAsia="Arial" w:hAnsi="Arial"/>
          <w:sz w:val="17"/>
          <w:szCs w:val="17"/>
          <w:b w:val="1"/>
          <w:bCs w:val="1"/>
          <w:color w:val="auto"/>
        </w:rPr>
        <w:t>:</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G47048 106</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 -2(b) or (c), check whether the persons filing is a</w:t>
      </w:r>
      <w:r>
        <w:rPr>
          <w:rFonts w:ascii="Arial" w:cs="Arial" w:eastAsia="Arial" w:hAnsi="Arial"/>
          <w:sz w:val="16"/>
          <w:szCs w:val="16"/>
          <w:b w:val="1"/>
          <w:bCs w:val="1"/>
          <w:color w:val="auto"/>
        </w:rPr>
        <w:t>:</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u w:val="single" w:color="auto"/>
          <w:color w:val="auto"/>
        </w:rPr>
        <w:t>Ownership</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following information with respect to the ownership of the Class A Ordinary Shares by each of the reporting persons is provided as of</w:t>
      </w:r>
    </w:p>
    <w:p>
      <w:pPr>
        <w:spacing w:after="0" w:line="4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20" w:type="dxa"/>
            <w:vAlign w:val="bottom"/>
            <w:gridSpan w:val="2"/>
            <w:vMerge w:val="restart"/>
          </w:tcPr>
          <w:p>
            <w:pPr>
              <w:jc w:val="center"/>
              <w:ind w:right="423"/>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Sole Power to</w:t>
            </w:r>
          </w:p>
        </w:tc>
        <w:tc>
          <w:tcPr>
            <w:tcW w:w="1500" w:type="dxa"/>
            <w:vAlign w:val="bottom"/>
            <w:gridSpan w:val="2"/>
            <w:vMerge w:val="restart"/>
          </w:tcPr>
          <w:p>
            <w:pPr>
              <w:jc w:val="center"/>
              <w:ind w:right="443"/>
              <w:spacing w:after="0"/>
              <w:rPr>
                <w:sz w:val="20"/>
                <w:szCs w:val="20"/>
                <w:color w:val="auto"/>
              </w:rPr>
            </w:pPr>
            <w:r>
              <w:rPr>
                <w:rFonts w:ascii="Arial" w:cs="Arial" w:eastAsia="Arial" w:hAnsi="Arial"/>
                <w:sz w:val="14"/>
                <w:szCs w:val="14"/>
                <w:b w:val="1"/>
                <w:bCs w:val="1"/>
                <w:color w:val="auto"/>
                <w:w w:val="92"/>
              </w:rPr>
              <w:t>Shared Power</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Sole Power to</w:t>
            </w:r>
          </w:p>
        </w:tc>
        <w:tc>
          <w:tcPr>
            <w:tcW w:w="1180" w:type="dxa"/>
            <w:vAlign w:val="bottom"/>
            <w:gridSpan w:val="2"/>
          </w:tcPr>
          <w:p>
            <w:pPr>
              <w:jc w:val="center"/>
              <w:ind w:right="163"/>
              <w:spacing w:after="0"/>
              <w:rPr>
                <w:sz w:val="20"/>
                <w:szCs w:val="20"/>
                <w:color w:val="auto"/>
              </w:rPr>
            </w:pPr>
            <w:r>
              <w:rPr>
                <w:rFonts w:ascii="Arial" w:cs="Arial" w:eastAsia="Arial" w:hAnsi="Arial"/>
                <w:sz w:val="14"/>
                <w:szCs w:val="14"/>
                <w:b w:val="1"/>
                <w:bCs w:val="1"/>
                <w:color w:val="auto"/>
                <w:w w:val="92"/>
              </w:rPr>
              <w:t>Shared Power</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Percent of</w:t>
            </w:r>
          </w:p>
        </w:tc>
        <w:tc>
          <w:tcPr>
            <w:tcW w:w="12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118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88"/>
              </w:rPr>
              <w:t>to Dispose or to</w:t>
            </w: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2700" w:type="dxa"/>
            <w:vAlign w:val="bottom"/>
            <w:vMerge w:val="restart"/>
          </w:tcPr>
          <w:p>
            <w:pPr>
              <w:spacing w:after="0"/>
              <w:rPr>
                <w:sz w:val="12"/>
                <w:szCs w:val="12"/>
                <w:color w:val="auto"/>
              </w:rPr>
            </w:pPr>
          </w:p>
        </w:tc>
        <w:tc>
          <w:tcPr>
            <w:tcW w:w="1320" w:type="dxa"/>
            <w:vAlign w:val="bottom"/>
            <w:gridSpan w:val="2"/>
          </w:tcPr>
          <w:p>
            <w:pPr>
              <w:jc w:val="center"/>
              <w:ind w:right="403"/>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20" w:type="dxa"/>
            <w:vAlign w:val="bottom"/>
            <w:gridSpan w:val="2"/>
            <w:vMerge w:val="continue"/>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Vote or Direct</w:t>
            </w:r>
          </w:p>
        </w:tc>
        <w:tc>
          <w:tcPr>
            <w:tcW w:w="1500" w:type="dxa"/>
            <w:vAlign w:val="bottom"/>
            <w:gridSpan w:val="2"/>
          </w:tcPr>
          <w:p>
            <w:pPr>
              <w:jc w:val="center"/>
              <w:ind w:right="423"/>
              <w:spacing w:after="0" w:line="149" w:lineRule="exact"/>
              <w:rPr>
                <w:sz w:val="20"/>
                <w:szCs w:val="20"/>
                <w:color w:val="auto"/>
              </w:rPr>
            </w:pPr>
            <w:r>
              <w:rPr>
                <w:rFonts w:ascii="Arial" w:cs="Arial" w:eastAsia="Arial" w:hAnsi="Arial"/>
                <w:sz w:val="14"/>
                <w:szCs w:val="14"/>
                <w:b w:val="1"/>
                <w:bCs w:val="1"/>
                <w:color w:val="auto"/>
                <w:w w:val="92"/>
              </w:rPr>
              <w:t>to Vote or to</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Direct the</w:t>
            </w:r>
          </w:p>
        </w:tc>
        <w:tc>
          <w:tcPr>
            <w:tcW w:w="118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5"/>
              </w:rPr>
              <w:t>Direct the</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vMerge w:val="continue"/>
          </w:tcPr>
          <w:p>
            <w:pPr>
              <w:spacing w:after="0"/>
              <w:rPr>
                <w:sz w:val="14"/>
                <w:szCs w:val="14"/>
                <w:color w:val="auto"/>
              </w:rPr>
            </w:pPr>
          </w:p>
        </w:tc>
        <w:tc>
          <w:tcPr>
            <w:tcW w:w="270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w:t>
            </w:r>
          </w:p>
        </w:tc>
        <w:tc>
          <w:tcPr>
            <w:tcW w:w="5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Class:</w:t>
            </w:r>
            <w:r>
              <w:rPr>
                <w:rFonts w:ascii="Arial" w:cs="Arial" w:eastAsia="Arial" w:hAnsi="Arial"/>
                <w:sz w:val="12"/>
                <w:szCs w:val="12"/>
                <w:b w:val="1"/>
                <w:bCs w:val="1"/>
                <w:color w:val="auto"/>
                <w:w w:val="91"/>
              </w:rPr>
              <w:t>(1)</w:t>
            </w:r>
          </w:p>
        </w:tc>
        <w:tc>
          <w:tcPr>
            <w:tcW w:w="4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the Vote:</w:t>
            </w:r>
          </w:p>
        </w:tc>
        <w:tc>
          <w:tcPr>
            <w:tcW w:w="3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 the Vote:</w:t>
            </w:r>
          </w:p>
        </w:tc>
        <w:tc>
          <w:tcPr>
            <w:tcW w:w="5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Disposition of:</w:t>
            </w:r>
          </w:p>
        </w:tc>
        <w:tc>
          <w:tcPr>
            <w:tcW w:w="3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Disposition of:</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Focus International Limited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3,235,338</w:t>
            </w:r>
          </w:p>
        </w:tc>
        <w:tc>
          <w:tcPr>
            <w:tcW w:w="5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87"/>
              </w:rPr>
              <w:t>(2)</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3,235,338</w:t>
            </w:r>
          </w:p>
        </w:tc>
        <w:tc>
          <w:tcPr>
            <w:tcW w:w="5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87"/>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3,235,338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(2)</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BlueFocus Communication Group Co., Ltd.</w:t>
            </w:r>
          </w:p>
        </w:tc>
        <w:tc>
          <w:tcPr>
            <w:tcW w:w="1320" w:type="dxa"/>
            <w:vAlign w:val="bottom"/>
            <w:gridSpan w:val="2"/>
          </w:tcPr>
          <w:p>
            <w:pPr>
              <w:jc w:val="right"/>
              <w:ind w:right="243"/>
              <w:spacing w:after="0"/>
              <w:rPr>
                <w:sz w:val="20"/>
                <w:szCs w:val="20"/>
                <w:color w:val="auto"/>
              </w:rPr>
            </w:pPr>
            <w:r>
              <w:rPr>
                <w:rFonts w:ascii="Arial" w:cs="Arial" w:eastAsia="Arial" w:hAnsi="Arial"/>
                <w:sz w:val="18"/>
                <w:szCs w:val="18"/>
                <w:color w:val="auto"/>
                <w:w w:val="94"/>
              </w:rPr>
              <w:t xml:space="preserve">3,235,338 </w:t>
            </w:r>
            <w:r>
              <w:rPr>
                <w:rFonts w:ascii="Arial" w:cs="Arial" w:eastAsia="Arial" w:hAnsi="Arial"/>
                <w:sz w:val="15"/>
                <w:szCs w:val="15"/>
                <w:color w:val="auto"/>
                <w:w w:val="94"/>
              </w:rPr>
              <w:t>(2)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263"/>
              <w:spacing w:after="0"/>
              <w:rPr>
                <w:sz w:val="20"/>
                <w:szCs w:val="20"/>
                <w:color w:val="auto"/>
              </w:rPr>
            </w:pPr>
            <w:r>
              <w:rPr>
                <w:rFonts w:ascii="Arial" w:cs="Arial" w:eastAsia="Arial" w:hAnsi="Arial"/>
                <w:sz w:val="18"/>
                <w:szCs w:val="18"/>
                <w:color w:val="auto"/>
              </w:rPr>
              <w:t xml:space="preserve">3,235,338 </w:t>
            </w:r>
            <w:r>
              <w:rPr>
                <w:rFonts w:ascii="Arial" w:cs="Arial" w:eastAsia="Arial" w:hAnsi="Arial"/>
                <w:sz w:val="15"/>
                <w:szCs w:val="15"/>
                <w:color w:val="auto"/>
              </w:rPr>
              <w:t>(2)</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xml:space="preserve">3,235,338 </w:t>
            </w: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jc w:val="both"/>
        <w:ind w:left="460" w:right="340" w:hanging="452"/>
        <w:spacing w:after="0" w:line="288"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percentage of the class of securities beneficially owned by each reporting person is based on 26,059,433 outstanding ordinary shares (being the sum of 21,238,825 Class A Ordinary Shares and 4,820,608 Class B ordinary shares, par value of $0.001 per share, of the Issuer (“Class B Ordinary Shares”) outstanding as of December 31, 2017, assuming conversion of all Class B Ordinary Shares into Class A Ordinary Shares).</w:t>
      </w: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3,235,338 Class A Ordinary Shares held by Blue Focus International Limited, which is wholly owned by BlueFocus Communication Group Co., Ltd.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8"/>
              </w:rPr>
              <w:t>Ownership of Five Percent or Less of a Class</w:t>
            </w:r>
          </w:p>
        </w:tc>
        <w:tc>
          <w:tcPr>
            <w:tcW w:w="6700" w:type="dxa"/>
            <w:vAlign w:val="bottom"/>
            <w:gridSpan w:val="3"/>
          </w:tcPr>
          <w:p>
            <w:pPr>
              <w:spacing w:after="0"/>
              <w:rPr>
                <w:sz w:val="17"/>
                <w:szCs w:val="17"/>
                <w:color w:val="auto"/>
              </w:rPr>
            </w:pPr>
          </w:p>
        </w:tc>
      </w:tr>
      <w:tr>
        <w:trPr>
          <w:trHeight w:val="345"/>
        </w:trPr>
        <w:tc>
          <w:tcPr>
            <w:tcW w:w="116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Not applicable</w:t>
            </w:r>
          </w:p>
        </w:tc>
      </w:tr>
      <w:tr>
        <w:trPr>
          <w:trHeight w:val="500"/>
        </w:trPr>
        <w:tc>
          <w:tcPr>
            <w:tcW w:w="11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1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Ownership of More than Five Percent on Behalf of Another Person</w:t>
            </w:r>
          </w:p>
        </w:tc>
        <w:tc>
          <w:tcPr>
            <w:tcW w:w="5000" w:type="dxa"/>
            <w:vAlign w:val="bottom"/>
          </w:tcPr>
          <w:p>
            <w:pPr>
              <w:spacing w:after="0"/>
              <w:rPr>
                <w:sz w:val="24"/>
                <w:szCs w:val="24"/>
                <w:color w:val="auto"/>
              </w:rPr>
            </w:pPr>
          </w:p>
        </w:tc>
      </w:tr>
      <w:tr>
        <w:trPr>
          <w:trHeight w:val="345"/>
        </w:trPr>
        <w:tc>
          <w:tcPr>
            <w:tcW w:w="116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Not applicable</w:t>
            </w:r>
          </w:p>
        </w:tc>
      </w:tr>
      <w:tr>
        <w:trPr>
          <w:trHeight w:val="500"/>
        </w:trPr>
        <w:tc>
          <w:tcPr>
            <w:tcW w:w="11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1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 Company</w:t>
            </w:r>
          </w:p>
        </w:tc>
      </w:tr>
      <w:tr>
        <w:trPr>
          <w:trHeight w:val="196"/>
        </w:trPr>
        <w:tc>
          <w:tcPr>
            <w:tcW w:w="1160" w:type="dxa"/>
            <w:vAlign w:val="bottom"/>
          </w:tcPr>
          <w:p>
            <w:pPr>
              <w:spacing w:after="0"/>
              <w:rPr>
                <w:sz w:val="17"/>
                <w:szCs w:val="17"/>
                <w:color w:val="auto"/>
              </w:rPr>
            </w:pPr>
          </w:p>
        </w:tc>
        <w:tc>
          <w:tcPr>
            <w:tcW w:w="10140" w:type="dxa"/>
            <w:vAlign w:val="bottom"/>
            <w:gridSpan w:val="7"/>
          </w:tcPr>
          <w:p>
            <w:pPr>
              <w:spacing w:after="0" w:line="196" w:lineRule="exact"/>
              <w:rPr>
                <w:sz w:val="20"/>
                <w:szCs w:val="20"/>
                <w:color w:val="auto"/>
              </w:rPr>
            </w:pPr>
            <w:r>
              <w:rPr>
                <w:rFonts w:ascii="Arial" w:cs="Arial" w:eastAsia="Arial" w:hAnsi="Arial"/>
                <w:sz w:val="18"/>
                <w:szCs w:val="18"/>
                <w:b w:val="1"/>
                <w:bCs w:val="1"/>
                <w:color w:val="auto"/>
              </w:rPr>
              <w:t>or Control Person</w:t>
            </w:r>
          </w:p>
        </w:tc>
      </w:tr>
      <w:tr>
        <w:trPr>
          <w:trHeight w:val="345"/>
        </w:trPr>
        <w:tc>
          <w:tcPr>
            <w:tcW w:w="1160" w:type="dxa"/>
            <w:vAlign w:val="bottom"/>
          </w:tcPr>
          <w:p>
            <w:pPr>
              <w:spacing w:after="0"/>
              <w:rPr>
                <w:sz w:val="24"/>
                <w:szCs w:val="24"/>
                <w:color w:val="auto"/>
              </w:rPr>
            </w:pP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Not applicable</w:t>
            </w:r>
          </w:p>
        </w:tc>
        <w:tc>
          <w:tcPr>
            <w:tcW w:w="8760" w:type="dxa"/>
            <w:vAlign w:val="bottom"/>
            <w:gridSpan w:val="5"/>
          </w:tcPr>
          <w:p>
            <w:pPr>
              <w:spacing w:after="0"/>
              <w:rPr>
                <w:sz w:val="24"/>
                <w:szCs w:val="24"/>
                <w:color w:val="auto"/>
              </w:rPr>
            </w:pPr>
          </w:p>
        </w:tc>
      </w:tr>
      <w:tr>
        <w:trPr>
          <w:trHeight w:val="500"/>
        </w:trPr>
        <w:tc>
          <w:tcPr>
            <w:tcW w:w="11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4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Identification and Classification of Members of the Group</w:t>
            </w:r>
          </w:p>
        </w:tc>
        <w:tc>
          <w:tcPr>
            <w:tcW w:w="5680" w:type="dxa"/>
            <w:vAlign w:val="bottom"/>
            <w:gridSpan w:val="2"/>
          </w:tcPr>
          <w:p>
            <w:pPr>
              <w:spacing w:after="0"/>
              <w:rPr>
                <w:sz w:val="24"/>
                <w:szCs w:val="24"/>
                <w:color w:val="auto"/>
              </w:rPr>
            </w:pPr>
          </w:p>
        </w:tc>
      </w:tr>
      <w:tr>
        <w:trPr>
          <w:trHeight w:val="345"/>
        </w:trPr>
        <w:tc>
          <w:tcPr>
            <w:tcW w:w="116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Not applicable</w:t>
            </w:r>
          </w:p>
        </w:tc>
      </w:tr>
      <w:tr>
        <w:trPr>
          <w:trHeight w:val="500"/>
        </w:trPr>
        <w:tc>
          <w:tcPr>
            <w:tcW w:w="11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Notice of Dissolution of Group</w:t>
            </w:r>
          </w:p>
        </w:tc>
        <w:tc>
          <w:tcPr>
            <w:tcW w:w="7800" w:type="dxa"/>
            <w:vAlign w:val="bottom"/>
            <w:gridSpan w:val="4"/>
          </w:tcPr>
          <w:p>
            <w:pPr>
              <w:spacing w:after="0"/>
              <w:rPr>
                <w:sz w:val="24"/>
                <w:szCs w:val="24"/>
                <w:color w:val="auto"/>
              </w:rPr>
            </w:pPr>
          </w:p>
        </w:tc>
      </w:tr>
      <w:tr>
        <w:trPr>
          <w:trHeight w:val="345"/>
        </w:trPr>
        <w:tc>
          <w:tcPr>
            <w:tcW w:w="116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Not applicable</w:t>
            </w:r>
          </w:p>
        </w:tc>
      </w:tr>
      <w:tr>
        <w:trPr>
          <w:trHeight w:val="500"/>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140" w:type="dxa"/>
            <w:vAlign w:val="bottom"/>
            <w:gridSpan w:val="7"/>
          </w:tcPr>
          <w:p>
            <w:pPr>
              <w:spacing w:after="0"/>
              <w:rPr>
                <w:sz w:val="20"/>
                <w:szCs w:val="20"/>
                <w:color w:val="auto"/>
              </w:rPr>
            </w:pPr>
            <w:r>
              <w:rPr>
                <w:rFonts w:ascii="Arial" w:cs="Arial" w:eastAsia="Arial" w:hAnsi="Arial"/>
                <w:sz w:val="18"/>
                <w:szCs w:val="18"/>
                <w:b w:val="1"/>
                <w:bCs w:val="1"/>
                <w:color w:val="auto"/>
              </w:rPr>
              <w:t>Certifications</w:t>
            </w:r>
          </w:p>
        </w:tc>
      </w:tr>
      <w:tr>
        <w:trPr>
          <w:trHeight w:val="20"/>
        </w:trPr>
        <w:tc>
          <w:tcPr>
            <w:tcW w:w="1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100" w:type="dxa"/>
            <w:vAlign w:val="bottom"/>
            <w:gridSpan w:val="6"/>
          </w:tcPr>
          <w:p>
            <w:pPr>
              <w:spacing w:after="0" w:line="20" w:lineRule="exact"/>
              <w:rPr>
                <w:sz w:val="1"/>
                <w:szCs w:val="1"/>
                <w:color w:val="auto"/>
              </w:rPr>
            </w:pPr>
          </w:p>
        </w:tc>
      </w:tr>
      <w:tr>
        <w:trPr>
          <w:trHeight w:val="345"/>
        </w:trPr>
        <w:tc>
          <w:tcPr>
            <w:tcW w:w="116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Not applicable</w:t>
            </w:r>
          </w:p>
        </w:tc>
      </w:tr>
      <w:tr>
        <w:trPr>
          <w:trHeight w:val="365"/>
        </w:trPr>
        <w:tc>
          <w:tcPr>
            <w:tcW w:w="1160" w:type="dxa"/>
            <w:vAlign w:val="bottom"/>
          </w:tcPr>
          <w:p>
            <w:pPr>
              <w:spacing w:after="0"/>
              <w:rPr>
                <w:sz w:val="24"/>
                <w:szCs w:val="24"/>
                <w:color w:val="auto"/>
              </w:rPr>
            </w:pPr>
          </w:p>
        </w:tc>
        <w:tc>
          <w:tcPr>
            <w:tcW w:w="5140" w:type="dxa"/>
            <w:vAlign w:val="bottom"/>
            <w:gridSpan w:val="6"/>
          </w:tcPr>
          <w:p>
            <w:pPr>
              <w:ind w:left="4500"/>
              <w:spacing w:after="0"/>
              <w:rPr>
                <w:sz w:val="20"/>
                <w:szCs w:val="20"/>
                <w:color w:val="auto"/>
              </w:rPr>
            </w:pPr>
            <w:r>
              <w:rPr>
                <w:rFonts w:ascii="Arial" w:cs="Arial" w:eastAsia="Arial" w:hAnsi="Arial"/>
                <w:sz w:val="18"/>
                <w:szCs w:val="18"/>
                <w:color w:val="auto"/>
              </w:rPr>
              <w:t>5</w:t>
            </w:r>
          </w:p>
        </w:tc>
        <w:tc>
          <w:tcPr>
            <w:tcW w:w="50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Dated: February 16, 2018</w:t>
            </w:r>
          </w:p>
        </w:tc>
        <w:tc>
          <w:tcPr>
            <w:tcW w:w="198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459"/>
        </w:trPr>
        <w:tc>
          <w:tcPr>
            <w:tcW w:w="4420" w:type="dxa"/>
            <w:vAlign w:val="bottom"/>
          </w:tcPr>
          <w:p>
            <w:pPr>
              <w:spacing w:after="0"/>
              <w:rPr>
                <w:sz w:val="20"/>
                <w:szCs w:val="20"/>
                <w:color w:val="auto"/>
              </w:rPr>
            </w:pPr>
            <w:r>
              <w:rPr>
                <w:rFonts w:ascii="Arial" w:cs="Arial" w:eastAsia="Arial" w:hAnsi="Arial"/>
                <w:sz w:val="18"/>
                <w:szCs w:val="18"/>
                <w:color w:val="auto"/>
              </w:rPr>
              <w:t>Blue Focus International Limited</w:t>
            </w:r>
          </w:p>
        </w:tc>
        <w:tc>
          <w:tcPr>
            <w:tcW w:w="1980" w:type="dxa"/>
            <w:vAlign w:val="bottom"/>
          </w:tcPr>
          <w:p>
            <w:pPr>
              <w:ind w:left="14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 Zhang</w:t>
            </w:r>
          </w:p>
        </w:tc>
      </w:tr>
      <w:tr>
        <w:trPr>
          <w:trHeight w:val="209"/>
        </w:trPr>
        <w:tc>
          <w:tcPr>
            <w:tcW w:w="4420" w:type="dxa"/>
            <w:vAlign w:val="bottom"/>
          </w:tcPr>
          <w:p>
            <w:pPr>
              <w:spacing w:after="0"/>
              <w:rPr>
                <w:sz w:val="18"/>
                <w:szCs w:val="18"/>
                <w:color w:val="auto"/>
              </w:rPr>
            </w:pPr>
          </w:p>
        </w:tc>
        <w:tc>
          <w:tcPr>
            <w:tcW w:w="1980" w:type="dxa"/>
            <w:vAlign w:val="bottom"/>
          </w:tcPr>
          <w:p>
            <w:pPr>
              <w:ind w:left="14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Dong Zhang</w:t>
            </w:r>
          </w:p>
        </w:tc>
      </w:tr>
      <w:tr>
        <w:trPr>
          <w:trHeight w:val="230"/>
        </w:trPr>
        <w:tc>
          <w:tcPr>
            <w:tcW w:w="4420" w:type="dxa"/>
            <w:vAlign w:val="bottom"/>
          </w:tcPr>
          <w:p>
            <w:pPr>
              <w:spacing w:after="0"/>
              <w:rPr>
                <w:sz w:val="20"/>
                <w:szCs w:val="20"/>
                <w:color w:val="auto"/>
              </w:rPr>
            </w:pPr>
          </w:p>
        </w:tc>
        <w:tc>
          <w:tcPr>
            <w:tcW w:w="1980" w:type="dxa"/>
            <w:vAlign w:val="bottom"/>
          </w:tcPr>
          <w:p>
            <w:pPr>
              <w:ind w:left="14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BlueFocus Communication Group Co., Ltd.</w:t>
            </w:r>
          </w:p>
        </w:tc>
        <w:tc>
          <w:tcPr>
            <w:tcW w:w="1980" w:type="dxa"/>
            <w:vAlign w:val="bottom"/>
          </w:tcPr>
          <w:p>
            <w:pPr>
              <w:ind w:left="14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 Zhang</w:t>
            </w:r>
          </w:p>
        </w:tc>
      </w:tr>
      <w:tr>
        <w:trPr>
          <w:trHeight w:val="209"/>
        </w:trPr>
        <w:tc>
          <w:tcPr>
            <w:tcW w:w="4420" w:type="dxa"/>
            <w:vAlign w:val="bottom"/>
          </w:tcPr>
          <w:p>
            <w:pPr>
              <w:spacing w:after="0"/>
              <w:rPr>
                <w:sz w:val="18"/>
                <w:szCs w:val="18"/>
                <w:color w:val="auto"/>
              </w:rPr>
            </w:pPr>
          </w:p>
        </w:tc>
        <w:tc>
          <w:tcPr>
            <w:tcW w:w="1980" w:type="dxa"/>
            <w:vAlign w:val="bottom"/>
          </w:tcPr>
          <w:p>
            <w:pPr>
              <w:ind w:left="14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Dong Zhang</w:t>
            </w:r>
          </w:p>
        </w:tc>
      </w:tr>
      <w:tr>
        <w:trPr>
          <w:trHeight w:val="230"/>
        </w:trPr>
        <w:tc>
          <w:tcPr>
            <w:tcW w:w="4420" w:type="dxa"/>
            <w:vAlign w:val="bottom"/>
          </w:tcPr>
          <w:p>
            <w:pPr>
              <w:spacing w:after="0"/>
              <w:rPr>
                <w:sz w:val="20"/>
                <w:szCs w:val="20"/>
                <w:color w:val="auto"/>
              </w:rPr>
            </w:pPr>
          </w:p>
        </w:tc>
        <w:tc>
          <w:tcPr>
            <w:tcW w:w="1980" w:type="dxa"/>
            <w:vAlign w:val="bottom"/>
          </w:tcPr>
          <w:p>
            <w:pPr>
              <w:ind w:left="14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365"/>
        </w:trPr>
        <w:tc>
          <w:tcPr>
            <w:tcW w:w="4420" w:type="dxa"/>
            <w:vAlign w:val="bottom"/>
          </w:tcPr>
          <w:p>
            <w:pPr>
              <w:spacing w:after="0"/>
              <w:rPr>
                <w:sz w:val="24"/>
                <w:szCs w:val="24"/>
                <w:color w:val="auto"/>
              </w:rPr>
            </w:pPr>
          </w:p>
        </w:tc>
        <w:tc>
          <w:tcPr>
            <w:tcW w:w="1980" w:type="dxa"/>
            <w:vAlign w:val="bottom"/>
          </w:tcPr>
          <w:p>
            <w:pPr>
              <w:ind w:left="1240"/>
              <w:spacing w:after="0"/>
              <w:rPr>
                <w:sz w:val="20"/>
                <w:szCs w:val="20"/>
                <w:color w:val="auto"/>
              </w:rPr>
            </w:pPr>
            <w:r>
              <w:rPr>
                <w:rFonts w:ascii="Arial" w:cs="Arial" w:eastAsia="Arial" w:hAnsi="Arial"/>
                <w:sz w:val="18"/>
                <w:szCs w:val="18"/>
                <w:color w:val="auto"/>
              </w:rPr>
              <w:t>6</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jc w:val="right"/>
        <w:ind w:right="3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 OF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99.1 — Joint Filing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0"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undersigned hereby execute this Agreement as of February 16,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Blue Focus International Limited</w:t>
            </w:r>
          </w:p>
        </w:tc>
        <w:tc>
          <w:tcPr>
            <w:tcW w:w="1900" w:type="dxa"/>
            <w:vAlign w:val="bottom"/>
          </w:tcPr>
          <w:p>
            <w:pPr>
              <w:ind w:left="13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 Zhang</w:t>
            </w:r>
          </w:p>
        </w:tc>
      </w:tr>
      <w:tr>
        <w:trPr>
          <w:trHeight w:val="209"/>
        </w:trPr>
        <w:tc>
          <w:tcPr>
            <w:tcW w:w="4500" w:type="dxa"/>
            <w:vAlign w:val="bottom"/>
          </w:tcPr>
          <w:p>
            <w:pPr>
              <w:spacing w:after="0"/>
              <w:rPr>
                <w:sz w:val="18"/>
                <w:szCs w:val="18"/>
                <w:color w:val="auto"/>
              </w:rPr>
            </w:pPr>
          </w:p>
        </w:tc>
        <w:tc>
          <w:tcPr>
            <w:tcW w:w="1900" w:type="dxa"/>
            <w:vAlign w:val="bottom"/>
          </w:tcPr>
          <w:p>
            <w:pPr>
              <w:ind w:left="13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Dong Zhang</w:t>
            </w:r>
          </w:p>
        </w:tc>
      </w:tr>
      <w:tr>
        <w:trPr>
          <w:trHeight w:val="230"/>
        </w:trPr>
        <w:tc>
          <w:tcPr>
            <w:tcW w:w="4500" w:type="dxa"/>
            <w:vAlign w:val="bottom"/>
          </w:tcPr>
          <w:p>
            <w:pPr>
              <w:spacing w:after="0"/>
              <w:rPr>
                <w:sz w:val="20"/>
                <w:szCs w:val="20"/>
                <w:color w:val="auto"/>
              </w:rPr>
            </w:pPr>
          </w:p>
        </w:tc>
        <w:tc>
          <w:tcPr>
            <w:tcW w:w="1900" w:type="dxa"/>
            <w:vAlign w:val="bottom"/>
          </w:tcPr>
          <w:p>
            <w:pPr>
              <w:ind w:left="13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BlueFocus Communication Group Co., Ltd.</w:t>
            </w:r>
          </w:p>
        </w:tc>
        <w:tc>
          <w:tcPr>
            <w:tcW w:w="1900" w:type="dxa"/>
            <w:vAlign w:val="bottom"/>
          </w:tcPr>
          <w:p>
            <w:pPr>
              <w:ind w:left="13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 Zhang</w:t>
            </w:r>
          </w:p>
        </w:tc>
      </w:tr>
      <w:tr>
        <w:trPr>
          <w:trHeight w:val="209"/>
        </w:trPr>
        <w:tc>
          <w:tcPr>
            <w:tcW w:w="4500" w:type="dxa"/>
            <w:vAlign w:val="bottom"/>
          </w:tcPr>
          <w:p>
            <w:pPr>
              <w:spacing w:after="0"/>
              <w:rPr>
                <w:sz w:val="18"/>
                <w:szCs w:val="18"/>
                <w:color w:val="auto"/>
              </w:rPr>
            </w:pPr>
          </w:p>
        </w:tc>
        <w:tc>
          <w:tcPr>
            <w:tcW w:w="1900" w:type="dxa"/>
            <w:vAlign w:val="bottom"/>
          </w:tcPr>
          <w:p>
            <w:pPr>
              <w:ind w:left="13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Dong Zhang</w:t>
            </w:r>
          </w:p>
        </w:tc>
      </w:tr>
      <w:tr>
        <w:trPr>
          <w:trHeight w:val="230"/>
        </w:trPr>
        <w:tc>
          <w:tcPr>
            <w:tcW w:w="4500" w:type="dxa"/>
            <w:vAlign w:val="bottom"/>
          </w:tcPr>
          <w:p>
            <w:pPr>
              <w:spacing w:after="0"/>
              <w:rPr>
                <w:sz w:val="20"/>
                <w:szCs w:val="20"/>
                <w:color w:val="auto"/>
              </w:rPr>
            </w:pPr>
          </w:p>
        </w:tc>
        <w:tc>
          <w:tcPr>
            <w:tcW w:w="1900" w:type="dxa"/>
            <w:vAlign w:val="bottom"/>
          </w:tcPr>
          <w:p>
            <w:pPr>
              <w:ind w:left="13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3"/>
      <w:numFmt w:val="bullet"/>
      <w:start w:val="1"/>
    </w:lvl>
  </w:abstractNum>
  <w:abstractNum w:abstractNumId="5">
    <w:nsid w:val="1190CDE7"/>
    <w:multiLevelType w:val="hybridMultilevel"/>
    <w:lvl w:ilvl="0">
      <w:lvlJc w:val="left"/>
      <w:lvlText w:val="4"/>
      <w:numFmt w:val="bullet"/>
      <w:start w:val="1"/>
    </w:lvl>
  </w:abstractNum>
  <w:abstractNum w:abstractNumId="6">
    <w:nsid w:val="66EF438D"/>
    <w:multiLevelType w:val="hybridMultilevel"/>
    <w:lvl w:ilvl="0">
      <w:lvlJc w:val="left"/>
      <w:lvlText w:val="5"/>
      <w:numFmt w:val="bullet"/>
      <w:start w:val="1"/>
    </w:lvl>
  </w:abstractNum>
  <w:abstractNum w:abstractNumId="7">
    <w:nsid w:val="140E0F76"/>
    <w:multiLevelType w:val="hybridMultilevel"/>
    <w:lvl w:ilvl="0">
      <w:lvlJc w:val="left"/>
      <w:lvlText w:val="9"/>
      <w:numFmt w:val="bullet"/>
      <w:start w:val="1"/>
    </w:lvl>
  </w:abstractNum>
  <w:abstractNum w:abstractNumId="8">
    <w:nsid w:val="3352255A"/>
    <w:multiLevelType w:val="hybridMultilevel"/>
    <w:lvl w:ilvl="0">
      <w:lvlJc w:val="left"/>
      <w:lvlText w:val="%1"/>
      <w:numFmt w:val="decimal"/>
      <w:start w:val="10"/>
    </w:lvl>
  </w:abstractNum>
  <w:abstractNum w:abstractNumId="9">
    <w:nsid w:val="109CF92E"/>
    <w:multiLevelType w:val="hybridMultilevel"/>
    <w:lvl w:ilvl="0">
      <w:lvlJc w:val="left"/>
      <w:lvlText w:val="1"/>
      <w:numFmt w:val="bullet"/>
      <w:start w:val="1"/>
    </w:lvl>
  </w:abstractNum>
  <w:abstractNum w:abstractNumId="10">
    <w:nsid w:val="DED7263"/>
    <w:multiLevelType w:val="hybridMultilevel"/>
    <w:lvl w:ilvl="0">
      <w:lvlJc w:val="left"/>
      <w:lvlText w:val="2"/>
      <w:numFmt w:val="bullet"/>
      <w:start w:val="1"/>
    </w:lvl>
  </w:abstractNum>
  <w:abstractNum w:abstractNumId="11">
    <w:nsid w:val="7FDCC233"/>
    <w:multiLevelType w:val="hybridMultilevel"/>
    <w:lvl w:ilvl="0">
      <w:lvlJc w:val="left"/>
      <w:lvlText w:val="3"/>
      <w:numFmt w:val="bullet"/>
      <w:start w:val="1"/>
    </w:lvl>
  </w:abstractNum>
  <w:abstractNum w:abstractNumId="12">
    <w:nsid w:val="1BEFD79F"/>
    <w:multiLevelType w:val="hybridMultilevel"/>
    <w:lvl w:ilvl="0">
      <w:lvlJc w:val="left"/>
      <w:lvlText w:val="4"/>
      <w:numFmt w:val="bullet"/>
      <w:start w:val="1"/>
    </w:lvl>
  </w:abstractNum>
  <w:abstractNum w:abstractNumId="13">
    <w:nsid w:val="41A7C4C9"/>
    <w:multiLevelType w:val="hybridMultilevel"/>
    <w:lvl w:ilvl="0">
      <w:lvlJc w:val="left"/>
      <w:lvlText w:val="5"/>
      <w:numFmt w:val="bullet"/>
      <w:start w:val="1"/>
    </w:lvl>
  </w:abstractNum>
  <w:abstractNum w:abstractNumId="14">
    <w:nsid w:val="6B68079A"/>
    <w:multiLevelType w:val="hybridMultilevel"/>
    <w:lvl w:ilvl="0">
      <w:lvlJc w:val="left"/>
      <w:lvlText w:val="9"/>
      <w:numFmt w:val="bullet"/>
      <w:start w:val="1"/>
    </w:lvl>
  </w:abstractNum>
  <w:abstractNum w:abstractNumId="15">
    <w:nsid w:val="4E6AFB66"/>
    <w:multiLevelType w:val="hybridMultilevel"/>
    <w:lvl w:ilvl="0">
      <w:lvlJc w:val="left"/>
      <w:lvlText w:val="%1"/>
      <w:numFmt w:val="decimal"/>
      <w:start w:val="10"/>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2019-12-08T16:34:30Z</dcterms:created>
  <dcterms:modified xsi:type="dcterms:W3CDTF">2019-12-08T16:34:30Z</dcterms:modified>
</cp:coreProperties>
</file>