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Amber International Holding Limited</w:t>
      </w:r>
    </w:p>
    <w:p>
      <w:pPr>
        <w:spacing w:after="0" w:line="4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80" w:type="dxa"/>
            <w:vAlign w:val="bottom"/>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9180" w:type="dxa"/>
            <w:vAlign w:val="bottom"/>
            <w:tcBorders>
              <w:bottom w:val="single" w:sz="8" w:color="auto"/>
            </w:tcBorders>
          </w:tcPr>
          <w:p>
            <w:pPr>
              <w:jc w:val="right"/>
              <w:ind w:right="551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Reports Fourth Quarter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Year 2025 Unaudited Financial Results</w:t>
      </w:r>
    </w:p>
    <w:p>
      <w:pPr>
        <w:spacing w:after="0" w:line="203" w:lineRule="exact"/>
        <w:rPr>
          <w:sz w:val="20"/>
          <w:szCs w:val="20"/>
          <w:color w:val="auto"/>
        </w:rPr>
      </w:pPr>
    </w:p>
    <w:p>
      <w:pPr>
        <w:jc w:val="center"/>
        <w:ind w:left="340" w:right="14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 Revenue surged </w:t>
      </w:r>
      <w:r>
        <w:rPr>
          <w:rFonts w:ascii="Times New Roman" w:cs="Times New Roman" w:eastAsia="Times New Roman" w:hAnsi="Times New Roman"/>
          <w:sz w:val="18"/>
          <w:szCs w:val="18"/>
          <w:b w:val="1"/>
          <w:bCs w:val="1"/>
          <w:i w:val="1"/>
          <w:iCs w:val="1"/>
          <w:color w:val="auto"/>
        </w:rPr>
        <w:t>784.1% YoY to US$66.1 million</w:t>
      </w:r>
      <w:r>
        <w:rPr>
          <w:rFonts w:ascii="Times New Roman" w:cs="Times New Roman" w:eastAsia="Times New Roman" w:hAnsi="Times New Roman"/>
          <w:sz w:val="18"/>
          <w:szCs w:val="18"/>
          <w:i w:val="1"/>
          <w:iCs w:val="1"/>
          <w:color w:val="auto"/>
        </w:rPr>
        <w:t xml:space="preserve"> in the first full year as a Nasdaq-listed company - - Secured </w:t>
      </w:r>
      <w:r>
        <w:rPr>
          <w:rFonts w:ascii="Times New Roman" w:cs="Times New Roman" w:eastAsia="Times New Roman" w:hAnsi="Times New Roman"/>
          <w:sz w:val="18"/>
          <w:szCs w:val="18"/>
          <w:b w:val="1"/>
          <w:bCs w:val="1"/>
          <w:i w:val="1"/>
          <w:iCs w:val="1"/>
          <w:color w:val="auto"/>
        </w:rPr>
        <w:t>VARA VASP license</w:t>
      </w:r>
      <w:r>
        <w:rPr>
          <w:rFonts w:ascii="Times New Roman" w:cs="Times New Roman" w:eastAsia="Times New Roman" w:hAnsi="Times New Roman"/>
          <w:sz w:val="18"/>
          <w:szCs w:val="18"/>
          <w:i w:val="1"/>
          <w:iCs w:val="1"/>
          <w:color w:val="auto"/>
        </w:rPr>
        <w:t xml:space="preserve">, expanding access to the UAE’s fast-growing family office and institutional market - - Unveiled </w:t>
      </w:r>
      <w:r>
        <w:rPr>
          <w:rFonts w:ascii="Times New Roman" w:cs="Times New Roman" w:eastAsia="Times New Roman" w:hAnsi="Times New Roman"/>
          <w:sz w:val="18"/>
          <w:szCs w:val="18"/>
          <w:b w:val="1"/>
          <w:bCs w:val="1"/>
          <w:i w:val="1"/>
          <w:iCs w:val="1"/>
          <w:color w:val="auto"/>
        </w:rPr>
        <w:t>"A-Suite"</w:t>
      </w:r>
      <w:r>
        <w:rPr>
          <w:rFonts w:ascii="Times New Roman" w:cs="Times New Roman" w:eastAsia="Times New Roman" w:hAnsi="Times New Roman"/>
          <w:sz w:val="18"/>
          <w:szCs w:val="18"/>
          <w:i w:val="1"/>
          <w:iCs w:val="1"/>
          <w:color w:val="auto"/>
        </w:rPr>
        <w:t xml:space="preserve"> architecture; first AI-native operating system scheduled for launch in </w:t>
      </w:r>
      <w:r>
        <w:rPr>
          <w:rFonts w:ascii="Times New Roman" w:cs="Times New Roman" w:eastAsia="Times New Roman" w:hAnsi="Times New Roman"/>
          <w:sz w:val="18"/>
          <w:szCs w:val="18"/>
          <w:b w:val="1"/>
          <w:bCs w:val="1"/>
          <w:i w:val="1"/>
          <w:iCs w:val="1"/>
          <w:color w:val="auto"/>
        </w:rPr>
        <w:t>Q1 2026 -</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April 28, 2026 – </w:t>
      </w:r>
      <w:r>
        <w:rPr>
          <w:rFonts w:ascii="Times New Roman" w:cs="Times New Roman" w:eastAsia="Times New Roman" w:hAnsi="Times New Roman"/>
          <w:sz w:val="18"/>
          <w:szCs w:val="18"/>
          <w:color w:val="auto"/>
        </w:rPr>
        <w:t>Amber International Holding Limited (Nasdaq: AMBR) (“Amber International”, “we,” “us,” or the “Company”),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digital wealth management platform, today announced Fourth Quarter and Full Year 2025 Unaudited Financial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Michael Wu, Chairman of the Board and CEO of Amber International</w:t>
      </w:r>
      <w:r>
        <w:rPr>
          <w:rFonts w:ascii="Times New Roman" w:cs="Times New Roman" w:eastAsia="Times New Roman" w:hAnsi="Times New Roman"/>
          <w:sz w:val="18"/>
          <w:szCs w:val="18"/>
          <w:color w:val="auto"/>
        </w:rPr>
        <w:t>, commented, "Fiscal 2025 was a defining year for Amber International.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full year as a Nasdaq-listed company, we grew total revenue to US$66.1 million, and achieved our first profitable year on a GAAP continuing-operations basis, representing a US$27.9 million turnaround from our 2024 results. Our Amber Premium operations generated US$50.2 million in revenue with 572.1% growth, and Adjusted EBITDA turned positive at US$4.7 million — a US$9.9 million swing year-over-year."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results provide the financial bedrock to build what we believe will define the next generation of digital wealth management. Today, we are introducing A-Suite: a cohesive architecture of three AI-native operating systems designed to coordinate on-chain liquidity, yield generation, and asset distribution at scale. We are building the financial infrastructure for the AI agent economy, where digital assets serve as the economic rails and financial services evolve into agent-native operating systems."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Vicky Wang, President of Amber International</w:t>
      </w:r>
      <w:r>
        <w:rPr>
          <w:rFonts w:ascii="Times New Roman" w:cs="Times New Roman" w:eastAsia="Times New Roman" w:hAnsi="Times New Roman"/>
          <w:sz w:val="18"/>
          <w:szCs w:val="18"/>
          <w:color w:val="auto"/>
        </w:rPr>
        <w:t>, added, “Our 2025 fiscal year results demonstrate the unmatched quality of our revenue and our 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differentiation from the broader digital asset market. Wealth Management Solutions delivered US$34.9 million for the full year — a 463.6% increase — and constitutes nearly seventy percent of Amber Premium segment revenue. Our platform gross margin reached 74.8%, up from 33.4% a year ago, showing our profitability profile that now aligns with institutional-grade wealth management platforms. Furthermore, closing 2025 with an average of US$1.3 million in Assets on Platform per active client underscores our success in building a premier, institutional-grade platform.”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“Building upon this optimized foundation, 2026 is the year we continue to scale globally. While we continue to advance our product innovations through new tokenized assets and expand our OTC Market Share by optimizing execution workflows, a meaningful catalyst for our business is our regulatory milestone. Leveraging our VARA VASP license granted on April 2, 2026, we have unlocked expanded access to one of the fastest-growing UAE HNWI markets, positioning Amber as one of the few regulated, pan-Asian digital asset wealth platforms capable of serving this client base at institutional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Highlights</w:t>
      </w:r>
    </w:p>
    <w:p>
      <w:pPr>
        <w:spacing w:after="0" w:line="225" w:lineRule="exact"/>
        <w:rPr>
          <w:sz w:val="20"/>
          <w:szCs w:val="20"/>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18"/>
          <w:szCs w:val="18"/>
          <w:color w:val="auto"/>
        </w:rPr>
        <w:t>: Reached US$16.3 million in Q4 2025, a 240.6% increase from US$4.8 million in Q4 2024. For the full year 2025, total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reached US$66.1 million, a 784.1% increase from US$7.5 million in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Solutions Revenue: </w:t>
      </w:r>
      <w:r>
        <w:rPr>
          <w:rFonts w:ascii="Times New Roman" w:cs="Times New Roman" w:eastAsia="Times New Roman" w:hAnsi="Times New Roman"/>
          <w:sz w:val="18"/>
          <w:szCs w:val="18"/>
          <w:color w:val="auto"/>
        </w:rPr>
        <w:t>Reached approximately US$5.9 million in Q4 2025, a 33.4% increase from US$4.4 million in Q4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For the full year 2025, Wealth Management Solutions revenue reached US$34.9 million, a 463.6% increase from US$6.2 million in 2024, representing 69.5% of Amber Premium segment revenue.</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Reached US$12.1 million in Q4 2025 at a gross margin of 74.2%, compared to 28.9% in Q4 2024. For the full year 2025,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reached US$49.4 million at a gross margin of 74.8%, compared to 33.4% in 2024.</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Adjusted EBITDA from continuing operations: </w:t>
      </w:r>
      <w:r>
        <w:rPr>
          <w:rFonts w:ascii="Times New Roman" w:cs="Times New Roman" w:eastAsia="Times New Roman" w:hAnsi="Times New Roman"/>
          <w:sz w:val="18"/>
          <w:szCs w:val="18"/>
          <w:color w:val="auto"/>
        </w:rPr>
        <w:t>US$50 thousand in Q4 2025, versus a loss of US$1.6 million in Q4 2024.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year 2025, Adjusted EBITDA was US$4.7 million, or 7.1% of revenue, improved from a loss of US$5.2 million in 2024.</w:t>
      </w:r>
    </w:p>
    <w:p>
      <w:pPr>
        <w:spacing w:after="0" w:line="158" w:lineRule="exact"/>
        <w:rPr>
          <w:rFonts w:ascii="Times New Roman" w:cs="Times New Roman" w:eastAsia="Times New Roman" w:hAnsi="Times New Roman"/>
          <w:sz w:val="18"/>
          <w:szCs w:val="18"/>
          <w:color w:val="auto"/>
        </w:rPr>
      </w:pPr>
    </w:p>
    <w:p>
      <w:pPr>
        <w:ind w:left="660" w:hanging="328"/>
        <w:spacing w:after="0" w:line="189"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Client Assets on Platform</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Stood at US$1.3 billion as of December 31, 2025. Client Assets per Active Client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reached US$1.3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reflecting the Company’s differentiated client profile.</w:t>
      </w:r>
    </w:p>
    <w:p>
      <w:pPr>
        <w:spacing w:after="0" w:line="183"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Cumulative KYC'ed Users</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color w:val="auto"/>
        </w:rPr>
        <w:t>: Reached 5,229 as of December 31, 2025, up 16.7% from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 and Strategic Updates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2025, Amber International delivered strong operational and financial performance, completed its first full year as a Nasdaq-listed public company, and executed on several strategic initiatives to expand its addressable market.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Multi-Jurisdiction Regulatory Platform: </w:t>
      </w:r>
      <w:r>
        <w:rPr>
          <w:rFonts w:ascii="Times New Roman" w:cs="Times New Roman" w:eastAsia="Times New Roman" w:hAnsi="Times New Roman"/>
          <w:sz w:val="18"/>
          <w:szCs w:val="18"/>
          <w:color w:val="auto"/>
        </w:rPr>
        <w:t>On April 2, 2026, the Company's Dubai subsidiary, Amber Premium FZE, received its Virtual Asset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(VASP) Licence from the Virtual Assets Regulatory Authority (VARA), authorizing regulated VA Broker-Dealer, VA Management and Investment, and VA Lending and Borrowing services. Under the SCA-VARA cooperation framework, this authorization enables the Company to service the broader UAE market under a unified regulatory standard. In Singapore, Sparrow Tech Private Limited, a wholly owned subsidiary of the Company, holds a Major Payment Institution (MPI) licence issued by the Monetary Authority of Singapore. In Hong Kong, the Company, together with Amber Group, continues to advance applications for a VATP licence and SFC Type 1 &amp; 7 licences via WhaleFin Markets Limited and its wholly-owned subsidiary, Amber Custodian Services Limited</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High-Quality Revenue Mix and Margin Expansion: </w:t>
      </w:r>
      <w:r>
        <w:rPr>
          <w:rFonts w:ascii="Times New Roman" w:cs="Times New Roman" w:eastAsia="Times New Roman" w:hAnsi="Times New Roman"/>
          <w:sz w:val="18"/>
          <w:szCs w:val="18"/>
          <w:color w:val="auto"/>
        </w:rPr>
        <w:t>Throughout 2025, management continued its deliberate focus on higher-quality and higher-margin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streams. Wealth Management Solutions revenue reached US$34.9 million — a 463.6% increase — driven by robust demand for structured products and institutional advisory services. Wealth Management now represents 69.5% of Amber Premium segment revenue, giving the Company one of the highest recurring revenue mixes among peers. Platform gross margin expanded from 33.4% to 74.8%, approaching the profitability profile of an institutional-grade wealth management platform.</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Strengthening Client Metrics: </w:t>
      </w:r>
      <w:r>
        <w:rPr>
          <w:rFonts w:ascii="Times New Roman" w:cs="Times New Roman" w:eastAsia="Times New Roman" w:hAnsi="Times New Roman"/>
          <w:sz w:val="18"/>
          <w:szCs w:val="18"/>
          <w:color w:val="auto"/>
        </w:rPr>
        <w:t>Assets on Platform per active client ended the year at US$1.3 million as of December 31, 2025, a metric that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differentiates our institutional-grade digital wealth management platform from the retail-focused peers. The Amber Premium community ended the fiscal year with 988 active clients demonstrating exceptional retention through the Q4 market correction. Cumulative KYC’ed users grew 16.7% year-over-year to a record 5,229, representing a highly lucrative pipeline for future capital activation. This growth potential will be further accelerated by our newly secured regulatory licenses, which unlock massive external client expansion opportunities across key global wealth hubs.</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AI Integration and MIA Deployment: </w:t>
      </w:r>
      <w:r>
        <w:rPr>
          <w:rFonts w:ascii="Times New Roman" w:cs="Times New Roman" w:eastAsia="Times New Roman" w:hAnsi="Times New Roman"/>
          <w:sz w:val="18"/>
          <w:szCs w:val="18"/>
          <w:color w:val="auto"/>
        </w:rPr>
        <w:t>The Company continued to deepen AI integration across its operations. MIA, the Company’s first in-house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AI agent, has been deployed externally for content generation, social media consistency, and investor engagement, and internally as a proactive workspace assistant accelerating workflows via a proprietary skill hub and secure internal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Client Assets on Platform is defined as the total U.S. dollar equivalent value of client assets as of a specific date.</w:t>
      </w:r>
    </w:p>
    <w:p>
      <w:pPr>
        <w:spacing w:after="0" w:line="22" w:lineRule="exact"/>
        <w:rPr>
          <w:sz w:val="20"/>
          <w:szCs w:val="20"/>
          <w:color w:val="auto"/>
        </w:rPr>
      </w:pPr>
    </w:p>
    <w:p>
      <w:pPr>
        <w:ind w:firstLine="8"/>
        <w:spacing w:after="0" w:line="195" w:lineRule="auto"/>
        <w:tabs>
          <w:tab w:leader="none" w:pos="134"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An Active Client is defined as a client who has conducted at least one transaction during any consecutive three months ended as of a specific date, or whose assets under management with the Company greater than US$10 thousand as of a specific date.</w:t>
      </w:r>
    </w:p>
    <w:p>
      <w:pPr>
        <w:spacing w:after="0" w:line="24" w:lineRule="exact"/>
        <w:rPr>
          <w:sz w:val="20"/>
          <w:szCs w:val="20"/>
          <w:color w:val="auto"/>
        </w:rPr>
      </w:pPr>
    </w:p>
    <w:p>
      <w:pPr>
        <w:jc w:val="both"/>
        <w:ind w:firstLine="8"/>
        <w:spacing w:after="0" w:line="210" w:lineRule="auto"/>
        <w:tabs>
          <w:tab w:leader="none" w:pos="139"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Cumulative KYC’ed Users is defined as the total number of clients that completed the Company’s Know Your Customer identity verification as of a specific date. The Company does not offer or provide any services to registered users who have not successfully completed the Know Your Customer identity verification process.</w:t>
      </w:r>
    </w:p>
    <w:p>
      <w:pPr>
        <w:spacing w:after="0" w:line="24" w:lineRule="exact"/>
        <w:rPr>
          <w:sz w:val="20"/>
          <w:szCs w:val="20"/>
          <w:color w:val="auto"/>
        </w:rPr>
      </w:pPr>
    </w:p>
    <w:p>
      <w:pPr>
        <w:jc w:val="both"/>
        <w:ind w:firstLine="8"/>
        <w:spacing w:after="0" w:line="210" w:lineRule="auto"/>
        <w:tabs>
          <w:tab w:leader="none" w:pos="138"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While WhaleFin Markets Limited ("WML") and its subsidiary are not currently subsidiaries of the Company, the Company will acquire 100% of the equity interests in WML as part of the DWM Asset Restructuring contemplated in the Merger (as defined below), subject to relevant regulatory approvals. Pending such completion, the Company is entitled to the economic benefits of WML and its subsidiary through existing intercompany arrangements.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26, 2025, the Company announced a share repurchase program authorizing the purchase of up to US$50.0 million of its ADSs over a 12-month period commencing December 1, 2025. As of December 31, 2025, the Company had repurchased a total of 516,703 ADSs under this program for an aggregate consideration of approximately US$0.9 million. As of December 31, 2025, approximately US$49.1 million remained available for future repurchases under the program, providing significant capacity for opportunistic repurchases alongside continued growth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Results Summary</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March 12, 2025, iClick Interactive Asia Group Limited (“iClick”) completed its merger (the “Merger”) with Amber DWM Holding Limited (“Amber DWM”)</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 The Merger is accounted for as a reverse acquisition for accounting purposes. Accordingly, the Merger is treated as the equivalent of Amber DWM issuing shares for the acquisition of iClick, accompanied by a recapitalization, for accounting purposes. The financial results of iClick have been included in our consolidated financial results since March 12, 2025. We completed one of the disposals in October 2025, and as of the end of year 2025, certain operations under iClick were classified as held-for-sale.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financial metrics of the Company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in thousands, except per share data;</w:t>
            </w:r>
          </w:p>
        </w:tc>
        <w:tc>
          <w:tcPr>
            <w:tcW w:w="404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9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87"/>
        </w:trPr>
        <w:tc>
          <w:tcPr>
            <w:tcW w:w="3280" w:type="dxa"/>
            <w:vAlign w:val="bottom"/>
            <w:gridSpan w:val="2"/>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Wealth Management Solutions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5,935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4,448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33.4%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34,909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6,194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463.6%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Execution Solutions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3,391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157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2,059.9%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11,243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320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3,413.4%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Payment Solutions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1,231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191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544.5%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4,086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961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325.2%</w:t>
            </w:r>
          </w:p>
        </w:tc>
        <w:tc>
          <w:tcPr>
            <w:tcW w:w="0" w:type="dxa"/>
            <w:vAlign w:val="bottom"/>
          </w:tcPr>
          <w:p>
            <w:pPr>
              <w:spacing w:after="0"/>
              <w:rPr>
                <w:sz w:val="1"/>
                <w:szCs w:val="1"/>
                <w:color w:val="auto"/>
              </w:rPr>
            </w:pPr>
          </w:p>
        </w:tc>
      </w:tr>
      <w:tr>
        <w:trPr>
          <w:trHeight w:val="256"/>
        </w:trPr>
        <w:tc>
          <w:tcPr>
            <w:tcW w:w="32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Sub-total of Amber Premium Business</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50,238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Marketing and Enterprise Solutions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5,780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N/M</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15,851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66,089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1,881.4%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income/(loss) from continuing</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(12,099)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4,665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(23,273)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Diluted net income/(loss) from continuing</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operations per American Depositary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(“ADS”)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1"/>
        </w:trPr>
        <w:tc>
          <w:tcPr>
            <w:tcW w:w="32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Adjusted EBITDA from continuing</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operations</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1"/>
        </w:trPr>
        <w:tc>
          <w:tcPr>
            <w:tcW w:w="32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Adjusted net income/(loss) from</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continuing operations</w:t>
            </w:r>
            <w:r>
              <w:rPr>
                <w:rFonts w:ascii="Times New Roman" w:cs="Times New Roman" w:eastAsia="Times New Roman" w:hAnsi="Times New Roman"/>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1"/>
        </w:trPr>
        <w:tc>
          <w:tcPr>
            <w:tcW w:w="32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Diluted adjusted net income/(loss) per</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ADS from continuing operations</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5" w:lineRule="exact"/>
        <w:rPr>
          <w:sz w:val="20"/>
          <w:szCs w:val="20"/>
          <w:color w:val="auto"/>
        </w:rPr>
      </w:pPr>
    </w:p>
    <w:p>
      <w:pPr>
        <w:jc w:val="both"/>
        <w:ind w:firstLine="8"/>
        <w:spacing w:after="0" w:line="233" w:lineRule="auto"/>
        <w:tabs>
          <w:tab w:leader="none" w:pos="131"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connection with the Merger, we entered into intercompany services agreements with certain wholly owned subsidiaries of our parent, Amber Group.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WhaleFin Technologies Limited (“WFTL”) (the “WFTL Assigned Contracts”) effective from January 1, 2025 to October 27, 2025, and our entitlement to 100% of the consolidated net income generated from certain contracts associated with AG Global Technology Limited Inc. (“AGTL”) (the “AGTL Assigned Contracts”) effective from October 28, 2025. Therefore, our results for the three months and year ended December 31, 2025 have included the net income from WFTL Assigned Contracts and AGTL Assigned Contracts (collectively, the “Assigned Contracts”), which was not reflected in our results for the corresponding periods in 2024.</w:t>
      </w:r>
    </w:p>
    <w:p>
      <w:pPr>
        <w:spacing w:after="0" w:line="4"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Amber Premium business comprises our Wealth Management Solutions, Execution Solutions, and Payment Solutions.</w:t>
      </w:r>
    </w:p>
    <w:p>
      <w:pPr>
        <w:spacing w:after="0" w:line="22" w:lineRule="exact"/>
        <w:rPr>
          <w:sz w:val="20"/>
          <w:szCs w:val="20"/>
          <w:color w:val="auto"/>
        </w:rPr>
      </w:pPr>
    </w:p>
    <w:p>
      <w:pPr>
        <w:ind w:right="20" w:firstLine="8"/>
        <w:spacing w:after="0" w:line="195" w:lineRule="auto"/>
        <w:tabs>
          <w:tab w:leader="none" w:pos="126"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more details on these non-GAAP financial measures, please see the tables captioned "Unaudited Reconciliations of GAAP and Non-GAAP Results" set forth at the end of this press release.</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Fourth Quarter 2025 Results:</w:t>
      </w:r>
    </w:p>
    <w:p>
      <w:pPr>
        <w:spacing w:after="0" w:line="22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fourth quarter of 2025 was US$16.3 million, representing a 240.6% increase year-over-year. The solid performance was contributed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 growth in Amber Premium Business reflected by the Assigned Contracts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in addition with the Marketing and Enterprise Solutions following the Merger:</w:t>
      </w:r>
    </w:p>
    <w:p>
      <w:pPr>
        <w:spacing w:after="0" w:line="198" w:lineRule="exact"/>
        <w:rPr>
          <w:sz w:val="20"/>
          <w:szCs w:val="20"/>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Wealth Management Solutions was US$5.9 million in the fourth quarter of 2025, up from US$4.4 million in the same period a year earlier. The growth was driven by stronger institutional adoption of our offerings, supported by the increasing demand for our expanded and advanced investment products and services.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Execution Solutions reached US$3.4 million in the fourth quarter of 2025, grew from US$0.2 million in the same period of 2024, together with the increase in client trading activities with us and improved fee rate and spread mix during the quarter.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Payment Solutions rose to US$1.2 million in the fourth quarter of 2025, from US$0.2 million for the same period of 2024, benefited from the and continued structural growth in stablecoin-based payment flows for risk-off positioning and treasury management.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Enterprise Solutions revenue was US$5.8 million in the fourth quarter of 2025, generated from online marketing, SaaS products and services from iClick.</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fourth quarter of 2025 was US$12.1 million, compared to US$1.4 million in the same period of 2024. Gross profit margin reached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74.2% in the fourth quarter of 2025, from 28.9% in the fourth quarter of 2024. These improvements were mainly driven by the continuous growth of higher-margin Amber Premium offerings and marketing and enterprise solutions.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US$11.0 million in the fourth quarter of 2025, increased from US$2.4 million in the same period of 2024. The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reflected our strategic business expansion, accompanied by higher personnel expenses, technology and development expenses, and legal and professional fees.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US$1.2 million in the fourth quarter of 2025, compared to US$1.1 million operating loss in the same period of 2024, driven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of higher-margin services, partially offset by increased expenses for expansion.</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losses, net </w:t>
      </w:r>
      <w:r>
        <w:rPr>
          <w:rFonts w:ascii="Times New Roman" w:cs="Times New Roman" w:eastAsia="Times New Roman" w:hAnsi="Times New Roman"/>
          <w:sz w:val="18"/>
          <w:szCs w:val="18"/>
          <w:color w:val="auto"/>
        </w:rPr>
        <w:t>were US$1.6 million in the fourth quarter of 2025, versus US$11.1 million in the fourth quarter of 2024. The losses in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 were mainly attributable to the fair value change of crypto assets loan receivables and digital assets, partially offset by the write-off of certain other payables, whereas the losses in the fourth quarter of 2024 were primarily represented the unrealized loss in fair value of digital assets from a related party, which was waived prior to the Merger.</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from continuing operations </w:t>
      </w:r>
      <w:r>
        <w:rPr>
          <w:rFonts w:ascii="Times New Roman" w:cs="Times New Roman" w:eastAsia="Times New Roman" w:hAnsi="Times New Roman"/>
          <w:sz w:val="18"/>
          <w:szCs w:val="18"/>
          <w:color w:val="auto"/>
        </w:rPr>
        <w:t>improved to US$0.8 million in the fourth quarter of 2025 from a net loss of US$12.1 million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from continuing operations </w:t>
      </w:r>
      <w:r>
        <w:rPr>
          <w:rFonts w:ascii="Times New Roman" w:cs="Times New Roman" w:eastAsia="Times New Roman" w:hAnsi="Times New Roman"/>
          <w:sz w:val="18"/>
          <w:szCs w:val="18"/>
          <w:color w:val="auto"/>
        </w:rPr>
        <w:t>was US$50 thousand, versus a loss of US$1.6 million in the same period of 2024.</w:t>
      </w:r>
      <w:r>
        <w:rPr>
          <w:rFonts w:ascii="Times New Roman" w:cs="Times New Roman" w:eastAsia="Times New Roman" w:hAnsi="Times New Roman"/>
          <w:sz w:val="18"/>
          <w:szCs w:val="18"/>
          <w:b w:val="1"/>
          <w:bCs w:val="1"/>
          <w:color w:val="auto"/>
        </w:rPr>
        <w:t xml:space="preserve"> Adjusted net income from continuing operations </w:t>
      </w:r>
      <w:r>
        <w:rPr>
          <w:rFonts w:ascii="Times New Roman" w:cs="Times New Roman" w:eastAsia="Times New Roman" w:hAnsi="Times New Roman"/>
          <w:sz w:val="18"/>
          <w:szCs w:val="18"/>
          <w:color w:val="auto"/>
        </w:rPr>
        <w:t>was US$0.9 million, versus adjusted net loss of US$1.6 million a year earlier.</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from discontinued operations </w:t>
      </w:r>
      <w:r>
        <w:rPr>
          <w:rFonts w:ascii="Times New Roman" w:cs="Times New Roman" w:eastAsia="Times New Roman" w:hAnsi="Times New Roman"/>
          <w:sz w:val="18"/>
          <w:szCs w:val="18"/>
          <w:color w:val="auto"/>
        </w:rPr>
        <w:t>was US$0.3 million in the fourth quarter of 2025, attributable to the financial results of certain operations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iClick that were either disposed of during the quarter or classified as held-for-sale as of quarter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right="700" w:firstLine="8"/>
        <w:spacing w:after="0" w:line="195"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this release, unless otherwise indicated, the financial results discussed under "Amber Premium Business" include the net income attributable to the Company from the Assigned Contracts under the intercompany services agreements as described above.</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Full Year 2025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2025 surged to US$66.1 million, representing a 784.1% increase year-over-year. The strong momentum was driven by incremental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 from the growth in the core Amber Premium Business, and the Marketing and Enterprise Solutions following the Merger on March 12, 2025:</w:t>
      </w:r>
    </w:p>
    <w:p>
      <w:pPr>
        <w:spacing w:after="0" w:line="159"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Wealth Management Solutions reached US$34.9 million in 2025, reflecting robust growth from US$6.2 million in 2024 and broader adoption of our offerings, supported by the strong demand on our diversified investment products and services, including new accumulator/decumulator products introduced in the fourth quarter of 2024.</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Execution Solutions surged to US$11.2 million in 2025, compared to US$0.3 million a year earlier, fueled by the increase in client trading activities with us and improved average fee rate and spread mix throughout the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Payment Solutions rose to US$4.1 million in 2025, from US$1.0 million in 2024, mainly resulting from increased volumes.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Enterprise Solutions revenue was US$15.9 million in 2025.</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2025 reached US$49.4 million, up from US$2.5 million in 2024. Gross profit margin surged to 74.8% in 2025, from 33.4% in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 growth was mainly contributed from the accelerated growth in Amber Premium business and higher-margin marketing and enterprise solutions.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US$46.8 million in 2025, compared to US$7.8 million in 2024, primarily due to higher personnel expenses,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and software services expenses, and legal and professional service fees associated with business expansion and new products and services development.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US$2.6 million in 2025, a substantial improvement from the operating loss of US$5.3 million in 2024, driven by a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gross profit and strengthened operating leverage.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gains, net </w:t>
      </w:r>
      <w:r>
        <w:rPr>
          <w:rFonts w:ascii="Times New Roman" w:cs="Times New Roman" w:eastAsia="Times New Roman" w:hAnsi="Times New Roman"/>
          <w:sz w:val="18"/>
          <w:szCs w:val="18"/>
          <w:color w:val="auto"/>
        </w:rPr>
        <w:t>were US$0.5 million in 2025, compared to other losses, net of US$18.1 million in 2024. Other gains, net in 2025 mainly represents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write-off of certain other payables, dividend income from investment, and investment gains during the year, partially offset by fair value change of crypto asset loan receivables and digital assets. The losses in 2024 mainly represented the unrealized fair value loss of digital assets on loan from a related party, and the loan was subsequently waived.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from continuing operations </w:t>
      </w:r>
      <w:r>
        <w:rPr>
          <w:rFonts w:ascii="Times New Roman" w:cs="Times New Roman" w:eastAsia="Times New Roman" w:hAnsi="Times New Roman"/>
          <w:sz w:val="18"/>
          <w:szCs w:val="18"/>
          <w:color w:val="auto"/>
        </w:rPr>
        <w:t>was US$4.7 million in 2025, representing a turnaround from net loss from continuing operations of US$23.3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net income from continuing operations </w:t>
      </w:r>
      <w:r>
        <w:rPr>
          <w:rFonts w:ascii="Times New Roman" w:cs="Times New Roman" w:eastAsia="Times New Roman" w:hAnsi="Times New Roman"/>
          <w:sz w:val="18"/>
          <w:szCs w:val="18"/>
          <w:color w:val="auto"/>
        </w:rPr>
        <w:t>reached US$4.7 million and US$4.9 million, respectively, in 2025, achieving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profitability from adjusted EBITDA loss of US$5.2 million and adjusted net loss of US$5.4 million in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from discontinued operations </w:t>
      </w:r>
      <w:r>
        <w:rPr>
          <w:rFonts w:ascii="Times New Roman" w:cs="Times New Roman" w:eastAsia="Times New Roman" w:hAnsi="Times New Roman"/>
          <w:sz w:val="18"/>
          <w:szCs w:val="18"/>
          <w:color w:val="auto"/>
        </w:rPr>
        <w:t>was US$2.0 million in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time deposits and restricted cash of US$33.9 million, compared to US$9.3 million as of December 31, 2024.</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Operating Data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operating metrics listed below to evaluate our business, measure our performance, identify trends and make strategic decisions: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6"/>
                <w:szCs w:val="16"/>
                <w:color w:val="auto"/>
              </w:rPr>
            </w:pPr>
          </w:p>
        </w:tc>
      </w:t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in thousands, unless specified)</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716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Operating Metrics</w:t>
            </w:r>
            <w:r>
              <w:rPr>
                <w:rFonts w:ascii="Times New Roman" w:cs="Times New Roman" w:eastAsia="Times New Roman" w:hAnsi="Times New Roman"/>
                <w:sz w:val="28"/>
                <w:szCs w:val="28"/>
                <w:b w:val="1"/>
                <w:bCs w:val="1"/>
                <w:color w:val="auto"/>
                <w:vertAlign w:val="superscript"/>
              </w:rPr>
              <w:t>9</w:t>
            </w:r>
            <w:r>
              <w:rPr>
                <w:rFonts w:ascii="Times New Roman" w:cs="Times New Roman" w:eastAsia="Times New Roman" w:hAnsi="Times New Roman"/>
                <w:sz w:val="17"/>
                <w:szCs w:val="17"/>
                <w:b w:val="1"/>
                <w:bCs w:val="1"/>
                <w:color w:val="auto"/>
              </w:rPr>
              <w:t>:</w:t>
            </w:r>
          </w:p>
        </w:tc>
        <w:tc>
          <w:tcPr>
            <w:tcW w:w="1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KYC'ed users (in number)</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5,229</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4,479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clients (in number)</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988</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assets on platform</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1,318,413</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1,478,884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39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r>
      <w:tr>
        <w:trPr>
          <w:trHeight w:val="187"/>
        </w:trPr>
        <w:tc>
          <w:tcPr>
            <w:tcW w:w="72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6"/>
                <w:szCs w:val="16"/>
                <w:color w:val="auto"/>
              </w:rPr>
            </w:pPr>
          </w:p>
        </w:tc>
      </w:tr>
      <w:tr>
        <w:trPr>
          <w:trHeight w:val="238"/>
        </w:trPr>
        <w:tc>
          <w:tcPr>
            <w:tcW w:w="7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220" w:type="dxa"/>
            <w:vAlign w:val="bottom"/>
            <w:tcBorders>
              <w:bottom w:val="single" w:sz="8" w:color="CCEEFF"/>
            </w:tcBorders>
          </w:tcPr>
          <w:p>
            <w:pPr>
              <w:spacing w:after="0"/>
              <w:rPr>
                <w:sz w:val="20"/>
                <w:szCs w:val="20"/>
                <w:color w:val="auto"/>
              </w:rPr>
            </w:pPr>
          </w:p>
        </w:tc>
      </w:tr>
      <w:tr>
        <w:trPr>
          <w:trHeight w:val="237"/>
        </w:trPr>
        <w:tc>
          <w:tcPr>
            <w:tcW w:w="72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New onboarded KYC'ed users</w:t>
            </w:r>
            <w:r>
              <w:rPr>
                <w:rFonts w:ascii="Times New Roman" w:cs="Times New Roman" w:eastAsia="Times New Roman" w:hAnsi="Times New Roman"/>
                <w:sz w:val="27"/>
                <w:szCs w:val="27"/>
                <w:color w:val="auto"/>
                <w:vertAlign w:val="superscript"/>
              </w:rPr>
              <w:t>10</w:t>
            </w:r>
            <w:r>
              <w:rPr>
                <w:rFonts w:ascii="Times New Roman" w:cs="Times New Roman" w:eastAsia="Times New Roman" w:hAnsi="Times New Roman"/>
                <w:sz w:val="17"/>
                <w:szCs w:val="17"/>
                <w:color w:val="auto"/>
              </w:rPr>
              <w:t xml:space="preserve"> (in number)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57"/>
        </w:trPr>
        <w:tc>
          <w:tcPr>
            <w:tcW w:w="7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Execution trading volume</w:t>
            </w:r>
            <w:r>
              <w:rPr>
                <w:rFonts w:ascii="Times New Roman" w:cs="Times New Roman" w:eastAsia="Times New Roman" w:hAnsi="Times New Roman"/>
                <w:sz w:val="29"/>
                <w:szCs w:val="29"/>
                <w:color w:val="auto"/>
                <w:vertAlign w:val="superscript"/>
              </w:rPr>
              <w:t>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2,341,376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2,964,789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70"/>
        </w:trPr>
        <w:tc>
          <w:tcPr>
            <w:tcW w:w="72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Payment trading volume</w:t>
            </w:r>
            <w:r>
              <w:rPr>
                <w:rFonts w:ascii="Times New Roman" w:cs="Times New Roman" w:eastAsia="Times New Roman" w:hAnsi="Times New Roman"/>
                <w:sz w:val="29"/>
                <w:szCs w:val="29"/>
                <w:color w:val="auto"/>
                <w:vertAlign w:val="superscript"/>
              </w:rPr>
              <w:t>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533,753</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369,358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r>
      <w:tr>
        <w:trPr>
          <w:trHeight w:val="20"/>
        </w:trPr>
        <w:tc>
          <w:tcPr>
            <w:tcW w:w="7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information available as of the date of this press release, the Company provides the following revenue outlook of Amber Premium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2026:</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Amber Premium business is estimated to be between US$5.1 million and US$5.6 million.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broader market downtrend we navigated in the fourth quarter of 2025 has continued into the first quarter of 2026, we are utilizing this period for purposeful strategic optimization. We continue to strategically streamline our resources and fulfill stringent regulatory requirements across our active jurisdictions. With greater regulatory visibility—culminating in the milestone receipt of our VARA VASP license in Dubai—we are proactively refining our client base to focus exclusively on high-value, compliant relationships. This intentional contraction prioritizes the depth and profitability of our network over sheer volume, ensuring we continue to enhance our competitiveness as a sustainable, institutional-grade digital wealth management platform through 2026 and beyond.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also refer to the factors set out under the section titled “Safe Harbor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jc w:val="both"/>
        <w:ind w:firstLine="8"/>
        <w:spacing w:after="0" w:line="219" w:lineRule="auto"/>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operating metrics presented in this press release include operating data from Sparrow business and the Assigned Contracts. While the relevant entities were not consolidated subsidiaries of the Company throughout the relevant periods, their operating data have been included on a pro forma basis for illustrative purposes assuming the completion of DWM Asset Restructuring contemplated in the Merger. As of the date of this earnings release, other than the consolidation of Sparrow business following the relevant regulatory approval in April 2025, the DWM Asset Restructuring has not been completed.</w:t>
      </w:r>
    </w:p>
    <w:p>
      <w:pPr>
        <w:spacing w:after="0" w:line="23" w:lineRule="exact"/>
        <w:rPr>
          <w:sz w:val="20"/>
          <w:szCs w:val="20"/>
          <w:color w:val="auto"/>
        </w:rPr>
      </w:pPr>
    </w:p>
    <w:p>
      <w:pPr>
        <w:ind w:firstLine="8"/>
        <w:spacing w:after="0"/>
        <w:tabs>
          <w:tab w:leader="none" w:pos="199"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New onboarded KYC'ed user is defined as the number of clients that completed the Company's Know Your Customer onboarding procedures during the period.</w:t>
      </w:r>
    </w:p>
    <w:p>
      <w:pPr>
        <w:spacing w:after="0" w:line="150" w:lineRule="exact"/>
        <w:rPr>
          <w:rFonts w:ascii="Times New Roman" w:cs="Times New Roman" w:eastAsia="Times New Roman" w:hAnsi="Times New Roman"/>
          <w:sz w:val="28"/>
          <w:szCs w:val="28"/>
          <w:color w:val="auto"/>
          <w:vertAlign w:val="superscript"/>
        </w:rPr>
      </w:pPr>
    </w:p>
    <w:p>
      <w:pPr>
        <w:ind w:firstLine="8"/>
        <w:spacing w:after="0" w:line="218" w:lineRule="auto"/>
        <w:tabs>
          <w:tab w:leader="none" w:pos="191"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Execution trading volume is defined as the total U.S. dollar equivalent value of two-side spot matched trades transacted of crypto assets between a buyer and seller through the Company, and excluding the deposit or withdrawal of crypto assets during the period.</w:t>
      </w:r>
    </w:p>
    <w:p>
      <w:pPr>
        <w:spacing w:after="0" w:line="1" w:lineRule="exact"/>
        <w:rPr>
          <w:rFonts w:ascii="Times New Roman" w:cs="Times New Roman" w:eastAsia="Times New Roman" w:hAnsi="Times New Roman"/>
          <w:sz w:val="27"/>
          <w:szCs w:val="27"/>
          <w:color w:val="auto"/>
          <w:vertAlign w:val="superscript"/>
        </w:rPr>
      </w:pPr>
    </w:p>
    <w:p>
      <w:pPr>
        <w:ind w:left="200" w:hanging="192"/>
        <w:spacing w:after="0" w:line="191" w:lineRule="auto"/>
        <w:tabs>
          <w:tab w:leader="none" w:pos="20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Payment trading volume is defined as the total U.S. dollar equivalent value of one-side on/off-ramp through the Company during the period.</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host an earnings conference call at 8:00 AM U.S. Eastern Time on April 28, 2026 (8:00 PM Singapore time on April 28, 2026). Participants are asked to use one of the following teleconferencing numbers to participate in the call and reference the Access ID number 13760041. The Company requests that participants dial in 10 minutes before the conference call begins.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Dial-in Numbers: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1-844-539-3703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1-412-652-1273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via a live webcast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https://viavid.webcasts.com/starthere.jsp?ei=1759715&amp;tp_key=74466dd863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Dial-in Numbers: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1-844-512-2921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Pin Number: 13760041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be available on Tuesday, April 28, 2026, after 12:00 PM ET through Tuesday, May 12, 2026 at 11:59 PM 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earnings release and investor presentation will be available shortly after issuance in the Investor Relations section of Amber International's website at https://ir.ambr.io.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Amber International Holding Limited (Nasdaq: AMBR), operating under the brand name “Amber Premium,” is a global leading digital wealth management platform. As a private banking grade expert in digital wealth management and a subsidiary of Amber Group, Amber Premium is a trusted partner to high-net-worth individuals and leading institutions, delivering institutional-grade market access, execution infrastructure, and investment solutions. The firm is set to redefine the digital wealth management landscape, serving as a proven Nasdaq-listed gateway to digital assets. Learn more at </w:t>
      </w:r>
      <w:r>
        <w:rPr>
          <w:rFonts w:ascii="Times New Roman" w:cs="Times New Roman" w:eastAsia="Times New Roman" w:hAnsi="Times New Roman"/>
          <w:sz w:val="18"/>
          <w:szCs w:val="18"/>
          <w:u w:val="single" w:color="auto"/>
          <w:color w:val="auto"/>
        </w:rPr>
        <w:t>www.ambr.io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adjusted EBITDA from continuing operations, adjusted net income/(loss) from continuing operations, and diluted adjusted net income/(loss) from continuing operations per ADS, each a non-GAAP financial measure, in evaluating the Company's operating results and for financial and operational decision-making purposes. The Company believes that adjusted EBITDA from continuing operations, adjusted net income/(loss) from continuing operations, and diluted adjusted net income/(loss) from continuing operations per ADS help identify underlying trends in the Company's business that could otherwise be distorted by the effect of the expenses and gains that the Company includes in net income/(loss). The Company believes that adjusted EBITDA from continuing operations and adjusted net income/(loss) from continuing operations provide useful information about the Company's operating results, enhance the overall understanding of the Company's past performance and future prospects, assess operating performance on a consistent basis, and allow for greater visibility with respect to key metrics used by the Company's management in its financial and operational decision-making.</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from continuing operations, adjusted net income/(loss) from continuing operations, and diluted adjusted net income/(loss) from continuing operations per ADS should not be considered in isolation or construed as an alternative to net income/(loss) or any other measure of performance or as an indicator of the Company's operating performance. Investors are encouraged to review the historical non-GAAP financial measures to the most directly comparable GAAP measures. Adjusted EBITDA from continuing operations, adjusted net income/(loss) from continuing operations, and diluted adjusted net income/(loss) from continuing operations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these non-GAAP financial measures, please see the table captioned “Unaudited Reconciliations of GAAP and Non-GAAP results” set forth at the end of this press release.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were presented with the most directly comparable GAAP financial measures together for facilitating a more comprehensive understanding of operating performance between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Preliminary Financial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information presented herein is preliminary and unaudited, and is subject to change in connection with the completion of the Company’s financial closing and audit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Further information regarding these and other risks is included in the Company's annual reports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200" w:lineRule="exact"/>
        <w:rPr>
          <w:sz w:val="20"/>
          <w:szCs w:val="20"/>
          <w:color w:val="auto"/>
        </w:rPr>
      </w:pPr>
    </w:p>
    <w:p>
      <w:pPr>
        <w:spacing w:after="0" w:line="20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 6022 0228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pr@ambr.io | ir@ambr.io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Elite Capital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amber@iecapitalusa.com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tables follow)</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ind w:right="500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(Loss)/Income (US$’000, except share data and per share data, or otherwise noted)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94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7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r>
      <w:tr>
        <w:trPr>
          <w:trHeight w:val="189"/>
        </w:trPr>
        <w:tc>
          <w:tcPr>
            <w:tcW w:w="174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Continuing operations</w:t>
            </w:r>
          </w:p>
        </w:tc>
        <w:tc>
          <w:tcPr>
            <w:tcW w:w="3780" w:type="dxa"/>
            <w:vAlign w:val="bottom"/>
            <w:tcBorders>
              <w:bottom w:val="single" w:sz="8" w:color="CCEEFF"/>
            </w:tcBorders>
            <w:gridSpan w:val="2"/>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16,337</w:t>
            </w: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4,796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66,089</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7,475</w:t>
            </w:r>
          </w:p>
        </w:tc>
      </w:tr>
      <w:tr>
        <w:trPr>
          <w:trHeight w:val="230"/>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(4,209)</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(16,653)</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r>
      <w:tr>
        <w:trPr>
          <w:trHeight w:val="209"/>
        </w:trPr>
        <w:tc>
          <w:tcPr>
            <w:tcW w:w="5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49,436</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Borders>
              <w:bottom w:val="single" w:sz="8" w:color="CCEEFF"/>
            </w:tcBorders>
          </w:tcPr>
          <w:p>
            <w:pPr>
              <w:spacing w:after="0"/>
              <w:rPr>
                <w:sz w:val="18"/>
                <w:szCs w:val="18"/>
                <w:color w:val="auto"/>
              </w:rPr>
            </w:pPr>
          </w:p>
        </w:tc>
      </w:tr>
      <w:tr>
        <w:trPr>
          <w:trHeight w:val="209"/>
        </w:trPr>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(1,201)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(10,812)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(2,074)</w:t>
            </w:r>
          </w:p>
        </w:tc>
        <w:tc>
          <w:tcPr>
            <w:tcW w:w="4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(7,933)</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(7,694)</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(28,096)</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w:t>
            </w:r>
          </w:p>
        </w:tc>
      </w:tr>
      <w:tr>
        <w:trPr>
          <w:trHeight w:val="210"/>
        </w:trPr>
        <w:tc>
          <w:tcPr>
            <w:tcW w:w="5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238</w:t>
            </w: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548</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(1,616)</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(11,063)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505</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(18,071)</w:t>
            </w:r>
          </w:p>
        </w:tc>
      </w:tr>
      <w:tr>
        <w:trPr>
          <w:trHeight w:val="178"/>
        </w:trPr>
        <w:tc>
          <w:tcPr>
            <w:tcW w:w="552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(Loss)/income from continuing operations before share of losses from an</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equity investee and income tax credit</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(12,099)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3,648</w:t>
            </w:r>
          </w:p>
        </w:tc>
        <w:tc>
          <w:tcPr>
            <w:tcW w:w="4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(23,273)</w:t>
            </w:r>
          </w:p>
        </w:tc>
      </w:tr>
      <w:tr>
        <w:trPr>
          <w:trHeight w:val="229"/>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(Loss)/income from continuing operations before income tax credit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100" w:type="dxa"/>
            <w:vAlign w:val="bottom"/>
          </w:tcPr>
          <w:p>
            <w:pPr>
              <w:spacing w:after="0"/>
              <w:rPr>
                <w:sz w:val="18"/>
                <w:szCs w:val="18"/>
                <w:color w:val="auto"/>
              </w:rPr>
            </w:pPr>
          </w:p>
        </w:tc>
      </w:tr>
      <w:tr>
        <w:trPr>
          <w:trHeight w:val="229"/>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1,067</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income/(loss) from continuing operations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(12,099)</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4,665</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(23,273)</w:t>
            </w:r>
          </w:p>
        </w:tc>
        <w:tc>
          <w:tcPr>
            <w:tcW w:w="100" w:type="dxa"/>
            <w:vAlign w:val="bottom"/>
          </w:tcPr>
          <w:p>
            <w:pPr>
              <w:spacing w:after="0"/>
              <w:rPr>
                <w:sz w:val="18"/>
                <w:szCs w:val="18"/>
                <w:color w:val="auto"/>
              </w:rPr>
            </w:pPr>
          </w:p>
        </w:tc>
      </w:tr>
      <w:tr>
        <w:trPr>
          <w:trHeight w:val="230"/>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52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income/(loss) from continuing operations attributable to the</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827</w:t>
            </w:r>
          </w:p>
        </w:tc>
        <w:tc>
          <w:tcPr>
            <w:tcW w:w="4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(12,099)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4,665</w:t>
            </w:r>
          </w:p>
        </w:tc>
        <w:tc>
          <w:tcPr>
            <w:tcW w:w="4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(23,273)</w:t>
            </w:r>
          </w:p>
        </w:tc>
      </w:tr>
      <w:tr>
        <w:trPr>
          <w:trHeight w:val="216"/>
        </w:trPr>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5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7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(258)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(2,035)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1,121</w:t>
            </w: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520" w:type="dxa"/>
            <w:vAlign w:val="bottom"/>
            <w:tcBorders>
              <w:top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from discontinued operations attributable to the Company’s</w:t>
            </w: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5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(257)</w:t>
            </w: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(914)</w:t>
            </w: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569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(12,099)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2,630</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(23,273)</w:t>
            </w:r>
          </w:p>
        </w:tc>
      </w:tr>
      <w:tr>
        <w:trPr>
          <w:trHeight w:val="194"/>
        </w:trPr>
        <w:tc>
          <w:tcPr>
            <w:tcW w:w="5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income/(loss) attributable to the Company’s ordinary</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570</w:t>
            </w:r>
          </w:p>
        </w:tc>
        <w:tc>
          <w:tcPr>
            <w:tcW w:w="4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(12,099)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3,751</w:t>
            </w:r>
          </w:p>
        </w:tc>
        <w:tc>
          <w:tcPr>
            <w:tcW w:w="4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(23,273)</w:t>
            </w:r>
          </w:p>
        </w:tc>
      </w:tr>
      <w:tr>
        <w:trPr>
          <w:trHeight w:val="216"/>
        </w:trPr>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p>
      <w:pPr>
        <w:spacing w:after="0" w:line="9" w:lineRule="exact"/>
        <w:rPr>
          <w:sz w:val="20"/>
          <w:szCs w:val="20"/>
          <w:color w:val="auto"/>
        </w:rPr>
      </w:pPr>
    </w:p>
    <w:p>
      <w:pPr>
        <w:ind w:left="180" w:hanging="161"/>
        <w:spacing w:after="0" w:line="276" w:lineRule="auto"/>
        <w:rPr>
          <w:sz w:val="20"/>
          <w:szCs w:val="20"/>
          <w:color w:val="auto"/>
        </w:rPr>
      </w:pPr>
      <w:r>
        <w:rPr>
          <w:rFonts w:ascii="Times New Roman" w:cs="Times New Roman" w:eastAsia="Times New Roman" w:hAnsi="Times New Roman"/>
          <w:sz w:val="18"/>
          <w:szCs w:val="18"/>
          <w:b w:val="1"/>
          <w:bCs w:val="1"/>
          <w:color w:val="auto"/>
        </w:rPr>
        <w:t>Comprehensive (loss)/income from continuing operations attributable to the Company's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(23,273)</w:t>
            </w:r>
          </w:p>
        </w:tc>
      </w:tr>
      <w:tr>
        <w:trPr>
          <w:trHeight w:val="427"/>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(481)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(23,273)</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-574040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-290830</wp:posOffset>
            </wp:positionV>
            <wp:extent cx="7132320"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5360" w:space="160"/>
            <w:col w:w="5720"/>
          </w:cols>
          <w:pgMar w:left="320" w:top="900" w:right="339" w:bottom="1440" w:gutter="0" w:footer="0" w:header="0"/>
          <w:type w:val="continuous"/>
        </w:sectPr>
      </w:pPr>
    </w:p>
    <w:p>
      <w:pPr>
        <w:spacing w:after="0" w:line="21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9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discontinued operations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(2,035)</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from discontinued operations attributable to</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5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loss from discontinued operations attributable to the</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8"/>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(258)</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(2,050)</w:t>
            </w: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4"/>
        </w:trPr>
        <w:tc>
          <w:tcPr>
            <w:tcW w:w="5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(loss)/income attributable to the Company's ordinary</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(739)</w:t>
            </w:r>
          </w:p>
        </w:tc>
        <w:tc>
          <w:tcPr>
            <w:tcW w:w="4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1,306</w:t>
            </w: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(23,273)</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income/(loss) from continuing operations per ADS attributable to the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 ordinary shareholders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93,762,225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86,636,218</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61,966,949</w:t>
            </w:r>
          </w:p>
        </w:tc>
        <w:tc>
          <w:tcPr>
            <w:tcW w:w="8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93,775,581</w:t>
            </w:r>
          </w:p>
        </w:tc>
        <w:tc>
          <w:tcPr>
            <w:tcW w:w="4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61,966,949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86,649,319</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61,966,949</w:t>
            </w:r>
          </w:p>
        </w:tc>
        <w:tc>
          <w:tcPr>
            <w:tcW w:w="80" w:type="dxa"/>
            <w:vAlign w:val="bottom"/>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from discontinued operations per ADS attributable to the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 ordinary shareholders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93,762,225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86,636,218</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61,966,949</w:t>
            </w:r>
          </w:p>
        </w:tc>
        <w:tc>
          <w:tcPr>
            <w:tcW w:w="8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93,762,225</w:t>
            </w:r>
          </w:p>
        </w:tc>
        <w:tc>
          <w:tcPr>
            <w:tcW w:w="4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61,966,949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86,636,218</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61,966,949</w:t>
            </w:r>
          </w:p>
        </w:tc>
        <w:tc>
          <w:tcPr>
            <w:tcW w:w="80" w:type="dxa"/>
            <w:vAlign w:val="bottom"/>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income/(loss) per ADS attributable to the Company’s ordinary</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93,762,225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86,636,218</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61,966,949</w:t>
            </w:r>
          </w:p>
        </w:tc>
        <w:tc>
          <w:tcPr>
            <w:tcW w:w="8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93,775,581</w:t>
            </w:r>
          </w:p>
        </w:tc>
        <w:tc>
          <w:tcPr>
            <w:tcW w:w="4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61,966,949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86,649,319</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61,966,949</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42"/>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(US$’000)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As of December 31,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r>
      <w:tr>
        <w:trPr>
          <w:trHeight w:val="209"/>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time deposits and restricted cash</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33,902</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9,326</w:t>
            </w:r>
          </w:p>
        </w:tc>
      </w:tr>
      <w:tr>
        <w:trPr>
          <w:trHeight w:val="198"/>
        </w:trPr>
        <w:tc>
          <w:tcPr>
            <w:tcW w:w="7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US$1,855 and US$nil as of</w:t>
            </w: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5,490</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loan receivables</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42,141</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69,934</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45,958</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4,832</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32,371</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11,533</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Collateral receivables</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3,407</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14,414</w:t>
            </w:r>
          </w:p>
        </w:tc>
      </w:tr>
      <w:tr>
        <w:trPr>
          <w:trHeight w:val="198"/>
        </w:trPr>
        <w:tc>
          <w:tcPr>
            <w:tcW w:w="7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current assets, net of allowance for credit losses of US$nil and US$nil as of December 31,</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and December 31, 2024, respectively</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33,646</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2,184</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196,932</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53,136</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16,735</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2,949</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3,362</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59,447</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256,379</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129,834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3,080</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Collateral payables</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10,941</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14,414</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due to customers</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69,926</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71,523</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Payable to related parties</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48,031</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12,043</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145,298</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146,067</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100,049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90,061</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(33,139)</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(36,890)</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Reserve</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53,390</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53,175</w:t>
            </w:r>
          </w:p>
        </w:tc>
      </w:tr>
      <w:tr>
        <w:trPr>
          <w:trHeight w:val="209"/>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110,312</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256,379</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129,834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7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(US$’000, except share data and per share data, or otherwise noted)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from continuing operations represents net income/(loss) from continuing operations before (i) depreciation and amortization, (ii) finance income, net, (iii) income tax credit, (iv) share-based compensation, (v) other gains, net, (vi) unrealized loss in fair value of digital assets, and (vii) cost related to merger.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sets forth a reconciliation of the Company’s adjusted EBITDA from continuing operations from net income/(loss) from continuing operations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3"/>
              </w:rPr>
              <w:t>4,665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4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42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(1,067)</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3"/>
              </w:rPr>
              <w:t>4,501</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Add/(less):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4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in fair value of digital assets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1,302</w:t>
            </w: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1,302</w:t>
            </w:r>
          </w:p>
        </w:tc>
        <w:tc>
          <w:tcPr>
            <w:tcW w:w="4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18,007</w:t>
            </w:r>
          </w:p>
        </w:tc>
      </w:tr>
      <w:tr>
        <w:trPr>
          <w:trHeight w:val="270"/>
        </w:trPr>
        <w:tc>
          <w:tcPr>
            <w:tcW w:w="55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Cost related to merger</w:t>
            </w:r>
            <w:r>
              <w:rPr>
                <w:rFonts w:ascii="Times New Roman" w:cs="Times New Roman" w:eastAsia="Times New Roman" w:hAnsi="Times New Roman"/>
                <w:sz w:val="29"/>
                <w:szCs w:val="29"/>
                <w:color w:val="auto"/>
                <w:vertAlign w:val="superscript"/>
              </w:rPr>
              <w:t>13</w:t>
            </w:r>
          </w:p>
        </w:tc>
        <w:tc>
          <w:tcPr>
            <w:tcW w:w="19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4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3"/>
              </w:rPr>
              <w:t>4,694</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income/(loss) from continuing operations represents net income/(loss) from continuing operations before (i) share-based compensation,</w:t>
      </w:r>
    </w:p>
    <w:p>
      <w:pPr>
        <w:spacing w:after="0" w:line="27" w:lineRule="exact"/>
        <w:rPr>
          <w:sz w:val="20"/>
          <w:szCs w:val="20"/>
          <w:color w:val="auto"/>
        </w:rPr>
      </w:pPr>
    </w:p>
    <w:p>
      <w:pPr>
        <w:ind w:right="20" w:firstLine="8"/>
        <w:spacing w:after="0" w:line="260"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gains, net, (iii) unrealized loss in fair value of digital assets, and (iv) cost related to merger. There are no material tax effects on these non-GAAP adjustments.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a reconciliation of the Company’s adjusted net income/(loss) from continuing operations from net income/(loss) from continuing operations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6"/>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3"/>
              </w:rPr>
              <w:t>4,665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Add/(less):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(972)</w:t>
            </w:r>
          </w:p>
        </w:tc>
        <w:tc>
          <w:tcPr>
            <w:tcW w:w="4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in fair value of digital assets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1,302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18,007</w:t>
            </w:r>
          </w:p>
        </w:tc>
      </w:tr>
      <w:tr>
        <w:trPr>
          <w:trHeight w:val="270"/>
        </w:trPr>
        <w:tc>
          <w:tcPr>
            <w:tcW w:w="63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related to merger</w:t>
            </w:r>
            <w:r>
              <w:rPr>
                <w:rFonts w:ascii="Times New Roman" w:cs="Times New Roman" w:eastAsia="Times New Roman" w:hAnsi="Times New Roman"/>
                <w:sz w:val="29"/>
                <w:szCs w:val="29"/>
                <w:color w:val="auto"/>
                <w:vertAlign w:val="superscript"/>
              </w:rPr>
              <w:t>13</w:t>
            </w:r>
          </w:p>
        </w:tc>
        <w:tc>
          <w:tcPr>
            <w:tcW w:w="10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420" w:type="dxa"/>
            <w:vAlign w:val="bottom"/>
          </w:tcPr>
          <w:p>
            <w:pPr>
              <w:spacing w:after="0"/>
              <w:rPr>
                <w:sz w:val="23"/>
                <w:szCs w:val="23"/>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income/(loss) from continuing operations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3"/>
              </w:rPr>
              <w:t>4,858</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Cost related to the merger relates to legal and professional fees.</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diluted adjusted net income/(loss) from continuing operations per ADS for the periods indicated are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17,840</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income/(loss) from continuing operations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diluted net income/(loss) from continuing operations per</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ADS – Weighted average ADS outstanding</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93,775,581</w:t>
            </w: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86,649,319</w:t>
            </w: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61,966,949</w:t>
            </w: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diluted adjusted net income/(loss) from continuing</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per ADS – Weighted average ADS outstanding</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93,775,581</w:t>
            </w: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86,649,319</w:t>
            </w: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61,966,949</w:t>
            </w: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income/(loss) from continuing operations per ADS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0.29</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income/(loss) from continuing operations per ADS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42"/>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5"/>
      <w:numFmt w:val="bullet"/>
      <w:start w:val="1"/>
    </w:lvl>
  </w:abstractNum>
  <w:abstractNum w:abstractNumId="7">
    <w:nsid w:val="1190CDE7"/>
    <w:multiLevelType w:val="hybridMultilevel"/>
    <w:lvl w:ilvl="0">
      <w:lvlJc w:val="left"/>
      <w:lvlText w:val="7"/>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8"/>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9"/>
      <w:numFmt w:val="bullet"/>
      <w:start w:val="1"/>
    </w:lvl>
  </w:abstractNum>
  <w:abstractNum w:abstractNumId="13">
    <w:nsid w:val="7FDCC233"/>
    <w:multiLevelType w:val="hybridMultilevel"/>
    <w:lvl w:ilvl="0">
      <w:lvlJc w:val="left"/>
      <w:lvlText w:val="%1"/>
      <w:numFmt w:val="decimal"/>
      <w:start w:val="10"/>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2026-04-28T07:12:04Z</dcterms:created>
  <dcterms:modified xsi:type="dcterms:W3CDTF">2026-04-28T07:12:04Z</dcterms:modified>
</cp:coreProperties>
</file>