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August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9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 w:type="dxa"/>
            <w:vAlign w:val="bottom"/>
            <w:tcBorders>
              <w:top w:val="single" w:sz="8" w:color="auto"/>
              <w:bottom w:val="single" w:sz="8" w:color="0000EE"/>
            </w:tcBorders>
          </w:tcPr>
          <w:p>
            <w:pPr>
              <w:ind w:left="20"/>
              <w:spacing w:after="0"/>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2021 Second-Quarter Unaudited Financial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Record second quarter financial results -</w:t>
      </w:r>
    </w:p>
    <w:p>
      <w:pPr>
        <w:spacing w:after="0" w:line="15" w:lineRule="exact"/>
        <w:rPr>
          <w:sz w:val="20"/>
          <w:szCs w:val="20"/>
          <w:color w:val="auto"/>
        </w:rPr>
      </w:pPr>
    </w:p>
    <w:p>
      <w:pPr>
        <w:ind w:left="2700" w:hanging="106"/>
        <w:spacing w:after="0"/>
        <w:tabs>
          <w:tab w:leader="none" w:pos="270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Enterprise Solutions achieves seventh consecutive quarter of record results –</w:t>
      </w:r>
    </w:p>
    <w:p>
      <w:pPr>
        <w:ind w:left="2920" w:hanging="112"/>
        <w:spacing w:after="0"/>
        <w:tabs>
          <w:tab w:leader="none" w:pos="29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Upsize share repurchase program by US$10 million to US$25 million –</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August 25, 2021 </w:t>
      </w:r>
      <w:r>
        <w:rPr>
          <w:rFonts w:ascii="Arial" w:cs="Arial" w:eastAsia="Arial" w:hAnsi="Arial"/>
          <w:sz w:val="20"/>
          <w:szCs w:val="20"/>
          <w:color w:val="auto"/>
        </w:rPr>
        <w:t>-- iClick Interactive Asia Group Limited (“iClick” or the “Company”) (Nasdaq: ICLK), a leading enterprise</w:t>
      </w:r>
      <w:r>
        <w:rPr>
          <w:rFonts w:ascii="Arial" w:cs="Arial" w:eastAsia="Arial" w:hAnsi="Arial"/>
          <w:sz w:val="20"/>
          <w:szCs w:val="20"/>
          <w:b w:val="1"/>
          <w:bCs w:val="1"/>
          <w:color w:val="auto"/>
        </w:rPr>
        <w:t xml:space="preserve"> </w:t>
      </w:r>
      <w:r>
        <w:rPr>
          <w:rFonts w:ascii="Arial" w:cs="Arial" w:eastAsia="Arial" w:hAnsi="Arial"/>
          <w:sz w:val="20"/>
          <w:szCs w:val="20"/>
          <w:color w:val="auto"/>
        </w:rPr>
        <w:t>and marketing cloud platform in China that empowers worldwide brands with full-stack consumer lifecycle solutions, today announced unaudited financial results for the second quarter ended June 30,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26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w w:val="99"/>
              </w:rPr>
              <w:t>Three Months Ended June 30,</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2000" w:type="dxa"/>
            <w:vAlign w:val="bottom"/>
            <w:vMerge w:val="restart"/>
          </w:tcPr>
          <w:p>
            <w:pPr>
              <w:jc w:val="right"/>
              <w:ind w:right="1136"/>
              <w:spacing w:after="0"/>
              <w:rPr>
                <w:sz w:val="20"/>
                <w:szCs w:val="20"/>
                <w:color w:val="auto"/>
              </w:rPr>
            </w:pPr>
            <w:r>
              <w:rPr>
                <w:rFonts w:ascii="Arial" w:cs="Arial" w:eastAsia="Arial" w:hAnsi="Arial"/>
                <w:sz w:val="14"/>
                <w:szCs w:val="14"/>
                <w:b w:val="1"/>
                <w:bCs w:val="1"/>
                <w:color w:val="auto"/>
              </w:rPr>
              <w:t>2021</w:t>
            </w:r>
          </w:p>
        </w:tc>
        <w:tc>
          <w:tcPr>
            <w:tcW w:w="8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520" w:type="dxa"/>
            <w:vAlign w:val="bottom"/>
          </w:tcPr>
          <w:p>
            <w:pPr>
              <w:spacing w:after="0"/>
              <w:rPr>
                <w:sz w:val="13"/>
                <w:szCs w:val="13"/>
                <w:color w:val="auto"/>
              </w:rPr>
            </w:pPr>
          </w:p>
        </w:tc>
        <w:tc>
          <w:tcPr>
            <w:tcW w:w="20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i w:val="1"/>
                <w:iCs w:val="1"/>
                <w:color w:val="auto"/>
              </w:rPr>
              <w:t>(US$ in thousands)</w:t>
            </w: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Financial Metrics:</w:t>
            </w:r>
          </w:p>
        </w:tc>
        <w:tc>
          <w:tcPr>
            <w:tcW w:w="2000" w:type="dxa"/>
            <w:vAlign w:val="bottom"/>
          </w:tcPr>
          <w:p>
            <w:pPr>
              <w:jc w:val="right"/>
              <w:ind w:right="156"/>
              <w:spacing w:after="0"/>
              <w:rPr>
                <w:sz w:val="20"/>
                <w:szCs w:val="20"/>
                <w:color w:val="auto"/>
              </w:rPr>
            </w:pPr>
            <w:r>
              <w:rPr>
                <w:rFonts w:ascii="Arial" w:cs="Arial" w:eastAsia="Arial" w:hAnsi="Arial"/>
                <w:sz w:val="14"/>
                <w:szCs w:val="14"/>
                <w:i w:val="1"/>
                <w:iCs w:val="1"/>
                <w:color w:val="auto"/>
              </w:rPr>
              <w:t>(Unaudited)</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5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64,610</w:t>
            </w:r>
          </w:p>
        </w:tc>
        <w:tc>
          <w:tcPr>
            <w:tcW w:w="840" w:type="dxa"/>
            <w:vAlign w:val="bottom"/>
          </w:tcPr>
          <w:p>
            <w:pPr>
              <w:jc w:val="right"/>
              <w:spacing w:after="0"/>
              <w:rPr>
                <w:sz w:val="20"/>
                <w:szCs w:val="20"/>
                <w:color w:val="auto"/>
              </w:rPr>
            </w:pPr>
            <w:r>
              <w:rPr>
                <w:rFonts w:ascii="Arial" w:cs="Arial" w:eastAsia="Arial" w:hAnsi="Arial"/>
                <w:sz w:val="18"/>
                <w:szCs w:val="18"/>
                <w:color w:val="auto"/>
              </w:rPr>
              <w:t>52,969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13,392</w:t>
            </w:r>
          </w:p>
        </w:tc>
        <w:tc>
          <w:tcPr>
            <w:tcW w:w="840" w:type="dxa"/>
            <w:vAlign w:val="bottom"/>
          </w:tcPr>
          <w:p>
            <w:pPr>
              <w:jc w:val="right"/>
              <w:spacing w:after="0"/>
              <w:rPr>
                <w:sz w:val="20"/>
                <w:szCs w:val="20"/>
                <w:color w:val="auto"/>
              </w:rPr>
            </w:pPr>
            <w:r>
              <w:rPr>
                <w:rFonts w:ascii="Arial" w:cs="Arial" w:eastAsia="Arial" w:hAnsi="Arial"/>
                <w:sz w:val="18"/>
                <w:szCs w:val="18"/>
                <w:color w:val="auto"/>
              </w:rPr>
              <w:t>5,144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Total revenue</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78,002</w:t>
            </w:r>
          </w:p>
        </w:tc>
        <w:tc>
          <w:tcPr>
            <w:tcW w:w="840" w:type="dxa"/>
            <w:vAlign w:val="bottom"/>
          </w:tcPr>
          <w:p>
            <w:pPr>
              <w:jc w:val="right"/>
              <w:spacing w:after="0"/>
              <w:rPr>
                <w:sz w:val="20"/>
                <w:szCs w:val="20"/>
                <w:color w:val="auto"/>
              </w:rPr>
            </w:pPr>
            <w:r>
              <w:rPr>
                <w:rFonts w:ascii="Arial" w:cs="Arial" w:eastAsia="Arial" w:hAnsi="Arial"/>
                <w:sz w:val="18"/>
                <w:szCs w:val="18"/>
                <w:color w:val="auto"/>
              </w:rPr>
              <w:t>58,113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24,337</w:t>
            </w:r>
          </w:p>
        </w:tc>
        <w:tc>
          <w:tcPr>
            <w:tcW w:w="840" w:type="dxa"/>
            <w:vAlign w:val="bottom"/>
          </w:tcPr>
          <w:p>
            <w:pPr>
              <w:jc w:val="right"/>
              <w:spacing w:after="0"/>
              <w:rPr>
                <w:sz w:val="20"/>
                <w:szCs w:val="20"/>
                <w:color w:val="auto"/>
              </w:rPr>
            </w:pPr>
            <w:r>
              <w:rPr>
                <w:rFonts w:ascii="Arial" w:cs="Arial" w:eastAsia="Arial" w:hAnsi="Arial"/>
                <w:sz w:val="18"/>
                <w:szCs w:val="18"/>
                <w:color w:val="auto"/>
              </w:rPr>
              <w:t>16,615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income/(loss)</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597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6,137</w:t>
            </w:r>
          </w:p>
        </w:tc>
        <w:tc>
          <w:tcPr>
            <w:tcW w:w="840" w:type="dxa"/>
            <w:vAlign w:val="bottom"/>
          </w:tcPr>
          <w:p>
            <w:pPr>
              <w:jc w:val="right"/>
              <w:spacing w:after="0"/>
              <w:rPr>
                <w:sz w:val="20"/>
                <w:szCs w:val="20"/>
                <w:color w:val="auto"/>
              </w:rPr>
            </w:pPr>
            <w:r>
              <w:rPr>
                <w:rFonts w:ascii="Arial" w:cs="Arial" w:eastAsia="Arial" w:hAnsi="Arial"/>
                <w:sz w:val="18"/>
                <w:szCs w:val="18"/>
                <w:color w:val="auto"/>
              </w:rPr>
              <w:t>5,158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1</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2,587</w:t>
            </w:r>
          </w:p>
        </w:tc>
        <w:tc>
          <w:tcPr>
            <w:tcW w:w="840" w:type="dxa"/>
            <w:vAlign w:val="bottom"/>
          </w:tcPr>
          <w:p>
            <w:pPr>
              <w:jc w:val="right"/>
              <w:spacing w:after="0"/>
              <w:rPr>
                <w:sz w:val="20"/>
                <w:szCs w:val="20"/>
                <w:color w:val="auto"/>
              </w:rPr>
            </w:pPr>
            <w:r>
              <w:rPr>
                <w:rFonts w:ascii="Arial" w:cs="Arial" w:eastAsia="Arial" w:hAnsi="Arial"/>
                <w:sz w:val="18"/>
                <w:szCs w:val="18"/>
                <w:color w:val="auto"/>
              </w:rPr>
              <w:t>2,495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6520" w:type="dxa"/>
            <w:vAlign w:val="bottom"/>
          </w:tcPr>
          <w:p>
            <w:pPr>
              <w:spacing w:after="0"/>
              <w:rPr>
                <w:sz w:val="20"/>
                <w:szCs w:val="20"/>
                <w:color w:val="auto"/>
              </w:rPr>
            </w:pPr>
            <w:r>
              <w:rPr>
                <w:rFonts w:ascii="Arial" w:cs="Arial" w:eastAsia="Arial" w:hAnsi="Arial"/>
                <w:sz w:val="18"/>
                <w:szCs w:val="18"/>
                <w:color w:val="auto"/>
              </w:rPr>
              <w:t>Diluted adjusted net income per ADS</w:t>
            </w:r>
            <w:r>
              <w:rPr>
                <w:rFonts w:ascii="Arial" w:cs="Arial" w:eastAsia="Arial" w:hAnsi="Arial"/>
                <w:sz w:val="15"/>
                <w:szCs w:val="15"/>
                <w:color w:val="auto"/>
              </w:rPr>
              <w:t>1</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0.03</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2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Gross billing</w:t>
            </w:r>
          </w:p>
        </w:tc>
        <w:tc>
          <w:tcPr>
            <w:tcW w:w="2000" w:type="dxa"/>
            <w:vAlign w:val="bottom"/>
          </w:tcPr>
          <w:p>
            <w:pPr>
              <w:jc w:val="right"/>
              <w:ind w:right="636"/>
              <w:spacing w:after="0"/>
              <w:rPr>
                <w:sz w:val="20"/>
                <w:szCs w:val="20"/>
                <w:color w:val="auto"/>
              </w:rPr>
            </w:pPr>
            <w:r>
              <w:rPr>
                <w:rFonts w:ascii="Arial" w:cs="Arial" w:eastAsia="Arial" w:hAnsi="Arial"/>
                <w:sz w:val="18"/>
                <w:szCs w:val="18"/>
                <w:color w:val="auto"/>
              </w:rPr>
              <w:t>194,193</w:t>
            </w:r>
          </w:p>
        </w:tc>
        <w:tc>
          <w:tcPr>
            <w:tcW w:w="840" w:type="dxa"/>
            <w:vAlign w:val="bottom"/>
          </w:tcPr>
          <w:p>
            <w:pPr>
              <w:jc w:val="right"/>
              <w:spacing w:after="0"/>
              <w:rPr>
                <w:sz w:val="20"/>
                <w:szCs w:val="20"/>
                <w:color w:val="auto"/>
              </w:rPr>
            </w:pPr>
            <w:r>
              <w:rPr>
                <w:rFonts w:ascii="Arial" w:cs="Arial" w:eastAsia="Arial" w:hAnsi="Arial"/>
                <w:sz w:val="18"/>
                <w:szCs w:val="18"/>
                <w:color w:val="auto"/>
              </w:rPr>
              <w:t>132,793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Jian “T.J.” Tang, Chairman, Chief Executive Officer and Co-Founder of iClick, said, “iClick reported record second quarter financial results as we continue to achieve robust growth in both Marketing and Enterprise Solutions. This strong performance is a testament to the value proposition of our integrated solutions for clients. We remain confident in our strong outlook given our solid execution and clear strategies to further penetrate the enormous private domain traffic markets that we address.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excited to see Enterprise Solutions achieve record results for the seventh quarter in a row, with revenue of US$13.4 million, representing 160% year-over-year growth, while Marketing Solutions continues to deliver healthy growth, with revenues increasing by 22% year-over-year to US$64.6 million. Gross profits increased by 46%, outpacing revenue growth as we further grow our Marketing Solutions and higher-margin Enterprise Solutions businesses. Even as we continue to invest actively in Enterprise Solutions, we still managed to reach historical highs for adjusted EBITDA and adjusted net income, highlighting the strong economies of scale we have achieved in our Marketing Solutions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204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8"/>
          <w:szCs w:val="18"/>
          <w:color w:val="auto"/>
        </w:rPr>
        <w:t>“Our key account and mid-tier client segments remain equally important growth drivers for our Enterprise Solutions sales. iClick’s over 3,000 existing Marketing Solutions key account clients generate significant cross-selling opportunities, especially within industry verticals in which we have gained traction, such as cosmetics and food and beverage. As we grow the scale of our Enterprise Solutions business, we see the opportunity to replicate our success in these industry verticals. We are also further growing our presence in the mid-tier market and have received strong reception by clients for our high-value, easy-to-use SaaS tools and our unique implementation methodology that provides hands-on, appropriately-sized, team-led implementation delivery and guided integration.</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are very pleased with the progress of our partnership with Baozun. In addition to completing our resource and systems integration, we are encouraged by the feedback we’ve received from top-tier clients on the enhanced value we are able to deliver through our joint end-to-end solutions. Together, we will focus on growing market share in China’s enormous private domain traffic market.</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 am also pleased to report that I have been appointed to the role of chairman of the board of directors, in addition to serving as chief executive officer, so as to better consolidate the management and execution of the Company’s strategic direction. On behalf of the board, I would like to thank our co-founder Sammy Hsieh for his enormous contributions as chairman for more than a decade, and I look forward to continuing to work with him as a member of our board of directors and enjoy the benefits of his counsel. In the meantime, we are increasing our share repurchase program from US$15 million to US$25 million as we remain highly confident of our long-term growth prospects despite short-term headwinds.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summary, we remain very well positioned to capitalize on the ongoing digital transformation in China. With the dedication of our employees and the support of our shareholders, we expect to capture additional market share and continue to produce sustainable growth through prudent management, zealous commitment to growth and innovation to drive excellence in all that we do.”</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Results: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second quarter of 2021 grew to US$78.0 million, up 34% from US$58.1 million for the same period of the prior year,</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attributable to the increase in contributions from Marketing Solutions and Enterprise Solutions.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US$64.6 million for the second quarter of 2021, up 22% from US$53.0 million for the second</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2020, primarily as a result of growing market demand from specified action marketing campaigns.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US$13.4 million for the second quarter of 2021, up approximately 160% from US$5.1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second quarter of 2020, primarily due to the increasing need for online and offline consumer behavior data integration and digital transformation.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second quarter of 2021 was US$24.3 million, representing a 46% increase compared with US$16.6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2020, mainly due to continued expansion of the Marketing Solutions and contribution from higher-margin Enterprise Solutions.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US$23.4 million for the second quarter of 2021, compared with US$15.2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2020, primarily due to incremental operating expenses incurred for the expansion of business scale, an additional expected credit loss provision, and an increase in share-based compensation expense.</w:t>
      </w:r>
    </w:p>
    <w:p>
      <w:pPr>
        <w:spacing w:after="0" w:line="204"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was US$0.9 million for the second quarter of 2021, compared with an operating income of US$1.4 million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This decline was as a result of the increase in operating expenses which is partially offset by the growth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both"/>
        <w:spacing w:after="0" w:line="294"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totalled US $0.6 million for the second quarter of 2021, compared with net loss of US$0.02 million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This increase was mainly because the Company recorded the fair value losses of derivative liabilities and convertible notes of US$1.6 million and US$0.5 million, respectively, in the second quarter of 2020, which was partially offset by the decrease in operating income.</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Net income attributable to the Company’s shareholders per basic and diluted ADS for the second quarter of 2021 were US$0.02, compared with a net income attributable to the Company’s shareholders per basic and diluted ADS of US$0.01 for the second quarter of 2020.</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second quarter of 2021 was US$6.1 million, compared with US$5.2 million for the second quarter of 2020. For a</w:t>
      </w:r>
      <w:r>
        <w:rPr>
          <w:rFonts w:ascii="Arial" w:cs="Arial" w:eastAsia="Arial" w:hAnsi="Arial"/>
          <w:sz w:val="20"/>
          <w:szCs w:val="20"/>
          <w:b w:val="1"/>
          <w:bCs w:val="1"/>
          <w:color w:val="auto"/>
        </w:rPr>
        <w:t xml:space="preserve"> </w:t>
      </w:r>
      <w:r>
        <w:rPr>
          <w:rFonts w:ascii="Arial" w:cs="Arial" w:eastAsia="Arial" w:hAnsi="Arial"/>
          <w:sz w:val="20"/>
          <w:szCs w:val="20"/>
          <w:color w:val="auto"/>
        </w:rPr>
        <w:t>reconciliation of the Company’s adjusted EBITDA from net income/(loss),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the second quarter of 2021 was US$2.6 million, compared with an adjusted net income of US$2.5 million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2020. For a reconciliation of the Company’s adjusted net income from net income/(loss),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was US$194.2 million for the second quarter of 2021, representing a 46% increase compared with US$132.8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2020. The increase was a result of increasing marketers’ demand especially from the banking and finance, automobile, and petroleum sectors.</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June 30, 2021, the Company had cash and cash equivalents, time deposits and restricted cash of US$103.7 million, compared with US$94.5 million as of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December 10, 2020, the Company announced a share repurchase program in which it may purchase its own ADSs with an aggregate value of up to US$15.0 million from December 30, 2020 to December 31, 2021. As of June 30, 2021, the aggregate value of purchased shares was approximately US$7.4 million. In addition, our board of directors authorized the Company to upsize the share repurchase program from US$15 million to US$25 million on August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204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Outlook</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provides the following outlook for the third quarter of 2021 and for the full year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Third Quarter 2021:</w:t>
      </w:r>
    </w:p>
    <w:p>
      <w:pPr>
        <w:spacing w:after="0" w:line="1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US$17 million and US$20 million.</w:t>
      </w: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from Marketing Solutions is estimated to be between US$65 million and US$75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Full Year 2021:</w:t>
      </w:r>
    </w:p>
    <w:p>
      <w:pPr>
        <w:spacing w:after="0" w:line="108"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is estimated to be between US$318 million and US$338 million.</w:t>
      </w:r>
    </w:p>
    <w:p>
      <w:pPr>
        <w:spacing w:after="0" w:line="15" w:lineRule="exact"/>
        <w:rPr>
          <w:rFonts w:ascii="Arial" w:cs="Arial" w:eastAsia="Arial" w:hAnsi="Arial"/>
          <w:sz w:val="20"/>
          <w:szCs w:val="20"/>
          <w:color w:val="auto"/>
        </w:rPr>
      </w:pP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US$62 million and US$68 million.</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note that the advertising budgets for our clients have continued to recover during the second quarter of 2021, as a result of the relaxation of restrictions on economic and social life due to a slowdown of COVID-19 cases in China.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 We remain vigilant in evaluating the risks posed by the current resurgence of Covid-19 and the potential impacts this represents to our expectations.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With iClick’s diversified customer base of stable, top-tier brands and ongoing government efforts to contain the spread of the coronavirus amid the rollout of vaccine, we remain cautiously optimistic for 2021. However, outbreaks of COVID-19, including recent variants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w:t>
      </w:r>
    </w:p>
    <w:p>
      <w:pPr>
        <w:spacing w:after="0" w:line="4" w:lineRule="exact"/>
        <w:rPr>
          <w:sz w:val="20"/>
          <w:szCs w:val="20"/>
          <w:color w:val="auto"/>
        </w:rPr>
      </w:pPr>
    </w:p>
    <w:p>
      <w:pPr>
        <w:ind w:firstLine="8"/>
        <w:spacing w:after="0" w:line="244" w:lineRule="auto"/>
        <w:tabs>
          <w:tab w:leader="none" w:pos="302" w:val="left"/>
        </w:tabs>
        <w:numPr>
          <w:ilvl w:val="0"/>
          <w:numId w:val="6"/>
        </w:numPr>
        <w:rPr>
          <w:rFonts w:ascii="Arial" w:cs="Arial" w:eastAsia="Arial" w:hAnsi="Arial"/>
          <w:sz w:val="20"/>
          <w:szCs w:val="20"/>
          <w:color w:val="auto"/>
        </w:rPr>
      </w:pPr>
      <w:r>
        <w:rPr>
          <w:rFonts w:ascii="Arial" w:cs="Arial" w:eastAsia="Arial" w:hAnsi="Arial"/>
          <w:sz w:val="20"/>
          <w:szCs w:val="20"/>
          <w:color w:val="auto"/>
        </w:rPr>
        <w:t>Management will continue to closely monitor the outbreak’s impact on our operations and financial results this year and will particularly focus on business retention and accounts receivable recoverability.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August 25, 2021 (8:00 PM Beijing/Hong Kong time on August 25, 2021).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United States:</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+1-888-346-8982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International:</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+1-412-902-4272</w:t>
            </w:r>
          </w:p>
        </w:tc>
      </w:tr>
      <w:tr>
        <w:trPr>
          <w:trHeight w:val="229"/>
        </w:trPr>
        <w:tc>
          <w:tcPr>
            <w:tcW w:w="1840" w:type="dxa"/>
            <w:vAlign w:val="bottom"/>
          </w:tcPr>
          <w:p>
            <w:pPr>
              <w:spacing w:after="0"/>
              <w:rPr>
                <w:sz w:val="20"/>
                <w:szCs w:val="20"/>
                <w:color w:val="auto"/>
              </w:rPr>
            </w:pPr>
            <w:r>
              <w:rPr>
                <w:rFonts w:ascii="Arial" w:cs="Arial" w:eastAsia="Arial" w:hAnsi="Arial"/>
                <w:sz w:val="20"/>
                <w:szCs w:val="20"/>
                <w:color w:val="auto"/>
              </w:rPr>
              <w:t>Hong Kong:</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+852-800-905945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Mainland China:</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+86-4001-201203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 replay of the conference call will be accessible by phone one hour after the conclusion of the live call at the following numbers, until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September 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United States:</w:t>
            </w:r>
          </w:p>
        </w:tc>
        <w:tc>
          <w:tcPr>
            <w:tcW w:w="9240" w:type="dxa"/>
            <w:vAlign w:val="bottom"/>
          </w:tcPr>
          <w:p>
            <w:pPr>
              <w:ind w:left="320"/>
              <w:spacing w:after="0"/>
              <w:rPr>
                <w:sz w:val="20"/>
                <w:szCs w:val="20"/>
                <w:color w:val="auto"/>
              </w:rPr>
            </w:pPr>
            <w:r>
              <w:rPr>
                <w:rFonts w:ascii="Arial" w:cs="Arial" w:eastAsia="Arial" w:hAnsi="Arial"/>
                <w:sz w:val="20"/>
                <w:szCs w:val="20"/>
                <w:color w:val="auto"/>
              </w:rPr>
              <w:t>+1-877-344-7529</w:t>
            </w:r>
          </w:p>
        </w:tc>
      </w:tr>
      <w:tr>
        <w:trPr>
          <w:trHeight w:val="229"/>
        </w:trPr>
        <w:tc>
          <w:tcPr>
            <w:tcW w:w="2020" w:type="dxa"/>
            <w:vAlign w:val="bottom"/>
          </w:tcPr>
          <w:p>
            <w:pPr>
              <w:spacing w:after="0"/>
              <w:rPr>
                <w:sz w:val="20"/>
                <w:szCs w:val="20"/>
                <w:color w:val="auto"/>
              </w:rPr>
            </w:pPr>
            <w:r>
              <w:rPr>
                <w:rFonts w:ascii="Arial" w:cs="Arial" w:eastAsia="Arial" w:hAnsi="Arial"/>
                <w:sz w:val="20"/>
                <w:szCs w:val="20"/>
                <w:color w:val="auto"/>
              </w:rPr>
              <w:t>International:</w:t>
            </w:r>
          </w:p>
        </w:tc>
        <w:tc>
          <w:tcPr>
            <w:tcW w:w="9240" w:type="dxa"/>
            <w:vAlign w:val="bottom"/>
          </w:tcPr>
          <w:p>
            <w:pPr>
              <w:ind w:left="320"/>
              <w:spacing w:after="0"/>
              <w:rPr>
                <w:sz w:val="20"/>
                <w:szCs w:val="20"/>
                <w:color w:val="auto"/>
              </w:rPr>
            </w:pPr>
            <w:r>
              <w:rPr>
                <w:rFonts w:ascii="Arial" w:cs="Arial" w:eastAsia="Arial" w:hAnsi="Arial"/>
                <w:sz w:val="20"/>
                <w:szCs w:val="20"/>
                <w:color w:val="auto"/>
              </w:rPr>
              <w:t>+1-412-317-0088</w:t>
            </w:r>
          </w:p>
        </w:tc>
      </w:tr>
      <w:tr>
        <w:trPr>
          <w:trHeight w:val="229"/>
        </w:trPr>
        <w:tc>
          <w:tcPr>
            <w:tcW w:w="2020" w:type="dxa"/>
            <w:vAlign w:val="bottom"/>
          </w:tcPr>
          <w:p>
            <w:pPr>
              <w:spacing w:after="0"/>
              <w:rPr>
                <w:sz w:val="20"/>
                <w:szCs w:val="20"/>
                <w:color w:val="auto"/>
              </w:rPr>
            </w:pPr>
            <w:r>
              <w:rPr>
                <w:rFonts w:ascii="Arial" w:cs="Arial" w:eastAsia="Arial" w:hAnsi="Arial"/>
                <w:sz w:val="20"/>
                <w:szCs w:val="20"/>
                <w:color w:val="auto"/>
              </w:rPr>
              <w:t>Canada:</w:t>
            </w:r>
          </w:p>
        </w:tc>
        <w:tc>
          <w:tcPr>
            <w:tcW w:w="9240" w:type="dxa"/>
            <w:vAlign w:val="bottom"/>
          </w:tcPr>
          <w:p>
            <w:pPr>
              <w:ind w:left="320"/>
              <w:spacing w:after="0"/>
              <w:rPr>
                <w:sz w:val="20"/>
                <w:szCs w:val="20"/>
                <w:color w:val="auto"/>
              </w:rPr>
            </w:pPr>
            <w:r>
              <w:rPr>
                <w:rFonts w:ascii="Arial" w:cs="Arial" w:eastAsia="Arial" w:hAnsi="Arial"/>
                <w:sz w:val="20"/>
                <w:szCs w:val="20"/>
                <w:color w:val="auto"/>
              </w:rPr>
              <w:t>+1-855-669-9658</w:t>
            </w:r>
          </w:p>
        </w:tc>
      </w:tr>
      <w:tr>
        <w:trPr>
          <w:trHeight w:val="250"/>
        </w:trPr>
        <w:tc>
          <w:tcPr>
            <w:tcW w:w="2020" w:type="dxa"/>
            <w:vAlign w:val="bottom"/>
          </w:tcPr>
          <w:p>
            <w:pPr>
              <w:spacing w:after="0"/>
              <w:rPr>
                <w:sz w:val="20"/>
                <w:szCs w:val="20"/>
                <w:color w:val="auto"/>
              </w:rPr>
            </w:pPr>
            <w:r>
              <w:rPr>
                <w:rFonts w:ascii="Arial" w:cs="Arial" w:eastAsia="Arial" w:hAnsi="Arial"/>
                <w:sz w:val="20"/>
                <w:szCs w:val="20"/>
                <w:color w:val="auto"/>
              </w:rPr>
              <w:t>Replay Access Code:</w:t>
            </w:r>
          </w:p>
        </w:tc>
        <w:tc>
          <w:tcPr>
            <w:tcW w:w="9240" w:type="dxa"/>
            <w:vAlign w:val="bottom"/>
          </w:tcPr>
          <w:p>
            <w:pPr>
              <w:ind w:left="320"/>
              <w:spacing w:after="0"/>
              <w:rPr>
                <w:sz w:val="20"/>
                <w:szCs w:val="20"/>
                <w:color w:val="auto"/>
              </w:rPr>
            </w:pPr>
            <w:r>
              <w:rPr>
                <w:rFonts w:ascii="Arial" w:cs="Arial" w:eastAsia="Arial" w:hAnsi="Arial"/>
                <w:sz w:val="20"/>
                <w:szCs w:val="20"/>
                <w:color w:val="auto"/>
              </w:rPr>
              <w:t>50669674</w:t>
            </w:r>
          </w:p>
        </w:tc>
      </w:tr>
      <w:tr>
        <w:trPr>
          <w:trHeight w:val="354"/>
        </w:trPr>
        <w:tc>
          <w:tcPr>
            <w:tcW w:w="202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uses adjusted EBITDA, adjusted net income, and diluted adjusted net income per ADS, each a non-GAAP financial measure, in evaluating the Company’s operating results and for financial and operational decision-making purposes.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income, and diluted adjusted net income per ADS help identify underlying trends in the Company’s business that could otherwise be distorted by the effect of the expenses and gains that the Company includes in net income/(loss). The Company believes that adjusted EBITDA and adjusted net 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EBITDA, adjusted net income, and diluted adjusted net income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 and diluted adjusted net 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22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Phone: +86-21-3230-3931 #866</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0" w:name="page11"/>
    <w:bookmarkEnd w:id="10"/>
    <w:p>
      <w:pPr>
        <w:jc w:val="center"/>
        <w:ind w:right="20"/>
        <w:spacing w:after="0" w:line="252"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Statements of Comprehensive Income/(Loss) </w:t>
      </w:r>
      <w:r>
        <w:rPr>
          <w:rFonts w:ascii="Arial" w:cs="Arial" w:eastAsia="Arial" w:hAnsi="Arial"/>
          <w:sz w:val="20"/>
          <w:szCs w:val="20"/>
          <w:color w:val="auto"/>
        </w:rPr>
        <w:t>(US$’000, except share data and per share data, or otherwise noted,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58,113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144,562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(53,665)</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(41,498)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(100,677)</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(77,270)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16,615</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(2,386)</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(1,126)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(4,060)</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(12,354)</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(8,768)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(29,558)</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(17,116)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(8,698)</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(5,320)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(15,749)</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(49,367)</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14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(1,236)</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gains, net</w:t>
            </w:r>
          </w:p>
        </w:tc>
        <w:tc>
          <w:tcPr>
            <w:tcW w:w="1140" w:type="dxa"/>
            <w:vAlign w:val="bottom"/>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(1,567)</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Income/(loss) before income tax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income/(loss)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income/(loss) attributable to iClick Interactive Asia</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(5,324)</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income/(loss)</w:t>
            </w: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(6,873)</w:t>
            </w:r>
          </w:p>
        </w:tc>
        <w:tc>
          <w:tcPr>
            <w:tcW w:w="2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140" w:type="dxa"/>
            <w:vAlign w:val="bottom"/>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14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income/(loss)</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84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(4,785)</w:t>
            </w:r>
          </w:p>
        </w:tc>
        <w:tc>
          <w:tcPr>
            <w:tcW w:w="24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income/(loss) attributable to iClick</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140" w:type="dxa"/>
            <w:vAlign w:val="bottom"/>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(3,312)</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income/(loss) per ADS attributable to iClick</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96,262,253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74,804,895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95,321,164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69,590,308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101,861,423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80,592,538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95,321,164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69,590,308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jc w:val="center"/>
        <w:ind w:right="20"/>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Balance Sheets </w:t>
      </w:r>
      <w:r>
        <w:rPr>
          <w:rFonts w:ascii="Arial" w:cs="Arial" w:eastAsia="Arial" w:hAnsi="Arial"/>
          <w:sz w:val="20"/>
          <w:szCs w:val="20"/>
          <w:color w:val="auto"/>
        </w:rPr>
        <w:t>(US$’000, except share data and per share data, or otherwise noted,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As of</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 2021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time deposits and restricted cash</w:t>
            </w:r>
          </w:p>
        </w:tc>
        <w:tc>
          <w:tcPr>
            <w:tcW w:w="1560" w:type="dxa"/>
            <w:vAlign w:val="bottom"/>
          </w:tcPr>
          <w:p>
            <w:pPr>
              <w:jc w:val="right"/>
              <w:spacing w:after="0"/>
              <w:rPr>
                <w:sz w:val="20"/>
                <w:szCs w:val="20"/>
                <w:color w:val="auto"/>
              </w:rPr>
            </w:pPr>
            <w:r>
              <w:rPr>
                <w:rFonts w:ascii="Arial" w:cs="Arial" w:eastAsia="Arial" w:hAnsi="Arial"/>
                <w:sz w:val="18"/>
                <w:szCs w:val="18"/>
                <w:color w:val="auto"/>
              </w:rPr>
              <w:t>103,741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94,466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receivables of US$15,074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US$11,749 as of June 30, 2021 and December 31, 2020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171,458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143,142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75,590</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350,789</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560" w:type="dxa"/>
            <w:vAlign w:val="bottom"/>
          </w:tcPr>
          <w:p>
            <w:pPr>
              <w:jc w:val="right"/>
              <w:spacing w:after="0"/>
              <w:rPr>
                <w:sz w:val="20"/>
                <w:szCs w:val="20"/>
                <w:color w:val="auto"/>
              </w:rPr>
            </w:pPr>
            <w:r>
              <w:rPr>
                <w:rFonts w:ascii="Arial" w:cs="Arial" w:eastAsia="Arial" w:hAnsi="Arial"/>
                <w:sz w:val="18"/>
                <w:szCs w:val="18"/>
                <w:color w:val="auto"/>
              </w:rPr>
              <w:t>79,773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560" w:type="dxa"/>
            <w:vAlign w:val="bottom"/>
          </w:tcPr>
          <w:p>
            <w:pPr>
              <w:jc w:val="right"/>
              <w:spacing w:after="0"/>
              <w:rPr>
                <w:sz w:val="20"/>
                <w:szCs w:val="20"/>
                <w:color w:val="auto"/>
              </w:rPr>
            </w:pPr>
            <w:r>
              <w:rPr>
                <w:rFonts w:ascii="Arial" w:cs="Arial" w:eastAsia="Arial" w:hAnsi="Arial"/>
                <w:sz w:val="18"/>
                <w:szCs w:val="18"/>
                <w:color w:val="auto"/>
              </w:rPr>
              <w:t>54,911</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56,431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21,922</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156,606</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507,395</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7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560" w:type="dxa"/>
            <w:vAlign w:val="bottom"/>
          </w:tcPr>
          <w:p>
            <w:pPr>
              <w:jc w:val="right"/>
              <w:spacing w:after="0"/>
              <w:rPr>
                <w:sz w:val="20"/>
                <w:szCs w:val="20"/>
                <w:color w:val="auto"/>
              </w:rPr>
            </w:pPr>
            <w:r>
              <w:rPr>
                <w:rFonts w:ascii="Arial" w:cs="Arial" w:eastAsia="Arial" w:hAnsi="Arial"/>
                <w:sz w:val="18"/>
                <w:szCs w:val="18"/>
                <w:color w:val="auto"/>
              </w:rPr>
              <w:t>37,728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43,140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1560" w:type="dxa"/>
            <w:vAlign w:val="bottom"/>
          </w:tcPr>
          <w:p>
            <w:pPr>
              <w:jc w:val="right"/>
              <w:spacing w:after="0"/>
              <w:rPr>
                <w:sz w:val="20"/>
                <w:szCs w:val="20"/>
                <w:color w:val="auto"/>
              </w:rPr>
            </w:pPr>
            <w:r>
              <w:rPr>
                <w:rFonts w:ascii="Arial" w:cs="Arial" w:eastAsia="Arial" w:hAnsi="Arial"/>
                <w:sz w:val="18"/>
                <w:szCs w:val="18"/>
                <w:color w:val="auto"/>
              </w:rPr>
              <w:t>90,297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56,040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60,070</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188,095</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22,734</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22,734</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210,829</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A (US$0.001 par value; 80,000,000 shares authorized as of</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June 30, 2021 and December 31, 2020, respectively; 42,158,175 shares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40,996,215 shares issued and outstanding as of June 30, 2021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B (US$0.001 par value; 20,000,000 shares authorized as of</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June 30, 2021 and December 31, 2020, respectively; 5,034,427 shares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4,820,608 shares issued and outstanding as of June 30, 2021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Treasury shares (2,295,397 shares and 2,396,372 shares as of June 30, 2021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(17,476)</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305,406</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560" w:type="dxa"/>
            <w:vAlign w:val="bottom"/>
          </w:tcPr>
          <w:p>
            <w:pPr>
              <w:jc w:val="right"/>
              <w:spacing w:after="0"/>
              <w:rPr>
                <w:sz w:val="20"/>
                <w:szCs w:val="20"/>
                <w:color w:val="auto"/>
              </w:rPr>
            </w:pPr>
            <w:r>
              <w:rPr>
                <w:rFonts w:ascii="Arial" w:cs="Arial" w:eastAsia="Arial" w:hAnsi="Arial"/>
                <w:sz w:val="18"/>
                <w:szCs w:val="18"/>
                <w:color w:val="auto"/>
              </w:rPr>
              <w:t>287,977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272,102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296,566</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279,088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vMerge w:val="continue"/>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507,395</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9A9A9A"/>
            </w:tcBorders>
          </w:tcPr>
          <w:p>
            <w:pPr>
              <w:spacing w:after="0"/>
              <w:rPr>
                <w:sz w:val="22"/>
                <w:szCs w:val="22"/>
                <w:color w:val="auto"/>
              </w:rPr>
            </w:pPr>
          </w:p>
        </w:tc>
        <w:tc>
          <w:tcPr>
            <w:tcW w:w="450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2" w:name="page13"/>
    <w:bookmarkEnd w:id="12"/>
    <w:p>
      <w:pPr>
        <w:jc w:val="center"/>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Reconciliations of GAAP and Non-GAAP Results </w:t>
      </w:r>
      <w:r>
        <w:rPr>
          <w:rFonts w:ascii="Arial" w:cs="Arial" w:eastAsia="Arial" w:hAnsi="Arial"/>
          <w:sz w:val="20"/>
          <w:szCs w:val="20"/>
          <w:color w:val="auto"/>
        </w:rPr>
        <w:t>(US$’000, except share data and per share data, or otherwise noted, unaudited)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represents net income/(loss) before (i) depreciation and amortization, (ii) interest expense, (iii) interest income, (iv) income tax expense, (v) share-based compensation, (vi) fair value losses on derivative liabilities, (vii) fair value losses on convertible notes,</w:t>
      </w:r>
    </w:p>
    <w:p>
      <w:pPr>
        <w:spacing w:after="0" w:line="1" w:lineRule="exact"/>
        <w:rPr>
          <w:sz w:val="20"/>
          <w:szCs w:val="20"/>
          <w:color w:val="auto"/>
        </w:rPr>
      </w:pPr>
    </w:p>
    <w:p>
      <w:pPr>
        <w:ind w:firstLine="8"/>
        <w:spacing w:after="0" w:line="244" w:lineRule="auto"/>
        <w:tabs>
          <w:tab w:leader="none" w:pos="450" w:val="left"/>
        </w:tabs>
        <w:numPr>
          <w:ilvl w:val="0"/>
          <w:numId w:val="7"/>
        </w:numPr>
        <w:rPr>
          <w:rFonts w:ascii="Arial" w:cs="Arial" w:eastAsia="Arial" w:hAnsi="Arial"/>
          <w:sz w:val="20"/>
          <w:szCs w:val="20"/>
          <w:color w:val="auto"/>
        </w:rPr>
      </w:pPr>
      <w:r>
        <w:rPr>
          <w:rFonts w:ascii="Arial" w:cs="Arial" w:eastAsia="Arial" w:hAnsi="Arial"/>
          <w:sz w:val="20"/>
          <w:szCs w:val="20"/>
          <w:color w:val="auto"/>
        </w:rPr>
        <w:t>other gains, net, (ix) convertible notes and shares issuance cost, (x) net loss attributable to noncontrolling interests, (xi) share of losses from an equity investee, and (xii) cost related to new business setup or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income/(loss)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8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32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60" w:type="dxa"/>
            <w:vAlign w:val="bottom"/>
          </w:tcPr>
          <w:p>
            <w:pPr>
              <w:spacing w:after="0"/>
              <w:rPr>
                <w:sz w:val="19"/>
                <w:szCs w:val="19"/>
                <w:color w:val="auto"/>
              </w:rPr>
            </w:pPr>
          </w:p>
        </w:tc>
      </w:tr>
      <w:tr>
        <w:trPr>
          <w:trHeight w:val="229"/>
        </w:trPr>
        <w:tc>
          <w:tcPr>
            <w:tcW w:w="6560" w:type="dxa"/>
            <w:vAlign w:val="bottom"/>
            <w:gridSpan w:val="3"/>
          </w:tcPr>
          <w:p>
            <w:pPr>
              <w:spacing w:after="0"/>
              <w:rPr>
                <w:sz w:val="20"/>
                <w:szCs w:val="20"/>
                <w:color w:val="auto"/>
              </w:rPr>
            </w:pPr>
            <w:r>
              <w:rPr>
                <w:rFonts w:ascii="Arial" w:cs="Arial" w:eastAsia="Arial" w:hAnsi="Arial"/>
                <w:sz w:val="18"/>
                <w:szCs w:val="18"/>
                <w:color w:val="auto"/>
              </w:rPr>
              <w:t>Add/(less):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1,619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1,833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3,487</w:t>
            </w:r>
          </w:p>
        </w:tc>
        <w:tc>
          <w:tcPr>
            <w:tcW w:w="60" w:type="dxa"/>
            <w:vAlign w:val="bottom"/>
          </w:tcPr>
          <w:p>
            <w:pPr>
              <w:spacing w:after="0"/>
              <w:rPr>
                <w:sz w:val="19"/>
                <w:szCs w:val="19"/>
                <w:color w:val="auto"/>
              </w:rPr>
            </w:pPr>
          </w:p>
        </w:tc>
      </w:tr>
      <w:tr>
        <w:trPr>
          <w:trHeight w:val="229"/>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Interest expense</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1,236</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9"/>
                <w:szCs w:val="19"/>
                <w:color w:val="auto"/>
              </w:rPr>
            </w:pP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Interest income</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0"/>
                <w:szCs w:val="20"/>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4,147</w:t>
            </w: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2,642</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60" w:type="dxa"/>
            <w:vAlign w:val="bottom"/>
          </w:tcPr>
          <w:p>
            <w:pPr>
              <w:spacing w:after="0"/>
              <w:rPr>
                <w:sz w:val="19"/>
                <w:szCs w:val="19"/>
                <w:color w:val="auto"/>
              </w:rPr>
            </w:pPr>
          </w:p>
        </w:tc>
      </w:tr>
      <w:tr>
        <w:trPr>
          <w:trHeight w:val="229"/>
        </w:trPr>
        <w:tc>
          <w:tcPr>
            <w:tcW w:w="6560" w:type="dxa"/>
            <w:vAlign w:val="bottom"/>
            <w:gridSpan w:val="3"/>
          </w:tcPr>
          <w:p>
            <w:pPr>
              <w:spacing w:after="0"/>
              <w:rPr>
                <w:sz w:val="20"/>
                <w:szCs w:val="20"/>
                <w:color w:val="auto"/>
              </w:rPr>
            </w:pPr>
            <w:r>
              <w:rPr>
                <w:rFonts w:ascii="Arial" w:cs="Arial" w:eastAsia="Arial" w:hAnsi="Arial"/>
                <w:sz w:val="18"/>
                <w:szCs w:val="18"/>
                <w:color w:val="auto"/>
              </w:rPr>
              <w:t>Add/(less):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1,519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2,267</w:t>
            </w:r>
          </w:p>
        </w:tc>
        <w:tc>
          <w:tcPr>
            <w:tcW w:w="60" w:type="dxa"/>
            <w:vAlign w:val="bottom"/>
          </w:tcPr>
          <w:p>
            <w:pPr>
              <w:spacing w:after="0"/>
              <w:rPr>
                <w:sz w:val="19"/>
                <w:szCs w:val="19"/>
                <w:color w:val="auto"/>
              </w:rPr>
            </w:pP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1,567</w:t>
            </w:r>
          </w:p>
        </w:tc>
        <w:tc>
          <w:tcPr>
            <w:tcW w:w="240" w:type="dxa"/>
            <w:vAlign w:val="bottom"/>
          </w:tcPr>
          <w:p>
            <w:pPr>
              <w:spacing w:after="0"/>
              <w:rPr>
                <w:sz w:val="19"/>
                <w:szCs w:val="19"/>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5,123</w:t>
            </w:r>
          </w:p>
        </w:tc>
        <w:tc>
          <w:tcPr>
            <w:tcW w:w="60" w:type="dxa"/>
            <w:vAlign w:val="bottom"/>
          </w:tcPr>
          <w:p>
            <w:pPr>
              <w:spacing w:after="0"/>
              <w:rPr>
                <w:sz w:val="19"/>
                <w:szCs w:val="19"/>
                <w:color w:val="auto"/>
              </w:rPr>
            </w:pPr>
          </w:p>
        </w:tc>
      </w:tr>
      <w:tr>
        <w:trPr>
          <w:trHeight w:val="229"/>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9"/>
                <w:szCs w:val="19"/>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60" w:type="dxa"/>
            <w:vAlign w:val="bottom"/>
          </w:tcPr>
          <w:p>
            <w:pPr>
              <w:spacing w:after="0"/>
              <w:rPr>
                <w:sz w:val="19"/>
                <w:szCs w:val="19"/>
                <w:color w:val="auto"/>
              </w:rPr>
            </w:pPr>
          </w:p>
        </w:tc>
      </w:tr>
      <w:tr>
        <w:trPr>
          <w:trHeight w:val="229"/>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(717)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29"/>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19"/>
                <w:szCs w:val="19"/>
                <w:color w:val="auto"/>
              </w:rPr>
            </w:pP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30"/>
        </w:trPr>
        <w:tc>
          <w:tcPr>
            <w:tcW w:w="6560" w:type="dxa"/>
            <w:vAlign w:val="bottom"/>
            <w:gridSpan w:val="3"/>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0"/>
                <w:szCs w:val="20"/>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6,137</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5,158</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6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2" w:lineRule="exact"/>
        <w:rPr>
          <w:sz w:val="20"/>
          <w:szCs w:val="20"/>
          <w:color w:val="auto"/>
        </w:rPr>
      </w:pPr>
    </w:p>
    <w:p>
      <w:pPr>
        <w:ind w:left="120" w:right="20" w:hanging="111"/>
        <w:spacing w:after="0" w:line="230" w:lineRule="auto"/>
        <w:tabs>
          <w:tab w:leader="none" w:pos="114" w:val="left"/>
        </w:tabs>
        <w:numPr>
          <w:ilvl w:val="0"/>
          <w:numId w:val="8"/>
        </w:numPr>
        <w:rPr>
          <w:rFonts w:ascii="Arial" w:cs="Arial" w:eastAsia="Arial" w:hAnsi="Arial"/>
          <w:sz w:val="12"/>
          <w:szCs w:val="12"/>
          <w:color w:val="auto"/>
        </w:rPr>
      </w:pPr>
      <w:r>
        <w:rPr>
          <w:rFonts w:ascii="Arial" w:cs="Arial" w:eastAsia="Arial" w:hAnsi="Arial"/>
          <w:sz w:val="14"/>
          <w:szCs w:val="14"/>
          <w:color w:val="auto"/>
        </w:rPr>
        <w:t>Other gains, net has been adjusted out, except for amounts of US$878 thousand, US$766 thousand, US$1,412 thousand and US$1,215 thousand in relation to government grants for the three months ended June 30, 2021 and 2020 and for the six months ended June 30, 2021 and 2020, respectively.</w:t>
      </w:r>
    </w:p>
    <w:p>
      <w:pPr>
        <w:ind w:left="120" w:hanging="112"/>
        <w:spacing w:after="0" w:line="222" w:lineRule="auto"/>
        <w:tabs>
          <w:tab w:leader="none" w:pos="120" w:val="left"/>
        </w:tabs>
        <w:numPr>
          <w:ilvl w:val="0"/>
          <w:numId w:val="9"/>
        </w:numPr>
        <w:rPr>
          <w:rFonts w:ascii="Arial" w:cs="Arial" w:eastAsia="Arial" w:hAnsi="Arial"/>
          <w:sz w:val="12"/>
          <w:szCs w:val="12"/>
          <w:color w:val="auto"/>
        </w:rPr>
      </w:pPr>
      <w:r>
        <w:rPr>
          <w:rFonts w:ascii="Arial" w:cs="Arial" w:eastAsia="Arial" w:hAnsi="Arial"/>
          <w:sz w:val="14"/>
          <w:szCs w:val="14"/>
          <w:color w:val="auto"/>
        </w:rPr>
        <w:t>Convertible notes and shares issuance cost represents legal and professional fee for the issue of convertible notes and shares.</w:t>
      </w:r>
    </w:p>
    <w:p>
      <w:pPr>
        <w:ind w:left="120" w:hanging="112"/>
        <w:spacing w:after="0"/>
        <w:tabs>
          <w:tab w:leader="none" w:pos="120" w:val="left"/>
        </w:tabs>
        <w:numPr>
          <w:ilvl w:val="0"/>
          <w:numId w:val="10"/>
        </w:numPr>
        <w:rPr>
          <w:rFonts w:ascii="Arial" w:cs="Arial" w:eastAsia="Arial" w:hAnsi="Arial"/>
          <w:sz w:val="11"/>
          <w:szCs w:val="11"/>
          <w:color w:val="auto"/>
        </w:rPr>
      </w:pPr>
      <w:r>
        <w:rPr>
          <w:rFonts w:ascii="Arial" w:cs="Arial" w:eastAsia="Arial" w:hAnsi="Arial"/>
          <w:sz w:val="13"/>
          <w:szCs w:val="13"/>
          <w:color w:val="auto"/>
        </w:rPr>
        <w:t>Net loss attributable to noncontrolling interests has been adjusted back because the Company’s management regularly reviews EBITDA excluding noncontrolling interests as a measure of its</w:t>
      </w:r>
    </w:p>
    <w:p>
      <w:pPr>
        <w:ind w:left="120"/>
        <w:spacing w:after="0" w:line="221" w:lineRule="auto"/>
        <w:rPr>
          <w:sz w:val="20"/>
          <w:szCs w:val="20"/>
          <w:color w:val="auto"/>
        </w:rPr>
      </w:pPr>
      <w:r>
        <w:rPr>
          <w:rFonts w:ascii="Arial" w:cs="Arial" w:eastAsia="Arial" w:hAnsi="Arial"/>
          <w:sz w:val="14"/>
          <w:szCs w:val="14"/>
          <w:color w:val="auto"/>
        </w:rPr>
        <w:t>operational performance.</w:t>
      </w:r>
    </w:p>
    <w:p>
      <w:pPr>
        <w:ind w:left="120" w:hanging="112"/>
        <w:spacing w:after="0" w:line="221" w:lineRule="auto"/>
        <w:tabs>
          <w:tab w:leader="none" w:pos="1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spacing w:after="0" w:line="1"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2"/>
          <w:szCs w:val="12"/>
          <w:color w:val="auto"/>
        </w:rPr>
      </w:pPr>
      <w:r>
        <w:rPr>
          <w:rFonts w:ascii="Arial" w:cs="Arial" w:eastAsia="Arial" w:hAnsi="Arial"/>
          <w:sz w:val="14"/>
          <w:szCs w:val="14"/>
          <w:color w:val="auto"/>
        </w:rPr>
        <w:t>Cost related to new business setup or acquisition represents transaction cost (e.g. legal and professional fee)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jc w:val="both"/>
        <w:spacing w:after="0" w:line="246" w:lineRule="auto"/>
        <w:rPr>
          <w:sz w:val="20"/>
          <w:szCs w:val="20"/>
          <w:color w:val="auto"/>
        </w:rPr>
      </w:pPr>
      <w:r>
        <w:rPr>
          <w:rFonts w:ascii="Arial" w:cs="Arial" w:eastAsia="Arial" w:hAnsi="Arial"/>
          <w:sz w:val="20"/>
          <w:szCs w:val="20"/>
          <w:color w:val="auto"/>
        </w:rPr>
        <w:t>Adjusted net income represents net income/(loss) before (i) share-based compensation, (ii) fair value losses on derivative liabilities, (iii) fair value losses on convertible notes, (iv) other gains, net, (v) convertible notes and shares issuance cost, (vi) net loss attributable to noncontrolling interests, (vii) share of losses from an equity investee, and (viii) cost related to new business setup or acquisitions. There is no material tax effects on these non-GAAP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sets forth a reconciliation of the Company’s adjusted net income from net income/(loss) for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8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60" w:type="dxa"/>
            <w:vAlign w:val="bottom"/>
          </w:tcPr>
          <w:p>
            <w:pPr>
              <w:spacing w:after="0"/>
              <w:rPr>
                <w:sz w:val="19"/>
                <w:szCs w:val="19"/>
                <w:color w:val="auto"/>
              </w:rPr>
            </w:pPr>
          </w:p>
        </w:tc>
      </w:tr>
      <w:tr>
        <w:trPr>
          <w:trHeight w:val="229"/>
        </w:trPr>
        <w:tc>
          <w:tcPr>
            <w:tcW w:w="656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1,519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2,267</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1,567</w:t>
            </w:r>
          </w:p>
        </w:tc>
        <w:tc>
          <w:tcPr>
            <w:tcW w:w="240" w:type="dxa"/>
            <w:vAlign w:val="bottom"/>
          </w:tcPr>
          <w:p>
            <w:pPr>
              <w:spacing w:after="0"/>
              <w:rPr>
                <w:sz w:val="19"/>
                <w:szCs w:val="19"/>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5,123</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9"/>
                <w:szCs w:val="19"/>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7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(717)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136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2,587</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2,495</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 per ADS for the periods indicated are calculated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15"/>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15"/>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income/(loss):</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income/(loss)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loss per ADS - Weighted average</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96,262,253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74,804,895</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95,321,164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69,590,308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income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101,861,423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81,336,689</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100,920,334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76,122,102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income/(loss) per ADS</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income/(loss)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income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9"/>
    </w:lvl>
  </w:abstractNum>
  <w:abstractNum w:abstractNumId="6">
    <w:nsid w:val="12200854"/>
    <w:multiLevelType w:val="hybridMultilevel"/>
    <w:lvl w:ilvl="0">
      <w:lvlJc w:val="left"/>
      <w:lvlText w:val="(%1)"/>
      <w:numFmt w:val="lowerRoman"/>
      <w:start w:val="8"/>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6"/>
      <w:numFmt w:val="bullet"/>
      <w:start w:val="1"/>
    </w:lvl>
  </w:abstractNum>
  <w:abstractNum w:abstractNumId="11">
    <w:nsid w:val="66EF438D"/>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2021-08-25T15:11:04Z</dcterms:created>
  <dcterms:modified xsi:type="dcterms:W3CDTF">2021-08-25T15:11:04Z</dcterms:modified>
</cp:coreProperties>
</file>