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4756d1_6k.htm"/>
      <w:bookmarkStart w:id="1" w:name="kstm2624756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Amber International Holding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Wallich Street, #30-02 Guoco Tower, Singapore 078881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+65 60220228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9420"/>
      </w:tblGrid>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center"/>
              <w:rPr>
                <w:b/>
                <w:sz w:val="20"/>
              </w:rPr>
            </w:pPr>
            <w:r>
              <w:rPr>
                <w:b/>
                <w:sz w:val="20"/>
              </w:rPr>
              <w:t>EXHIBIT INDEX</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center"/>
              <w:rPr/>
            </w:pPr>
            <w:r>
              <w:rPr/>
              <w:t> </w:t>
            </w:r>
          </w:p>
        </w:tc>
      </w:tr>
      <w:tr>
        <w:trPr/>
        <w:tc>
          <w:tcPr>
            <w:tcW w:w="725"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Number</w:t>
            </w:r>
          </w:p>
        </w:tc>
        <w:tc>
          <w:tcPr>
            <w:tcW w:w="60" w:type="dxa"/>
            <w:tcBorders/>
            <w:vAlign w:val="center"/>
          </w:tcPr>
          <w:p>
            <w:pPr>
              <w:pStyle w:val="TableContents"/>
              <w:bidi w:val="0"/>
              <w:spacing w:before="0" w:after="283"/>
              <w:jc w:val="left"/>
              <w:rPr/>
            </w:pPr>
            <w:r>
              <w:rPr/>
              <w:t> </w:t>
            </w:r>
          </w:p>
        </w:tc>
        <w:tc>
          <w:tcPr>
            <w:tcW w:w="942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Description of Document</w:t>
            </w:r>
          </w:p>
        </w:tc>
      </w:tr>
      <w:tr>
        <w:trPr/>
        <w:tc>
          <w:tcPr>
            <w:tcW w:w="725" w:type="dxa"/>
            <w:tcBorders/>
            <w:vAlign w:val="center"/>
          </w:tcPr>
          <w:p>
            <w:pPr>
              <w:pStyle w:val="TableContents"/>
              <w:bidi w:val="0"/>
              <w:spacing w:before="0" w:after="283"/>
              <w:jc w:val="left"/>
              <w:rPr/>
            </w:pPr>
            <w:hyperlink w:anchor="tm2624756d1_ex99-1.htm">
              <w:r>
                <w:rPr>
                  <w:rStyle w:val="InternetLink"/>
                  <w:sz w:val="20"/>
                </w:rPr>
                <w:t>99.1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4756d1_ex99-1.htm">
              <w:r>
                <w:rPr>
                  <w:rStyle w:val="InternetLink"/>
                  <w:sz w:val="20"/>
                </w:rPr>
                <w:t>Amber International Holding Limited Accelerates Specialized AI Agent Transformation as Q2 Revenue Grows 38.8% Quarter-over-Quarter and Profitability Turns Positive</w:t>
              </w:r>
            </w:hyperlink>
          </w:p>
        </w:tc>
      </w:tr>
    </w:tbl>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ind w:left="504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50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545"/>
        <w:gridCol w:w="324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Steve Zhang</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Steve Zhang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Financial Officer</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324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2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Josephine Ngai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Josephine Ngai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Financial Officer</w:t>
            </w:r>
          </w:p>
        </w:tc>
      </w:tr>
    </w:tbl>
    <w:p>
      <w:pPr>
        <w:pStyle w:val="TextBody"/>
        <w:bidi w:val="0"/>
        <w:spacing w:before="0" w:after="0"/>
        <w:ind w:left="564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4756d1_ex99-1.htm"/>
      <w:bookmarkStart w:id="3" w:name="kstm2624756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Amber International Holding Limited Accelerates Specialized AI Agent Transformation as Q2 Revenue Grows 38.8% Quarter-over-Quarter and Profitability Turns Positive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left"/>
              <w:rPr/>
            </w:pPr>
            <w:r>
              <w:rPr/>
              <w:t>Formally pivoted to building specialized AI agents; Ambre and MIA now in market as the first two products.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pPr>
            <w:r>
              <w:rPr/>
              <w:t>-</w:t>
            </w:r>
          </w:p>
        </w:tc>
        <w:tc>
          <w:tcPr>
            <w:tcW w:w="10073" w:type="dxa"/>
            <w:tcBorders/>
            <w:vAlign w:val="center"/>
          </w:tcPr>
          <w:p>
            <w:pPr>
              <w:pStyle w:val="TableContents"/>
              <w:bidi w:val="0"/>
              <w:spacing w:before="0" w:after="283"/>
              <w:jc w:val="left"/>
              <w:rPr/>
            </w:pPr>
            <w:r>
              <w:rPr/>
              <w:t>Total revenue reached US$13.9 million, up 38.8% quarter-over-quarter; US$7.4 million classified as agentic, supporting 79.5% gross margin and positive operating income and Adjusted EBITDA.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Singapore, September 3, 2026 – </w:t>
      </w:r>
      <w:r>
        <w:rPr>
          <w:rFonts w:ascii="Times New Roman;Times;Serif" w:hAnsi="Times New Roman;Times;Serif"/>
          <w:b w:val="false"/>
          <w:i w:val="false"/>
          <w:caps w:val="false"/>
          <w:smallCaps w:val="false"/>
          <w:sz w:val="20"/>
        </w:rPr>
        <w:t>Amber International Holding Limited (Nasdaq: AMBR) (“Amber International”, “we,” “us,” or the “Company”) today announced Second Quarter 2026 Unaudited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 Commentary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Wu, Chairman and Chief Executive Officer of Amber International, commented: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second quarter was a strong one for us. Revenue reached US$13.9 million, up 38.8% quarter-over-quarter, with gross margin expanding to 79.5%. Operating income and Adjusted EBITDA both turned positive. These results are the first evidence of the strategic direction we are 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days ago in Hong Kong, we introduced the new AMBR: a company that builds specialized AI agents. This is a deliberate pivot. We were a digital wealth management business; we are becoming a technology company. We are doing so from a position of strength, not as a reaction.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this week, we have two agents in the market. Ambre is our consumer agent for personal finance. It delivers the portfolio analysis, signals, monitoring and alerts that relationship managers have long provided to high-net-worth clients, but makes them available more broadly. It works across users’ existing exchange and brokerage accounts and does not place orders — when a user decides to act, they are connected to our expert team. Ambre is currently available by invitation, starting with Amber Premium’s verified client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 is our marketing agent and the proof that this model produces revenue. Built and scaled inside our wholly-owned marketing businesses, MIA already runs a substantial share of day-to-day campaign operations for more than a hundred enterprise customers. It is now also available as a direct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Ambre and MIA are the first two agents, not the full portfolio. Additional agents and the financial framework for the transition will be presented at our Investor Day, which we now expect to hold before year-end. Until then, our priority is disciplined execution on what we have just launched.”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Vicky Wang, President of Amber International, said: “Earlier this week, on September 1, we officially unveiled the new AMBR, focused on building specialized AI agents for high-value, high-stakes use cases. The initial response from clients, partners and the market has been encouraging.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Users want more than another general-purpose AI interface — they want intelligence that understands their context and can help them take action. This is where AMBR has a differentiated foundation: deep domain expertise, trusted financial infrastructure, and experience serving sophisticated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flagship product, Ambre, applies this approach to personal finance by building a holistic view of the user’s assets and priorities, identifying the signals that matter, and helping users act on them. We are also advancing MIA for growth and marketing workflows. Together, they demonstrate our thesis that the next generation of AI products will move from answering questions to understanding intent and executing complex workflows.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look forward to sharing more as we expand Ambre, MIA and additional specialized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and First Half 2026 Highlights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Total Revenue</w:t>
            </w:r>
            <w:r>
              <w:rPr/>
              <w:t>: US$13.9 million in Q2 2026, an increase of 38.8% quarter-over-quarter, bringing first-half 2026 revenue to US$23.9 million.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Wealth Management Solutions Revenue:</w:t>
            </w:r>
            <w:r>
              <w:rPr/>
              <w:t xml:space="preserve"> US$5.3 million in Q2 2026, increased from US$4.3 million last quarter, reaching US$9.6 million for the first half of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Agentic Revenue:</w:t>
            </w:r>
            <w:r>
              <w:rPr/>
              <w:t xml:space="preserve"> reached US$7.4 million in Q2 2026, led by initial recognition of higher-margin revenue from A-MM which enhanced the Company’s revenue mix, with the revenue from AI-driven marketing and enterprise solutions.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Gross Profit</w:t>
            </w:r>
            <w:r>
              <w:rPr/>
              <w:t>: US$11.1 million in Q2 2026, rose from US$6.8 million last quarter, while gross margin increased from 67.7% to 79.5%. It was US$17.9 million in the first half of 2026, with a gross margin of 74.5%.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b/>
              </w:rPr>
              <w:t xml:space="preserve">Non-GAAP Adjusted EBITDA from continuing operations: </w:t>
            </w:r>
            <w:r>
              <w:rPr/>
              <w:t>US$1.9 million in Q2 2026 versus US$3.2 million loss in Q1 2026, bringing first-half 2026 adjusted EBITDA to a loss of US$1.3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Developments and Strategic Updates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second quarter, the Company advanced its strategic repositioning as a builder of specialized AI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the Company formally unveiled the new AMBR brand and introduced its next chapter, focused on building specialized AI agents for high-value, high-stakes use cases. Two agents are now in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Ambre, the flagship consumer agent for personal finance, is designed to build a holistic understanding of a user’s assets, priorities and financial context, identify the signals that matter most, and increasingly help users monitor and act on those insights. It works across existing exchange and brokerage accounts and does not place orders. Ambre is currently available by invitation, starting with Amber Premium’s verified client base.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MIA, the specialized agent for growth and marketing workflows, continues to operate at commercial scale within the Company’s wholly-owned marketing businesses and is now also available as a direct product.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Ambre and MIA demonstrate the Company’s thesis that the next generation of AI products will move from answering questions to understanding intent, maintaining context and executing complex workflows on behalf of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Agentic revenue reached US$7.4 million in the quarter, including the initial contribution from A-MM. This higher-margin mix supported the expansion of gross margin to 79.5% and the return to positive operating income and Adjusted EBITDA.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provide a fuller view of its agent portfolio and the financial framework for the transition at its Investor Day, anticipated before year-end. Until then, the priority is disciplined execution on the products already in the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2025, the Company announced a share repurchase program authorizing the purchase of up to US$50.0 million of its ADSs over a 12-month period commencing December 1, 2025. As of June 30, 2026, the Company had repurchased a total of 2,636,910 ADSs under this program for an aggregate consideration of approximately US$5.8 million. As of June 30, 2026, approximately US$44.2 million remained available for future repurchases under the program, providing significant capacity for opportunistic repurchases alongside continued growth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Results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financial metrics of the Company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15"/>
        <w:gridCol w:w="60"/>
        <w:gridCol w:w="64"/>
        <w:gridCol w:w="641"/>
        <w:gridCol w:w="60"/>
        <w:gridCol w:w="60"/>
        <w:gridCol w:w="64"/>
        <w:gridCol w:w="641"/>
        <w:gridCol w:w="80"/>
        <w:gridCol w:w="60"/>
        <w:gridCol w:w="106"/>
        <w:gridCol w:w="859"/>
        <w:gridCol w:w="220"/>
        <w:gridCol w:w="60"/>
        <w:gridCol w:w="80"/>
        <w:gridCol w:w="790"/>
        <w:gridCol w:w="80"/>
        <w:gridCol w:w="60"/>
        <w:gridCol w:w="115"/>
        <w:gridCol w:w="850"/>
        <w:gridCol w:w="240"/>
      </w:tblGrid>
      <w:tr>
        <w:trPr/>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9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in thousands, except per share data; unaudited)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change</w:t>
            </w:r>
          </w:p>
        </w:tc>
        <w:tc>
          <w:tcPr>
            <w:tcW w:w="22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change</w:t>
            </w:r>
          </w:p>
        </w:tc>
        <w:tc>
          <w:tcPr>
            <w:tcW w:w="2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Metrics: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2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9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850" w:type="dxa"/>
            <w:tcBorders/>
            <w:shd w:fill="CCEEFF" w:val="clear"/>
            <w:vAlign w:val="center"/>
          </w:tcPr>
          <w:p>
            <w:pPr>
              <w:pStyle w:val="TableContents"/>
              <w:bidi w:val="0"/>
              <w:spacing w:before="0" w:after="283"/>
              <w:jc w:val="right"/>
              <w:rPr/>
            </w:pPr>
            <w:r>
              <w:rPr/>
              <w:t> </w:t>
            </w:r>
          </w:p>
        </w:tc>
        <w:tc>
          <w:tcPr>
            <w:tcW w:w="240" w:type="dxa"/>
            <w:tcBorders/>
            <w:shd w:fill="CCEEFF" w:val="clear"/>
            <w:vAlign w:val="center"/>
          </w:tcPr>
          <w:p>
            <w:pPr>
              <w:pStyle w:val="TableContents"/>
              <w:bidi w:val="0"/>
              <w:spacing w:before="0" w:after="283"/>
              <w:jc w:val="left"/>
              <w:rPr/>
            </w:pPr>
            <w:r>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r>
              <w:rPr>
                <w:rFonts w:ascii="Times New Roman;Times;Serif" w:hAnsi="Times New Roman;Times;Serif"/>
                <w:b w:val="false"/>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7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850" w:type="dxa"/>
            <w:tcBorders/>
            <w:shd w:fill="FFFFFF" w:val="clear"/>
            <w:vAlign w:val="center"/>
          </w:tcPr>
          <w:p>
            <w:pPr>
              <w:pStyle w:val="TableContents"/>
              <w:bidi w:val="0"/>
              <w:spacing w:before="0" w:after="283"/>
              <w:jc w:val="right"/>
              <w:rPr/>
            </w:pPr>
            <w:r>
              <w:rPr/>
              <w:t> </w:t>
            </w:r>
          </w:p>
        </w:tc>
        <w:tc>
          <w:tcPr>
            <w:tcW w:w="240" w:type="dxa"/>
            <w:tcBorders/>
            <w:shd w:fill="FFFFFF" w:val="clear"/>
            <w:vAlign w:val="center"/>
          </w:tcPr>
          <w:p>
            <w:pPr>
              <w:pStyle w:val="TableContents"/>
              <w:bidi w:val="0"/>
              <w:spacing w:before="0" w:after="283"/>
              <w:jc w:val="left"/>
              <w:rPr/>
            </w:pPr>
            <w:r>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Digital Assets Platform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6,564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14,412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(54.5</w:t>
            </w:r>
          </w:p>
        </w:tc>
        <w:tc>
          <w:tcPr>
            <w:tcW w:w="2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5,691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15.3</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Wealth Management Solutions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5,312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11,544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(54.0</w:t>
            </w:r>
          </w:p>
        </w:tc>
        <w:tc>
          <w:tcPr>
            <w:tcW w:w="2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4,257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24.8</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Execution Solutions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2,010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(63.3</w:t>
            </w:r>
          </w:p>
        </w:tc>
        <w:tc>
          <w:tcPr>
            <w:tcW w:w="2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859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(14.2</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Payment Solutions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858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(40.0</w:t>
            </w:r>
          </w:p>
        </w:tc>
        <w:tc>
          <w:tcPr>
            <w:tcW w:w="22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575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(10.4</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Agentic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7,357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4,536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62.2</w:t>
            </w:r>
          </w:p>
        </w:tc>
        <w:tc>
          <w:tcPr>
            <w:tcW w:w="22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4,337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69.6</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w:t>
            </w:r>
          </w:p>
        </w:tc>
        <w:tc>
          <w:tcPr>
            <w:tcW w:w="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w:t>
            </w:r>
          </w:p>
        </w:tc>
        <w:tc>
          <w:tcPr>
            <w:tcW w:w="24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w:t>
            </w:r>
          </w:p>
        </w:tc>
        <w:tc>
          <w:tcPr>
            <w:tcW w:w="2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96.3</w:t>
            </w:r>
          </w:p>
        </w:tc>
        <w:tc>
          <w:tcPr>
            <w:tcW w:w="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income/(loss) from continuing operations per American Depositary Shares (“ADS”)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from continuing operations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997.6</w:t>
            </w:r>
          </w:p>
        </w:tc>
        <w:tc>
          <w:tcPr>
            <w:tcW w:w="2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income/(loss) from continuing operations</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2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50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adjusted net income/(loss) per ADS from continuing operations</w:t>
            </w:r>
            <w:r>
              <w:rPr>
                <w:rFonts w:ascii="Times New Roman;Times;Serif" w:hAnsi="Times New Roman;Times;Serif"/>
                <w:b w:val="false"/>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2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4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Certain operations were classified as held-for-sale starting from the third quarter of 2025, and we completed one of the disposals in October 2025. The disposed business was deconsolidated from the Company upon the respective disposal and the results of the held-for-sale and disposed businesses are reflected in the consolidated financial statements as discontinued operations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Revenue </w:t>
      </w:r>
      <w:r>
        <w:rPr>
          <w:rFonts w:ascii="Times New Roman;Times;Serif" w:hAnsi="Times New Roman;Times;Serif"/>
          <w:b w:val="false"/>
          <w:i w:val="false"/>
          <w:caps w:val="false"/>
          <w:smallCaps w:val="false"/>
          <w:sz w:val="20"/>
        </w:rPr>
        <w:t>for the second quarter of 2026 increased 38.8% quarter-over-quarter from US$10.0 million in the prior quarter to US$13.9 million. The addition of revenue from A-MM this quarter further broadened the Company’s revenue base, alongside the growth in institutional-grade wealth management platforms.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Revenue from Wealth Management Solutions was US$5.3 million in the second quarter of 2026, up from US$4.3 million last quarter, driven by stronger demand across the Company's diversified and newly launched investment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Revenue from Execution Solutions was US$0.7 million in the second quarter of 2026, versus US$0.9 million last quarter, due to lower trading volumes resulting from broader macroeconomic conditions, partially offset by a higher realized fee rate during the quarter.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Revenue from Payment Solutions was US$0.5 million in the second quarter of 2026, versus US$0.6 million last quarter, with continued momentum in stablecoin-based payment flows for risk-off positioning and treasury management partially offsetting the impact of market-driven fluctuations.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Agentic Revenue consists of (i) revenue generated from A-MM (Agentic Market Making), the first flagship component of the Company’s A-Suite agent-native liquidity operations system and designated market-making infrastructure platform which offers integrated technology, platform and operational services. It was US$3.5 million in the initial recognition this quarter, establishing a strategic new growth driver and advancing the Company’s ongoing AI adoption, and (ii) Marketing and Enterprise Solutions revenue of US$3.8 million in the second quarter of 2026, compared to US$4.3 million last quarter, reflected the Company's strategic decision to optimize its portfolio, including realignment of resources away from lower margin consumers and marketers.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Beginning in the second quarter of 2026, the Company introduced (i) “Digital Assets Platform Revenue,” comprising the revenue from Wealth Management Solutions, Execution Solutions, and Payment Solutions, and (ii) “Agentic Revenue”, comprising the revenue generated from A-MM (Agentic Market Making) and Marketing and Enterprise Solutions to better reflect the evolution of its AI-enabled business model. Comparative period information has been conformed to the current presentation. Any discrepancies on announcement between the amounts identified as total amounts and the sum of the amounts listed therein are due to rounding.</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For more details on these non-GAAP financial measures, please see the tables captioned "Unaudited Reconciliations of GAAP and Non-GAAP Results"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Combined revenue from Digital Assets Platform and A-MM reached US$10.1 million in the second quarter of 2026, exceeding the Company's previously communicated Amber Premium revenue outlook of US$9.0 million to US$10.0 million, which was provided prior to the introduction of A-MM as a new revenue stream under Amber Premium. Digital Assets Platform Revenue contributed US$6.6 million, and A-MM contributed US$3.5 million revenue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Gross profit</w:t>
      </w:r>
      <w:r>
        <w:rPr>
          <w:rFonts w:ascii="Times New Roman;Times;Serif" w:hAnsi="Times New Roman;Times;Serif"/>
          <w:b w:val="false"/>
          <w:i w:val="false"/>
          <w:caps w:val="false"/>
          <w:smallCaps w:val="false"/>
          <w:sz w:val="20"/>
        </w:rPr>
        <w:t xml:space="preserve"> increased to US$11.1 million in the second quarter of 2026 from US$6.8 million last quarter, while gross profit margin reached 79.5% in the second quarter of 2026, from 67.7% last quarter. These improvements were driven by a more favorable higher-margin business mix, including the contributions from our new agentic revenue from A-MM and the core Wealth Management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Total operating expenses</w:t>
      </w:r>
      <w:r>
        <w:rPr>
          <w:rFonts w:ascii="Times New Roman;Times;Serif" w:hAnsi="Times New Roman;Times;Serif"/>
          <w:b w:val="false"/>
          <w:i w:val="false"/>
          <w:caps w:val="false"/>
          <w:smallCaps w:val="false"/>
          <w:sz w:val="20"/>
        </w:rPr>
        <w:t xml:space="preserve"> remained stable at US$10.0 million in the second quarter of 2026. The disciplined cost management demonstrated the scalability of our operations through the integration of AI capabilities across the business and the ongoing transition of our business to an AI-driven operating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Operating income</w:t>
      </w:r>
      <w:r>
        <w:rPr>
          <w:rFonts w:ascii="Times New Roman;Times;Serif" w:hAnsi="Times New Roman;Times;Serif"/>
          <w:b w:val="false"/>
          <w:i w:val="false"/>
          <w:caps w:val="false"/>
          <w:smallCaps w:val="false"/>
          <w:sz w:val="20"/>
        </w:rPr>
        <w:t xml:space="preserve"> improved to US$1.0 million in the second quarter of 2026, turning positive from an operating loss of US$3.2 million last quarter, contributed by stronger gross profit performance and new higher-margin A-MM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Other gains, net</w:t>
      </w:r>
      <w:r>
        <w:rPr>
          <w:rFonts w:ascii="Times New Roman;Times;Serif" w:hAnsi="Times New Roman;Times;Serif"/>
          <w:b w:val="false"/>
          <w:i w:val="false"/>
          <w:caps w:val="false"/>
          <w:smallCaps w:val="false"/>
          <w:sz w:val="20"/>
        </w:rPr>
        <w:t xml:space="preserve"> were US$0.4 million in the second quarter of 2026, versus US$0.6 million other losses, net last quarter. The results in the second quarter of 2026 mainly benefited from a more favorable unrealized fair value change of crypto assets loan receivables and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Net income from continuing operations</w:t>
      </w:r>
      <w:r>
        <w:rPr>
          <w:rFonts w:ascii="Times New Roman;Times;Serif" w:hAnsi="Times New Roman;Times;Serif"/>
          <w:b w:val="false"/>
          <w:i w:val="false"/>
          <w:caps w:val="false"/>
          <w:smallCaps w:val="false"/>
          <w:sz w:val="20"/>
        </w:rPr>
        <w:t xml:space="preserve"> achieved US$1.5 million in the second quarter of 2026, compared to net loss of US$3.7 million last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EBITDA from continuing operations</w:t>
      </w:r>
      <w:r>
        <w:rPr>
          <w:rFonts w:ascii="Times New Roman;Times;Serif" w:hAnsi="Times New Roman;Times;Serif"/>
          <w:b w:val="false"/>
          <w:i w:val="false"/>
          <w:caps w:val="false"/>
          <w:smallCaps w:val="false"/>
          <w:sz w:val="20"/>
        </w:rPr>
        <w:t xml:space="preserve"> strengthened to US$1.9 million profitability in the second quarter of 2026, from a loss of US$3.2 million last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Adjusted net income from continuing operations</w:t>
      </w:r>
      <w:r>
        <w:rPr>
          <w:rFonts w:ascii="Times New Roman;Times;Serif" w:hAnsi="Times New Roman;Times;Serif"/>
          <w:b w:val="false"/>
          <w:i w:val="false"/>
          <w:caps w:val="false"/>
          <w:smallCaps w:val="false"/>
          <w:sz w:val="20"/>
        </w:rPr>
        <w:t xml:space="preserve"> was US$1.5 million, improved from adjusted net loss of US$3.5 million last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cash and cash equivalents, time deposits and restricted cash of US$34.2 million, compared to US$33.9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Withdrawal of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view of the Company's strategic transition towards an agentic AI company, the management has determined that the previously issued financial guidance is no longer an appropriate measure of the Company's future performance. Accordingly, we are withdrawing our financial guidance while we evaluate the financial impact of the new business initiatives. The Company expects to provide updated guidance once sufficient operating history and forecasting visibility have been established.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an earnings conference call at 8:00 AM U.S. Eastern Time on September 3, 2026 (8:00 PM Singapore time on September 3, 2026). Participants are asked to use one of the following teleconferencing numbers to participate in the call and reference the Access ID number 13762457. The Company requests that participants dial in 10 minutes before the conference call begins.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 Dial-in Numbers: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 1-844-539-3703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Toll/International: 1-412-652-1273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conference call will also be available via a live webcast https://viavid.webcasts.com/starthere.jsp?ei=1774230&amp;tp_key=5a46e93419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Replay Dial-in Numbers: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 Free: 1-844-512-2921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Toll/International: 1-412-317-6671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Replay Pin Number: 13762457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of the call will be available on Thursday, September 3, 2026, after 12:00 PM ET through Thursday, September 17, 2026 at 11:59 PM 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earnings release and investor presentation will be available shortly after issuance in the Investor Relations section of Amber International's website at https://ir.ambr.io.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Amber International Holding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Amber International Holding Limited (Nasdaq: AMBR), is a technology company that builds specialized AI agents for high-value, high-stakes use cases. Drawing on deep domain expertise, trusted financial infrastructure, and experience serving sophisticated users, the Company develops agents that move beyond answering questions to understanding intent, maintaining context, and executing complex workflows on behalf of users. Its first two agents are in the market: Ambre, a consumer agent for personal finance, and MIA, an agent for growth and marketing workflows. Headquartered in Singapore, Amber International is listed on the Nasdaq Stock Market. For more information, visit https://ir.ambr.io.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uses adjusted EBITDA from continuing operations, adjusted net income/(loss) from continuing operations, and diluted adjusted net income/(loss) from continuing operations per ADS, each a non-GAAP financial measure, in evaluating the Company's operating results and for financial and operational decision-making purposes. The Company believes that adjusted EBITDA from continuing operations, adjusted net income/(loss) from continuing operations, and diluted adjusted net income/(loss) from continuing operations per ADS help identify underlying trends in the Company's business that could otherwise be distorted by the effect of the expenses and gains that the Company includes in net income/(loss). The Company believes that adjusted EBITDA from continuing operations and adjusted net income/(loss) from continuing operations provide useful information about the Company's operating results, enhance the overall understanding of the Company's past performance and future prospects, assess operating performance on a consistent basis, and allow for greater visibility with respect to key metrics used by the Company's management in its financial and operational decision-making.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from continuing operations, adjusted net income/(loss) from continuing operations, and diluted adjusted net income/(loss) from continuing operations per ADS should not be considered in isolation or construed as an alternative to net income/(loss) or any other measure of performance or as an indicator of the Company's operating performance. Investors are encouraged to review the historical non-GAAP financial measures to the most directly comparable GAAP measures. Adjusted EBITDA from continuing operations, adjusted net income/(loss) from continuing operations, and diluted adjusted net income/(loss) from continuing operations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on these non-GAAP financial measures, please see the table captioned “Unaudited Reconciliations of GAAP and Non-GAAP Results” set forth at the end of this press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non-GAAP financial measures were presented with the most directly comparable GAAP financial measures together for facilitating a more comprehensive understanding of operating performance between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Notice Regarding Preliminary 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information presented herein is preliminary and unaudited, and is subject to change in connection with the completion of the Company’s financial closing and audit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contains forward-looking statements within the meaning of the safe harbor provisions of the Private Securities Litigation Reform Act of 1995. All statements other than statements of historical fact in this announcement are forward-looking statements. These forward-looking statements are inherently uncertain, and shareholders and other potential investors must recognize that actual results may differ materially from the expectations as a result of a variety of factors. Such forward-looking statements are based upon management's current expectations and include known and unknown risks, uncertainties and other factors, many of which are hard to predict or control, that may cause the actual results, performance, or plans to differ materially from any future results, performance or plans expressed or implied by such forward-looking statements, including, among others, risks and uncertainties related to the Company’s strategic transition, including its ability to execute its strategy and manage the transition and the launch, development, performance, and market adoption of its products and any additional specialized AI agents. Further information regarding these and other risks is included in the Company's annual reports on Form 20-F and other filings with the SEC.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&amp; Investor Contacts</w:t>
      </w:r>
    </w:p>
    <w:p>
      <w:pPr>
        <w:pStyle w:val="TextBody"/>
        <w:bidi w:val="0"/>
        <w:spacing w:before="0" w:after="0"/>
        <w:ind w:left="0" w:right="0" w:hanging="0"/>
        <w:jc w:val="left"/>
        <w:rPr>
          <w:caps w:val="false"/>
          <w:smallCaps w:val="false"/>
        </w:rPr>
      </w:pPr>
      <w:r>
        <w:rPr>
          <w:caps w:val="false"/>
          <w:smallCaps w:val="false"/>
        </w:rPr>
        <w:t>  </w:t>
      </w:r>
    </w:p>
    <w:tbl>
      <w:tblPr>
        <w:tblW w:w="3260" w:type="dxa"/>
        <w:jc w:val="left"/>
        <w:tblInd w:w="0" w:type="dxa"/>
        <w:tblLayout w:type="fixed"/>
        <w:tblCellMar>
          <w:top w:w="0" w:type="dxa"/>
          <w:left w:w="0" w:type="dxa"/>
          <w:bottom w:w="0" w:type="dxa"/>
          <w:right w:w="0" w:type="dxa"/>
        </w:tblCellMar>
      </w:tblPr>
      <w:tblGrid>
        <w:gridCol w:w="3260"/>
      </w:tblGrid>
      <w:tr>
        <w:trPr/>
        <w:tc>
          <w:tcPr>
            <w:tcW w:w="3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Asia:</w:t>
            </w:r>
          </w:p>
        </w:tc>
      </w:tr>
      <w:tr>
        <w:trPr/>
        <w:tc>
          <w:tcPr>
            <w:tcW w:w="32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Amber International Holding Limited</w:t>
            </w:r>
          </w:p>
        </w:tc>
      </w:tr>
      <w:tr>
        <w:trPr/>
        <w:tc>
          <w:tcPr>
            <w:tcW w:w="32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Media Relations Team</w:t>
            </w:r>
          </w:p>
        </w:tc>
      </w:tr>
      <w:tr>
        <w:trPr/>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Phone: +65 6022 0228</w:t>
            </w:r>
          </w:p>
        </w:tc>
      </w:tr>
      <w:tr>
        <w:trPr/>
        <w:tc>
          <w:tcPr>
            <w:tcW w:w="326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pr@ambr.io | ir@ambr.io</w:t>
            </w:r>
          </w:p>
          <w:p>
            <w:pPr>
              <w:pStyle w:val="TableContents"/>
              <w:bidi w:val="0"/>
              <w:spacing w:before="0" w:after="0"/>
              <w:ind w:left="0" w:right="0" w:hanging="0"/>
              <w:jc w:val="left"/>
              <w:rPr>
                <w:caps w:val="false"/>
                <w:smallCaps w:val="false"/>
              </w:rPr>
            </w:pPr>
            <w:r>
              <w:rPr>
                <w:caps w:val="false"/>
                <w:smallCaps w:val="false"/>
              </w:rPr>
              <w:t> </w:t>
            </w:r>
          </w:p>
        </w:tc>
      </w:tr>
      <w:tr>
        <w:trPr/>
        <w:tc>
          <w:tcPr>
            <w:tcW w:w="3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 the United States:</w:t>
            </w:r>
          </w:p>
        </w:tc>
      </w:tr>
      <w:tr>
        <w:trPr/>
        <w:tc>
          <w:tcPr>
            <w:tcW w:w="32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International Elite Capital Inc.</w:t>
            </w:r>
          </w:p>
        </w:tc>
      </w:tr>
      <w:tr>
        <w:trPr/>
        <w:tc>
          <w:tcPr>
            <w:tcW w:w="3260"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Annabelle Zhang</w:t>
            </w:r>
          </w:p>
        </w:tc>
      </w:tr>
      <w:tr>
        <w:trPr/>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Phone: +1 (646) 866-7928</w:t>
            </w:r>
          </w:p>
        </w:tc>
      </w:tr>
      <w:tr>
        <w:trPr/>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E-mail: </w:t>
            </w:r>
            <w:r>
              <w:rPr>
                <w:rFonts w:ascii="Times New Roman;Times;Serif" w:hAnsi="Times New Roman;Times;Serif"/>
                <w:sz w:val="20"/>
                <w:u w:val="single"/>
              </w:rPr>
              <w:t>amber@iecapitalusa.com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tables follow)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AMBER INTERNATIONAL HOLDING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Income/(Loss)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 except share data and per share data, or otherwise noted)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754"/>
        <w:gridCol w:w="60"/>
        <w:gridCol w:w="76"/>
        <w:gridCol w:w="837"/>
        <w:gridCol w:w="80"/>
        <w:gridCol w:w="60"/>
        <w:gridCol w:w="76"/>
        <w:gridCol w:w="837"/>
        <w:gridCol w:w="80"/>
        <w:gridCol w:w="60"/>
        <w:gridCol w:w="99"/>
        <w:gridCol w:w="979"/>
        <w:gridCol w:w="80"/>
        <w:gridCol w:w="60"/>
        <w:gridCol w:w="76"/>
        <w:gridCol w:w="837"/>
        <w:gridCol w:w="80"/>
        <w:gridCol w:w="60"/>
        <w:gridCol w:w="76"/>
        <w:gridCol w:w="837"/>
        <w:gridCol w:w="101"/>
      </w:tblGrid>
      <w:tr>
        <w:trPr/>
        <w:tc>
          <w:tcPr>
            <w:tcW w:w="47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84"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Continuing operations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18,948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23,949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33,455</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(7,924</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14,583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25,531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(4,585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(7,968</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(3,223</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(14,279</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(25,470</w:t>
            </w:r>
          </w:p>
        </w:tc>
        <w:tc>
          <w:tcPr>
            <w:tcW w:w="1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gains/(losses),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1,604</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Income/(loss) from continuing operations before share of losses from an equity investee and income tax (expense)/credit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1,715</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of losses from an equity investee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Income/(loss) from continuing operations before income tax (expense)/credit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1,691</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(expense)/credit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1,687</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from continuing operations attributable to the Company’s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(3,728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(2,256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1,687</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Discontinued operations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97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101" w:type="dxa"/>
            <w:tcBorders/>
            <w:shd w:fill="CCEEFF" w:val="clear"/>
            <w:vAlign w:val="center"/>
          </w:tcPr>
          <w:p>
            <w:pPr>
              <w:pStyle w:val="TableContents"/>
              <w:bidi w:val="0"/>
              <w:spacing w:before="0" w:after="283"/>
              <w:jc w:val="left"/>
              <w:rPr/>
            </w:pPr>
            <w:r>
              <w:rPr/>
              <w:t> </w:t>
            </w:r>
          </w:p>
        </w:tc>
      </w:tr>
      <w:tr>
        <w:trPr/>
        <w:tc>
          <w:tcPr>
            <w:tcW w:w="475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1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from discontinued operations attributable to the Company’s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01"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75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97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r>
      <w:tr>
        <w:trPr/>
        <w:tc>
          <w:tcPr>
            <w:tcW w:w="4754"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(3,732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1,644</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754"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income/(loss) attributable to the Company’s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1,498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9"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(3,732</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7"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1,672</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86"/>
        <w:gridCol w:w="60"/>
        <w:gridCol w:w="63"/>
        <w:gridCol w:w="1006"/>
        <w:gridCol w:w="80"/>
        <w:gridCol w:w="60"/>
        <w:gridCol w:w="63"/>
        <w:gridCol w:w="1006"/>
        <w:gridCol w:w="80"/>
        <w:gridCol w:w="60"/>
        <w:gridCol w:w="66"/>
        <w:gridCol w:w="1058"/>
        <w:gridCol w:w="80"/>
        <w:gridCol w:w="60"/>
        <w:gridCol w:w="63"/>
        <w:gridCol w:w="1006"/>
        <w:gridCol w:w="80"/>
        <w:gridCol w:w="60"/>
        <w:gridCol w:w="63"/>
        <w:gridCol w:w="1006"/>
        <w:gridCol w:w="99"/>
      </w:tblGrid>
      <w:tr>
        <w:trPr/>
        <w:tc>
          <w:tcPr>
            <w:tcW w:w="40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42"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9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loss:</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US$nil tax</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income/(loss) from continuing operations attributable to the Company's ordinary shareholders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635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(4,145</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(3,971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1,572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 from discontinued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income/(loss):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 net of US$nil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income/(loss) from discontinued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(43</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0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from discontinued operations attributable to noncontrolling interests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income/(loss) from discontinued operations attributable to the Company's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(67</w:t>
            </w:r>
          </w:p>
        </w:tc>
        <w:tc>
          <w:tcPr>
            <w:tcW w:w="9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0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income/(loss) attributable to the Company's ordinary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(4,149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(3,949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1,505</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 from continuing operations per ADS attributable to the Company’s ordinary shareholders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ADS used in per share calculation: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93,840,552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90,548,508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93,837,525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93,839,047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79,493,454</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93,870,041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90,551,286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93,837,525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93,839,047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79,496,261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 from discontinued operations per ADS attributable to the Company’s ordinary shareholders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9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ADS used in per share calculation: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93,840,552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90,548,508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93,837,525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93,839,047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79,493,454</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93,870,041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90,548,508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93,837,525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93,865,074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79,493,454</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 per ADS attributable to the Company’s ordinary shareholders</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r>
      <w:tr>
        <w:trPr/>
        <w:tc>
          <w:tcPr>
            <w:tcW w:w="40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ADS used in per share calculation:</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right"/>
              <w:rPr/>
            </w:pPr>
            <w:r>
              <w:rPr/>
              <w:t> </w:t>
            </w:r>
          </w:p>
        </w:tc>
        <w:tc>
          <w:tcPr>
            <w:tcW w:w="99" w:type="dxa"/>
            <w:tcBorders/>
            <w:shd w:fill="CCEEFF" w:val="clear"/>
            <w:vAlign w:val="center"/>
          </w:tcPr>
          <w:p>
            <w:pPr>
              <w:pStyle w:val="TableContents"/>
              <w:bidi w:val="0"/>
              <w:spacing w:before="0" w:after="283"/>
              <w:jc w:val="left"/>
              <w:rPr/>
            </w:pPr>
            <w:r>
              <w:rPr/>
              <w:t> </w:t>
            </w:r>
          </w:p>
        </w:tc>
      </w:tr>
      <w:tr>
        <w:trPr/>
        <w:tc>
          <w:tcPr>
            <w:tcW w:w="4086" w:type="dxa"/>
            <w:tcBorders/>
            <w:shd w:fill="FFFF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Basic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93,840,552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90,548,508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93,837,525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93,839,047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79,493,454</w:t>
            </w:r>
          </w:p>
        </w:tc>
        <w:tc>
          <w:tcPr>
            <w:tcW w:w="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86" w:type="dxa"/>
            <w:tcBorders/>
            <w:shd w:fill="CCEEFF" w:val="clear"/>
            <w:vAlign w:val="center"/>
          </w:tcPr>
          <w:p>
            <w:pPr>
              <w:pStyle w:val="TableContents"/>
              <w:bidi w:val="0"/>
              <w:spacing w:before="0" w:after="283"/>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93,870,041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90,551,286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93,837,525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93,839,047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79,496,261</w:t>
            </w:r>
          </w:p>
        </w:tc>
        <w:tc>
          <w:tcPr>
            <w:tcW w:w="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AMBER INTERNATIONAL HOLDING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Financial Position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w:t>
      </w:r>
    </w:p>
    <w:p>
      <w:pPr>
        <w:pStyle w:val="TextBody"/>
        <w:bidi w:val="0"/>
        <w:spacing w:before="0" w:after="0"/>
        <w:ind w:left="0" w:right="0" w:hanging="0"/>
        <w:jc w:val="left"/>
        <w:rPr>
          <w:caps w:val="false"/>
          <w:smallCaps w:val="false"/>
        </w:rPr>
      </w:pPr>
      <w:r>
        <w:rPr>
          <w:caps w:val="false"/>
          <w:smallCaps w:val="false"/>
        </w:rPr>
        <w:t> </w:t>
      </w:r>
    </w:p>
    <w:tbl>
      <w:tblPr>
        <w:tblW w:w="8948" w:type="dxa"/>
        <w:jc w:val="left"/>
        <w:tblInd w:w="0" w:type="dxa"/>
        <w:tblLayout w:type="fixed"/>
        <w:tblCellMar>
          <w:top w:w="0" w:type="dxa"/>
          <w:left w:w="0" w:type="dxa"/>
          <w:bottom w:w="0" w:type="dxa"/>
          <w:right w:w="0" w:type="dxa"/>
        </w:tblCellMar>
      </w:tblPr>
      <w:tblGrid>
        <w:gridCol w:w="4895"/>
        <w:gridCol w:w="60"/>
        <w:gridCol w:w="131"/>
        <w:gridCol w:w="1523"/>
        <w:gridCol w:w="80"/>
        <w:gridCol w:w="60"/>
        <w:gridCol w:w="166"/>
        <w:gridCol w:w="1938"/>
        <w:gridCol w:w="95"/>
      </w:tblGrid>
      <w:tr>
        <w:trPr/>
        <w:tc>
          <w:tcPr>
            <w:tcW w:w="48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time deposits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33,902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12,246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16,625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Crypto assets loan receivables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57,788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45,958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assets at fair value through profits or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60,081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8,534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recoverable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238,722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196,932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53,136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2"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298,048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2" w:space="0" w:color="000000"/>
            </w:tcBorders>
            <w:shd w:fill="FFFFFF" w:val="clear"/>
            <w:tcMar>
              <w:bottom w:w="50"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256,379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and equity</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payables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13,427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Collateral payables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75,558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due to customers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49,624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61,351</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 due to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47,723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48,031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Derivative financial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held for sale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194,906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145,298</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195,227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146,067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15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93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86,480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90,061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losses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(33,139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8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Reserve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51,714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53,390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8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15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93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equity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 w:type="dxa"/>
            <w:tcBorders>
              <w:bottom w:val="doub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3"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298,048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938" w:type="dxa"/>
            <w:tcBorders>
              <w:bottom w:val="doub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256,379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AMBER INTERNATIONAL HOLDING LIMITED</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Reconciliations of GAAP and Non-GAAP Results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(US$’000, except share data and per share data, or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from continuing operations represents net income/(loss) from continuing operations before (i) depreciation and amortization, (ii) finance income, net, (iii) income tax expense/(credit), (iv) share-based compensation, (v) other gains, net, (vi) unrealized loss in fair value of digital assets, and (vii) cost related to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 reconciliation of the Company’s adjusted EBITDA from continuing operations from net income/(loss) from continuing operations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61"/>
        <w:gridCol w:w="60"/>
        <w:gridCol w:w="124"/>
        <w:gridCol w:w="1024"/>
        <w:gridCol w:w="80"/>
        <w:gridCol w:w="60"/>
        <w:gridCol w:w="112"/>
        <w:gridCol w:w="1037"/>
        <w:gridCol w:w="80"/>
        <w:gridCol w:w="60"/>
        <w:gridCol w:w="129"/>
        <w:gridCol w:w="1185"/>
        <w:gridCol w:w="80"/>
        <w:gridCol w:w="60"/>
        <w:gridCol w:w="112"/>
        <w:gridCol w:w="1037"/>
        <w:gridCol w:w="90"/>
        <w:gridCol w:w="67"/>
        <w:gridCol w:w="112"/>
        <w:gridCol w:w="1037"/>
        <w:gridCol w:w="98"/>
      </w:tblGrid>
      <w:tr>
        <w:trPr/>
        <w:tc>
          <w:tcPr>
            <w:tcW w:w="356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91"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5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67" w:type="dxa"/>
            <w:tcBorders/>
            <w:vAlign w:val="center"/>
          </w:tcPr>
          <w:p>
            <w:pPr>
              <w:pStyle w:val="TableContents"/>
              <w:bidi w:val="0"/>
              <w:spacing w:before="0" w:after="283"/>
              <w:jc w:val="left"/>
              <w:rPr>
                <w:caps w:val="false"/>
                <w:smallCaps w:val="false"/>
              </w:rPr>
            </w:pPr>
            <w:r>
              <w:rPr>
                <w:caps w:val="false"/>
                <w:smallCaps w:val="false"/>
              </w:rPr>
              <w:t> </w:t>
            </w:r>
          </w:p>
        </w:tc>
        <w:tc>
          <w:tcPr>
            <w:tcW w:w="11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Add/(less):</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02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1037"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expense/(credit)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EBITDA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(1,560</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2,262</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Add/(less):</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02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 w:type="dxa"/>
            <w:tcBorders/>
            <w:shd w:fill="CCEEFF" w:val="clear"/>
            <w:vAlign w:val="center"/>
          </w:tcPr>
          <w:p>
            <w:pPr>
              <w:pStyle w:val="TableContents"/>
              <w:bidi w:val="0"/>
              <w:spacing w:before="0" w:after="283"/>
              <w:jc w:val="left"/>
              <w:rPr/>
            </w:pPr>
            <w:r>
              <w:rPr/>
              <w:t> </w:t>
            </w:r>
          </w:p>
        </w:tc>
        <w:tc>
          <w:tcPr>
            <w:tcW w:w="118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1037" w:type="dxa"/>
            <w:tcBorders/>
            <w:shd w:fill="CCEEFF" w:val="clear"/>
            <w:vAlign w:val="center"/>
          </w:tcPr>
          <w:p>
            <w:pPr>
              <w:pStyle w:val="TableContents"/>
              <w:bidi w:val="0"/>
              <w:spacing w:before="0" w:after="283"/>
              <w:jc w:val="right"/>
              <w:rPr/>
            </w:pPr>
            <w:r>
              <w:rPr/>
              <w:t> </w:t>
            </w:r>
          </w:p>
        </w:tc>
        <w:tc>
          <w:tcPr>
            <w:tcW w:w="98" w:type="dxa"/>
            <w:tcBorders/>
            <w:shd w:fill="CCEEFF" w:val="clear"/>
            <w:vAlign w:val="center"/>
          </w:tcPr>
          <w:p>
            <w:pPr>
              <w:pStyle w:val="TableContents"/>
              <w:bidi w:val="0"/>
              <w:spacing w:before="0" w:after="283"/>
              <w:jc w:val="left"/>
              <w:rPr/>
            </w:pPr>
            <w:r>
              <w:rPr/>
              <w:t> </w:t>
            </w:r>
          </w:p>
        </w:tc>
      </w:tr>
      <w:tr>
        <w:trPr/>
        <w:tc>
          <w:tcPr>
            <w:tcW w:w="3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gains, net</w:t>
            </w:r>
            <w:r>
              <w:rPr>
                <w:rFonts w:ascii="Times New Roman;Times;Serif" w:hAnsi="Times New Roman;Times;Serif"/>
                <w:b w:val="false"/>
                <w:i w:val="false"/>
                <w:caps w:val="false"/>
                <w:smallCaps w:val="false"/>
                <w:position w:val="7"/>
                <w:sz w:val="16"/>
                <w:sz w:val="20"/>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w:t>
            </w:r>
          </w:p>
        </w:tc>
        <w:tc>
          <w:tcPr>
            <w:tcW w:w="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w:t>
            </w:r>
          </w:p>
        </w:tc>
        <w:tc>
          <w:tcPr>
            <w:tcW w:w="9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in fair value of digital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37"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5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related to merger</w:t>
            </w:r>
            <w:r>
              <w:rPr>
                <w:rFonts w:ascii="Times New Roman;Times;Serif" w:hAnsi="Times New Roman;Times;Serif"/>
                <w:b w:val="false"/>
                <w:i w:val="false"/>
                <w:caps w:val="false"/>
                <w:smallCaps w:val="false"/>
                <w:position w:val="7"/>
                <w:sz w:val="16"/>
                <w:sz w:val="20"/>
              </w:rPr>
              <w:t>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5"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56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from continuing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(1,324</w:t>
            </w:r>
          </w:p>
        </w:tc>
        <w:tc>
          <w:tcPr>
            <w:tcW w:w="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1,757</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income/(loss) from continuing operations represents net income/(loss) from continuing operations before (i) share-based compensation, (ii) other gains, net, (iii) unrealized loss in fair value of digital assets, and (iv) cost related to merger. There are no material tax effects on these non-GAAP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a reconciliation of the Company’s adjusted net income/(loss) from continuing operations from net income/(loss) from continuing operations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23"/>
        <w:gridCol w:w="60"/>
        <w:gridCol w:w="119"/>
        <w:gridCol w:w="978"/>
        <w:gridCol w:w="80"/>
        <w:gridCol w:w="60"/>
        <w:gridCol w:w="107"/>
        <w:gridCol w:w="990"/>
        <w:gridCol w:w="80"/>
        <w:gridCol w:w="60"/>
        <w:gridCol w:w="124"/>
        <w:gridCol w:w="1138"/>
        <w:gridCol w:w="80"/>
        <w:gridCol w:w="60"/>
        <w:gridCol w:w="107"/>
        <w:gridCol w:w="990"/>
        <w:gridCol w:w="88"/>
        <w:gridCol w:w="66"/>
        <w:gridCol w:w="107"/>
        <w:gridCol w:w="990"/>
        <w:gridCol w:w="98"/>
      </w:tblGrid>
      <w:tr>
        <w:trPr/>
        <w:tc>
          <w:tcPr>
            <w:tcW w:w="382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736"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34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2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66" w:type="dxa"/>
            <w:tcBorders/>
            <w:vAlign w:val="center"/>
          </w:tcPr>
          <w:p>
            <w:pPr>
              <w:pStyle w:val="TableContents"/>
              <w:bidi w:val="0"/>
              <w:spacing w:before="0" w:after="283"/>
              <w:jc w:val="left"/>
              <w:rPr>
                <w:caps w:val="false"/>
                <w:smallCaps w:val="false"/>
              </w:rPr>
            </w:pPr>
            <w:r>
              <w:rPr>
                <w:caps w:val="false"/>
                <w:smallCaps w:val="false"/>
              </w:rPr>
              <w:t> </w:t>
            </w:r>
          </w:p>
        </w:tc>
        <w:tc>
          <w:tcPr>
            <w:tcW w:w="109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Add/(less):</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jc w:val="left"/>
              <w:rPr/>
            </w:pPr>
            <w:r>
              <w:rPr/>
              <w:t> </w:t>
            </w:r>
          </w:p>
        </w:tc>
        <w:tc>
          <w:tcPr>
            <w:tcW w:w="1138"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right"/>
              <w:rPr/>
            </w:pPr>
            <w:r>
              <w:rPr/>
              <w:t> </w:t>
            </w:r>
          </w:p>
        </w:tc>
        <w:tc>
          <w:tcPr>
            <w:tcW w:w="98" w:type="dxa"/>
            <w:tcBorders/>
            <w:shd w:fill="FFFFFF" w:val="clear"/>
            <w:vAlign w:val="center"/>
          </w:tcPr>
          <w:p>
            <w:pPr>
              <w:pStyle w:val="TableContents"/>
              <w:bidi w:val="0"/>
              <w:spacing w:before="0" w:after="283"/>
              <w:jc w:val="left"/>
              <w:rPr/>
            </w:pPr>
            <w:r>
              <w:rPr/>
              <w:t> </w:t>
            </w:r>
          </w:p>
        </w:tc>
      </w:tr>
      <w:tr>
        <w:trPr/>
        <w:tc>
          <w:tcPr>
            <w:tcW w:w="3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gains, net</w:t>
            </w:r>
            <w:r>
              <w:rPr>
                <w:rFonts w:ascii="Times New Roman;Times;Serif" w:hAnsi="Times New Roman;Times;Serif"/>
                <w:b w:val="false"/>
                <w:i w:val="false"/>
                <w:caps w:val="false"/>
                <w:smallCaps w:val="false"/>
                <w:position w:val="7"/>
                <w:sz w:val="16"/>
                <w:sz w:val="20"/>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w:t>
            </w:r>
          </w:p>
        </w:tc>
        <w:tc>
          <w:tcPr>
            <w:tcW w:w="8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w:t>
            </w:r>
          </w:p>
        </w:tc>
        <w:tc>
          <w:tcPr>
            <w:tcW w:w="9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 in fair value of digital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1,065</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82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related to merger</w:t>
            </w:r>
            <w:r>
              <w:rPr>
                <w:rFonts w:ascii="Times New Roman;Times;Serif" w:hAnsi="Times New Roman;Times;Serif"/>
                <w:b w:val="false"/>
                <w:i w:val="false"/>
                <w:caps w:val="false"/>
                <w:smallCaps w:val="false"/>
                <w:position w:val="7"/>
                <w:sz w:val="16"/>
                <w:sz w:val="20"/>
              </w:rPr>
              <w:t>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w:t>
            </w:r>
          </w:p>
        </w:tc>
        <w:tc>
          <w:tcPr>
            <w:tcW w:w="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82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8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9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w:t>
            </w:r>
          </w:p>
        </w:tc>
        <w:tc>
          <w:tcPr>
            <w:tcW w:w="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Other gains, net has been adjusted out, except for (i) amounts of (US$66 thousand), US$93 thousand, US$1,130 thousand, US$1,064 thousand and US$150 thousand in relation to realized and unrealized (gain)/loss in fair value of digital assets, net for the three months ended June 30, 2026, June 30, 2025, March 31, 2026 and for the six months ended June 30, 2026 and 2025, respectively.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Cost related to the merger relates to legal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diluted adjusted net income/(loss) from continuing operations per ADS for the periods indicated are calculated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1"/>
        <w:gridCol w:w="60"/>
        <w:gridCol w:w="63"/>
        <w:gridCol w:w="1005"/>
        <w:gridCol w:w="60"/>
        <w:gridCol w:w="60"/>
        <w:gridCol w:w="63"/>
        <w:gridCol w:w="1005"/>
        <w:gridCol w:w="80"/>
        <w:gridCol w:w="60"/>
        <w:gridCol w:w="66"/>
        <w:gridCol w:w="1056"/>
        <w:gridCol w:w="80"/>
        <w:gridCol w:w="60"/>
        <w:gridCol w:w="63"/>
        <w:gridCol w:w="1005"/>
        <w:gridCol w:w="80"/>
        <w:gridCol w:w="60"/>
        <w:gridCol w:w="63"/>
        <w:gridCol w:w="1005"/>
        <w:gridCol w:w="100"/>
      </w:tblGrid>
      <w:tr>
        <w:trPr/>
        <w:tc>
          <w:tcPr>
            <w:tcW w:w="411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18"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27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 2025</w:t>
            </w:r>
          </w:p>
        </w:tc>
        <w:tc>
          <w:tcPr>
            <w:tcW w:w="1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(3,728</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1,687</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Non-GAAP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net income/(loss) from continuing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1,482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4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 for diluted net income/(loss) from continuing operations per ADS – Weighted average ADS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93,870,041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90,551,286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93,837,525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93,839,047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79,496,261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4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 for diluted adjusted net income/(loss) from continuing operations per ADS – Weighted average ADS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93,870,041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90,548,508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93,837,525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93,839,047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79,496,261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005"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r>
      <w:tr>
        <w:trPr/>
        <w:tc>
          <w:tcPr>
            <w:tcW w:w="4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income/(loss) from continuing operations per ADS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1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 Non-GAAP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1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adjusted net income/(loss) from continuing operations per ADS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4692</Words>
  <Characters>27156</Characters>
  <CharactersWithSpaces>33156</CharactersWithSpaces>
  <Paragraphs>3222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