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5260" w:type="dxa"/>
            <w:vAlign w:val="bottom"/>
          </w:tcPr>
          <w:p>
            <w:pPr>
              <w:ind w:left="1000"/>
              <w:spacing w:after="0"/>
              <w:rPr>
                <w:sz w:val="20"/>
                <w:szCs w:val="20"/>
                <w:color w:val="auto"/>
              </w:rPr>
            </w:pPr>
            <w:r>
              <w:rPr>
                <w:rFonts w:ascii="Arial" w:cs="Arial" w:eastAsia="Arial" w:hAnsi="Arial"/>
                <w:sz w:val="18"/>
                <w:szCs w:val="18"/>
                <w:b w:val="1"/>
                <w:bCs w:val="1"/>
                <w:color w:val="auto"/>
              </w:rPr>
              <w:t>CLEARY GOTTLIEB STEEN &amp; HAMILTON LLP</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20" w:type="dxa"/>
            <w:vAlign w:val="bottom"/>
          </w:tcPr>
          <w:p>
            <w:pPr>
              <w:spacing w:after="0"/>
              <w:rPr>
                <w:sz w:val="20"/>
                <w:szCs w:val="20"/>
                <w:color w:val="auto"/>
              </w:rPr>
            </w:pPr>
            <w:r>
              <w:rPr>
                <w:rFonts w:ascii="Arial" w:cs="Arial" w:eastAsia="Arial" w:hAnsi="Arial"/>
                <w:sz w:val="18"/>
                <w:szCs w:val="18"/>
                <w:color w:val="auto"/>
              </w:rPr>
              <w:t>WASHINGTON, D.C.</w:t>
            </w:r>
          </w:p>
        </w:tc>
        <w:tc>
          <w:tcPr>
            <w:tcW w:w="5260" w:type="dxa"/>
            <w:vAlign w:val="bottom"/>
          </w:tcPr>
          <w:p>
            <w:pPr>
              <w:jc w:val="center"/>
              <w:ind w:left="870"/>
              <w:spacing w:after="0"/>
              <w:rPr>
                <w:sz w:val="20"/>
                <w:szCs w:val="20"/>
                <w:color w:val="auto"/>
              </w:rPr>
            </w:pPr>
            <w:r>
              <w:rPr>
                <w:rFonts w:ascii="Arial" w:cs="Arial" w:eastAsia="Arial" w:hAnsi="Arial"/>
                <w:sz w:val="18"/>
                <w:szCs w:val="18"/>
                <w:color w:val="auto"/>
                <w:w w:val="90"/>
              </w:rPr>
              <w:t>One Liberty Plaza</w:t>
            </w:r>
          </w:p>
        </w:tc>
        <w:tc>
          <w:tcPr>
            <w:tcW w:w="3360" w:type="dxa"/>
            <w:vAlign w:val="bottom"/>
          </w:tcPr>
          <w:p>
            <w:pPr>
              <w:jc w:val="right"/>
              <w:spacing w:after="0"/>
              <w:rPr>
                <w:sz w:val="20"/>
                <w:szCs w:val="20"/>
                <w:color w:val="auto"/>
              </w:rPr>
            </w:pPr>
            <w:r>
              <w:rPr>
                <w:rFonts w:ascii="Arial" w:cs="Arial" w:eastAsia="Arial" w:hAnsi="Arial"/>
                <w:sz w:val="18"/>
                <w:szCs w:val="18"/>
                <w:color w:val="auto"/>
              </w:rPr>
              <w:t>ROME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PARIS</w:t>
            </w:r>
          </w:p>
        </w:tc>
        <w:tc>
          <w:tcPr>
            <w:tcW w:w="5260" w:type="dxa"/>
            <w:vAlign w:val="bottom"/>
          </w:tcPr>
          <w:p>
            <w:pPr>
              <w:jc w:val="center"/>
              <w:ind w:left="890"/>
              <w:spacing w:after="0"/>
              <w:rPr>
                <w:sz w:val="20"/>
                <w:szCs w:val="20"/>
                <w:color w:val="auto"/>
              </w:rPr>
            </w:pPr>
            <w:r>
              <w:rPr>
                <w:rFonts w:ascii="Arial" w:cs="Arial" w:eastAsia="Arial" w:hAnsi="Arial"/>
                <w:sz w:val="18"/>
                <w:szCs w:val="18"/>
                <w:color w:val="auto"/>
                <w:w w:val="93"/>
              </w:rPr>
              <w:t>New York, NY 10006-1470</w:t>
            </w:r>
          </w:p>
        </w:tc>
        <w:tc>
          <w:tcPr>
            <w:tcW w:w="3360" w:type="dxa"/>
            <w:vAlign w:val="bottom"/>
          </w:tcPr>
          <w:p>
            <w:pPr>
              <w:jc w:val="right"/>
              <w:spacing w:after="0"/>
              <w:rPr>
                <w:sz w:val="20"/>
                <w:szCs w:val="20"/>
                <w:color w:val="auto"/>
              </w:rPr>
            </w:pPr>
            <w:r>
              <w:rPr>
                <w:rFonts w:ascii="Arial" w:cs="Arial" w:eastAsia="Arial" w:hAnsi="Arial"/>
                <w:sz w:val="18"/>
                <w:szCs w:val="18"/>
                <w:color w:val="auto"/>
              </w:rPr>
              <w:t>MILAN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BRUSSELS</w:t>
            </w:r>
          </w:p>
        </w:tc>
        <w:tc>
          <w:tcPr>
            <w:tcW w:w="5260" w:type="dxa"/>
            <w:vAlign w:val="bottom"/>
          </w:tcPr>
          <w:p>
            <w:pPr>
              <w:jc w:val="center"/>
              <w:ind w:left="870"/>
              <w:spacing w:after="0"/>
              <w:rPr>
                <w:sz w:val="20"/>
                <w:szCs w:val="20"/>
                <w:color w:val="auto"/>
              </w:rPr>
            </w:pPr>
            <w:r>
              <w:rPr>
                <w:rFonts w:ascii="Arial" w:cs="Arial" w:eastAsia="Arial" w:hAnsi="Arial"/>
                <w:sz w:val="18"/>
                <w:szCs w:val="18"/>
                <w:color w:val="auto"/>
                <w:w w:val="90"/>
              </w:rPr>
              <w:t>T: +1 212 225 2000</w:t>
            </w:r>
          </w:p>
        </w:tc>
        <w:tc>
          <w:tcPr>
            <w:tcW w:w="3360" w:type="dxa"/>
            <w:vAlign w:val="bottom"/>
          </w:tcPr>
          <w:p>
            <w:pPr>
              <w:jc w:val="right"/>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LONDON</w:t>
            </w:r>
          </w:p>
        </w:tc>
        <w:tc>
          <w:tcPr>
            <w:tcW w:w="5260" w:type="dxa"/>
            <w:vAlign w:val="bottom"/>
          </w:tcPr>
          <w:p>
            <w:pPr>
              <w:jc w:val="center"/>
              <w:ind w:left="870"/>
              <w:spacing w:after="0"/>
              <w:rPr>
                <w:sz w:val="20"/>
                <w:szCs w:val="20"/>
                <w:color w:val="auto"/>
              </w:rPr>
            </w:pPr>
            <w:r>
              <w:rPr>
                <w:rFonts w:ascii="Arial" w:cs="Arial" w:eastAsia="Arial" w:hAnsi="Arial"/>
                <w:sz w:val="18"/>
                <w:szCs w:val="18"/>
                <w:color w:val="auto"/>
                <w:w w:val="90"/>
              </w:rPr>
              <w:t>F: +1 212 225 3999</w:t>
            </w:r>
          </w:p>
        </w:tc>
        <w:tc>
          <w:tcPr>
            <w:tcW w:w="3360" w:type="dxa"/>
            <w:vAlign w:val="bottom"/>
          </w:tcPr>
          <w:p>
            <w:pPr>
              <w:jc w:val="right"/>
              <w:spacing w:after="0"/>
              <w:rPr>
                <w:sz w:val="20"/>
                <w:szCs w:val="20"/>
                <w:color w:val="auto"/>
              </w:rPr>
            </w:pPr>
            <w:r>
              <w:rPr>
                <w:rFonts w:ascii="Arial" w:cs="Arial" w:eastAsia="Arial" w:hAnsi="Arial"/>
                <w:sz w:val="18"/>
                <w:szCs w:val="18"/>
                <w:color w:val="auto"/>
              </w:rPr>
              <w:t>BEIJING</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FRANKFURT</w:t>
            </w:r>
          </w:p>
        </w:tc>
        <w:tc>
          <w:tcPr>
            <w:tcW w:w="5260" w:type="dxa"/>
            <w:vAlign w:val="bottom"/>
            <w:vMerge w:val="restart"/>
          </w:tcPr>
          <w:p>
            <w:pPr>
              <w:jc w:val="center"/>
              <w:ind w:left="870"/>
              <w:spacing w:after="0"/>
              <w:rPr>
                <w:sz w:val="20"/>
                <w:szCs w:val="20"/>
                <w:color w:val="auto"/>
              </w:rPr>
            </w:pPr>
            <w:r>
              <w:rPr>
                <w:rFonts w:ascii="Arial" w:cs="Arial" w:eastAsia="Arial" w:hAnsi="Arial"/>
                <w:sz w:val="18"/>
                <w:szCs w:val="18"/>
                <w:color w:val="auto"/>
                <w:w w:val="92"/>
              </w:rPr>
              <w:t>clearygottlieb.com</w:t>
            </w:r>
          </w:p>
        </w:tc>
        <w:tc>
          <w:tcPr>
            <w:tcW w:w="3360" w:type="dxa"/>
            <w:vAlign w:val="bottom"/>
          </w:tcPr>
          <w:p>
            <w:pPr>
              <w:jc w:val="right"/>
              <w:spacing w:after="0"/>
              <w:rPr>
                <w:sz w:val="20"/>
                <w:szCs w:val="20"/>
                <w:color w:val="auto"/>
              </w:rPr>
            </w:pPr>
            <w:r>
              <w:rPr>
                <w:rFonts w:ascii="Arial" w:cs="Arial" w:eastAsia="Arial" w:hAnsi="Arial"/>
                <w:sz w:val="18"/>
                <w:szCs w:val="18"/>
                <w:color w:val="auto"/>
              </w:rPr>
              <w:t>BUENOS AIRES</w:t>
            </w:r>
          </w:p>
        </w:tc>
        <w:tc>
          <w:tcPr>
            <w:tcW w:w="0" w:type="dxa"/>
            <w:vAlign w:val="bottom"/>
          </w:tcPr>
          <w:p>
            <w:pPr>
              <w:spacing w:after="0"/>
              <w:rPr>
                <w:sz w:val="1"/>
                <w:szCs w:val="1"/>
                <w:color w:val="auto"/>
              </w:rPr>
            </w:pPr>
          </w:p>
        </w:tc>
      </w:tr>
      <w:tr>
        <w:trPr>
          <w:trHeight w:val="136"/>
        </w:trPr>
        <w:tc>
          <w:tcPr>
            <w:tcW w:w="2620" w:type="dxa"/>
            <w:vAlign w:val="bottom"/>
            <w:vMerge w:val="restart"/>
          </w:tcPr>
          <w:p>
            <w:pPr>
              <w:spacing w:after="0"/>
              <w:rPr>
                <w:sz w:val="20"/>
                <w:szCs w:val="20"/>
                <w:color w:val="auto"/>
              </w:rPr>
            </w:pPr>
            <w:r>
              <w:rPr>
                <w:rFonts w:ascii="Arial" w:cs="Arial" w:eastAsia="Arial" w:hAnsi="Arial"/>
                <w:sz w:val="18"/>
                <w:szCs w:val="18"/>
                <w:color w:val="auto"/>
              </w:rPr>
              <w:t>COLOGNE</w:t>
            </w:r>
          </w:p>
        </w:tc>
        <w:tc>
          <w:tcPr>
            <w:tcW w:w="5260" w:type="dxa"/>
            <w:vAlign w:val="bottom"/>
            <w:vMerge w:val="continue"/>
          </w:tcPr>
          <w:p>
            <w:pPr>
              <w:spacing w:after="0"/>
              <w:rPr>
                <w:sz w:val="11"/>
                <w:szCs w:val="11"/>
                <w:color w:val="auto"/>
              </w:rPr>
            </w:pPr>
          </w:p>
        </w:tc>
        <w:tc>
          <w:tcPr>
            <w:tcW w:w="3360" w:type="dxa"/>
            <w:vAlign w:val="bottom"/>
            <w:vMerge w:val="restart"/>
          </w:tcPr>
          <w:p>
            <w:pPr>
              <w:jc w:val="right"/>
              <w:spacing w:after="0"/>
              <w:rPr>
                <w:sz w:val="20"/>
                <w:szCs w:val="20"/>
                <w:color w:val="auto"/>
              </w:rPr>
            </w:pPr>
            <w:r>
              <w:rPr>
                <w:rFonts w:ascii="Arial" w:cs="Arial" w:eastAsia="Arial" w:hAnsi="Arial"/>
                <w:sz w:val="18"/>
                <w:szCs w:val="18"/>
                <w:color w:val="auto"/>
              </w:rPr>
              <w:t>SÃO PAULO</w:t>
            </w:r>
          </w:p>
        </w:tc>
        <w:tc>
          <w:tcPr>
            <w:tcW w:w="0" w:type="dxa"/>
            <w:vAlign w:val="bottom"/>
          </w:tcPr>
          <w:p>
            <w:pPr>
              <w:spacing w:after="0"/>
              <w:rPr>
                <w:sz w:val="1"/>
                <w:szCs w:val="1"/>
                <w:color w:val="auto"/>
              </w:rPr>
            </w:pPr>
          </w:p>
        </w:tc>
      </w:tr>
      <w:tr>
        <w:trPr>
          <w:trHeight w:val="80"/>
        </w:trPr>
        <w:tc>
          <w:tcPr>
            <w:tcW w:w="2620" w:type="dxa"/>
            <w:vAlign w:val="bottom"/>
            <w:vMerge w:val="continue"/>
          </w:tcPr>
          <w:p>
            <w:pPr>
              <w:spacing w:after="0"/>
              <w:rPr>
                <w:sz w:val="6"/>
                <w:szCs w:val="6"/>
                <w:color w:val="auto"/>
              </w:rPr>
            </w:pPr>
          </w:p>
        </w:tc>
        <w:tc>
          <w:tcPr>
            <w:tcW w:w="526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MOSCOW</w:t>
            </w:r>
          </w:p>
        </w:tc>
        <w:tc>
          <w:tcPr>
            <w:tcW w:w="5260" w:type="dxa"/>
            <w:vAlign w:val="bottom"/>
          </w:tcPr>
          <w:p>
            <w:pPr>
              <w:jc w:val="center"/>
              <w:ind w:left="870"/>
              <w:spacing w:after="0"/>
              <w:rPr>
                <w:sz w:val="20"/>
                <w:szCs w:val="20"/>
                <w:color w:val="auto"/>
              </w:rPr>
            </w:pPr>
            <w:r>
              <w:rPr>
                <w:rFonts w:ascii="Arial" w:cs="Arial" w:eastAsia="Arial" w:hAnsi="Arial"/>
                <w:sz w:val="18"/>
                <w:szCs w:val="18"/>
                <w:color w:val="auto"/>
                <w:w w:val="92"/>
              </w:rPr>
              <w:t>D: +852 2532 3783</w:t>
            </w:r>
          </w:p>
        </w:tc>
        <w:tc>
          <w:tcPr>
            <w:tcW w:w="3360" w:type="dxa"/>
            <w:vAlign w:val="bottom"/>
          </w:tcPr>
          <w:p>
            <w:pPr>
              <w:jc w:val="right"/>
              <w:spacing w:after="0"/>
              <w:rPr>
                <w:sz w:val="20"/>
                <w:szCs w:val="20"/>
                <w:color w:val="auto"/>
              </w:rPr>
            </w:pPr>
            <w:r>
              <w:rPr>
                <w:rFonts w:ascii="Arial" w:cs="Arial" w:eastAsia="Arial" w:hAnsi="Arial"/>
                <w:sz w:val="18"/>
                <w:szCs w:val="18"/>
                <w:color w:val="auto"/>
              </w:rPr>
              <w:t>ABU DHABI</w:t>
            </w: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2"/>
                <w:szCs w:val="22"/>
                <w:color w:val="auto"/>
              </w:rPr>
            </w:pPr>
          </w:p>
        </w:tc>
        <w:tc>
          <w:tcPr>
            <w:tcW w:w="5260" w:type="dxa"/>
            <w:vAlign w:val="bottom"/>
          </w:tcPr>
          <w:p>
            <w:pPr>
              <w:jc w:val="center"/>
              <w:ind w:left="870"/>
              <w:spacing w:after="0"/>
              <w:rPr>
                <w:sz w:val="20"/>
                <w:szCs w:val="20"/>
                <w:color w:val="auto"/>
              </w:rPr>
            </w:pPr>
            <w:r>
              <w:rPr>
                <w:rFonts w:ascii="Arial" w:cs="Arial" w:eastAsia="Arial" w:hAnsi="Arial"/>
                <w:sz w:val="18"/>
                <w:szCs w:val="18"/>
                <w:color w:val="auto"/>
                <w:w w:val="87"/>
              </w:rPr>
              <w:t>szhao@cgsh.com</w:t>
            </w:r>
          </w:p>
        </w:tc>
        <w:tc>
          <w:tcPr>
            <w:tcW w:w="3360" w:type="dxa"/>
            <w:vAlign w:val="bottom"/>
          </w:tcPr>
          <w:p>
            <w:pPr>
              <w:jc w:val="right"/>
              <w:spacing w:after="0"/>
              <w:rPr>
                <w:sz w:val="20"/>
                <w:szCs w:val="20"/>
                <w:color w:val="auto"/>
              </w:rPr>
            </w:pPr>
            <w:r>
              <w:rPr>
                <w:rFonts w:ascii="Arial" w:cs="Arial" w:eastAsia="Arial" w:hAnsi="Arial"/>
                <w:sz w:val="18"/>
                <w:szCs w:val="18"/>
                <w:color w:val="auto"/>
              </w:rPr>
              <w:t>SEOUL</w:t>
            </w:r>
          </w:p>
        </w:tc>
        <w:tc>
          <w:tcPr>
            <w:tcW w:w="0" w:type="dxa"/>
            <w:vAlign w:val="bottom"/>
          </w:tcPr>
          <w:p>
            <w:pPr>
              <w:spacing w:after="0"/>
              <w:rPr>
                <w:sz w:val="1"/>
                <w:szCs w:val="1"/>
                <w:color w:val="auto"/>
              </w:rPr>
            </w:pPr>
          </w:p>
        </w:tc>
      </w:tr>
      <w:tr>
        <w:trPr>
          <w:trHeight w:val="446"/>
        </w:trPr>
        <w:tc>
          <w:tcPr>
            <w:tcW w:w="26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360" w:type="dxa"/>
            <w:vAlign w:val="bottom"/>
          </w:tcPr>
          <w:p>
            <w:pPr>
              <w:jc w:val="right"/>
              <w:ind w:right="1710"/>
              <w:spacing w:after="0"/>
              <w:rPr>
                <w:sz w:val="20"/>
                <w:szCs w:val="20"/>
                <w:color w:val="auto"/>
              </w:rPr>
            </w:pPr>
            <w:r>
              <w:rPr>
                <w:rFonts w:ascii="Arial" w:cs="Arial" w:eastAsia="Arial" w:hAnsi="Arial"/>
                <w:sz w:val="18"/>
                <w:szCs w:val="18"/>
                <w:color w:val="auto"/>
              </w:rPr>
              <w:t>December 1, 2017</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COURIER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iClick Interactive Asia Group Limited</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Amendment No. 2 to Registration Statement on Form F-1 (File No.: 333-221034 )</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CIK No. 0001697818</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Dear Ms. Jacobs:</w:t>
      </w:r>
    </w:p>
    <w:p>
      <w:pPr>
        <w:spacing w:after="0" w:line="225" w:lineRule="exact"/>
        <w:rPr>
          <w:sz w:val="24"/>
          <w:szCs w:val="24"/>
          <w:color w:val="auto"/>
        </w:rPr>
      </w:pPr>
    </w:p>
    <w:p>
      <w:pPr>
        <w:ind w:right="100" w:firstLine="898"/>
        <w:spacing w:after="0" w:line="263" w:lineRule="auto"/>
        <w:rPr>
          <w:sz w:val="20"/>
          <w:szCs w:val="20"/>
          <w:color w:val="auto"/>
        </w:rPr>
      </w:pPr>
      <w:r>
        <w:rPr>
          <w:rFonts w:ascii="Arial" w:cs="Arial" w:eastAsia="Arial" w:hAnsi="Arial"/>
          <w:sz w:val="18"/>
          <w:szCs w:val="18"/>
          <w:color w:val="auto"/>
        </w:rPr>
        <w:t>On behalf of our client, iClick Interactive Asia Group Limited, a foreign private issuer organized under the laws of the Cayman Islands (the “Company”), we are filing herewith the amendment No. 2 to the Company’s registration statement on Form F-1 (the “Registration Statement”) and certain exhibits via EDGAR to the Securities and Exchange Commission (the “Commission”).</w:t>
      </w:r>
    </w:p>
    <w:p>
      <w:pPr>
        <w:spacing w:after="0" w:line="184" w:lineRule="exact"/>
        <w:rPr>
          <w:sz w:val="24"/>
          <w:szCs w:val="24"/>
          <w:color w:val="auto"/>
        </w:rPr>
      </w:pPr>
    </w:p>
    <w:p>
      <w:pPr>
        <w:ind w:right="40" w:firstLine="898"/>
        <w:spacing w:after="0" w:line="263" w:lineRule="auto"/>
        <w:rPr>
          <w:sz w:val="20"/>
          <w:szCs w:val="20"/>
          <w:color w:val="auto"/>
        </w:rPr>
      </w:pPr>
      <w:r>
        <w:rPr>
          <w:rFonts w:ascii="Arial" w:cs="Arial" w:eastAsia="Arial" w:hAnsi="Arial"/>
          <w:sz w:val="18"/>
          <w:szCs w:val="18"/>
          <w:color w:val="auto"/>
        </w:rPr>
        <w:t>To facilitate the review by the staff of the Commission (the “Staff”), we have separately delivered to the Staff today four courtesy copies of the Registration Statement, marked to show changes to the amendment No. 1 to registration statement on Form F-1 publicly filed with the Commission on November 22, 2017, and two copies of the filed exhibits.</w:t>
      </w:r>
    </w:p>
    <w:p>
      <w:pPr>
        <w:spacing w:after="0" w:line="184" w:lineRule="exact"/>
        <w:rPr>
          <w:sz w:val="24"/>
          <w:szCs w:val="24"/>
          <w:color w:val="auto"/>
        </w:rPr>
      </w:pPr>
    </w:p>
    <w:p>
      <w:pPr>
        <w:ind w:right="200" w:firstLine="898"/>
        <w:spacing w:after="0" w:line="263" w:lineRule="auto"/>
        <w:rPr>
          <w:sz w:val="20"/>
          <w:szCs w:val="20"/>
          <w:color w:val="auto"/>
        </w:rPr>
      </w:pPr>
      <w:r>
        <w:rPr>
          <w:rFonts w:ascii="Arial" w:cs="Arial" w:eastAsia="Arial" w:hAnsi="Arial"/>
          <w:sz w:val="18"/>
          <w:szCs w:val="18"/>
          <w:color w:val="auto"/>
        </w:rPr>
        <w:t>The Company respectfully advises the Staff that it expects to commence the marketing activities in connection with the offering shortly after the date hereof. The Company expects to request effectiveness of the Registration Statement on December 14, 2017 and will file the joint acceleration requests before then. The Company would greatly appreciate the Staff’s continuing support and assistance.</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Cleary Gottlieb Steen &amp; Hamilton LLP or an affiliated entity has an office in each of the cities listed above.</w:t>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143"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Should you have any questions about the responses contained herein, please contact the undersigned by phone at +852-2532-3783 or via e-mail at szhao@cgsh.com.</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Shuang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Shuang ZHAO, a Partner</w:t>
      </w:r>
    </w:p>
    <w:p>
      <w:pPr>
        <w:spacing w:after="0" w:line="252" w:lineRule="exact"/>
        <w:rPr>
          <w:sz w:val="20"/>
          <w:szCs w:val="20"/>
          <w:color w:val="auto"/>
        </w:rPr>
      </w:pPr>
    </w:p>
    <w:p>
      <w:pPr>
        <w:ind w:left="460" w:right="4060" w:hanging="452"/>
        <w:spacing w:after="0" w:line="258" w:lineRule="auto"/>
        <w:tabs>
          <w:tab w:leader="none" w:pos="456" w:val="left"/>
        </w:tabs>
        <w:numPr>
          <w:ilvl w:val="0"/>
          <w:numId w:val="1"/>
        </w:numPr>
        <w:rPr>
          <w:rFonts w:ascii="Arial" w:cs="Arial" w:eastAsia="Arial" w:hAnsi="Arial"/>
          <w:sz w:val="18"/>
          <w:szCs w:val="18"/>
          <w:color w:val="auto"/>
        </w:rPr>
      </w:pPr>
      <w:r>
        <w:rPr>
          <w:rFonts w:ascii="Arial" w:cs="Arial" w:eastAsia="Arial" w:hAnsi="Arial"/>
          <w:sz w:val="18"/>
          <w:szCs w:val="18"/>
          <w:color w:val="auto"/>
        </w:rPr>
        <w:t>Sammy Hsieh, Chairman and Chief Executive Officer, iClick Interactive Asia Group Limited Jill Jiao, Chief Financial Officer, iClick Interactive Asia Group Limited</w:t>
      </w:r>
    </w:p>
    <w:p>
      <w:pPr>
        <w:spacing w:after="0" w:line="1" w:lineRule="exact"/>
        <w:rPr>
          <w:rFonts w:ascii="Arial" w:cs="Arial" w:eastAsia="Arial" w:hAnsi="Arial"/>
          <w:sz w:val="18"/>
          <w:szCs w:val="18"/>
          <w:color w:val="auto"/>
        </w:rPr>
      </w:pPr>
    </w:p>
    <w:p>
      <w:pPr>
        <w:ind w:left="460" w:right="5900"/>
        <w:spacing w:after="0" w:line="265" w:lineRule="auto"/>
        <w:rPr>
          <w:rFonts w:ascii="Arial" w:cs="Arial" w:eastAsia="Arial" w:hAnsi="Arial"/>
          <w:sz w:val="18"/>
          <w:szCs w:val="18"/>
          <w:color w:val="auto"/>
        </w:rPr>
      </w:pPr>
      <w:r>
        <w:rPr>
          <w:rFonts w:ascii="Arial" w:cs="Arial" w:eastAsia="Arial" w:hAnsi="Arial"/>
          <w:sz w:val="17"/>
          <w:szCs w:val="17"/>
          <w:color w:val="auto"/>
        </w:rPr>
        <w:t>Shuang Zhao, Esq., Partner, Cleary Gottlieb Steen &amp; Hamilton LLP James C. Lin, Esq., Partner, Davis Polk &amp; Wardwell LLP</w:t>
      </w:r>
    </w:p>
    <w:p>
      <w:pPr>
        <w:ind w:left="460"/>
        <w:spacing w:after="0"/>
        <w:rPr>
          <w:rFonts w:ascii="Arial" w:cs="Arial" w:eastAsia="Arial" w:hAnsi="Arial"/>
          <w:sz w:val="18"/>
          <w:szCs w:val="18"/>
          <w:color w:val="auto"/>
        </w:rPr>
      </w:pPr>
      <w:r>
        <w:rPr>
          <w:rFonts w:ascii="Arial" w:cs="Arial" w:eastAsia="Arial" w:hAnsi="Arial"/>
          <w:sz w:val="18"/>
          <w:szCs w:val="18"/>
          <w:color w:val="auto"/>
        </w:rPr>
        <w:t>Wilson Chow, Partner, PricewaterhouseCoopers</w:t>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2020-10-07T23:05:44Z</dcterms:created>
  <dcterms:modified xsi:type="dcterms:W3CDTF">2020-10-07T23:05:44Z</dcterms:modified>
</cp:coreProperties>
</file>