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9047-8_3seq1.xml.htm"/>
      <w:bookmarkStart w:id="1" w:name="kstm2690478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Wu Yuao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#30-02, GUOCO TOWER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WALLICH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078881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Amber International Holding Ltd</w:t>
              </w:r>
            </w:hyperlink>
            <w:r>
              <w:rPr/>
              <w:t xml:space="preserve"> [ </w:t>
            </w:r>
            <w:r>
              <w:rPr>
                <w:rFonts w:ascii="Times;serif" w:hAnsi="Times;serif"/>
                <w:color w:val="0000FF"/>
                <w:sz w:val="24"/>
                <w:shd w:fill="FFFFFF" w:val="clear"/>
              </w:rPr>
              <w:t>AMBR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4"/>
        <w:gridCol w:w="1958"/>
        <w:gridCol w:w="1148"/>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4"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4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shares, par value $0.001 per share</w:t>
            </w:r>
          </w:p>
        </w:tc>
        <w:tc>
          <w:tcPr>
            <w:tcW w:w="1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36,233,237</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44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$0.001 per share</w:t>
            </w:r>
          </w:p>
        </w:tc>
        <w:tc>
          <w:tcPr>
            <w:tcW w:w="1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309,834,748</w:t>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securities held directly by Amber Fort Limited ("AFL"). The Reporting Person is the sole director of AFL and may thus be deemed to beneficially own the securities held by AFL.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by Amber Global Limited ("AGL"). Amber Primary Unit Holding Limited, an entity wholly owned by the Reporting Person, and AFL jointly possess the entitlement to appoint a majority of the board of directors of AGL. As a result, the Reporting Person may be deemed to beneficially own the securities held by AGL.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disclaims beneficial ownership of the securities reported herein as indirectly beneficially owned, except to the extent of such Reporting Person's pecuniary interest therein, and this report shall not be deemed an admission that the Reporting Person is the beneficial owner of such securities for purposes of Section 16 or any other purpose.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/s/Wu Yuao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9047d8_ex24.htm"/>
      <w:bookmarkStart w:id="3" w:name="kstm269047d8_ex24"/>
      <w:bookmarkEnd w:id="2"/>
      <w:bookmarkEnd w:id="3"/>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by these presents that the undersigned, does hereby make, constitute and appoint each of </w:t>
      </w:r>
      <w:r>
        <w:rPr>
          <w:rFonts w:ascii="Times New Roman;Times;Serif" w:hAnsi="Times New Roman;Times;Serif"/>
          <w:b/>
          <w:i w:val="false"/>
          <w:caps w:val="false"/>
          <w:smallCaps w:val="false"/>
          <w:sz w:val="20"/>
        </w:rPr>
        <w:t xml:space="preserve">Binlin Cai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Hoi Ying Chau, </w:t>
      </w:r>
      <w:r>
        <w:rPr>
          <w:rFonts w:ascii="Times New Roman;Times;Serif" w:hAnsi="Times New Roman;Times;Serif"/>
          <w:b w:val="false"/>
          <w:i w:val="false"/>
          <w:caps w:val="false"/>
          <w:smallCaps w:val="false"/>
          <w:sz w:val="20"/>
        </w:rPr>
        <w:t xml:space="preserve">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Times;Serif" w:hAnsi="Times New Roman;Times;Serif"/>
          <w:b/>
          <w:i w:val="false"/>
          <w:caps w:val="false"/>
          <w:smallCaps w:val="false"/>
          <w:sz w:val="20"/>
        </w:rPr>
        <w:t xml:space="preserve">Binlin Cai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Hoi Ying Chau, </w:t>
      </w:r>
      <w:r>
        <w:rPr>
          <w:rFonts w:ascii="Times New Roman;Times;Serif" w:hAnsi="Times New Roman;Times;Serif"/>
          <w:b w:val="false"/>
          <w:i w:val="false"/>
          <w:caps w:val="false"/>
          <w:smallCaps w:val="false"/>
          <w:sz w:val="20"/>
        </w:rPr>
        <w:t>are not assuming any of the undersigned’s responsibilities to comply with Section 16 of the Securities Exchange Act of 1934, as amended, or Rule 144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/s/Wu Yuao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Wu Yuao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18 March 2026</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0901" TargetMode="External"/><Relationship Id="rId3" Type="http://schemas.openxmlformats.org/officeDocument/2006/relationships/hyperlink" Target="http://www.sec.gov/cgi-bin/browse-edgar?action=getcompany&amp;CIK=000169781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813</Words>
  <Characters>4328</Characters>
  <CharactersWithSpaces>5095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