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15/F Prosperity Millennia Plaza</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663 King’s Road, Quarry Bay</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Hong Kong S.A.R., People’s Republic of China</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+852 3700 9000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ind w:left="6480"/>
        <w:spacing w:after="0"/>
        <w:rPr>
          <w:sz w:val="20"/>
          <w:szCs w:val="20"/>
          <w:color w:val="auto"/>
        </w:rPr>
      </w:pPr>
      <w:r>
        <w:rPr>
          <w:rFonts w:ascii="Arial" w:cs="Arial" w:eastAsia="Arial" w:hAnsi="Arial"/>
          <w:sz w:val="16"/>
          <w:szCs w:val="16"/>
          <w:color w:val="auto"/>
        </w:rPr>
        <w:t>July 10, 2019</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Jeff Kauten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Jan Woo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Barbara C. Jacobs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80"/>
          </w:cols>
          <w:pgMar w:left="240" w:top="445" w:right="279" w:bottom="1440" w:gutter="0" w:footer="0" w:header="0"/>
        </w:sectPr>
      </w:pPr>
    </w:p>
    <w:p>
      <w:pPr>
        <w:spacing w:after="0" w:line="207"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iClick Interactive Asia Group Limited</w:t>
      </w:r>
    </w:p>
    <w:p>
      <w:pPr>
        <w:spacing w:after="0" w:line="5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Registration Statement on Form F-3</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June 28, 2019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333-232435</w:t>
      </w:r>
    </w:p>
    <w:p>
      <w:pPr>
        <w:spacing w:after="0" w:line="200" w:lineRule="exact"/>
        <w:rPr>
          <w:sz w:val="24"/>
          <w:szCs w:val="24"/>
          <w:color w:val="auto"/>
        </w:rPr>
      </w:pPr>
    </w:p>
    <w:p>
      <w:pPr>
        <w:sectPr>
          <w:pgSz w:w="11900" w:h="16838" w:orient="portrait"/>
          <w:cols w:equalWidth="0" w:num="2">
            <w:col w:w="920" w:space="380"/>
            <w:col w:w="10080"/>
          </w:cols>
          <w:pgMar w:left="240" w:top="445" w:right="27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Kauten, Ms. Woo and Ms. Jacobs:</w:t>
      </w:r>
    </w:p>
    <w:p>
      <w:pPr>
        <w:spacing w:after="0" w:line="225" w:lineRule="exact"/>
        <w:rPr>
          <w:sz w:val="24"/>
          <w:szCs w:val="24"/>
          <w:color w:val="auto"/>
        </w:rPr>
      </w:pPr>
    </w:p>
    <w:p>
      <w:pPr>
        <w:ind w:firstLine="648"/>
        <w:spacing w:after="0" w:line="259" w:lineRule="auto"/>
        <w:rPr>
          <w:sz w:val="20"/>
          <w:szCs w:val="20"/>
          <w:color w:val="auto"/>
        </w:rPr>
      </w:pPr>
      <w:r>
        <w:rPr>
          <w:rFonts w:ascii="Arial" w:cs="Arial" w:eastAsia="Arial" w:hAnsi="Arial"/>
          <w:sz w:val="18"/>
          <w:szCs w:val="18"/>
          <w:color w:val="auto"/>
        </w:rPr>
        <w:t>Pursuant to Rule 461 under the Securities Act of 1933, as amended, we hereby request acceleration by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of the effective date of the above-referenced Registration Statement on Form F-3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of iClick Interactive Asia Group Limited (the “</w:t>
      </w:r>
      <w:r>
        <w:rPr>
          <w:rFonts w:ascii="Arial" w:cs="Arial" w:eastAsia="Arial" w:hAnsi="Arial"/>
          <w:sz w:val="18"/>
          <w:szCs w:val="18"/>
          <w:u w:val="single" w:color="auto"/>
          <w:color w:val="auto"/>
        </w:rPr>
        <w:t>Registrant</w:t>
      </w:r>
      <w:r>
        <w:rPr>
          <w:rFonts w:ascii="Arial" w:cs="Arial" w:eastAsia="Arial" w:hAnsi="Arial"/>
          <w:sz w:val="18"/>
          <w:szCs w:val="18"/>
          <w:color w:val="auto"/>
        </w:rPr>
        <w:t>”) so that the Registration Statement may become effective at 10:00 a.m., Eastern Daylight Time, on July 15, 2019, or as soon thereafter as practicable.</w:t>
      </w:r>
    </w:p>
    <w:p>
      <w:pPr>
        <w:spacing w:after="0" w:line="18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Registrant hereby acknowledges that:</w:t>
      </w:r>
    </w:p>
    <w:p>
      <w:pPr>
        <w:spacing w:after="0" w:line="225" w:lineRule="exact"/>
        <w:rPr>
          <w:sz w:val="24"/>
          <w:szCs w:val="24"/>
          <w:color w:val="auto"/>
        </w:rPr>
      </w:pPr>
    </w:p>
    <w:p>
      <w:pPr>
        <w:ind w:left="1300" w:right="40" w:hanging="644"/>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170" w:lineRule="exact"/>
        <w:rPr>
          <w:rFonts w:ascii="Arial" w:cs="Arial" w:eastAsia="Arial" w:hAnsi="Arial"/>
          <w:sz w:val="18"/>
          <w:szCs w:val="18"/>
          <w:color w:val="auto"/>
        </w:rPr>
      </w:pPr>
    </w:p>
    <w:p>
      <w:pPr>
        <w:ind w:left="1300" w:right="560" w:hanging="644"/>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Registrant from its full responsibility for the adequacy and accuracy of the disclosure in the filing; and</w:t>
      </w:r>
    </w:p>
    <w:p>
      <w:pPr>
        <w:spacing w:after="0" w:line="170" w:lineRule="exact"/>
        <w:rPr>
          <w:rFonts w:ascii="Arial" w:cs="Arial" w:eastAsia="Arial" w:hAnsi="Arial"/>
          <w:sz w:val="18"/>
          <w:szCs w:val="18"/>
          <w:color w:val="auto"/>
        </w:rPr>
      </w:pPr>
    </w:p>
    <w:p>
      <w:pPr>
        <w:ind w:left="1300" w:right="920" w:hanging="644"/>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may not assert staff comments and the declaration of effectiveness as a defense in any proceeding initiated by the Commission or any person under the federal securities laws of the United States.</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Thank you for your assistance in this matter.</w:t>
      </w:r>
    </w:p>
    <w:p>
      <w:pPr>
        <w:spacing w:after="0" w:line="225" w:lineRule="exact"/>
        <w:rPr>
          <w:sz w:val="24"/>
          <w:szCs w:val="24"/>
          <w:color w:val="auto"/>
        </w:rPr>
      </w:pPr>
    </w:p>
    <w:p>
      <w:pPr>
        <w:ind w:left="578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780"/>
        <w:spacing w:after="0"/>
        <w:rPr>
          <w:sz w:val="20"/>
          <w:szCs w:val="20"/>
          <w:color w:val="auto"/>
        </w:rPr>
      </w:pPr>
      <w:r>
        <w:rPr>
          <w:rFonts w:ascii="Arial" w:cs="Arial" w:eastAsia="Arial" w:hAnsi="Arial"/>
          <w:sz w:val="18"/>
          <w:szCs w:val="18"/>
          <w:color w:val="auto"/>
        </w:rPr>
        <w:t>iClick Interactive Asia Group Limited</w:t>
      </w:r>
    </w:p>
    <w:p>
      <w:pPr>
        <w:spacing w:after="0" w:line="200" w:lineRule="exact"/>
        <w:rPr>
          <w:sz w:val="24"/>
          <w:szCs w:val="24"/>
          <w:color w:val="auto"/>
        </w:rPr>
      </w:pPr>
    </w:p>
    <w:p>
      <w:pPr>
        <w:spacing w:after="0" w:line="241" w:lineRule="exact"/>
        <w:rPr>
          <w:sz w:val="24"/>
          <w:szCs w:val="24"/>
          <w:color w:val="auto"/>
        </w:rPr>
      </w:pPr>
    </w:p>
    <w:p>
      <w:pPr>
        <w:ind w:left="578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Wing Hong Sammy Hsieh</w:t>
      </w:r>
    </w:p>
    <w:p>
      <w:pPr>
        <w:spacing w:after="0" w:line="23" w:lineRule="exact"/>
        <w:rPr>
          <w:sz w:val="24"/>
          <w:szCs w:val="24"/>
          <w:color w:val="auto"/>
        </w:rPr>
      </w:pPr>
    </w:p>
    <w:p>
      <w:pPr>
        <w:ind w:left="6360"/>
        <w:spacing w:after="0"/>
        <w:rPr>
          <w:sz w:val="20"/>
          <w:szCs w:val="20"/>
          <w:color w:val="auto"/>
        </w:rPr>
      </w:pPr>
      <w:r>
        <w:rPr>
          <w:rFonts w:ascii="Arial" w:cs="Arial" w:eastAsia="Arial" w:hAnsi="Arial"/>
          <w:sz w:val="18"/>
          <w:szCs w:val="18"/>
          <w:color w:val="auto"/>
        </w:rPr>
        <w:t>Name: Wing Hong Sammy Hsieh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4035425</wp:posOffset>
            </wp:positionH>
            <wp:positionV relativeFrom="paragraph">
              <wp:posOffset>-130810</wp:posOffset>
            </wp:positionV>
            <wp:extent cx="32156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4"/>
          <w:szCs w:val="24"/>
          <w:color w:val="auto"/>
        </w:rPr>
      </w:pPr>
    </w:p>
    <w:p>
      <w:pPr>
        <w:ind w:left="63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4"/>
          <w:szCs w:val="24"/>
          <w:color w:val="auto"/>
        </w:rPr>
      </w:pPr>
    </w:p>
    <w:p>
      <w:pPr>
        <w:ind w:left="660" w:right="7980" w:hanging="652"/>
        <w:spacing w:after="0" w:line="308" w:lineRule="auto"/>
        <w:tabs>
          <w:tab w:leader="none" w:pos="654" w:val="left"/>
        </w:tabs>
        <w:numPr>
          <w:ilvl w:val="0"/>
          <w:numId w:val="2"/>
        </w:numPr>
        <w:rPr>
          <w:rFonts w:ascii="Arial" w:cs="Arial" w:eastAsia="Arial" w:hAnsi="Arial"/>
          <w:sz w:val="17"/>
          <w:szCs w:val="17"/>
          <w:color w:val="auto"/>
        </w:rPr>
      </w:pPr>
      <w:r>
        <w:rPr>
          <w:rFonts w:ascii="Arial" w:cs="Arial" w:eastAsia="Arial" w:hAnsi="Arial"/>
          <w:sz w:val="17"/>
          <w:szCs w:val="17"/>
          <w:color w:val="auto"/>
        </w:rPr>
        <w:t>Terence Li, Chief Financial Officer iClick Interactive Asia Group Limited</w:t>
      </w:r>
    </w:p>
    <w:p>
      <w:pPr>
        <w:spacing w:after="0" w:line="14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Shuang Zhao, Partner</w:t>
      </w:r>
    </w:p>
    <w:p>
      <w:pPr>
        <w:spacing w:after="0" w:line="23"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Cleary Gottlieb Steen &amp; Hamilton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445"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2019-12-20T15:07:18Z</dcterms:created>
  <dcterms:modified xsi:type="dcterms:W3CDTF">2019-12-20T15:07:18Z</dcterms:modified>
</cp:coreProperties>
</file>