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203835</wp:posOffset>
            </wp:positionH>
            <wp:positionV relativeFrom="page">
              <wp:posOffset>153035</wp:posOffset>
            </wp:positionV>
            <wp:extent cx="7140575"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3238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217805</wp:posOffset>
            </wp:positionV>
            <wp:extent cx="71405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0575" cy="8255"/>
                    </a:xfrm>
                    <a:prstGeom prst="rect">
                      <a:avLst/>
                    </a:prstGeom>
                    <a:noFill/>
                  </pic:spPr>
                </pic:pic>
              </a:graphicData>
            </a:graphic>
          </wp:anchor>
        </w:drawing>
        <w:t>UNITED STATES</w:t>
      </w:r>
    </w:p>
    <w:p>
      <w:pPr>
        <w:spacing w:after="0" w:line="30" w:lineRule="exact"/>
        <w:rPr>
          <w:sz w:val="24"/>
          <w:szCs w:val="24"/>
          <w:color w:val="auto"/>
        </w:rPr>
      </w:pPr>
    </w:p>
    <w:p>
      <w:pPr>
        <w:jc w:val="center"/>
        <w:ind w:right="-1120"/>
        <w:spacing w:after="0"/>
        <w:rPr>
          <w:sz w:val="20"/>
          <w:szCs w:val="20"/>
          <w:color w:val="auto"/>
        </w:rPr>
      </w:pPr>
      <w:r>
        <w:rPr>
          <w:rFonts w:ascii="Arial" w:cs="Arial" w:eastAsia="Arial" w:hAnsi="Arial"/>
          <w:sz w:val="30"/>
          <w:szCs w:val="30"/>
          <w:b w:val="1"/>
          <w:bCs w:val="1"/>
          <w:color w:val="auto"/>
        </w:rPr>
        <w:t>SECURITIES AND EXCHANGE COMMISSION</w:t>
      </w:r>
    </w:p>
    <w:p>
      <w:pPr>
        <w:ind w:left="4580"/>
        <w:spacing w:after="0"/>
        <w:rPr>
          <w:sz w:val="20"/>
          <w:szCs w:val="20"/>
          <w:color w:val="auto"/>
        </w:rPr>
      </w:pPr>
      <w:r>
        <w:rPr>
          <w:rFonts w:ascii="Arial" w:cs="Arial" w:eastAsia="Arial" w:hAnsi="Arial"/>
          <w:sz w:val="20"/>
          <w:szCs w:val="20"/>
          <w:b w:val="1"/>
          <w:bCs w:val="1"/>
          <w:color w:val="auto"/>
        </w:rPr>
        <w:t>Washington, D.C. 20549</w:t>
      </w:r>
    </w:p>
    <w:p>
      <w:pPr>
        <w:spacing w:after="0" w:line="380" w:lineRule="exact"/>
        <w:rPr>
          <w:sz w:val="24"/>
          <w:szCs w:val="24"/>
          <w:color w:val="auto"/>
        </w:rPr>
      </w:pPr>
    </w:p>
    <w:p>
      <w:pPr>
        <w:ind w:left="4880"/>
        <w:spacing w:after="0"/>
        <w:rPr>
          <w:sz w:val="20"/>
          <w:szCs w:val="20"/>
          <w:color w:val="auto"/>
        </w:rPr>
      </w:pPr>
      <w:r>
        <w:rPr>
          <w:rFonts w:ascii="Arial" w:cs="Arial" w:eastAsia="Arial" w:hAnsi="Arial"/>
          <w:sz w:val="30"/>
          <w:szCs w:val="30"/>
          <w:b w:val="1"/>
          <w:bCs w:val="1"/>
          <w:color w:val="auto"/>
        </w:rPr>
        <w:t>FORM 6-K</w:t>
      </w:r>
    </w:p>
    <w:p>
      <w:pPr>
        <w:spacing w:after="0" w:line="200" w:lineRule="exact"/>
        <w:rPr>
          <w:sz w:val="24"/>
          <w:szCs w:val="24"/>
          <w:color w:val="auto"/>
        </w:rPr>
      </w:pPr>
    </w:p>
    <w:p>
      <w:pPr>
        <w:spacing w:after="0" w:line="228" w:lineRule="exact"/>
        <w:rPr>
          <w:sz w:val="24"/>
          <w:szCs w:val="24"/>
          <w:color w:val="auto"/>
        </w:rPr>
      </w:pPr>
    </w:p>
    <w:p>
      <w:pPr>
        <w:jc w:val="center"/>
        <w:ind w:right="-1120"/>
        <w:spacing w:after="0"/>
        <w:rPr>
          <w:sz w:val="20"/>
          <w:szCs w:val="20"/>
          <w:color w:val="auto"/>
        </w:rPr>
      </w:pPr>
      <w:r>
        <w:rPr>
          <w:rFonts w:ascii="Arial" w:cs="Arial" w:eastAsia="Arial" w:hAnsi="Arial"/>
          <w:sz w:val="20"/>
          <w:szCs w:val="20"/>
          <w:b w:val="1"/>
          <w:bCs w:val="1"/>
          <w:color w:val="auto"/>
        </w:rPr>
        <w:t>REPORT OF FOREIGN PRIVATE ISSUER</w:t>
      </w:r>
    </w:p>
    <w:p>
      <w:pPr>
        <w:spacing w:after="0" w:line="18" w:lineRule="exact"/>
        <w:rPr>
          <w:sz w:val="24"/>
          <w:szCs w:val="24"/>
          <w:color w:val="auto"/>
        </w:rPr>
      </w:pPr>
    </w:p>
    <w:p>
      <w:pPr>
        <w:jc w:val="center"/>
        <w:ind w:right="-1120"/>
        <w:spacing w:after="0"/>
        <w:rPr>
          <w:sz w:val="20"/>
          <w:szCs w:val="20"/>
          <w:color w:val="auto"/>
        </w:rPr>
      </w:pPr>
      <w:r>
        <w:rPr>
          <w:rFonts w:ascii="Arial" w:cs="Arial" w:eastAsia="Arial" w:hAnsi="Arial"/>
          <w:sz w:val="20"/>
          <w:szCs w:val="20"/>
          <w:b w:val="1"/>
          <w:bCs w:val="1"/>
          <w:color w:val="auto"/>
        </w:rPr>
        <w:t>PURSUANT TO RULE 13a-16 OR 15d-16</w:t>
      </w:r>
    </w:p>
    <w:p>
      <w:pPr>
        <w:jc w:val="center"/>
        <w:ind w:right="-1120"/>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187"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For the month of December 2021</w:t>
      </w:r>
    </w:p>
    <w:p>
      <w:pPr>
        <w:spacing w:after="0" w:line="210" w:lineRule="exact"/>
        <w:rPr>
          <w:sz w:val="24"/>
          <w:szCs w:val="24"/>
          <w:color w:val="auto"/>
        </w:rPr>
      </w:pPr>
    </w:p>
    <w:p>
      <w:pPr>
        <w:ind w:left="4280"/>
        <w:spacing w:after="0"/>
        <w:rPr>
          <w:sz w:val="20"/>
          <w:szCs w:val="20"/>
          <w:color w:val="auto"/>
        </w:rPr>
      </w:pPr>
      <w:r>
        <w:rPr>
          <w:rFonts w:ascii="Arial" w:cs="Arial" w:eastAsia="Arial" w:hAnsi="Arial"/>
          <w:sz w:val="17"/>
          <w:szCs w:val="17"/>
          <w:b w:val="1"/>
          <w:bCs w:val="1"/>
          <w:color w:val="auto"/>
        </w:rPr>
        <w:t>Commission File Number: 001-38313</w:t>
      </w:r>
    </w:p>
    <w:p>
      <w:pPr>
        <w:spacing w:after="0" w:line="200" w:lineRule="exact"/>
        <w:rPr>
          <w:sz w:val="24"/>
          <w:szCs w:val="24"/>
          <w:color w:val="auto"/>
        </w:rPr>
      </w:pPr>
    </w:p>
    <w:p>
      <w:pPr>
        <w:spacing w:after="0" w:line="203" w:lineRule="exact"/>
        <w:rPr>
          <w:sz w:val="24"/>
          <w:szCs w:val="24"/>
          <w:color w:val="auto"/>
        </w:rPr>
      </w:pPr>
    </w:p>
    <w:p>
      <w:pPr>
        <w:jc w:val="center"/>
        <w:ind w:right="-1120"/>
        <w:spacing w:after="0"/>
        <w:rPr>
          <w:sz w:val="20"/>
          <w:szCs w:val="20"/>
          <w:color w:val="auto"/>
        </w:rPr>
      </w:pPr>
      <w:r>
        <w:rPr>
          <w:rFonts w:ascii="Arial" w:cs="Arial" w:eastAsia="Arial" w:hAnsi="Arial"/>
          <w:sz w:val="30"/>
          <w:szCs w:val="30"/>
          <w:b w:val="1"/>
          <w:bCs w:val="1"/>
          <w:color w:val="auto"/>
        </w:rPr>
        <w:t>iClick Interactive Asia Group Limited</w:t>
      </w:r>
    </w:p>
    <w:p>
      <w:pPr>
        <w:spacing w:after="0" w:line="37" w:lineRule="exact"/>
        <w:rPr>
          <w:sz w:val="24"/>
          <w:szCs w:val="24"/>
          <w:color w:val="auto"/>
        </w:rPr>
      </w:pPr>
    </w:p>
    <w:p>
      <w:pPr>
        <w:ind w:left="4060"/>
        <w:spacing w:after="0"/>
        <w:rPr>
          <w:sz w:val="20"/>
          <w:szCs w:val="20"/>
          <w:color w:val="auto"/>
        </w:rPr>
      </w:pPr>
      <w:r>
        <w:rPr>
          <w:rFonts w:ascii="Arial" w:cs="Arial" w:eastAsia="Arial" w:hAnsi="Arial"/>
          <w:sz w:val="17"/>
          <w:szCs w:val="17"/>
          <w:color w:val="auto"/>
        </w:rPr>
        <w:t>(Translation of registrant’s name into English)</w:t>
      </w:r>
    </w:p>
    <w:p>
      <w:pPr>
        <w:spacing w:after="0" w:line="200" w:lineRule="exact"/>
        <w:rPr>
          <w:sz w:val="24"/>
          <w:szCs w:val="24"/>
          <w:color w:val="auto"/>
        </w:rPr>
      </w:pP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15/F</w:t>
      </w:r>
    </w:p>
    <w:p>
      <w:pPr>
        <w:spacing w:after="0" w:line="23"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Prosperity Millennia Plaza</w:t>
      </w:r>
    </w:p>
    <w:p>
      <w:pPr>
        <w:spacing w:after="0" w:line="7"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663 King’s Road, Quarry Bay</w:t>
      </w:r>
    </w:p>
    <w:p>
      <w:pPr>
        <w:spacing w:after="0" w:line="7"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Hong Kong S.A.R., People’s Republic of China</w:t>
      </w:r>
    </w:p>
    <w:p>
      <w:pPr>
        <w:spacing w:after="0" w:line="7"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Tel: +852 3700 9000</w:t>
      </w:r>
    </w:p>
    <w:p>
      <w:pPr>
        <w:spacing w:after="0" w:line="1" w:lineRule="exact"/>
        <w:rPr>
          <w:sz w:val="24"/>
          <w:szCs w:val="24"/>
          <w:color w:val="auto"/>
        </w:rPr>
      </w:pPr>
    </w:p>
    <w:p>
      <w:pPr>
        <w:ind w:left="4580"/>
        <w:spacing w:after="0"/>
        <w:rPr>
          <w:sz w:val="20"/>
          <w:szCs w:val="20"/>
          <w:color w:val="auto"/>
        </w:rPr>
      </w:pPr>
      <w:r>
        <w:rPr>
          <w:rFonts w:ascii="Arial" w:cs="Arial" w:eastAsia="Arial" w:hAnsi="Arial"/>
          <w:sz w:val="13"/>
          <w:szCs w:val="13"/>
          <w:color w:val="auto"/>
        </w:rPr>
        <w:t>(Address of principal executive office)</w:t>
      </w:r>
    </w:p>
    <w:p>
      <w:pPr>
        <w:spacing w:after="0" w:line="369"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files or will file annual reports under cover of Form 20-F or Form 40-F. Form 20-F </w:t>
      </w:r>
      <w:r>
        <w:rPr>
          <w:rFonts w:ascii="MS PGothic" w:cs="MS PGothic" w:eastAsia="MS PGothic" w:hAnsi="MS PGothic"/>
          <w:sz w:val="15"/>
          <w:szCs w:val="15"/>
          <w:color w:val="auto"/>
        </w:rPr>
        <w:t>☒</w:t>
      </w:r>
      <w:r>
        <w:rPr>
          <w:rFonts w:ascii="Arial" w:cs="Arial" w:eastAsia="Arial" w:hAnsi="Arial"/>
          <w:sz w:val="15"/>
          <w:szCs w:val="15"/>
          <w:color w:val="auto"/>
        </w:rPr>
        <w:t xml:space="preserve"> Form 40-F </w:t>
      </w:r>
      <w:r>
        <w:rPr>
          <w:rFonts w:ascii="MS PGothic" w:cs="MS PGothic" w:eastAsia="MS PGothic" w:hAnsi="MS PGothic"/>
          <w:sz w:val="15"/>
          <w:szCs w:val="15"/>
          <w:color w:val="auto"/>
        </w:rPr>
        <w:t>☐</w:t>
      </w:r>
    </w:p>
    <w:p>
      <w:pPr>
        <w:spacing w:after="0" w:line="23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 (1): </w:t>
      </w:r>
      <w:r>
        <w:rPr>
          <w:rFonts w:ascii="MS PGothic" w:cs="MS PGothic" w:eastAsia="MS PGothic" w:hAnsi="MS PGothic"/>
          <w:sz w:val="17"/>
          <w:szCs w:val="17"/>
          <w:color w:val="auto"/>
        </w:rPr>
        <w:t>☐</w:t>
      </w:r>
    </w:p>
    <w:p>
      <w:pPr>
        <w:spacing w:after="0" w:line="210"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 (7):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161290</wp:posOffset>
            </wp:positionV>
            <wp:extent cx="7140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201930</wp:posOffset>
            </wp:positionV>
            <wp:extent cx="7140575" cy="32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0575" cy="3238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542925</wp:posOffset>
            </wp:positionV>
            <wp:extent cx="7182485"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0139"/>
          </w:cols>
          <w:pgMar w:left="320" w:top="51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8"/>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100" w:type="dxa"/>
            <w:vAlign w:val="bottom"/>
          </w:tcPr>
          <w:p>
            <w:pPr>
              <w:ind w:left="1840"/>
              <w:spacing w:after="0"/>
              <w:rPr>
                <w:sz w:val="20"/>
                <w:szCs w:val="20"/>
                <w:color w:val="auto"/>
              </w:rPr>
            </w:pPr>
            <w:r>
              <w:rPr>
                <w:rFonts w:ascii="Arial" w:cs="Arial" w:eastAsia="Arial" w:hAnsi="Arial"/>
                <w:sz w:val="17"/>
                <w:szCs w:val="17"/>
                <w:b w:val="1"/>
                <w:bCs w:val="1"/>
                <w:color w:val="auto"/>
              </w:rPr>
              <w:t>EXHIBIT INDEX</w:t>
            </w:r>
          </w:p>
        </w:tc>
      </w:tr>
      <w:tr>
        <w:trPr>
          <w:trHeight w:val="343"/>
        </w:trPr>
        <w:tc>
          <w:tcPr>
            <w:tcW w:w="2260" w:type="dxa"/>
            <w:vAlign w:val="bottom"/>
            <w:gridSpan w:val="2"/>
          </w:tcPr>
          <w:p>
            <w:pPr>
              <w:spacing w:after="0"/>
              <w:rPr>
                <w:sz w:val="20"/>
                <w:szCs w:val="20"/>
                <w:color w:val="auto"/>
              </w:rPr>
            </w:pPr>
            <w:r>
              <w:rPr>
                <w:rFonts w:ascii="Arial" w:cs="Arial" w:eastAsia="Arial" w:hAnsi="Arial"/>
                <w:sz w:val="13"/>
                <w:szCs w:val="13"/>
                <w:b w:val="1"/>
                <w:bCs w:val="1"/>
                <w:color w:val="auto"/>
              </w:rPr>
              <w:t>Number</w:t>
            </w:r>
          </w:p>
        </w:tc>
        <w:tc>
          <w:tcPr>
            <w:tcW w:w="880" w:type="dxa"/>
            <w:vAlign w:val="bottom"/>
          </w:tcPr>
          <w:p>
            <w:pPr>
              <w:spacing w:after="0"/>
              <w:rPr>
                <w:sz w:val="24"/>
                <w:szCs w:val="24"/>
                <w:color w:val="auto"/>
              </w:rPr>
            </w:pPr>
          </w:p>
        </w:tc>
        <w:tc>
          <w:tcPr>
            <w:tcW w:w="8100" w:type="dxa"/>
            <w:vAlign w:val="bottom"/>
          </w:tcPr>
          <w:p>
            <w:pPr>
              <w:ind w:left="2900"/>
              <w:spacing w:after="0"/>
              <w:rPr>
                <w:sz w:val="20"/>
                <w:szCs w:val="20"/>
                <w:color w:val="auto"/>
              </w:rPr>
            </w:pPr>
            <w:r>
              <w:rPr>
                <w:rFonts w:ascii="Arial" w:cs="Arial" w:eastAsia="Arial" w:hAnsi="Arial"/>
                <w:sz w:val="13"/>
                <w:szCs w:val="13"/>
                <w:b w:val="1"/>
                <w:bCs w:val="1"/>
                <w:color w:val="auto"/>
              </w:rPr>
              <w:t>Description of Document</w:t>
            </w:r>
          </w:p>
        </w:tc>
      </w:tr>
      <w:tr>
        <w:trPr>
          <w:trHeight w:val="360"/>
        </w:trPr>
        <w:tc>
          <w:tcPr>
            <w:tcW w:w="20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99.1</w:t>
            </w:r>
          </w:p>
        </w:tc>
        <w:tc>
          <w:tcPr>
            <w:tcW w:w="220" w:type="dxa"/>
            <w:vAlign w:val="bottom"/>
          </w:tcPr>
          <w:p>
            <w:pPr>
              <w:spacing w:after="0"/>
              <w:rPr>
                <w:sz w:val="24"/>
                <w:szCs w:val="24"/>
                <w:color w:val="auto"/>
              </w:rPr>
            </w:pPr>
          </w:p>
        </w:tc>
        <w:tc>
          <w:tcPr>
            <w:tcW w:w="880" w:type="dxa"/>
            <w:vAlign w:val="bottom"/>
            <w:tcBorders>
              <w:top w:val="single" w:sz="8" w:color="auto"/>
              <w:bottom w:val="single" w:sz="8" w:color="0000EE"/>
            </w:tcBorders>
          </w:tcPr>
          <w:p>
            <w:pPr>
              <w:spacing w:after="0"/>
              <w:rPr>
                <w:rFonts w:ascii="Arial" w:cs="Arial" w:eastAsia="Arial" w:hAnsi="Arial"/>
                <w:sz w:val="17"/>
                <w:szCs w:val="17"/>
                <w:color w:val="0000EE"/>
                <w:w w:val="82"/>
              </w:rPr>
            </w:pPr>
            <w:hyperlink w:anchor="page4">
              <w:r>
                <w:rPr>
                  <w:rFonts w:ascii="Arial" w:cs="Arial" w:eastAsia="Arial" w:hAnsi="Arial"/>
                  <w:sz w:val="17"/>
                  <w:szCs w:val="17"/>
                  <w:color w:val="0000EE"/>
                  <w:w w:val="82"/>
                </w:rPr>
                <w:t>Press release</w:t>
              </w:r>
            </w:hyperlink>
          </w:p>
        </w:tc>
        <w:tc>
          <w:tcPr>
            <w:tcW w:w="8100" w:type="dxa"/>
            <w:vAlign w:val="bottom"/>
            <w:tcBorders>
              <w:top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450215</wp:posOffset>
            </wp:positionV>
            <wp:extent cx="7182485"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SIGNATURES</w:t>
      </w:r>
    </w:p>
    <w:p>
      <w:pPr>
        <w:spacing w:after="0" w:line="21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61" w:lineRule="exact"/>
        <w:rPr>
          <w:sz w:val="20"/>
          <w:szCs w:val="20"/>
          <w:color w:val="auto"/>
        </w:rPr>
      </w:pPr>
    </w:p>
    <w:p>
      <w:pPr>
        <w:ind w:left="6340"/>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5640" w:type="dxa"/>
        <w:tblCellMar>
          <w:top w:w="0" w:type="dxa"/>
          <w:left w:w="0" w:type="dxa"/>
          <w:bottom w:w="0" w:type="dxa"/>
          <w:right w:w="0" w:type="dxa"/>
        </w:tblCellMar>
      </w:tblPr>
      <w:tr>
        <w:trPr>
          <w:trHeight w:val="214"/>
        </w:trPr>
        <w:tc>
          <w:tcPr>
            <w:tcW w:w="700" w:type="dxa"/>
            <w:vAlign w:val="bottom"/>
          </w:tcPr>
          <w:p>
            <w:pPr>
              <w:spacing w:after="0"/>
              <w:rPr>
                <w:sz w:val="20"/>
                <w:szCs w:val="20"/>
                <w:color w:val="auto"/>
              </w:rPr>
            </w:pPr>
            <w:r>
              <w:rPr>
                <w:rFonts w:ascii="Arial" w:cs="Arial" w:eastAsia="Arial" w:hAnsi="Arial"/>
                <w:sz w:val="17"/>
                <w:szCs w:val="17"/>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Terence Li</w:t>
            </w:r>
          </w:p>
        </w:tc>
      </w:tr>
      <w:tr>
        <w:trPr>
          <w:trHeight w:val="183"/>
        </w:trPr>
        <w:tc>
          <w:tcPr>
            <w:tcW w:w="700" w:type="dxa"/>
            <w:vAlign w:val="bottom"/>
          </w:tcPr>
          <w:p>
            <w:pPr>
              <w:spacing w:after="0" w:line="184" w:lineRule="exact"/>
              <w:rPr>
                <w:sz w:val="20"/>
                <w:szCs w:val="20"/>
                <w:color w:val="auto"/>
              </w:rPr>
            </w:pPr>
            <w:r>
              <w:rPr>
                <w:rFonts w:ascii="Arial" w:cs="Arial" w:eastAsia="Arial" w:hAnsi="Arial"/>
                <w:sz w:val="17"/>
                <w:szCs w:val="17"/>
                <w:color w:val="auto"/>
              </w:rPr>
              <w:t>Name:</w:t>
            </w:r>
          </w:p>
        </w:tc>
        <w:tc>
          <w:tcPr>
            <w:tcW w:w="4900" w:type="dxa"/>
            <w:vAlign w:val="bottom"/>
          </w:tcPr>
          <w:p>
            <w:pPr>
              <w:spacing w:after="0" w:line="184" w:lineRule="exact"/>
              <w:rPr>
                <w:sz w:val="20"/>
                <w:szCs w:val="20"/>
                <w:color w:val="auto"/>
              </w:rPr>
            </w:pPr>
            <w:r>
              <w:rPr>
                <w:rFonts w:ascii="Arial" w:cs="Arial" w:eastAsia="Arial" w:hAnsi="Arial"/>
                <w:sz w:val="17"/>
                <w:szCs w:val="17"/>
                <w:color w:val="auto"/>
              </w:rPr>
              <w:t>Terence Li</w:t>
            </w:r>
          </w:p>
        </w:tc>
      </w:tr>
      <w:tr>
        <w:trPr>
          <w:trHeight w:val="214"/>
        </w:trPr>
        <w:tc>
          <w:tcPr>
            <w:tcW w:w="700" w:type="dxa"/>
            <w:vAlign w:val="bottom"/>
          </w:tcPr>
          <w:p>
            <w:pPr>
              <w:spacing w:after="0"/>
              <w:rPr>
                <w:sz w:val="20"/>
                <w:szCs w:val="20"/>
                <w:color w:val="auto"/>
              </w:rPr>
            </w:pPr>
            <w:r>
              <w:rPr>
                <w:rFonts w:ascii="Arial" w:cs="Arial" w:eastAsia="Arial" w:hAnsi="Arial"/>
                <w:sz w:val="17"/>
                <w:szCs w:val="17"/>
                <w:color w:val="auto"/>
              </w:rPr>
              <w:t>Title:</w:t>
            </w:r>
          </w:p>
        </w:tc>
        <w:tc>
          <w:tcPr>
            <w:tcW w:w="4900" w:type="dxa"/>
            <w:vAlign w:val="bottom"/>
          </w:tcPr>
          <w:p>
            <w:pPr>
              <w:spacing w:after="0"/>
              <w:rPr>
                <w:sz w:val="20"/>
                <w:szCs w:val="20"/>
                <w:color w:val="auto"/>
              </w:rPr>
            </w:pPr>
            <w:r>
              <w:rPr>
                <w:rFonts w:ascii="Arial" w:cs="Arial" w:eastAsia="Arial" w:hAnsi="Arial"/>
                <w:sz w:val="17"/>
                <w:szCs w:val="17"/>
                <w:color w:val="auto"/>
              </w:rPr>
              <w:t>Chief Financial Officer</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Date: December 22, 2021</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32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288290</wp:posOffset>
            </wp:positionV>
            <wp:extent cx="1125855" cy="4502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25855" cy="450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FOR IMMEDIATE RELEASE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iClick Interactive Asia Group Limited Announces Annual General Meeting Results</w:t>
      </w:r>
    </w:p>
    <w:p>
      <w:pPr>
        <w:spacing w:after="0" w:line="212" w:lineRule="exact"/>
        <w:rPr>
          <w:sz w:val="20"/>
          <w:szCs w:val="20"/>
          <w:color w:val="auto"/>
        </w:rPr>
      </w:pPr>
    </w:p>
    <w:p>
      <w:pPr>
        <w:jc w:val="both"/>
        <w:ind w:left="20" w:hanging="11"/>
        <w:spacing w:after="0" w:line="249" w:lineRule="auto"/>
        <w:rPr>
          <w:sz w:val="20"/>
          <w:szCs w:val="20"/>
          <w:color w:val="auto"/>
        </w:rPr>
      </w:pPr>
      <w:r>
        <w:rPr>
          <w:rFonts w:ascii="Arial" w:cs="Arial" w:eastAsia="Arial" w:hAnsi="Arial"/>
          <w:sz w:val="19"/>
          <w:szCs w:val="19"/>
          <w:b w:val="1"/>
          <w:bCs w:val="1"/>
          <w:color w:val="auto"/>
        </w:rPr>
        <w:t xml:space="preserve">HONG KONG </w:t>
      </w:r>
      <w:r>
        <w:rPr>
          <w:rFonts w:ascii="Arial" w:cs="Arial" w:eastAsia="Arial" w:hAnsi="Arial"/>
          <w:sz w:val="19"/>
          <w:szCs w:val="19"/>
          <w:color w:val="auto"/>
        </w:rPr>
        <w:t>—</w:t>
      </w:r>
      <w:r>
        <w:rPr>
          <w:rFonts w:ascii="Arial" w:cs="Arial" w:eastAsia="Arial" w:hAnsi="Arial"/>
          <w:sz w:val="19"/>
          <w:szCs w:val="19"/>
          <w:b w:val="1"/>
          <w:bCs w:val="1"/>
          <w:color w:val="auto"/>
        </w:rPr>
        <w:t xml:space="preserve"> December 22, 2021 </w:t>
      </w:r>
      <w:r>
        <w:rPr>
          <w:rFonts w:ascii="Arial" w:cs="Arial" w:eastAsia="Arial" w:hAnsi="Arial"/>
          <w:sz w:val="19"/>
          <w:szCs w:val="19"/>
          <w:color w:val="auto"/>
        </w:rPr>
        <w:t>— iClick Interactive Asia Group Limited (“iClick” or the “Company”) (NASDAQ: ICLK), a leading</w:t>
      </w:r>
      <w:r>
        <w:rPr>
          <w:rFonts w:ascii="Arial" w:cs="Arial" w:eastAsia="Arial" w:hAnsi="Arial"/>
          <w:sz w:val="19"/>
          <w:szCs w:val="19"/>
          <w:b w:val="1"/>
          <w:bCs w:val="1"/>
          <w:color w:val="auto"/>
        </w:rPr>
        <w:t xml:space="preserve"> </w:t>
      </w:r>
      <w:r>
        <w:rPr>
          <w:rFonts w:ascii="Arial" w:cs="Arial" w:eastAsia="Arial" w:hAnsi="Arial"/>
          <w:sz w:val="19"/>
          <w:szCs w:val="19"/>
          <w:color w:val="auto"/>
        </w:rPr>
        <w:t>enterprise and marketing cloud platform in China that empowers worldwide brands with full-stack consumer lifecycle solutions, today announced the results of its annual general meeting of shareholders held in Hong Kong on December 22, 2021.</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9"/>
          <w:szCs w:val="19"/>
          <w:color w:val="auto"/>
        </w:rPr>
        <w:t>At the meeting, the shareholders of iClick Interactive Asia Group Limited approved, ratified and/or confirmed the following resolutions:</w:t>
      </w:r>
    </w:p>
    <w:p>
      <w:pPr>
        <w:spacing w:after="0" w:line="212" w:lineRule="exact"/>
        <w:rPr>
          <w:sz w:val="20"/>
          <w:szCs w:val="20"/>
          <w:color w:val="auto"/>
        </w:rPr>
      </w:pPr>
    </w:p>
    <w:p>
      <w:pPr>
        <w:ind w:left="880" w:hanging="859"/>
        <w:spacing w:after="0"/>
        <w:tabs>
          <w:tab w:leader="none" w:pos="880" w:val="left"/>
        </w:tabs>
        <w:numPr>
          <w:ilvl w:val="0"/>
          <w:numId w:val="1"/>
        </w:numPr>
        <w:rPr>
          <w:rFonts w:ascii="Arial" w:cs="Arial" w:eastAsia="Arial" w:hAnsi="Arial"/>
          <w:sz w:val="17"/>
          <w:szCs w:val="17"/>
          <w:color w:val="auto"/>
        </w:rPr>
      </w:pPr>
      <w:r>
        <w:rPr>
          <w:rFonts w:ascii="Arial" w:cs="Arial" w:eastAsia="Arial" w:hAnsi="Arial"/>
          <w:sz w:val="19"/>
          <w:szCs w:val="19"/>
          <w:color w:val="auto"/>
        </w:rPr>
        <w:t>To appoint and ratify the appointment of Mr. Tang Jian as Chairman of the Board of Directors of the Company; and</w:t>
      </w:r>
    </w:p>
    <w:p>
      <w:pPr>
        <w:spacing w:after="0" w:line="212" w:lineRule="exact"/>
        <w:rPr>
          <w:rFonts w:ascii="Arial" w:cs="Arial" w:eastAsia="Arial" w:hAnsi="Arial"/>
          <w:sz w:val="17"/>
          <w:szCs w:val="17"/>
          <w:color w:val="auto"/>
        </w:rPr>
      </w:pPr>
    </w:p>
    <w:p>
      <w:pPr>
        <w:ind w:left="880" w:hanging="859"/>
        <w:spacing w:after="0"/>
        <w:tabs>
          <w:tab w:leader="none" w:pos="880" w:val="left"/>
        </w:tabs>
        <w:numPr>
          <w:ilvl w:val="0"/>
          <w:numId w:val="1"/>
        </w:numPr>
        <w:rPr>
          <w:rFonts w:ascii="Arial" w:cs="Arial" w:eastAsia="Arial" w:hAnsi="Arial"/>
          <w:sz w:val="17"/>
          <w:szCs w:val="17"/>
          <w:color w:val="auto"/>
        </w:rPr>
      </w:pPr>
      <w:r>
        <w:rPr>
          <w:rFonts w:ascii="Arial" w:cs="Arial" w:eastAsia="Arial" w:hAnsi="Arial"/>
          <w:sz w:val="19"/>
          <w:szCs w:val="19"/>
          <w:color w:val="auto"/>
        </w:rPr>
        <w:t>To appoint and ratify the appointment of Mr. Kan Siu Lun (Philip Kan) as an independent director of the Company.</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About iClick Interactive Asia Group Limited</w:t>
      </w:r>
    </w:p>
    <w:p>
      <w:pPr>
        <w:spacing w:after="0" w:line="216" w:lineRule="exact"/>
        <w:rPr>
          <w:sz w:val="20"/>
          <w:szCs w:val="20"/>
          <w:color w:val="auto"/>
        </w:rPr>
      </w:pPr>
    </w:p>
    <w:p>
      <w:pPr>
        <w:jc w:val="both"/>
        <w:ind w:left="20"/>
        <w:spacing w:after="0" w:line="281" w:lineRule="auto"/>
        <w:rPr>
          <w:sz w:val="20"/>
          <w:szCs w:val="20"/>
          <w:color w:val="auto"/>
        </w:rPr>
      </w:pPr>
      <w:r>
        <w:rPr>
          <w:rFonts w:ascii="Arial" w:cs="Arial" w:eastAsia="Arial" w:hAnsi="Arial"/>
          <w:sz w:val="17"/>
          <w:szCs w:val="17"/>
          <w:color w:val="auto"/>
        </w:rPr>
        <w:t>Founded in 2009, iClick Interactive Asia Group Limited (NASDAQ: ICLK) is a leading enterprise and marketing cloud platform in China. iClick’s mission is to empower worldwide brands to unlock the enormous market potential of smart retail. With its leading proprietary technologies, iClick's full suite of data-driven solutions helps brands drive significant business growth and profitability throughout the full consumer lifecycle. Headquartered in Hong Kong, iClick currently operates in eleven locations across Asia and Europe. For more information, please visit ir.i-click.com.</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Safe-Harbor Statement</w:t>
      </w:r>
    </w:p>
    <w:p>
      <w:pPr>
        <w:spacing w:after="0" w:line="17" w:lineRule="exact"/>
        <w:rPr>
          <w:sz w:val="20"/>
          <w:szCs w:val="20"/>
          <w:color w:val="auto"/>
        </w:rPr>
      </w:pPr>
    </w:p>
    <w:p>
      <w:pPr>
        <w:jc w:val="both"/>
        <w:ind w:left="20"/>
        <w:spacing w:after="0" w:line="267" w:lineRule="auto"/>
        <w:rPr>
          <w:sz w:val="20"/>
          <w:szCs w:val="20"/>
          <w:color w:val="auto"/>
        </w:rPr>
      </w:pPr>
      <w:r>
        <w:rPr>
          <w:rFonts w:ascii="Arial" w:cs="Arial" w:eastAsia="Arial" w:hAnsi="Arial"/>
          <w:sz w:val="17"/>
          <w:szCs w:val="17"/>
          <w:color w:val="auto"/>
        </w:rPr>
        <w:t>This announcement contains forward-looking statements.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and new retail strategies, including extending its solutions beyond its core online marketing business;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favourable contractual terms; market competition, including from independent online marketing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82485"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4" w:name="page5"/>
    <w:bookmarkEnd w:id="4"/>
    <w:p>
      <w:pPr>
        <w:ind w:left="10380"/>
        <w:spacing w:after="0"/>
        <w:rPr>
          <w:sz w:val="20"/>
          <w:szCs w:val="20"/>
          <w:color w:val="auto"/>
        </w:rPr>
      </w:pPr>
      <w:r>
        <w:rPr>
          <w:rFonts w:ascii="Arial" w:cs="Arial" w:eastAsia="Arial" w:hAnsi="Arial"/>
          <w:sz w:val="15"/>
          <w:szCs w:val="15"/>
          <w:b w:val="1"/>
          <w:bCs w:val="1"/>
          <w:color w:val="auto"/>
        </w:rPr>
        <w:t>Exhibit 99.1</w:t>
      </w:r>
    </w:p>
    <w:p>
      <w:pPr>
        <w:spacing w:after="0" w:line="24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platforms as well as large and well-established internet companies; market acceptance of online marketing technology solutions and enterprise solutions; litigation and negative publicity surroundings China -based companies listed in the U.S.; effectiveness of its algorithms and data engines; its ability to collect and use data from various sources; its ability to comply with existing or future laws and regulations related to data protection or data security; ability to integrate and realize synergies from acquisitions, investments or strategic partnership; the duration of the COVID-19 outbreak, including the emergence of COVID variants, and its potential impact on the Company’s business and financial performance; fluctuations in foreign exchange rates;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and other filings with the SEC. All information provided in this press release and in the attachment is as of the date of this press release, and the Company undertakes no obligation to update any forward-looking statement, except as required under applicable law.</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60" w:type="dxa"/>
            <w:vAlign w:val="bottom"/>
          </w:tcPr>
          <w:p>
            <w:pPr>
              <w:spacing w:after="0"/>
              <w:rPr>
                <w:sz w:val="20"/>
                <w:szCs w:val="20"/>
                <w:color w:val="auto"/>
              </w:rPr>
            </w:pPr>
            <w:r>
              <w:rPr>
                <w:rFonts w:ascii="Arial" w:cs="Arial" w:eastAsia="Arial" w:hAnsi="Arial"/>
                <w:sz w:val="19"/>
                <w:szCs w:val="19"/>
                <w:b w:val="1"/>
                <w:bCs w:val="1"/>
                <w:color w:val="auto"/>
              </w:rPr>
              <w:t>For investor and media inquiries, please contact:</w:t>
            </w:r>
          </w:p>
        </w:tc>
        <w:tc>
          <w:tcPr>
            <w:tcW w:w="16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04"/>
        </w:trPr>
        <w:tc>
          <w:tcPr>
            <w:tcW w:w="4960" w:type="dxa"/>
            <w:vAlign w:val="bottom"/>
          </w:tcPr>
          <w:p>
            <w:pPr>
              <w:spacing w:after="0"/>
              <w:rPr>
                <w:sz w:val="20"/>
                <w:szCs w:val="20"/>
                <w:color w:val="auto"/>
              </w:rPr>
            </w:pPr>
            <w:r>
              <w:rPr>
                <w:rFonts w:ascii="Arial" w:cs="Arial" w:eastAsia="Arial" w:hAnsi="Arial"/>
                <w:sz w:val="19"/>
                <w:szCs w:val="19"/>
                <w:b w:val="1"/>
                <w:bCs w:val="1"/>
                <w:color w:val="auto"/>
              </w:rPr>
              <w:t>In China:</w:t>
            </w:r>
          </w:p>
        </w:tc>
        <w:tc>
          <w:tcPr>
            <w:tcW w:w="3020" w:type="dxa"/>
            <w:vAlign w:val="bottom"/>
            <w:gridSpan w:val="2"/>
          </w:tcPr>
          <w:p>
            <w:pPr>
              <w:ind w:left="1080"/>
              <w:spacing w:after="0"/>
              <w:rPr>
                <w:sz w:val="20"/>
                <w:szCs w:val="20"/>
                <w:color w:val="auto"/>
              </w:rPr>
            </w:pPr>
            <w:r>
              <w:rPr>
                <w:rFonts w:ascii="Arial" w:cs="Arial" w:eastAsia="Arial" w:hAnsi="Arial"/>
                <w:sz w:val="19"/>
                <w:szCs w:val="19"/>
                <w:b w:val="1"/>
                <w:bCs w:val="1"/>
                <w:color w:val="auto"/>
              </w:rPr>
              <w:t>In the United States:</w:t>
            </w:r>
          </w:p>
        </w:tc>
      </w:tr>
      <w:tr>
        <w:trPr>
          <w:trHeight w:val="219"/>
        </w:trPr>
        <w:tc>
          <w:tcPr>
            <w:tcW w:w="4960" w:type="dxa"/>
            <w:vAlign w:val="bottom"/>
          </w:tcPr>
          <w:p>
            <w:pPr>
              <w:spacing w:after="0"/>
              <w:rPr>
                <w:sz w:val="20"/>
                <w:szCs w:val="20"/>
                <w:color w:val="auto"/>
              </w:rPr>
            </w:pPr>
            <w:r>
              <w:rPr>
                <w:rFonts w:ascii="Arial" w:cs="Arial" w:eastAsia="Arial" w:hAnsi="Arial"/>
                <w:sz w:val="19"/>
                <w:szCs w:val="19"/>
                <w:b w:val="1"/>
                <w:bCs w:val="1"/>
                <w:color w:val="auto"/>
              </w:rPr>
              <w:t>iClick Interactive Asia Group Limited</w:t>
            </w:r>
          </w:p>
        </w:tc>
        <w:tc>
          <w:tcPr>
            <w:tcW w:w="3020" w:type="dxa"/>
            <w:vAlign w:val="bottom"/>
            <w:gridSpan w:val="2"/>
          </w:tcPr>
          <w:p>
            <w:pPr>
              <w:ind w:left="1080"/>
              <w:spacing w:after="0"/>
              <w:rPr>
                <w:sz w:val="20"/>
                <w:szCs w:val="20"/>
                <w:color w:val="auto"/>
              </w:rPr>
            </w:pPr>
            <w:r>
              <w:rPr>
                <w:rFonts w:ascii="Arial" w:cs="Arial" w:eastAsia="Arial" w:hAnsi="Arial"/>
                <w:sz w:val="19"/>
                <w:szCs w:val="19"/>
                <w:b w:val="1"/>
                <w:bCs w:val="1"/>
                <w:color w:val="auto"/>
              </w:rPr>
              <w:t>Core IR</w:t>
            </w:r>
          </w:p>
        </w:tc>
      </w:tr>
      <w:tr>
        <w:trPr>
          <w:trHeight w:val="215"/>
        </w:trPr>
        <w:tc>
          <w:tcPr>
            <w:tcW w:w="4960" w:type="dxa"/>
            <w:vAlign w:val="bottom"/>
          </w:tcPr>
          <w:p>
            <w:pPr>
              <w:spacing w:after="0" w:line="215" w:lineRule="exact"/>
              <w:rPr>
                <w:sz w:val="20"/>
                <w:szCs w:val="20"/>
                <w:color w:val="auto"/>
              </w:rPr>
            </w:pPr>
            <w:r>
              <w:rPr>
                <w:rFonts w:ascii="Arial" w:cs="Arial" w:eastAsia="Arial" w:hAnsi="Arial"/>
                <w:sz w:val="19"/>
                <w:szCs w:val="19"/>
                <w:color w:val="auto"/>
              </w:rPr>
              <w:t>Lisa Li</w:t>
            </w:r>
          </w:p>
        </w:tc>
        <w:tc>
          <w:tcPr>
            <w:tcW w:w="3020" w:type="dxa"/>
            <w:vAlign w:val="bottom"/>
            <w:gridSpan w:val="2"/>
          </w:tcPr>
          <w:p>
            <w:pPr>
              <w:ind w:left="1080"/>
              <w:spacing w:after="0" w:line="215" w:lineRule="exact"/>
              <w:rPr>
                <w:sz w:val="20"/>
                <w:szCs w:val="20"/>
                <w:color w:val="auto"/>
              </w:rPr>
            </w:pPr>
            <w:r>
              <w:rPr>
                <w:rFonts w:ascii="Arial" w:cs="Arial" w:eastAsia="Arial" w:hAnsi="Arial"/>
                <w:sz w:val="19"/>
                <w:szCs w:val="19"/>
                <w:color w:val="auto"/>
              </w:rPr>
              <w:t>Tom Caden</w:t>
            </w:r>
          </w:p>
        </w:tc>
      </w:tr>
      <w:tr>
        <w:trPr>
          <w:trHeight w:val="215"/>
        </w:trPr>
        <w:tc>
          <w:tcPr>
            <w:tcW w:w="4960" w:type="dxa"/>
            <w:vAlign w:val="bottom"/>
          </w:tcPr>
          <w:p>
            <w:pPr>
              <w:spacing w:after="0" w:line="215" w:lineRule="exact"/>
              <w:rPr>
                <w:sz w:val="20"/>
                <w:szCs w:val="20"/>
                <w:color w:val="auto"/>
              </w:rPr>
            </w:pPr>
            <w:r>
              <w:rPr>
                <w:rFonts w:ascii="Arial" w:cs="Arial" w:eastAsia="Arial" w:hAnsi="Arial"/>
                <w:sz w:val="19"/>
                <w:szCs w:val="19"/>
                <w:color w:val="auto"/>
              </w:rPr>
              <w:t>Phone: +86-21-3230-3931 #866</w:t>
            </w:r>
          </w:p>
        </w:tc>
        <w:tc>
          <w:tcPr>
            <w:tcW w:w="3020" w:type="dxa"/>
            <w:vAlign w:val="bottom"/>
            <w:gridSpan w:val="2"/>
          </w:tcPr>
          <w:p>
            <w:pPr>
              <w:ind w:left="1080"/>
              <w:spacing w:after="0" w:line="215" w:lineRule="exact"/>
              <w:rPr>
                <w:sz w:val="20"/>
                <w:szCs w:val="20"/>
                <w:color w:val="auto"/>
              </w:rPr>
            </w:pPr>
            <w:r>
              <w:rPr>
                <w:rFonts w:ascii="Arial" w:cs="Arial" w:eastAsia="Arial" w:hAnsi="Arial"/>
                <w:sz w:val="19"/>
                <w:szCs w:val="19"/>
                <w:color w:val="auto"/>
              </w:rPr>
              <w:t>Tel: +1-516-222-2560</w:t>
            </w:r>
          </w:p>
        </w:tc>
      </w:tr>
      <w:tr>
        <w:trPr>
          <w:trHeight w:val="194"/>
        </w:trPr>
        <w:tc>
          <w:tcPr>
            <w:tcW w:w="4960" w:type="dxa"/>
            <w:vAlign w:val="bottom"/>
          </w:tcPr>
          <w:p>
            <w:pPr>
              <w:spacing w:after="0" w:line="194" w:lineRule="exact"/>
              <w:rPr>
                <w:sz w:val="20"/>
                <w:szCs w:val="20"/>
                <w:color w:val="auto"/>
              </w:rPr>
            </w:pPr>
            <w:r>
              <w:rPr>
                <w:rFonts w:ascii="Arial" w:cs="Arial" w:eastAsia="Arial" w:hAnsi="Arial"/>
                <w:sz w:val="19"/>
                <w:szCs w:val="19"/>
                <w:color w:val="auto"/>
              </w:rPr>
              <w:t>E-mail: ir@i-click.com</w:t>
            </w:r>
          </w:p>
        </w:tc>
        <w:tc>
          <w:tcPr>
            <w:tcW w:w="3020" w:type="dxa"/>
            <w:vAlign w:val="bottom"/>
            <w:gridSpan w:val="2"/>
          </w:tcPr>
          <w:p>
            <w:pPr>
              <w:ind w:left="1080"/>
              <w:spacing w:after="0" w:line="194" w:lineRule="exact"/>
              <w:rPr>
                <w:sz w:val="20"/>
                <w:szCs w:val="20"/>
                <w:color w:val="auto"/>
              </w:rPr>
            </w:pPr>
            <w:r>
              <w:rPr>
                <w:rFonts w:ascii="Arial" w:cs="Arial" w:eastAsia="Arial" w:hAnsi="Arial"/>
                <w:sz w:val="19"/>
                <w:szCs w:val="19"/>
                <w:color w:val="auto"/>
                <w:w w:val="89"/>
              </w:rPr>
              <w:t>E-mail: tomc@coreir.com</w:t>
            </w:r>
          </w:p>
        </w:tc>
      </w:tr>
      <w:tr>
        <w:trPr>
          <w:trHeight w:val="20"/>
        </w:trPr>
        <w:tc>
          <w:tcPr>
            <w:tcW w:w="4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2021-12-22T11:36:34Z</dcterms:created>
  <dcterms:modified xsi:type="dcterms:W3CDTF">2021-12-22T11:36:34Z</dcterms:modified>
</cp:coreProperties>
</file>