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0001730153</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Amber International Holding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001-38313</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1 WALLICH STREET</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#30-02 GUOCO TOWER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SINGAPORE</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SINGAPORE</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078881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65 60220228</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Hsieh Wing Hong Sammy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Citigroup Global Markets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2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388 Greenwich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504822</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5643909.96</w:t>
            </w:r>
          </w:p>
        </w:tc>
        <w:tc>
          <w:tcPr>
            <w:tcW w:w="13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47390657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06/27/2025</w:t>
            </w:r>
          </w:p>
        </w:tc>
        <w:tc>
          <w:tcPr>
            <w:tcW w:w="1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Global 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4740" w:space="12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40" w:val="left"/>
        </w:tabs>
        <w:rPr>
          <w:sz w:val="20"/>
          <w:szCs w:val="20"/>
          <w:color w:val="auto"/>
        </w:rPr>
      </w:pPr>
      <w:r>
        <w:rPr>
          <w:rFonts w:ascii="Times New Roman" w:cs="Times New Roman" w:eastAsia="Times New Roman" w:hAnsi="Times New Roman"/>
          <w:sz w:val="22"/>
          <w:szCs w:val="22"/>
          <w:color w:val="auto"/>
        </w:rPr>
        <w:t>Founders' share</w:t>
      </w:r>
      <w:r>
        <w:rPr>
          <w:sz w:val="20"/>
          <w:szCs w:val="20"/>
          <w:color w:val="auto"/>
        </w:rPr>
        <w:tab/>
      </w:r>
      <w:r>
        <w:rPr>
          <w:rFonts w:ascii="Times New Roman" w:cs="Times New Roman" w:eastAsia="Times New Roman" w:hAnsi="Times New Roman"/>
          <w:sz w:val="21"/>
          <w:szCs w:val="21"/>
          <w:color w:val="auto"/>
        </w:rPr>
        <w:t>Founders' share</w:t>
      </w:r>
    </w:p>
    <w:p>
      <w:pPr>
        <w:spacing w:after="0" w:line="4" w:lineRule="exact"/>
        <w:rPr>
          <w:sz w:val="20"/>
          <w:szCs w:val="20"/>
          <w:color w:val="auto"/>
        </w:rPr>
      </w:pPr>
    </w:p>
    <w:p>
      <w:pPr>
        <w:ind w:left="2540"/>
        <w:spacing w:after="0"/>
        <w:tabs>
          <w:tab w:leader="none" w:pos="9540" w:val="left"/>
        </w:tabs>
        <w:rPr>
          <w:sz w:val="20"/>
          <w:szCs w:val="20"/>
          <w:color w:val="auto"/>
        </w:rPr>
      </w:pPr>
      <w:r>
        <w:rPr>
          <w:rFonts w:ascii="Times New Roman" w:cs="Times New Roman" w:eastAsia="Times New Roman" w:hAnsi="Times New Roman"/>
          <w:sz w:val="22"/>
          <w:szCs w:val="22"/>
          <w:color w:val="auto"/>
        </w:rPr>
        <w:t>and shares</w:t>
      </w:r>
      <w:r>
        <w:rPr>
          <w:sz w:val="20"/>
          <w:szCs w:val="20"/>
          <w:color w:val="auto"/>
        </w:rPr>
        <w:tab/>
      </w:r>
      <w:r>
        <w:rPr>
          <w:rFonts w:ascii="Times New Roman" w:cs="Times New Roman" w:eastAsia="Times New Roman" w:hAnsi="Times New Roman"/>
          <w:sz w:val="21"/>
          <w:szCs w:val="21"/>
          <w:color w:val="auto"/>
        </w:rPr>
        <w:t>and shares</w:t>
      </w:r>
    </w:p>
    <w:p>
      <w:pPr>
        <w:ind w:left="40"/>
        <w:spacing w:after="0"/>
        <w:tabs>
          <w:tab w:leader="none" w:pos="1480" w:val="left"/>
          <w:tab w:leader="none" w:pos="8500" w:val="left"/>
        </w:tabs>
        <w:rPr>
          <w:sz w:val="20"/>
          <w:szCs w:val="20"/>
          <w:color w:val="auto"/>
        </w:rPr>
      </w:pPr>
      <w:r>
        <w:rPr>
          <w:rFonts w:ascii="Times New Roman" w:cs="Times New Roman" w:eastAsia="Times New Roman" w:hAnsi="Times New Roman"/>
          <w:sz w:val="22"/>
          <w:szCs w:val="22"/>
          <w:color w:val="auto"/>
        </w:rPr>
        <w:t>ADS</w:t>
      </w:r>
      <w:r>
        <w:rPr>
          <w:sz w:val="20"/>
          <w:szCs w:val="20"/>
          <w:color w:val="auto"/>
        </w:rPr>
        <w:tab/>
      </w:r>
      <w:r>
        <w:rPr>
          <w:rFonts w:ascii="Times New Roman" w:cs="Times New Roman" w:eastAsia="Times New Roman" w:hAnsi="Times New Roman"/>
          <w:sz w:val="22"/>
          <w:szCs w:val="22"/>
          <w:color w:val="auto"/>
        </w:rPr>
        <w:t xml:space="preserve">12/31/2020 acquired in follow-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504822</w:t>
      </w:r>
      <w:r>
        <w:rPr>
          <w:sz w:val="20"/>
          <w:szCs w:val="20"/>
          <w:color w:val="auto"/>
        </w:rPr>
        <w:tab/>
      </w:r>
      <w:r>
        <w:rPr>
          <w:rFonts w:ascii="Times New Roman" w:cs="Times New Roman" w:eastAsia="Times New Roman" w:hAnsi="Times New Roman"/>
          <w:sz w:val="21"/>
          <w:szCs w:val="21"/>
          <w:color w:val="auto"/>
        </w:rPr>
        <w:t>12/31/2020 acquired in</w:t>
      </w:r>
    </w:p>
    <w:p>
      <w:pPr>
        <w:ind w:left="2540"/>
        <w:spacing w:after="0"/>
        <w:tabs>
          <w:tab w:leader="none" w:pos="9540" w:val="left"/>
        </w:tabs>
        <w:rPr>
          <w:sz w:val="20"/>
          <w:szCs w:val="20"/>
          <w:color w:val="auto"/>
        </w:rPr>
      </w:pPr>
      <w:r>
        <w:rPr>
          <w:rFonts w:ascii="Times New Roman" w:cs="Times New Roman" w:eastAsia="Times New Roman" w:hAnsi="Times New Roman"/>
          <w:sz w:val="22"/>
          <w:szCs w:val="22"/>
          <w:color w:val="auto"/>
        </w:rPr>
        <w:t>on offering in</w:t>
      </w:r>
      <w:r>
        <w:rPr>
          <w:sz w:val="20"/>
          <w:szCs w:val="20"/>
          <w:color w:val="auto"/>
        </w:rPr>
        <w:tab/>
      </w:r>
      <w:r>
        <w:rPr>
          <w:rFonts w:ascii="Times New Roman" w:cs="Times New Roman" w:eastAsia="Times New Roman" w:hAnsi="Times New Roman"/>
          <w:sz w:val="21"/>
          <w:szCs w:val="21"/>
          <w:color w:val="auto"/>
        </w:rPr>
        <w:t>follow-on offering</w:t>
      </w:r>
    </w:p>
    <w:p>
      <w:pPr>
        <w:ind w:left="2540"/>
        <w:spacing w:after="0"/>
        <w:tabs>
          <w:tab w:leader="none" w:pos="9540" w:val="left"/>
        </w:tabs>
        <w:rPr>
          <w:sz w:val="20"/>
          <w:szCs w:val="20"/>
          <w:color w:val="auto"/>
        </w:rPr>
      </w:pPr>
      <w:r>
        <w:rPr>
          <w:rFonts w:ascii="Times New Roman" w:cs="Times New Roman" w:eastAsia="Times New Roman" w:hAnsi="Times New Roman"/>
          <w:sz w:val="22"/>
          <w:szCs w:val="22"/>
          <w:color w:val="auto"/>
        </w:rPr>
        <w:t>2020</w:t>
      </w:r>
      <w:r>
        <w:rPr>
          <w:sz w:val="20"/>
          <w:szCs w:val="20"/>
          <w:color w:val="auto"/>
        </w:rPr>
        <w:tab/>
      </w:r>
      <w:r>
        <w:rPr>
          <w:rFonts w:ascii="Times New Roman" w:cs="Times New Roman" w:eastAsia="Times New Roman" w:hAnsi="Times New Roman"/>
          <w:sz w:val="22"/>
          <w:szCs w:val="22"/>
          <w:color w:val="auto"/>
        </w:rPr>
        <w:t>in 2020</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This filing is for American Depositary Shares (ADS) shares. The number of shares to be sold are within the average of the previous 4-weeks trading volume of the ADS shares. The shares were acquired as founders' shares in 2009 and in a follow-on offering in 2020. All shares are therefore more than one year old.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06/27/2025</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Wing Hong Sammy Hsieh</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2025-06-27T13:28:16Z</dcterms:created>
  <dcterms:modified xsi:type="dcterms:W3CDTF">2025-06-27T13:28:16Z</dcterms:modified>
</cp:coreProperties>
</file>