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153035</wp:posOffset>
            </wp:positionV>
            <wp:extent cx="7140575"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217805</wp:posOffset>
            </wp:positionV>
            <wp:extent cx="71405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0575"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SECURITIES AND EXCHANGE COMMISSION</w:t>
      </w:r>
    </w:p>
    <w:p>
      <w:pPr>
        <w:spacing w:after="0" w:line="3" w:lineRule="exact"/>
        <w:rPr>
          <w:sz w:val="24"/>
          <w:szCs w:val="24"/>
          <w:color w:val="auto"/>
        </w:rPr>
      </w:pPr>
    </w:p>
    <w:p>
      <w:pPr>
        <w:ind w:left="4760"/>
        <w:spacing w:after="0"/>
        <w:rPr>
          <w:sz w:val="20"/>
          <w:szCs w:val="20"/>
          <w:color w:val="auto"/>
        </w:rPr>
      </w:pPr>
      <w:r>
        <w:rPr>
          <w:rFonts w:ascii="Arial" w:cs="Arial" w:eastAsia="Arial" w:hAnsi="Arial"/>
          <w:sz w:val="17"/>
          <w:szCs w:val="17"/>
          <w:b w:val="1"/>
          <w:bCs w:val="1"/>
          <w:color w:val="auto"/>
        </w:rPr>
        <w:t>Washington, D.C. 20549</w:t>
      </w:r>
    </w:p>
    <w:p>
      <w:pPr>
        <w:spacing w:after="0" w:line="385" w:lineRule="exact"/>
        <w:rPr>
          <w:sz w:val="24"/>
          <w:szCs w:val="24"/>
          <w:color w:val="auto"/>
        </w:rPr>
      </w:pPr>
    </w:p>
    <w:p>
      <w:pPr>
        <w:ind w:left="4880"/>
        <w:spacing w:after="0"/>
        <w:rPr>
          <w:sz w:val="20"/>
          <w:szCs w:val="20"/>
          <w:color w:val="auto"/>
        </w:rPr>
      </w:pPr>
      <w:r>
        <w:rPr>
          <w:rFonts w:ascii="Arial" w:cs="Arial" w:eastAsia="Arial" w:hAnsi="Arial"/>
          <w:sz w:val="30"/>
          <w:szCs w:val="30"/>
          <w:b w:val="1"/>
          <w:bCs w:val="1"/>
          <w:color w:val="auto"/>
        </w:rPr>
        <w:t>FORM 6-K</w:t>
      </w:r>
    </w:p>
    <w:p>
      <w:pPr>
        <w:spacing w:after="0" w:line="200" w:lineRule="exact"/>
        <w:rPr>
          <w:sz w:val="24"/>
          <w:szCs w:val="24"/>
          <w:color w:val="auto"/>
        </w:rPr>
      </w:pPr>
    </w:p>
    <w:p>
      <w:pPr>
        <w:spacing w:after="0" w:line="22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REPORT OF FOREIGN PRIVATE ISSUER</w:t>
      </w:r>
    </w:p>
    <w:p>
      <w:pPr>
        <w:spacing w:after="0" w:line="18" w:lineRule="exact"/>
        <w:rPr>
          <w:sz w:val="24"/>
          <w:szCs w:val="24"/>
          <w:color w:val="auto"/>
        </w:rPr>
      </w:pPr>
    </w:p>
    <w:p>
      <w:pPr>
        <w:jc w:val="center"/>
        <w:ind w:right="-1120"/>
        <w:spacing w:after="0"/>
        <w:rPr>
          <w:sz w:val="20"/>
          <w:szCs w:val="20"/>
          <w:color w:val="auto"/>
        </w:rPr>
      </w:pPr>
      <w:r>
        <w:rPr>
          <w:rFonts w:ascii="Arial" w:cs="Arial" w:eastAsia="Arial" w:hAnsi="Arial"/>
          <w:sz w:val="20"/>
          <w:szCs w:val="20"/>
          <w:b w:val="1"/>
          <w:bCs w:val="1"/>
          <w:color w:val="auto"/>
        </w:rPr>
        <w:t>PURSUANT TO RULE 13a-16 OR 15d-16</w:t>
      </w:r>
    </w:p>
    <w:p>
      <w:pPr>
        <w:jc w:val="center"/>
        <w:ind w:right="-1120"/>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18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For the month of March 2022</w:t>
      </w:r>
    </w:p>
    <w:p>
      <w:pPr>
        <w:spacing w:after="0" w:line="21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Commission File Number: 001-38313</w:t>
      </w:r>
    </w:p>
    <w:p>
      <w:pPr>
        <w:spacing w:after="0" w:line="200" w:lineRule="exact"/>
        <w:rPr>
          <w:sz w:val="24"/>
          <w:szCs w:val="24"/>
          <w:color w:val="auto"/>
        </w:rPr>
      </w:pPr>
    </w:p>
    <w:p>
      <w:pPr>
        <w:spacing w:after="0" w:line="203" w:lineRule="exact"/>
        <w:rPr>
          <w:sz w:val="24"/>
          <w:szCs w:val="24"/>
          <w:color w:val="auto"/>
        </w:rPr>
      </w:pPr>
    </w:p>
    <w:p>
      <w:pPr>
        <w:jc w:val="center"/>
        <w:ind w:right="-1120"/>
        <w:spacing w:after="0"/>
        <w:rPr>
          <w:sz w:val="20"/>
          <w:szCs w:val="20"/>
          <w:color w:val="auto"/>
        </w:rPr>
      </w:pPr>
      <w:r>
        <w:rPr>
          <w:rFonts w:ascii="Arial" w:cs="Arial" w:eastAsia="Arial" w:hAnsi="Arial"/>
          <w:sz w:val="30"/>
          <w:szCs w:val="30"/>
          <w:b w:val="1"/>
          <w:bCs w:val="1"/>
          <w:color w:val="auto"/>
        </w:rPr>
        <w:t>iClick Interactive Asia Group Limited</w:t>
      </w:r>
    </w:p>
    <w:p>
      <w:pPr>
        <w:spacing w:after="0" w:line="37"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(Translation of registrant’s name into English)</w:t>
      </w:r>
    </w:p>
    <w:p>
      <w:pPr>
        <w:spacing w:after="0" w:line="200" w:lineRule="exact"/>
        <w:rPr>
          <w:sz w:val="24"/>
          <w:szCs w:val="24"/>
          <w:color w:val="auto"/>
        </w:rPr>
      </w:pP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15/F</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Prosperity Millennia Plaza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663 King’s Road, Quarry Bay</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Hong Kong S.A.R., People’s Republic of China</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Tel: +852 3700 9000</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(Address of principal executive office)</w:t>
      </w:r>
    </w:p>
    <w:p>
      <w:pPr>
        <w:spacing w:after="0" w:line="38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files or will file annual reports under cover of Form 20-F or Form 40-F. Form 20-F </w:t>
      </w:r>
      <w:r>
        <w:rPr>
          <w:rFonts w:ascii="MS PGothic" w:cs="MS PGothic" w:eastAsia="MS PGothic" w:hAnsi="MS PGothic"/>
          <w:sz w:val="15"/>
          <w:szCs w:val="15"/>
          <w:color w:val="auto"/>
        </w:rPr>
        <w:t>☒</w:t>
      </w:r>
      <w:r>
        <w:rPr>
          <w:rFonts w:ascii="Arial" w:cs="Arial" w:eastAsia="Arial" w:hAnsi="Arial"/>
          <w:sz w:val="15"/>
          <w:szCs w:val="15"/>
          <w:color w:val="auto"/>
        </w:rPr>
        <w:t xml:space="preserve"> Form 40-F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(1):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 (7):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161290</wp:posOffset>
            </wp:positionV>
            <wp:extent cx="71405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201930</wp:posOffset>
            </wp:positionV>
            <wp:extent cx="7140575" cy="32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0575" cy="3238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542925</wp:posOffset>
            </wp:positionV>
            <wp:extent cx="71824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0139"/>
          </w:cols>
          <w:pgMar w:left="320" w:top="5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8"/>
        </w:trPr>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100" w:type="dxa"/>
            <w:vAlign w:val="bottom"/>
          </w:tcPr>
          <w:p>
            <w:pPr>
              <w:ind w:left="1840"/>
              <w:spacing w:after="0"/>
              <w:rPr>
                <w:sz w:val="20"/>
                <w:szCs w:val="20"/>
                <w:color w:val="auto"/>
              </w:rPr>
            </w:pPr>
            <w:r>
              <w:rPr>
                <w:rFonts w:ascii="Arial" w:cs="Arial" w:eastAsia="Arial" w:hAnsi="Arial"/>
                <w:sz w:val="17"/>
                <w:szCs w:val="17"/>
                <w:b w:val="1"/>
                <w:bCs w:val="1"/>
                <w:color w:val="auto"/>
              </w:rPr>
              <w:t>EXHIBIT INDEX</w:t>
            </w:r>
          </w:p>
        </w:tc>
      </w:tr>
      <w:tr>
        <w:trPr>
          <w:trHeight w:val="343"/>
        </w:trPr>
        <w:tc>
          <w:tcPr>
            <w:tcW w:w="226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880" w:type="dxa"/>
            <w:vAlign w:val="bottom"/>
          </w:tcPr>
          <w:p>
            <w:pPr>
              <w:spacing w:after="0"/>
              <w:rPr>
                <w:sz w:val="24"/>
                <w:szCs w:val="24"/>
                <w:color w:val="auto"/>
              </w:rPr>
            </w:pPr>
          </w:p>
        </w:tc>
        <w:tc>
          <w:tcPr>
            <w:tcW w:w="8100" w:type="dxa"/>
            <w:vAlign w:val="bottom"/>
          </w:tcPr>
          <w:p>
            <w:pPr>
              <w:ind w:left="2900"/>
              <w:spacing w:after="0"/>
              <w:rPr>
                <w:sz w:val="20"/>
                <w:szCs w:val="20"/>
                <w:color w:val="auto"/>
              </w:rPr>
            </w:pPr>
            <w:r>
              <w:rPr>
                <w:rFonts w:ascii="Arial" w:cs="Arial" w:eastAsia="Arial" w:hAnsi="Arial"/>
                <w:sz w:val="13"/>
                <w:szCs w:val="13"/>
                <w:b w:val="1"/>
                <w:bCs w:val="1"/>
                <w:color w:val="auto"/>
              </w:rPr>
              <w:t>Description of Document</w:t>
            </w:r>
          </w:p>
        </w:tc>
      </w:tr>
      <w:tr>
        <w:trPr>
          <w:trHeight w:val="360"/>
        </w:trPr>
        <w:tc>
          <w:tcPr>
            <w:tcW w:w="20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99.1</w:t>
            </w:r>
          </w:p>
        </w:tc>
        <w:tc>
          <w:tcPr>
            <w:tcW w:w="220" w:type="dxa"/>
            <w:vAlign w:val="bottom"/>
          </w:tcPr>
          <w:p>
            <w:pPr>
              <w:spacing w:after="0"/>
              <w:rPr>
                <w:sz w:val="24"/>
                <w:szCs w:val="24"/>
                <w:color w:val="auto"/>
              </w:rPr>
            </w:pPr>
          </w:p>
        </w:tc>
        <w:tc>
          <w:tcPr>
            <w:tcW w:w="880" w:type="dxa"/>
            <w:vAlign w:val="bottom"/>
            <w:tcBorders>
              <w:top w:val="single" w:sz="8" w:color="auto"/>
              <w:bottom w:val="single" w:sz="8" w:color="0000EE"/>
            </w:tcBorders>
          </w:tcPr>
          <w:p>
            <w:pPr>
              <w:spacing w:after="0"/>
              <w:rPr>
                <w:rFonts w:ascii="Arial" w:cs="Arial" w:eastAsia="Arial" w:hAnsi="Arial"/>
                <w:sz w:val="17"/>
                <w:szCs w:val="17"/>
                <w:color w:val="0000EE"/>
                <w:w w:val="82"/>
              </w:rPr>
            </w:pPr>
            <w:hyperlink w:anchor="page4">
              <w:r>
                <w:rPr>
                  <w:rFonts w:ascii="Arial" w:cs="Arial" w:eastAsia="Arial" w:hAnsi="Arial"/>
                  <w:sz w:val="17"/>
                  <w:szCs w:val="17"/>
                  <w:color w:val="0000EE"/>
                  <w:w w:val="82"/>
                </w:rPr>
                <w:t>Press release</w:t>
              </w:r>
            </w:hyperlink>
          </w:p>
        </w:tc>
        <w:tc>
          <w:tcPr>
            <w:tcW w:w="810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450215</wp:posOffset>
            </wp:positionV>
            <wp:extent cx="7182485" cy="4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SIGNATURES</w:t>
      </w:r>
    </w:p>
    <w:p>
      <w:pPr>
        <w:spacing w:after="0" w:line="21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ind w:left="6340"/>
        <w:spacing w:after="0"/>
        <w:rPr>
          <w:sz w:val="20"/>
          <w:szCs w:val="20"/>
          <w:color w:val="auto"/>
        </w:rPr>
      </w:pPr>
      <w:r>
        <w:rPr>
          <w:rFonts w:ascii="Arial" w:cs="Arial" w:eastAsia="Arial" w:hAnsi="Arial"/>
          <w:sz w:val="17"/>
          <w:szCs w:val="17"/>
          <w:b w:val="1"/>
          <w:bCs w:val="1"/>
          <w:color w:val="auto"/>
        </w:rPr>
        <w:t>iClick Interactive Asia Group Limited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14"/>
        </w:trPr>
        <w:tc>
          <w:tcPr>
            <w:tcW w:w="700" w:type="dxa"/>
            <w:vAlign w:val="bottom"/>
          </w:tcPr>
          <w:p>
            <w:pPr>
              <w:spacing w:after="0"/>
              <w:rPr>
                <w:sz w:val="20"/>
                <w:szCs w:val="20"/>
                <w:color w:val="auto"/>
              </w:rPr>
            </w:pPr>
            <w:r>
              <w:rPr>
                <w:rFonts w:ascii="Arial" w:cs="Arial" w:eastAsia="Arial" w:hAnsi="Arial"/>
                <w:sz w:val="17"/>
                <w:szCs w:val="17"/>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Jian Tang</w:t>
            </w:r>
          </w:p>
        </w:tc>
      </w:tr>
      <w:tr>
        <w:trPr>
          <w:trHeight w:val="183"/>
        </w:trPr>
        <w:tc>
          <w:tcPr>
            <w:tcW w:w="700" w:type="dxa"/>
            <w:vAlign w:val="bottom"/>
          </w:tcPr>
          <w:p>
            <w:pPr>
              <w:spacing w:after="0" w:line="184" w:lineRule="exact"/>
              <w:rPr>
                <w:sz w:val="20"/>
                <w:szCs w:val="20"/>
                <w:color w:val="auto"/>
              </w:rPr>
            </w:pPr>
            <w:r>
              <w:rPr>
                <w:rFonts w:ascii="Arial" w:cs="Arial" w:eastAsia="Arial" w:hAnsi="Arial"/>
                <w:sz w:val="17"/>
                <w:szCs w:val="17"/>
                <w:color w:val="auto"/>
              </w:rPr>
              <w:t>Name:</w:t>
            </w:r>
          </w:p>
        </w:tc>
        <w:tc>
          <w:tcPr>
            <w:tcW w:w="4900" w:type="dxa"/>
            <w:vAlign w:val="bottom"/>
          </w:tcPr>
          <w:p>
            <w:pPr>
              <w:spacing w:after="0" w:line="184" w:lineRule="exact"/>
              <w:rPr>
                <w:sz w:val="20"/>
                <w:szCs w:val="20"/>
                <w:color w:val="auto"/>
              </w:rPr>
            </w:pPr>
            <w:r>
              <w:rPr>
                <w:rFonts w:ascii="Arial" w:cs="Arial" w:eastAsia="Arial" w:hAnsi="Arial"/>
                <w:sz w:val="17"/>
                <w:szCs w:val="17"/>
                <w:color w:val="auto"/>
              </w:rPr>
              <w:t>Jian Tang</w:t>
            </w:r>
          </w:p>
        </w:tc>
      </w:tr>
      <w:tr>
        <w:trPr>
          <w:trHeight w:val="214"/>
        </w:trPr>
        <w:tc>
          <w:tcPr>
            <w:tcW w:w="700" w:type="dxa"/>
            <w:vAlign w:val="bottom"/>
          </w:tcPr>
          <w:p>
            <w:pPr>
              <w:spacing w:after="0"/>
              <w:rPr>
                <w:sz w:val="20"/>
                <w:szCs w:val="20"/>
                <w:color w:val="auto"/>
              </w:rPr>
            </w:pPr>
            <w:r>
              <w:rPr>
                <w:rFonts w:ascii="Arial" w:cs="Arial" w:eastAsia="Arial" w:hAnsi="Arial"/>
                <w:sz w:val="17"/>
                <w:szCs w:val="17"/>
                <w:color w:val="auto"/>
              </w:rPr>
              <w:t>Title:</w:t>
            </w:r>
          </w:p>
        </w:tc>
        <w:tc>
          <w:tcPr>
            <w:tcW w:w="490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Date: March 14, 2022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32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288290</wp:posOffset>
            </wp:positionV>
            <wp:extent cx="1125855" cy="4502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2585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iClick Announces to Fully Acquire Changyi</w:t>
      </w:r>
    </w:p>
    <w:p>
      <w:pPr>
        <w:spacing w:after="0" w:line="212" w:lineRule="exact"/>
        <w:rPr>
          <w:sz w:val="20"/>
          <w:szCs w:val="20"/>
          <w:color w:val="auto"/>
        </w:rPr>
      </w:pPr>
    </w:p>
    <w:p>
      <w:pPr>
        <w:jc w:val="both"/>
        <w:ind w:left="20" w:hanging="11"/>
        <w:spacing w:after="0"/>
        <w:rPr>
          <w:sz w:val="20"/>
          <w:szCs w:val="20"/>
          <w:color w:val="auto"/>
        </w:rPr>
      </w:pPr>
      <w:r>
        <w:rPr>
          <w:rFonts w:ascii="Arial" w:cs="Arial" w:eastAsia="Arial" w:hAnsi="Arial"/>
          <w:sz w:val="19"/>
          <w:szCs w:val="19"/>
          <w:b w:val="1"/>
          <w:bCs w:val="1"/>
          <w:color w:val="auto"/>
        </w:rPr>
        <w:t xml:space="preserve">HONG KONG </w:t>
      </w:r>
      <w:r>
        <w:rPr>
          <w:rFonts w:ascii="Arial" w:cs="Arial" w:eastAsia="Arial" w:hAnsi="Arial"/>
          <w:sz w:val="19"/>
          <w:szCs w:val="19"/>
          <w:color w:val="auto"/>
        </w:rPr>
        <w:t>— March 14, 2022 — iClick Interactive Asia Group Limited ("iClick" or the "Company") (NASDAQ: ICLK), a leading enterprise and</w:t>
      </w:r>
      <w:r>
        <w:rPr>
          <w:rFonts w:ascii="Arial" w:cs="Arial" w:eastAsia="Arial" w:hAnsi="Arial"/>
          <w:sz w:val="19"/>
          <w:szCs w:val="19"/>
          <w:b w:val="1"/>
          <w:bCs w:val="1"/>
          <w:color w:val="auto"/>
        </w:rPr>
        <w:t xml:space="preserve"> </w:t>
      </w:r>
      <w:r>
        <w:rPr>
          <w:rFonts w:ascii="Arial" w:cs="Arial" w:eastAsia="Arial" w:hAnsi="Arial"/>
          <w:sz w:val="19"/>
          <w:szCs w:val="19"/>
          <w:color w:val="auto"/>
        </w:rPr>
        <w:t>marketing cloud platform in China that empowers worldwide brands with full-stack consumer lifecycle solutions, announced today that its wholly-owned subsidiary has entered into an agreement to acquire the remaining equity interest of Changyi (Shanghai) Information Technology Co., Ltd (“Changyi”), a leading independent software vendor (“ISV”) in China which provides intelligent retail and CRM solutions (the “Acquisition”). In consideration of the Acquisition, the Company will pay (i) RMB6,000,000 and the Company will issue (ii) 3,091,327 American depository shares (the “Consideration ADS”) of the Company. Changyi is currently a controlled investee of the Company. Upon completion of the proposed transaction, Changyi will be wholly owned by the Company.</w:t>
      </w:r>
    </w:p>
    <w:p>
      <w:pPr>
        <w:spacing w:after="0" w:line="197" w:lineRule="exact"/>
        <w:rPr>
          <w:sz w:val="20"/>
          <w:szCs w:val="20"/>
          <w:color w:val="auto"/>
        </w:rPr>
      </w:pPr>
    </w:p>
    <w:p>
      <w:pPr>
        <w:jc w:val="both"/>
        <w:ind w:left="20" w:hanging="11"/>
        <w:spacing w:after="0" w:line="290" w:lineRule="auto"/>
        <w:rPr>
          <w:sz w:val="20"/>
          <w:szCs w:val="20"/>
          <w:color w:val="auto"/>
        </w:rPr>
      </w:pPr>
      <w:r>
        <w:rPr>
          <w:rFonts w:ascii="Arial" w:cs="Arial" w:eastAsia="Arial" w:hAnsi="Arial"/>
          <w:sz w:val="17"/>
          <w:szCs w:val="17"/>
          <w:color w:val="auto"/>
        </w:rPr>
        <w:t>The acquisition will allow iClick to accelerate the expansion of its Enterprise Solutions business, spearheaded by its newly established “SaaS + X” business model which aims to help companies strengthen their productivity and enhance their private domain through effective key opinion leader (“KOL”) recommendations, efficient targeted marketing and e-commerce partnerships while integrating data assets and solidifying their brand profiles.</w:t>
      </w:r>
    </w:p>
    <w:p>
      <w:pPr>
        <w:spacing w:after="0" w:line="153" w:lineRule="exact"/>
        <w:rPr>
          <w:sz w:val="20"/>
          <w:szCs w:val="20"/>
          <w:color w:val="auto"/>
        </w:rPr>
      </w:pPr>
    </w:p>
    <w:p>
      <w:pPr>
        <w:jc w:val="both"/>
        <w:ind w:left="20" w:hanging="11"/>
        <w:spacing w:after="0" w:line="290" w:lineRule="auto"/>
        <w:rPr>
          <w:sz w:val="20"/>
          <w:szCs w:val="20"/>
          <w:color w:val="auto"/>
        </w:rPr>
      </w:pPr>
      <w:r>
        <w:rPr>
          <w:rFonts w:ascii="Arial" w:cs="Arial" w:eastAsia="Arial" w:hAnsi="Arial"/>
          <w:sz w:val="17"/>
          <w:szCs w:val="17"/>
          <w:color w:val="auto"/>
        </w:rPr>
        <w:t>“The demand for private domain traffic remains strong and we are capitalizing on this trend through continued investment in our Enterprise Solutions business,” said Jian "T.J." Tang, Chairman, Chief Executive Officer and Co-Founder of iClick. “The acquisition of the remaining shares of Changyi will accelerate the evolution of our Enterprise Solutions and better help our clients to innovate through digital transformation.”</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About iClick Interactive Asia Group Limited</w:t>
      </w:r>
    </w:p>
    <w:p>
      <w:pPr>
        <w:spacing w:after="0" w:line="216" w:lineRule="exact"/>
        <w:rPr>
          <w:sz w:val="20"/>
          <w:szCs w:val="20"/>
          <w:color w:val="auto"/>
        </w:rPr>
      </w:pPr>
    </w:p>
    <w:p>
      <w:pPr>
        <w:jc w:val="both"/>
        <w:ind w:left="20"/>
        <w:spacing w:after="0" w:line="241" w:lineRule="auto"/>
        <w:rPr>
          <w:sz w:val="20"/>
          <w:szCs w:val="20"/>
          <w:color w:val="auto"/>
        </w:rPr>
      </w:pPr>
      <w:r>
        <w:rPr>
          <w:rFonts w:ascii="Arial" w:cs="Arial" w:eastAsia="Arial" w:hAnsi="Arial"/>
          <w:sz w:val="19"/>
          <w:szCs w:val="19"/>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https://ir.i-click.com.</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About Changyi</w:t>
      </w:r>
    </w:p>
    <w:p>
      <w:pPr>
        <w:spacing w:after="0" w:line="216" w:lineRule="exact"/>
        <w:rPr>
          <w:sz w:val="20"/>
          <w:szCs w:val="20"/>
          <w:color w:val="auto"/>
        </w:rPr>
      </w:pPr>
    </w:p>
    <w:p>
      <w:pPr>
        <w:jc w:val="both"/>
        <w:ind w:left="20"/>
        <w:spacing w:after="0" w:line="277" w:lineRule="auto"/>
        <w:rPr>
          <w:sz w:val="20"/>
          <w:szCs w:val="20"/>
          <w:color w:val="auto"/>
        </w:rPr>
      </w:pPr>
      <w:r>
        <w:rPr>
          <w:rFonts w:ascii="Arial" w:cs="Arial" w:eastAsia="Arial" w:hAnsi="Arial"/>
          <w:sz w:val="17"/>
          <w:szCs w:val="17"/>
          <w:color w:val="auto"/>
        </w:rPr>
        <w:t>After the proposed transaction, Changyi (Shanghai) Information Technology Co., Ltd. ("Changyi") will be a wholly-owned subsidiary of iClick Interactive Asia Group Limited (NASDAQ: ICLK). It is a designated independent software vendor for Tencent's Smart Retail, and a service provider for Tencent Cloud, Tencent's Smart Retail, WeCom, WeChat Pay, Tencent Live and Mini Programs platforms. Based on the WeChat ecosystem, Changyi provides enterprises with smart retail solutions to serve high-net-worth consumers, helping build connections with consumers and providing data intelligence and tailored operation services. Changyi helps brands retain consumers, manage social e-commerce traffic, lock in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824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2485" cy="41275"/>
                    </a:xfrm>
                    <a:prstGeom prst="rect">
                      <a:avLst/>
                    </a:prstGeom>
                    <a:noFill/>
                  </pic:spPr>
                </pic:pic>
              </a:graphicData>
            </a:graphic>
          </wp:anchor>
        </w:drawing>
      </w:r>
    </w:p>
    <w:p>
      <w:pPr>
        <w:sectPr>
          <w:pgSz w:w="11900" w:h="16838" w:orient="portrait"/>
          <w:cols w:equalWidth="0" w:num="1">
            <w:col w:w="11260"/>
          </w:cols>
          <w:pgMar w:left="300" w:top="123" w:right="339" w:bottom="1440" w:gutter="0" w:footer="0" w:header="0"/>
        </w:sectPr>
      </w:pPr>
    </w:p>
    <w:bookmarkStart w:id="4" w:name="page5"/>
    <w:bookmarkEnd w:id="4"/>
    <w:p>
      <w:pPr>
        <w:ind w:left="10380"/>
        <w:spacing w:after="0"/>
        <w:rPr>
          <w:sz w:val="20"/>
          <w:szCs w:val="20"/>
          <w:color w:val="auto"/>
        </w:rPr>
      </w:pPr>
      <w:r>
        <w:rPr>
          <w:rFonts w:ascii="Arial" w:cs="Arial" w:eastAsia="Arial" w:hAnsi="Arial"/>
          <w:sz w:val="15"/>
          <w:szCs w:val="15"/>
          <w:b w:val="1"/>
          <w:bCs w:val="1"/>
          <w:color w:val="auto"/>
        </w:rPr>
        <w:t>Exhibit 99.1</w:t>
      </w: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users, and realize growth from smart retail. Since its foundation, Changyi has expanded its clients worldwide including a number of tier-1 luxury brands as well as renowned brands in retail and other sectors.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Safe-Harbor Statement</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60" w:type="dxa"/>
            <w:vAlign w:val="bottom"/>
          </w:tcPr>
          <w:p>
            <w:pPr>
              <w:spacing w:after="0"/>
              <w:rPr>
                <w:sz w:val="20"/>
                <w:szCs w:val="20"/>
                <w:color w:val="auto"/>
              </w:rPr>
            </w:pPr>
            <w:r>
              <w:rPr>
                <w:rFonts w:ascii="Arial" w:cs="Arial" w:eastAsia="Arial" w:hAnsi="Arial"/>
                <w:sz w:val="19"/>
                <w:szCs w:val="19"/>
                <w:b w:val="1"/>
                <w:bCs w:val="1"/>
                <w:color w:val="auto"/>
              </w:rPr>
              <w:t>For investor and media inquiries, please contact:</w:t>
            </w:r>
          </w:p>
        </w:tc>
        <w:tc>
          <w:tcPr>
            <w:tcW w:w="16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04"/>
        </w:trPr>
        <w:tc>
          <w:tcPr>
            <w:tcW w:w="4960" w:type="dxa"/>
            <w:vAlign w:val="bottom"/>
          </w:tcPr>
          <w:p>
            <w:pPr>
              <w:spacing w:after="0"/>
              <w:rPr>
                <w:sz w:val="20"/>
                <w:szCs w:val="20"/>
                <w:color w:val="auto"/>
              </w:rPr>
            </w:pPr>
            <w:r>
              <w:rPr>
                <w:rFonts w:ascii="Arial" w:cs="Arial" w:eastAsia="Arial" w:hAnsi="Arial"/>
                <w:sz w:val="19"/>
                <w:szCs w:val="19"/>
                <w:b w:val="1"/>
                <w:bCs w:val="1"/>
                <w:color w:val="auto"/>
              </w:rPr>
              <w:t>In China:</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In the United States:</w:t>
            </w:r>
          </w:p>
        </w:tc>
      </w:tr>
      <w:tr>
        <w:trPr>
          <w:trHeight w:val="219"/>
        </w:trPr>
        <w:tc>
          <w:tcPr>
            <w:tcW w:w="4960" w:type="dxa"/>
            <w:vAlign w:val="bottom"/>
          </w:tcPr>
          <w:p>
            <w:pPr>
              <w:spacing w:after="0"/>
              <w:rPr>
                <w:sz w:val="20"/>
                <w:szCs w:val="20"/>
                <w:color w:val="auto"/>
              </w:rPr>
            </w:pPr>
            <w:r>
              <w:rPr>
                <w:rFonts w:ascii="Arial" w:cs="Arial" w:eastAsia="Arial" w:hAnsi="Arial"/>
                <w:sz w:val="19"/>
                <w:szCs w:val="19"/>
                <w:b w:val="1"/>
                <w:bCs w:val="1"/>
                <w:color w:val="auto"/>
              </w:rPr>
              <w:t>iClick Interactive Asia Group Limited</w:t>
            </w:r>
          </w:p>
        </w:tc>
        <w:tc>
          <w:tcPr>
            <w:tcW w:w="3020" w:type="dxa"/>
            <w:vAlign w:val="bottom"/>
            <w:gridSpan w:val="2"/>
          </w:tcPr>
          <w:p>
            <w:pPr>
              <w:ind w:left="1080"/>
              <w:spacing w:after="0"/>
              <w:rPr>
                <w:sz w:val="20"/>
                <w:szCs w:val="20"/>
                <w:color w:val="auto"/>
              </w:rPr>
            </w:pPr>
            <w:r>
              <w:rPr>
                <w:rFonts w:ascii="Arial" w:cs="Arial" w:eastAsia="Arial" w:hAnsi="Arial"/>
                <w:sz w:val="19"/>
                <w:szCs w:val="19"/>
                <w:b w:val="1"/>
                <w:bCs w:val="1"/>
                <w:color w:val="auto"/>
              </w:rPr>
              <w:t>Core IR</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Lisa Li</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Tom Caden</w:t>
            </w:r>
          </w:p>
        </w:tc>
      </w:tr>
      <w:tr>
        <w:trPr>
          <w:trHeight w:val="215"/>
        </w:trPr>
        <w:tc>
          <w:tcPr>
            <w:tcW w:w="4960" w:type="dxa"/>
            <w:vAlign w:val="bottom"/>
          </w:tcPr>
          <w:p>
            <w:pPr>
              <w:spacing w:after="0" w:line="215" w:lineRule="exact"/>
              <w:rPr>
                <w:sz w:val="20"/>
                <w:szCs w:val="20"/>
                <w:color w:val="auto"/>
              </w:rPr>
            </w:pPr>
            <w:r>
              <w:rPr>
                <w:rFonts w:ascii="Arial" w:cs="Arial" w:eastAsia="Arial" w:hAnsi="Arial"/>
                <w:sz w:val="19"/>
                <w:szCs w:val="19"/>
                <w:color w:val="auto"/>
              </w:rPr>
              <w:t>Phone: +86-21-3230-3931 #866</w:t>
            </w:r>
          </w:p>
        </w:tc>
        <w:tc>
          <w:tcPr>
            <w:tcW w:w="3020" w:type="dxa"/>
            <w:vAlign w:val="bottom"/>
            <w:gridSpan w:val="2"/>
          </w:tcPr>
          <w:p>
            <w:pPr>
              <w:ind w:left="1080"/>
              <w:spacing w:after="0" w:line="215" w:lineRule="exact"/>
              <w:rPr>
                <w:sz w:val="20"/>
                <w:szCs w:val="20"/>
                <w:color w:val="auto"/>
              </w:rPr>
            </w:pPr>
            <w:r>
              <w:rPr>
                <w:rFonts w:ascii="Arial" w:cs="Arial" w:eastAsia="Arial" w:hAnsi="Arial"/>
                <w:sz w:val="19"/>
                <w:szCs w:val="19"/>
                <w:color w:val="auto"/>
              </w:rPr>
              <w:t>Tel: +1-516-222-2560</w:t>
            </w:r>
          </w:p>
        </w:tc>
      </w:tr>
      <w:tr>
        <w:trPr>
          <w:trHeight w:val="194"/>
        </w:trPr>
        <w:tc>
          <w:tcPr>
            <w:tcW w:w="4960" w:type="dxa"/>
            <w:vAlign w:val="bottom"/>
          </w:tcPr>
          <w:p>
            <w:pPr>
              <w:spacing w:after="0" w:line="194" w:lineRule="exact"/>
              <w:rPr>
                <w:sz w:val="20"/>
                <w:szCs w:val="20"/>
                <w:color w:val="auto"/>
              </w:rPr>
            </w:pPr>
            <w:r>
              <w:rPr>
                <w:rFonts w:ascii="Arial" w:cs="Arial" w:eastAsia="Arial" w:hAnsi="Arial"/>
                <w:sz w:val="19"/>
                <w:szCs w:val="19"/>
                <w:color w:val="auto"/>
              </w:rPr>
              <w:t>E-mail: ir@i-click.com</w:t>
            </w:r>
          </w:p>
        </w:tc>
        <w:tc>
          <w:tcPr>
            <w:tcW w:w="3020" w:type="dxa"/>
            <w:vAlign w:val="bottom"/>
            <w:gridSpan w:val="2"/>
          </w:tcPr>
          <w:p>
            <w:pPr>
              <w:ind w:left="1080"/>
              <w:spacing w:after="0" w:line="194" w:lineRule="exact"/>
              <w:rPr>
                <w:sz w:val="20"/>
                <w:szCs w:val="20"/>
                <w:color w:val="auto"/>
              </w:rPr>
            </w:pPr>
            <w:r>
              <w:rPr>
                <w:rFonts w:ascii="Arial" w:cs="Arial" w:eastAsia="Arial" w:hAnsi="Arial"/>
                <w:sz w:val="19"/>
                <w:szCs w:val="19"/>
                <w:color w:val="auto"/>
                <w:w w:val="89"/>
              </w:rPr>
              <w:t>E-mail: tomc@coreir.com</w:t>
            </w:r>
          </w:p>
        </w:tc>
      </w:tr>
      <w:tr>
        <w:trPr>
          <w:trHeight w:val="20"/>
        </w:trPr>
        <w:tc>
          <w:tcPr>
            <w:tcW w:w="4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2022-03-14T15:42:49Z</dcterms:created>
  <dcterms:modified xsi:type="dcterms:W3CDTF">2022-03-14T15:42:49Z</dcterms:modified>
</cp:coreProperties>
</file>