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0"/>
          <w:szCs w:val="10"/>
          <w:b w:val="1"/>
          <w:bCs w:val="1"/>
          <w:color w:val="auto"/>
        </w:rPr>
        <w:t>UNITED STATES</w:t>
      </w:r>
    </w:p>
    <w:p>
      <w:pPr>
        <w:jc w:val="center"/>
        <w:ind w:right="-159"/>
        <w:spacing w:after="0" w:line="235" w:lineRule="auto"/>
        <w:rPr>
          <w:sz w:val="20"/>
          <w:szCs w:val="20"/>
          <w:color w:val="auto"/>
        </w:rPr>
      </w:pPr>
      <w:r>
        <w:rPr>
          <w:rFonts w:ascii="Arial" w:cs="Arial" w:eastAsia="Arial" w:hAnsi="Arial"/>
          <w:sz w:val="10"/>
          <w:szCs w:val="10"/>
          <w:b w:val="1"/>
          <w:bCs w:val="1"/>
          <w:color w:val="auto"/>
        </w:rPr>
        <w:t>SECURITIES AND EXCHANGE COMMISSION</w:t>
      </w:r>
    </w:p>
    <w:p>
      <w:pPr>
        <w:jc w:val="center"/>
        <w:ind w:right="-159"/>
        <w:spacing w:after="0"/>
        <w:rPr>
          <w:sz w:val="20"/>
          <w:szCs w:val="20"/>
          <w:color w:val="auto"/>
        </w:rPr>
      </w:pPr>
      <w:r>
        <w:rPr>
          <w:rFonts w:ascii="Arial" w:cs="Arial" w:eastAsia="Arial" w:hAnsi="Arial"/>
          <w:sz w:val="10"/>
          <w:szCs w:val="10"/>
          <w:b w:val="1"/>
          <w:bCs w:val="1"/>
          <w:color w:val="auto"/>
        </w:rPr>
        <w:t>Washington, D.C. 20549</w:t>
      </w:r>
    </w:p>
    <w:p>
      <w:pPr>
        <w:spacing w:after="0" w:line="89" w:lineRule="exact"/>
        <w:rPr>
          <w:sz w:val="24"/>
          <w:szCs w:val="24"/>
          <w:color w:val="auto"/>
        </w:rPr>
      </w:pPr>
    </w:p>
    <w:p>
      <w:pPr>
        <w:jc w:val="center"/>
        <w:ind w:right="-199"/>
        <w:spacing w:after="0"/>
        <w:rPr>
          <w:sz w:val="20"/>
          <w:szCs w:val="20"/>
          <w:color w:val="auto"/>
        </w:rPr>
      </w:pPr>
      <w:r>
        <w:rPr>
          <w:rFonts w:ascii="Arial" w:cs="Arial" w:eastAsia="Arial" w:hAnsi="Arial"/>
          <w:sz w:val="10"/>
          <w:szCs w:val="10"/>
          <w:b w:val="1"/>
          <w:bCs w:val="1"/>
          <w:color w:val="auto"/>
        </w:rPr>
        <w:t>SCHEDULE 13G/A</w:t>
      </w:r>
    </w:p>
    <w:p>
      <w:pPr>
        <w:spacing w:after="0" w:line="110" w:lineRule="exact"/>
        <w:rPr>
          <w:sz w:val="24"/>
          <w:szCs w:val="24"/>
          <w:color w:val="auto"/>
        </w:rPr>
      </w:pPr>
    </w:p>
    <w:p>
      <w:pPr>
        <w:jc w:val="center"/>
        <w:ind w:right="-199"/>
        <w:spacing w:after="0"/>
        <w:rPr>
          <w:sz w:val="20"/>
          <w:szCs w:val="20"/>
          <w:color w:val="auto"/>
        </w:rPr>
      </w:pPr>
      <w:r>
        <w:rPr>
          <w:rFonts w:ascii="Arial" w:cs="Arial" w:eastAsia="Arial" w:hAnsi="Arial"/>
          <w:sz w:val="10"/>
          <w:szCs w:val="10"/>
          <w:b w:val="1"/>
          <w:bCs w:val="1"/>
          <w:color w:val="auto"/>
        </w:rPr>
        <w:t>Under the Securities Exchange Act of 1934</w:t>
      </w:r>
    </w:p>
    <w:p>
      <w:pPr>
        <w:spacing w:after="0" w:line="12" w:lineRule="exact"/>
        <w:rPr>
          <w:sz w:val="24"/>
          <w:szCs w:val="24"/>
          <w:color w:val="auto"/>
        </w:rPr>
      </w:pPr>
    </w:p>
    <w:p>
      <w:pPr>
        <w:jc w:val="center"/>
        <w:ind w:right="-199"/>
        <w:spacing w:after="0"/>
        <w:rPr>
          <w:sz w:val="20"/>
          <w:szCs w:val="20"/>
          <w:color w:val="auto"/>
        </w:rPr>
      </w:pPr>
      <w:r>
        <w:rPr>
          <w:rFonts w:ascii="Arial" w:cs="Arial" w:eastAsia="Arial" w:hAnsi="Arial"/>
          <w:sz w:val="10"/>
          <w:szCs w:val="10"/>
          <w:b w:val="1"/>
          <w:bCs w:val="1"/>
          <w:color w:val="auto"/>
        </w:rPr>
        <w:t>(Amendment No.1) *</w:t>
      </w:r>
    </w:p>
    <w:p>
      <w:pPr>
        <w:spacing w:after="0" w:line="91" w:lineRule="exact"/>
        <w:rPr>
          <w:sz w:val="24"/>
          <w:szCs w:val="24"/>
          <w:color w:val="auto"/>
        </w:rPr>
      </w:pPr>
    </w:p>
    <w:p>
      <w:pPr>
        <w:jc w:val="center"/>
        <w:ind w:right="-199"/>
        <w:spacing w:after="0"/>
        <w:rPr>
          <w:sz w:val="20"/>
          <w:szCs w:val="20"/>
          <w:color w:val="auto"/>
        </w:rPr>
      </w:pPr>
      <w:r>
        <w:rPr>
          <w:rFonts w:ascii="Arial" w:cs="Arial" w:eastAsia="Arial" w:hAnsi="Arial"/>
          <w:sz w:val="10"/>
          <w:szCs w:val="10"/>
          <w:b w:val="1"/>
          <w:bCs w:val="1"/>
          <w:color w:val="auto"/>
        </w:rPr>
        <w:t>iClick Interactive Asia Group Limited</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10"/>
          <w:szCs w:val="10"/>
          <w:color w:val="auto"/>
        </w:rPr>
        <w:t>(Name of Issuer)</w:t>
      </w:r>
    </w:p>
    <w:p>
      <w:pPr>
        <w:spacing w:after="0" w:line="98" w:lineRule="exact"/>
        <w:rPr>
          <w:sz w:val="24"/>
          <w:szCs w:val="24"/>
          <w:color w:val="auto"/>
        </w:rPr>
      </w:pPr>
    </w:p>
    <w:p>
      <w:pPr>
        <w:jc w:val="center"/>
        <w:ind w:right="-199"/>
        <w:spacing w:after="0"/>
        <w:rPr>
          <w:sz w:val="20"/>
          <w:szCs w:val="20"/>
          <w:color w:val="auto"/>
        </w:rPr>
      </w:pPr>
      <w:r>
        <w:rPr>
          <w:rFonts w:ascii="Arial" w:cs="Arial" w:eastAsia="Arial" w:hAnsi="Arial"/>
          <w:sz w:val="10"/>
          <w:szCs w:val="10"/>
          <w:b w:val="1"/>
          <w:bCs w:val="1"/>
          <w:color w:val="auto"/>
        </w:rPr>
        <w:t>Class A ordinary shares, par value of $0.001 per share</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0"/>
          <w:szCs w:val="10"/>
          <w:color w:val="auto"/>
        </w:rPr>
        <w:t>(Title of Class of Securities)</w:t>
      </w:r>
    </w:p>
    <w:p>
      <w:pPr>
        <w:spacing w:after="0" w:line="98" w:lineRule="exact"/>
        <w:rPr>
          <w:sz w:val="24"/>
          <w:szCs w:val="24"/>
          <w:color w:val="auto"/>
        </w:rPr>
      </w:pPr>
    </w:p>
    <w:p>
      <w:pPr>
        <w:jc w:val="center"/>
        <w:ind w:right="-199"/>
        <w:spacing w:after="0"/>
        <w:rPr>
          <w:sz w:val="20"/>
          <w:szCs w:val="20"/>
          <w:color w:val="auto"/>
        </w:rPr>
      </w:pPr>
      <w:r>
        <w:rPr>
          <w:rFonts w:ascii="Arial" w:cs="Arial" w:eastAsia="Arial" w:hAnsi="Arial"/>
          <w:sz w:val="10"/>
          <w:szCs w:val="10"/>
          <w:b w:val="1"/>
          <w:bCs w:val="1"/>
          <w:color w:val="auto"/>
        </w:rPr>
        <w:t>G47048 106</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0"/>
          <w:szCs w:val="10"/>
          <w:color w:val="auto"/>
        </w:rPr>
        <w:t>(CUSIP Number)</w:t>
      </w:r>
    </w:p>
    <w:p>
      <w:pPr>
        <w:spacing w:after="0" w:line="98" w:lineRule="exact"/>
        <w:rPr>
          <w:sz w:val="24"/>
          <w:szCs w:val="24"/>
          <w:color w:val="auto"/>
        </w:rPr>
      </w:pPr>
    </w:p>
    <w:p>
      <w:pPr>
        <w:jc w:val="center"/>
        <w:ind w:right="-199"/>
        <w:spacing w:after="0"/>
        <w:rPr>
          <w:sz w:val="20"/>
          <w:szCs w:val="20"/>
          <w:color w:val="auto"/>
        </w:rPr>
      </w:pPr>
      <w:r>
        <w:rPr>
          <w:rFonts w:ascii="Arial" w:cs="Arial" w:eastAsia="Arial" w:hAnsi="Arial"/>
          <w:sz w:val="10"/>
          <w:szCs w:val="10"/>
          <w:b w:val="1"/>
          <w:bCs w:val="1"/>
          <w:color w:val="auto"/>
        </w:rPr>
        <w:t>May 1, 2020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0"/>
          <w:szCs w:val="10"/>
          <w:color w:val="auto"/>
        </w:rPr>
        <w:t>(Date of Event Which Requires Filing of this Statement)</w:t>
      </w:r>
    </w:p>
    <w:p>
      <w:pPr>
        <w:spacing w:after="0" w:line="110" w:lineRule="exact"/>
        <w:rPr>
          <w:sz w:val="24"/>
          <w:szCs w:val="24"/>
          <w:color w:val="auto"/>
        </w:rPr>
      </w:pPr>
    </w:p>
    <w:p>
      <w:pPr>
        <w:spacing w:after="0"/>
        <w:rPr>
          <w:sz w:val="20"/>
          <w:szCs w:val="20"/>
          <w:color w:val="auto"/>
        </w:rPr>
      </w:pPr>
      <w:r>
        <w:rPr>
          <w:rFonts w:ascii="Arial" w:cs="Arial" w:eastAsia="Arial" w:hAnsi="Arial"/>
          <w:sz w:val="10"/>
          <w:szCs w:val="10"/>
          <w:color w:val="auto"/>
        </w:rPr>
        <w:t>Check the appropriate box to designate the rule pursuant to which this Schedule is filed:</w:t>
      </w:r>
    </w:p>
    <w:p>
      <w:pPr>
        <w:spacing w:after="0" w:line="29" w:lineRule="exact"/>
        <w:rPr>
          <w:sz w:val="24"/>
          <w:szCs w:val="24"/>
          <w:color w:val="auto"/>
        </w:rPr>
      </w:pPr>
    </w:p>
    <w:p>
      <w:pPr>
        <w:ind w:left="1120" w:hanging="633"/>
        <w:spacing w:after="0"/>
        <w:tabs>
          <w:tab w:leader="none" w:pos="1120" w:val="left"/>
        </w:tabs>
        <w:numPr>
          <w:ilvl w:val="0"/>
          <w:numId w:val="1"/>
        </w:numPr>
        <w:rPr>
          <w:rFonts w:ascii="Arial" w:cs="Arial" w:eastAsia="Arial" w:hAnsi="Arial"/>
          <w:sz w:val="10"/>
          <w:szCs w:val="10"/>
          <w:color w:val="auto"/>
        </w:rPr>
      </w:pPr>
      <w:r>
        <w:rPr>
          <w:rFonts w:ascii="Arial" w:cs="Arial" w:eastAsia="Arial" w:hAnsi="Arial"/>
          <w:sz w:val="10"/>
          <w:szCs w:val="10"/>
          <w:color w:val="auto"/>
        </w:rPr>
        <w:t>Rule 13d-1(b)</w:t>
      </w:r>
    </w:p>
    <w:p>
      <w:pPr>
        <w:spacing w:after="0" w:line="47" w:lineRule="exact"/>
        <w:rPr>
          <w:rFonts w:ascii="Arial" w:cs="Arial" w:eastAsia="Arial" w:hAnsi="Arial"/>
          <w:sz w:val="10"/>
          <w:szCs w:val="10"/>
          <w:color w:val="auto"/>
        </w:rPr>
      </w:pPr>
    </w:p>
    <w:p>
      <w:pPr>
        <w:ind w:left="1120" w:hanging="633"/>
        <w:spacing w:after="0"/>
        <w:tabs>
          <w:tab w:leader="none" w:pos="1120" w:val="left"/>
        </w:tabs>
        <w:numPr>
          <w:ilvl w:val="0"/>
          <w:numId w:val="1"/>
        </w:numPr>
        <w:rPr>
          <w:rFonts w:ascii="Arial" w:cs="Arial" w:eastAsia="Arial" w:hAnsi="Arial"/>
          <w:sz w:val="10"/>
          <w:szCs w:val="10"/>
          <w:color w:val="auto"/>
        </w:rPr>
      </w:pPr>
      <w:r>
        <w:rPr>
          <w:rFonts w:ascii="Arial" w:cs="Arial" w:eastAsia="Arial" w:hAnsi="Arial"/>
          <w:sz w:val="10"/>
          <w:szCs w:val="10"/>
          <w:color w:val="auto"/>
        </w:rPr>
        <w:t>Rule 13d-1(c)</w:t>
      </w:r>
    </w:p>
    <w:p>
      <w:pPr>
        <w:spacing w:after="0" w:line="47" w:lineRule="exact"/>
        <w:rPr>
          <w:rFonts w:ascii="Arial" w:cs="Arial" w:eastAsia="Arial" w:hAnsi="Arial"/>
          <w:sz w:val="10"/>
          <w:szCs w:val="10"/>
          <w:color w:val="auto"/>
        </w:rPr>
      </w:pPr>
    </w:p>
    <w:p>
      <w:pPr>
        <w:ind w:left="480"/>
        <w:spacing w:after="0"/>
        <w:rPr>
          <w:rFonts w:ascii="Arial" w:cs="Arial" w:eastAsia="Arial" w:hAnsi="Arial"/>
          <w:sz w:val="10"/>
          <w:szCs w:val="10"/>
          <w:color w:val="auto"/>
        </w:rPr>
      </w:pPr>
      <w:r>
        <w:rPr>
          <w:rFonts w:ascii="Arial" w:cs="Arial" w:eastAsia="Arial" w:hAnsi="Arial"/>
          <w:sz w:val="10"/>
          <w:szCs w:val="10"/>
          <w:color w:val="auto"/>
        </w:rPr>
        <w:t>X</w:t>
      </w:r>
      <w:r>
        <w:rPr>
          <w:rFonts w:ascii="Arial" w:cs="Arial" w:eastAsia="Arial" w:hAnsi="Arial"/>
          <w:sz w:val="8"/>
          <w:szCs w:val="8"/>
          <w:color w:val="auto"/>
        </w:rPr>
        <w:t>Rule 13d-1(d)</w:t>
      </w:r>
    </w:p>
    <w:p>
      <w:pPr>
        <w:spacing w:after="0" w:line="146" w:lineRule="exact"/>
        <w:rPr>
          <w:sz w:val="24"/>
          <w:szCs w:val="24"/>
          <w:color w:val="auto"/>
        </w:rPr>
      </w:pPr>
    </w:p>
    <w:p>
      <w:pPr>
        <w:ind w:right="200"/>
        <w:spacing w:after="0" w:line="232" w:lineRule="auto"/>
        <w:rPr>
          <w:sz w:val="20"/>
          <w:szCs w:val="20"/>
          <w:color w:val="auto"/>
        </w:rPr>
      </w:pPr>
      <w:r>
        <w:rPr>
          <w:rFonts w:ascii="Arial" w:cs="Arial" w:eastAsia="Arial" w:hAnsi="Arial"/>
          <w:sz w:val="10"/>
          <w:szCs w:val="1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4" w:lineRule="exact"/>
        <w:rPr>
          <w:sz w:val="24"/>
          <w:szCs w:val="24"/>
          <w:color w:val="auto"/>
        </w:rPr>
      </w:pPr>
    </w:p>
    <w:p>
      <w:pPr>
        <w:spacing w:after="0" w:line="232" w:lineRule="auto"/>
        <w:rPr>
          <w:sz w:val="20"/>
          <w:szCs w:val="20"/>
          <w:color w:val="auto"/>
        </w:rPr>
      </w:pPr>
      <w:r>
        <w:rPr>
          <w:rFonts w:ascii="Arial" w:cs="Arial" w:eastAsia="Arial" w:hAnsi="Arial"/>
          <w:sz w:val="10"/>
          <w:szCs w:val="1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18947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947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-5080</wp:posOffset>
            </wp:positionV>
            <wp:extent cx="436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60545" cy="17145"/>
                    </a:xfrm>
                    <a:prstGeom prst="rect">
                      <a:avLst/>
                    </a:prstGeom>
                    <a:noFill/>
                  </pic:spPr>
                </pic:pic>
              </a:graphicData>
            </a:graphic>
          </wp:anchor>
        </w:drawing>
      </w:r>
    </w:p>
    <w:p>
      <w:pPr>
        <w:sectPr>
          <w:pgSz w:w="11900" w:h="16838" w:orient="portrait"/>
          <w:cols w:equalWidth="0" w:num="1">
            <w:col w:w="11080"/>
          </w:cols>
          <w:pgMar w:left="300" w:top="203" w:right="519" w:bottom="1440" w:gutter="0" w:footer="0" w:header="0"/>
        </w:sectPr>
      </w:pPr>
    </w:p>
    <w:bookmarkStart w:id="1" w:name="page2"/>
    <w:bookmarkEnd w:id="1"/>
    <w:p>
      <w:pPr>
        <w:ind w:left="980" w:right="7959" w:hanging="619"/>
        <w:spacing w:after="0" w:line="232" w:lineRule="auto"/>
        <w:tabs>
          <w:tab w:leader="none" w:pos="966" w:val="left"/>
        </w:tabs>
        <w:numPr>
          <w:ilvl w:val="0"/>
          <w:numId w:val="2"/>
        </w:numPr>
        <w:rPr>
          <w:rFonts w:ascii="Arial" w:cs="Arial" w:eastAsia="Arial" w:hAnsi="Arial"/>
          <w:sz w:val="10"/>
          <w:szCs w:val="10"/>
          <w:color w:val="auto"/>
        </w:rPr>
      </w:pPr>
      <w:r>
        <w:rPr>
          <w:rFonts w:ascii="Arial" w:cs="Arial" w:eastAsia="Arial" w:hAnsi="Arial"/>
          <w:sz w:val="10"/>
          <w:szCs w:val="10"/>
          <w:color w:val="auto"/>
        </w:rPr>
        <w:t>Names of Reporting Persons Chan Tung Ngai</w:t>
      </w:r>
    </w:p>
    <w:p>
      <w:pPr>
        <w:spacing w:after="0" w:line="210" w:lineRule="exact"/>
        <w:rPr>
          <w:sz w:val="20"/>
          <w:szCs w:val="20"/>
          <w:color w:val="auto"/>
        </w:rPr>
      </w:pPr>
    </w:p>
    <w:p>
      <w:pPr>
        <w:ind w:left="980" w:hanging="619"/>
        <w:spacing w:after="0"/>
        <w:tabs>
          <w:tab w:leader="none" w:pos="980" w:val="left"/>
        </w:tabs>
        <w:numPr>
          <w:ilvl w:val="0"/>
          <w:numId w:val="3"/>
        </w:numPr>
        <w:rPr>
          <w:rFonts w:ascii="Arial" w:cs="Arial" w:eastAsia="Arial" w:hAnsi="Arial"/>
          <w:sz w:val="10"/>
          <w:szCs w:val="10"/>
          <w:color w:val="auto"/>
        </w:rPr>
      </w:pPr>
      <w:r>
        <w:rPr>
          <w:rFonts w:ascii="Arial" w:cs="Arial" w:eastAsia="Arial" w:hAnsi="Arial"/>
          <w:sz w:val="10"/>
          <w:szCs w:val="10"/>
          <w:color w:val="auto"/>
        </w:rPr>
        <w:t>Check the Appropriate Box if a Member of a Group</w:t>
      </w:r>
    </w:p>
    <w:p>
      <w:pPr>
        <w:spacing w:after="0" w:line="47" w:lineRule="exact"/>
        <w:rPr>
          <w:rFonts w:ascii="Arial" w:cs="Arial" w:eastAsia="Arial" w:hAnsi="Arial"/>
          <w:sz w:val="10"/>
          <w:szCs w:val="10"/>
          <w:color w:val="auto"/>
        </w:rPr>
      </w:pPr>
    </w:p>
    <w:p>
      <w:pPr>
        <w:ind w:left="2140" w:hanging="1158"/>
        <w:spacing w:after="0"/>
        <w:tabs>
          <w:tab w:leader="none" w:pos="2140" w:val="left"/>
        </w:tabs>
        <w:numPr>
          <w:ilvl w:val="1"/>
          <w:numId w:val="3"/>
        </w:numPr>
        <w:rPr>
          <w:rFonts w:ascii="Arial" w:cs="Arial" w:eastAsia="Arial" w:hAnsi="Arial"/>
          <w:sz w:val="10"/>
          <w:szCs w:val="10"/>
          <w:color w:val="auto"/>
        </w:rPr>
      </w:pPr>
      <w:r>
        <w:rPr>
          <w:rFonts w:ascii="Arial" w:cs="Arial" w:eastAsia="Arial" w:hAnsi="Arial"/>
          <w:sz w:val="10"/>
          <w:szCs w:val="10"/>
          <w:color w:val="auto"/>
        </w:rPr>
        <w:t>o</w:t>
      </w:r>
    </w:p>
    <w:p>
      <w:pPr>
        <w:spacing w:after="0" w:line="65" w:lineRule="exact"/>
        <w:rPr>
          <w:rFonts w:ascii="Arial" w:cs="Arial" w:eastAsia="Arial" w:hAnsi="Arial"/>
          <w:sz w:val="10"/>
          <w:szCs w:val="10"/>
          <w:color w:val="auto"/>
        </w:rPr>
      </w:pPr>
    </w:p>
    <w:p>
      <w:pPr>
        <w:ind w:left="2140" w:hanging="1158"/>
        <w:spacing w:after="0"/>
        <w:tabs>
          <w:tab w:leader="none" w:pos="2140" w:val="left"/>
        </w:tabs>
        <w:numPr>
          <w:ilvl w:val="1"/>
          <w:numId w:val="3"/>
        </w:numPr>
        <w:rPr>
          <w:rFonts w:ascii="Arial" w:cs="Arial" w:eastAsia="Arial" w:hAnsi="Arial"/>
          <w:sz w:val="10"/>
          <w:szCs w:val="10"/>
          <w:color w:val="auto"/>
        </w:rPr>
      </w:pPr>
      <w:r>
        <w:rPr>
          <w:rFonts w:ascii="Arial" w:cs="Arial" w:eastAsia="Arial" w:hAnsi="Arial"/>
          <w:sz w:val="10"/>
          <w:szCs w:val="10"/>
          <w:color w:val="auto"/>
        </w:rPr>
        <w:t>o</w:t>
      </w:r>
    </w:p>
    <w:p>
      <w:pPr>
        <w:spacing w:after="0" w:line="236" w:lineRule="exact"/>
        <w:rPr>
          <w:sz w:val="20"/>
          <w:szCs w:val="20"/>
          <w:color w:val="auto"/>
        </w:rPr>
      </w:pPr>
    </w:p>
    <w:p>
      <w:pPr>
        <w:ind w:left="980" w:hanging="619"/>
        <w:spacing w:after="0"/>
        <w:tabs>
          <w:tab w:leader="none" w:pos="980" w:val="left"/>
        </w:tabs>
        <w:numPr>
          <w:ilvl w:val="0"/>
          <w:numId w:val="4"/>
        </w:numPr>
        <w:rPr>
          <w:rFonts w:ascii="Arial" w:cs="Arial" w:eastAsia="Arial" w:hAnsi="Arial"/>
          <w:sz w:val="10"/>
          <w:szCs w:val="10"/>
          <w:color w:val="auto"/>
        </w:rPr>
      </w:pPr>
      <w:r>
        <w:rPr>
          <w:rFonts w:ascii="Arial" w:cs="Arial" w:eastAsia="Arial" w:hAnsi="Arial"/>
          <w:sz w:val="10"/>
          <w:szCs w:val="10"/>
          <w:color w:val="auto"/>
        </w:rPr>
        <w:t>SEC Use Only</w:t>
      </w:r>
    </w:p>
    <w:p>
      <w:pPr>
        <w:spacing w:after="0" w:line="236" w:lineRule="exact"/>
        <w:rPr>
          <w:sz w:val="20"/>
          <w:szCs w:val="20"/>
          <w:color w:val="auto"/>
        </w:rPr>
      </w:pPr>
    </w:p>
    <w:p>
      <w:pPr>
        <w:ind w:left="980" w:right="7659" w:hanging="619"/>
        <w:spacing w:after="0" w:line="232" w:lineRule="auto"/>
        <w:tabs>
          <w:tab w:leader="none" w:pos="966" w:val="left"/>
        </w:tabs>
        <w:numPr>
          <w:ilvl w:val="0"/>
          <w:numId w:val="5"/>
        </w:numPr>
        <w:rPr>
          <w:rFonts w:ascii="Arial" w:cs="Arial" w:eastAsia="Arial" w:hAnsi="Arial"/>
          <w:sz w:val="10"/>
          <w:szCs w:val="10"/>
          <w:color w:val="auto"/>
        </w:rPr>
      </w:pPr>
      <w:r>
        <w:rPr>
          <w:rFonts w:ascii="Arial" w:cs="Arial" w:eastAsia="Arial" w:hAnsi="Arial"/>
          <w:sz w:val="10"/>
          <w:szCs w:val="10"/>
          <w:color w:val="auto"/>
        </w:rPr>
        <w:t>Citizenship or Place of Organization Hong Kong</w:t>
      </w:r>
    </w:p>
    <w:p>
      <w:pPr>
        <w:spacing w:after="0" w:line="201" w:lineRule="exact"/>
        <w:rPr>
          <w:sz w:val="20"/>
          <w:szCs w:val="20"/>
          <w:color w:val="auto"/>
        </w:rPr>
      </w:pPr>
    </w:p>
    <w:p>
      <w:pPr>
        <w:ind w:left="1600" w:hanging="155"/>
        <w:spacing w:after="0"/>
        <w:tabs>
          <w:tab w:leader="none" w:pos="1600" w:val="left"/>
        </w:tabs>
        <w:numPr>
          <w:ilvl w:val="0"/>
          <w:numId w:val="6"/>
        </w:numPr>
        <w:rPr>
          <w:rFonts w:ascii="Arial" w:cs="Arial" w:eastAsia="Arial" w:hAnsi="Arial"/>
          <w:sz w:val="10"/>
          <w:szCs w:val="10"/>
          <w:color w:val="auto"/>
        </w:rPr>
      </w:pPr>
      <w:r>
        <w:rPr>
          <w:rFonts w:ascii="Arial" w:cs="Arial" w:eastAsia="Arial" w:hAnsi="Arial"/>
          <w:sz w:val="10"/>
          <w:szCs w:val="10"/>
          <w:color w:val="auto"/>
        </w:rPr>
        <w:t>Sole Voting Power</w:t>
      </w:r>
    </w:p>
    <w:p>
      <w:pPr>
        <w:spacing w:after="0" w:line="20" w:lineRule="exact"/>
        <w:rPr>
          <w:rFonts w:ascii="Arial" w:cs="Arial" w:eastAsia="Arial" w:hAnsi="Arial"/>
          <w:sz w:val="10"/>
          <w:szCs w:val="10"/>
          <w:color w:val="auto"/>
        </w:rPr>
      </w:pPr>
    </w:p>
    <w:p>
      <w:pPr>
        <w:ind w:left="1600"/>
        <w:spacing w:after="0"/>
        <w:rPr>
          <w:rFonts w:ascii="Arial" w:cs="Arial" w:eastAsia="Arial" w:hAnsi="Arial"/>
          <w:sz w:val="10"/>
          <w:szCs w:val="10"/>
          <w:color w:val="auto"/>
        </w:rPr>
      </w:pPr>
      <w:r>
        <w:rPr>
          <w:rFonts w:ascii="Arial" w:cs="Arial" w:eastAsia="Arial" w:hAnsi="Arial"/>
          <w:sz w:val="10"/>
          <w:szCs w:val="10"/>
          <w:color w:val="auto"/>
        </w:rPr>
        <w:t>0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56515</wp:posOffset>
            </wp:positionV>
            <wp:extent cx="332041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0415" cy="571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0"/>
          <w:szCs w:val="10"/>
          <w:color w:val="auto"/>
        </w:rPr>
        <w:t>Number of</w:t>
      </w:r>
    </w:p>
    <w:p>
      <w:pPr>
        <w:ind w:left="1440"/>
        <w:spacing w:after="0"/>
        <w:tabs>
          <w:tab w:leader="none" w:pos="1580" w:val="left"/>
        </w:tabs>
        <w:rPr>
          <w:sz w:val="20"/>
          <w:szCs w:val="20"/>
          <w:color w:val="auto"/>
        </w:rPr>
      </w:pPr>
      <w:r>
        <w:rPr>
          <w:rFonts w:ascii="Arial" w:cs="Arial" w:eastAsia="Arial" w:hAnsi="Arial"/>
          <w:sz w:val="10"/>
          <w:szCs w:val="10"/>
          <w:color w:val="auto"/>
        </w:rPr>
        <w:t>6</w:t>
      </w:r>
      <w:r>
        <w:rPr>
          <w:sz w:val="20"/>
          <w:szCs w:val="20"/>
          <w:color w:val="auto"/>
        </w:rPr>
        <w:tab/>
      </w:r>
      <w:r>
        <w:rPr>
          <w:rFonts w:ascii="Arial" w:cs="Arial" w:eastAsia="Arial" w:hAnsi="Arial"/>
          <w:sz w:val="8"/>
          <w:szCs w:val="8"/>
          <w:color w:val="auto"/>
        </w:rPr>
        <w:t>Shared Voting Power</w:t>
      </w:r>
    </w:p>
    <w:p>
      <w:pPr>
        <w:spacing w:after="0" w:line="207" w:lineRule="auto"/>
        <w:rPr>
          <w:sz w:val="20"/>
          <w:szCs w:val="20"/>
          <w:color w:val="auto"/>
        </w:rPr>
      </w:pPr>
      <w:r>
        <w:rPr>
          <w:rFonts w:ascii="Arial" w:cs="Arial" w:eastAsia="Arial" w:hAnsi="Arial"/>
          <w:sz w:val="10"/>
          <w:szCs w:val="10"/>
          <w:color w:val="auto"/>
        </w:rPr>
        <w:t>Shares</w:t>
      </w:r>
    </w:p>
    <w:p>
      <w:pPr>
        <w:ind w:left="1600"/>
        <w:spacing w:after="0" w:line="225" w:lineRule="auto"/>
        <w:rPr>
          <w:sz w:val="20"/>
          <w:szCs w:val="20"/>
          <w:color w:val="auto"/>
        </w:rPr>
      </w:pPr>
      <w:r>
        <w:rPr>
          <w:rFonts w:ascii="Arial" w:cs="Arial" w:eastAsia="Arial" w:hAnsi="Arial"/>
          <w:sz w:val="10"/>
          <w:szCs w:val="10"/>
          <w:color w:val="auto"/>
        </w:rPr>
        <w:t>0 ordinary shares. See Item 4.</w:t>
      </w:r>
    </w:p>
    <w:p>
      <w:pPr>
        <w:spacing w:after="0"/>
        <w:rPr>
          <w:sz w:val="20"/>
          <w:szCs w:val="20"/>
          <w:color w:val="auto"/>
        </w:rPr>
      </w:pPr>
      <w:r>
        <w:rPr>
          <w:rFonts w:ascii="Arial" w:cs="Arial" w:eastAsia="Arial" w:hAnsi="Arial"/>
          <w:sz w:val="10"/>
          <w:szCs w:val="10"/>
          <w:color w:val="auto"/>
        </w:rPr>
        <w:t>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-11430</wp:posOffset>
            </wp:positionV>
            <wp:extent cx="33204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0415"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Owned by</w:t>
      </w:r>
    </w:p>
    <w:p>
      <w:pPr>
        <w:spacing w:after="0" w:line="229" w:lineRule="auto"/>
        <w:rPr>
          <w:sz w:val="20"/>
          <w:szCs w:val="20"/>
          <w:color w:val="auto"/>
        </w:rPr>
      </w:pPr>
      <w:r>
        <w:rPr>
          <w:rFonts w:ascii="Arial" w:cs="Arial" w:eastAsia="Arial" w:hAnsi="Arial"/>
          <w:sz w:val="10"/>
          <w:szCs w:val="10"/>
          <w:color w:val="auto"/>
        </w:rPr>
        <w:t>Each</w:t>
      </w:r>
    </w:p>
    <w:p>
      <w:pPr>
        <w:ind w:left="1440"/>
        <w:spacing w:after="0"/>
        <w:tabs>
          <w:tab w:leader="none" w:pos="1580" w:val="left"/>
        </w:tabs>
        <w:rPr>
          <w:sz w:val="20"/>
          <w:szCs w:val="20"/>
          <w:color w:val="auto"/>
        </w:rPr>
      </w:pPr>
      <w:r>
        <w:rPr>
          <w:rFonts w:ascii="Arial" w:cs="Arial" w:eastAsia="Arial" w:hAnsi="Arial"/>
          <w:sz w:val="10"/>
          <w:szCs w:val="10"/>
          <w:color w:val="auto"/>
        </w:rPr>
        <w:t>7</w:t>
      </w:r>
      <w:r>
        <w:rPr>
          <w:sz w:val="20"/>
          <w:szCs w:val="20"/>
          <w:color w:val="auto"/>
        </w:rPr>
        <w:tab/>
      </w:r>
      <w:r>
        <w:rPr>
          <w:rFonts w:ascii="Arial" w:cs="Arial" w:eastAsia="Arial" w:hAnsi="Arial"/>
          <w:sz w:val="8"/>
          <w:szCs w:val="8"/>
          <w:color w:val="auto"/>
        </w:rPr>
        <w:t>Sole Dispositive Power</w:t>
      </w:r>
    </w:p>
    <w:p>
      <w:pPr>
        <w:spacing w:after="0" w:line="207" w:lineRule="auto"/>
        <w:rPr>
          <w:sz w:val="20"/>
          <w:szCs w:val="20"/>
          <w:color w:val="auto"/>
        </w:rPr>
      </w:pPr>
      <w:r>
        <w:rPr>
          <w:rFonts w:ascii="Arial" w:cs="Arial" w:eastAsia="Arial" w:hAnsi="Arial"/>
          <w:sz w:val="10"/>
          <w:szCs w:val="10"/>
          <w:color w:val="auto"/>
        </w:rPr>
        <w:t>Reporting</w:t>
      </w:r>
    </w:p>
    <w:p>
      <w:pPr>
        <w:ind w:left="1600"/>
        <w:spacing w:after="0" w:line="225" w:lineRule="auto"/>
        <w:rPr>
          <w:sz w:val="20"/>
          <w:szCs w:val="20"/>
          <w:color w:val="auto"/>
        </w:rPr>
      </w:pPr>
      <w:r>
        <w:rPr>
          <w:rFonts w:ascii="Arial" w:cs="Arial" w:eastAsia="Arial" w:hAnsi="Arial"/>
          <w:sz w:val="10"/>
          <w:szCs w:val="10"/>
          <w:color w:val="auto"/>
        </w:rPr>
        <w:t>0 ordinary shares. See Item 4.</w:t>
      </w:r>
    </w:p>
    <w:p>
      <w:pPr>
        <w:spacing w:after="0"/>
        <w:rPr>
          <w:sz w:val="20"/>
          <w:szCs w:val="20"/>
          <w:color w:val="auto"/>
        </w:rPr>
      </w:pPr>
      <w:r>
        <w:rPr>
          <w:rFonts w:ascii="Arial" w:cs="Arial" w:eastAsia="Arial" w:hAnsi="Arial"/>
          <w:sz w:val="10"/>
          <w:szCs w:val="10"/>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-11430</wp:posOffset>
            </wp:positionV>
            <wp:extent cx="33204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0415" cy="5715"/>
                    </a:xfrm>
                    <a:prstGeom prst="rect">
                      <a:avLst/>
                    </a:prstGeom>
                    <a:noFill/>
                  </pic:spPr>
                </pic:pic>
              </a:graphicData>
            </a:graphic>
          </wp:anchor>
        </w:drawing>
      </w:r>
    </w:p>
    <w:p>
      <w:pPr>
        <w:spacing w:after="0" w:line="189" w:lineRule="exact"/>
        <w:rPr>
          <w:sz w:val="20"/>
          <w:szCs w:val="20"/>
          <w:color w:val="auto"/>
        </w:rPr>
      </w:pPr>
    </w:p>
    <w:p>
      <w:pPr>
        <w:ind w:left="1600" w:hanging="155"/>
        <w:spacing w:after="0"/>
        <w:tabs>
          <w:tab w:leader="none" w:pos="1600" w:val="left"/>
        </w:tabs>
        <w:numPr>
          <w:ilvl w:val="0"/>
          <w:numId w:val="7"/>
        </w:numPr>
        <w:rPr>
          <w:rFonts w:ascii="Arial" w:cs="Arial" w:eastAsia="Arial" w:hAnsi="Arial"/>
          <w:sz w:val="10"/>
          <w:szCs w:val="10"/>
          <w:color w:val="auto"/>
        </w:rPr>
      </w:pPr>
      <w:r>
        <w:rPr>
          <w:rFonts w:ascii="Arial" w:cs="Arial" w:eastAsia="Arial" w:hAnsi="Arial"/>
          <w:sz w:val="10"/>
          <w:szCs w:val="10"/>
          <w:color w:val="auto"/>
        </w:rPr>
        <w:t>Shared Dispositive Power</w:t>
      </w:r>
    </w:p>
    <w:p>
      <w:pPr>
        <w:spacing w:after="0" w:line="20" w:lineRule="exact"/>
        <w:rPr>
          <w:rFonts w:ascii="Arial" w:cs="Arial" w:eastAsia="Arial" w:hAnsi="Arial"/>
          <w:sz w:val="10"/>
          <w:szCs w:val="10"/>
          <w:color w:val="auto"/>
        </w:rPr>
      </w:pPr>
    </w:p>
    <w:p>
      <w:pPr>
        <w:ind w:left="1600"/>
        <w:spacing w:after="0"/>
        <w:rPr>
          <w:rFonts w:ascii="Arial" w:cs="Arial" w:eastAsia="Arial" w:hAnsi="Arial"/>
          <w:sz w:val="10"/>
          <w:szCs w:val="10"/>
          <w:color w:val="auto"/>
        </w:rPr>
      </w:pPr>
      <w:r>
        <w:rPr>
          <w:rFonts w:ascii="Arial" w:cs="Arial" w:eastAsia="Arial" w:hAnsi="Arial"/>
          <w:sz w:val="10"/>
          <w:szCs w:val="10"/>
          <w:color w:val="auto"/>
        </w:rPr>
        <w:t>0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56515</wp:posOffset>
            </wp:positionV>
            <wp:extent cx="33204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0415" cy="5715"/>
                    </a:xfrm>
                    <a:prstGeom prst="rect">
                      <a:avLst/>
                    </a:prstGeom>
                    <a:noFill/>
                  </pic:spPr>
                </pic:pic>
              </a:graphicData>
            </a:graphic>
          </wp:anchor>
        </w:drawing>
      </w:r>
    </w:p>
    <w:p>
      <w:pPr>
        <w:spacing w:after="0" w:line="279" w:lineRule="exact"/>
        <w:rPr>
          <w:sz w:val="20"/>
          <w:szCs w:val="20"/>
          <w:color w:val="auto"/>
        </w:rPr>
      </w:pPr>
    </w:p>
    <w:p>
      <w:pPr>
        <w:ind w:left="980" w:hanging="619"/>
        <w:spacing w:after="0"/>
        <w:tabs>
          <w:tab w:leader="none" w:pos="980" w:val="left"/>
        </w:tabs>
        <w:numPr>
          <w:ilvl w:val="0"/>
          <w:numId w:val="8"/>
        </w:numPr>
        <w:rPr>
          <w:rFonts w:ascii="Arial" w:cs="Arial" w:eastAsia="Arial" w:hAnsi="Arial"/>
          <w:sz w:val="10"/>
          <w:szCs w:val="10"/>
          <w:color w:val="auto"/>
        </w:rPr>
      </w:pPr>
      <w:r>
        <w:rPr>
          <w:rFonts w:ascii="Arial" w:cs="Arial" w:eastAsia="Arial" w:hAnsi="Arial"/>
          <w:sz w:val="10"/>
          <w:szCs w:val="10"/>
          <w:color w:val="auto"/>
        </w:rPr>
        <w:t>Aggregate Amount Beneficially Owned by Each Reporting Person 0 ordinary shares. See Item 4.</w:t>
      </w:r>
    </w:p>
    <w:p>
      <w:pPr>
        <w:spacing w:after="0" w:line="209" w:lineRule="exact"/>
        <w:rPr>
          <w:sz w:val="20"/>
          <w:szCs w:val="20"/>
          <w:color w:val="auto"/>
        </w:rPr>
      </w:pPr>
    </w:p>
    <w:p>
      <w:pPr>
        <w:ind w:left="980" w:hanging="619"/>
        <w:spacing w:after="0"/>
        <w:tabs>
          <w:tab w:leader="none" w:pos="980" w:val="left"/>
        </w:tabs>
        <w:numPr>
          <w:ilvl w:val="0"/>
          <w:numId w:val="9"/>
        </w:numPr>
        <w:rPr>
          <w:rFonts w:ascii="Arial" w:cs="Arial" w:eastAsia="Arial" w:hAnsi="Arial"/>
          <w:sz w:val="10"/>
          <w:szCs w:val="10"/>
          <w:color w:val="auto"/>
        </w:rPr>
      </w:pPr>
      <w:r>
        <w:rPr>
          <w:rFonts w:ascii="Arial" w:cs="Arial" w:eastAsia="Arial" w:hAnsi="Arial"/>
          <w:sz w:val="10"/>
          <w:szCs w:val="10"/>
          <w:color w:val="auto"/>
        </w:rPr>
        <w:t>Check if the Aggregate Amount in Row (9) Excludes Certain Shares o</w:t>
      </w:r>
    </w:p>
    <w:p>
      <w:pPr>
        <w:spacing w:after="0" w:line="254" w:lineRule="exact"/>
        <w:rPr>
          <w:rFonts w:ascii="Arial" w:cs="Arial" w:eastAsia="Arial" w:hAnsi="Arial"/>
          <w:sz w:val="10"/>
          <w:szCs w:val="10"/>
          <w:color w:val="auto"/>
        </w:rPr>
      </w:pPr>
    </w:p>
    <w:p>
      <w:pPr>
        <w:ind w:left="980" w:right="6959" w:hanging="619"/>
        <w:spacing w:after="0" w:line="232" w:lineRule="auto"/>
        <w:tabs>
          <w:tab w:leader="none" w:pos="966" w:val="left"/>
        </w:tabs>
        <w:numPr>
          <w:ilvl w:val="0"/>
          <w:numId w:val="9"/>
        </w:numPr>
        <w:rPr>
          <w:rFonts w:ascii="Arial" w:cs="Arial" w:eastAsia="Arial" w:hAnsi="Arial"/>
          <w:sz w:val="10"/>
          <w:szCs w:val="10"/>
          <w:color w:val="auto"/>
        </w:rPr>
      </w:pPr>
      <w:r>
        <w:rPr>
          <w:rFonts w:ascii="Arial" w:cs="Arial" w:eastAsia="Arial" w:hAnsi="Arial"/>
          <w:sz w:val="10"/>
          <w:szCs w:val="10"/>
          <w:color w:val="auto"/>
        </w:rPr>
        <w:t>Percent of Class Represented by Amount in Row (9) 0.0%. See Item 4.</w:t>
      </w:r>
    </w:p>
    <w:p>
      <w:pPr>
        <w:spacing w:after="0" w:line="218" w:lineRule="exact"/>
        <w:rPr>
          <w:rFonts w:ascii="Arial" w:cs="Arial" w:eastAsia="Arial" w:hAnsi="Arial"/>
          <w:sz w:val="10"/>
          <w:szCs w:val="10"/>
          <w:color w:val="auto"/>
        </w:rPr>
      </w:pPr>
    </w:p>
    <w:p>
      <w:pPr>
        <w:ind w:left="980" w:hanging="619"/>
        <w:spacing w:after="0"/>
        <w:tabs>
          <w:tab w:leader="none" w:pos="980" w:val="left"/>
        </w:tabs>
        <w:numPr>
          <w:ilvl w:val="0"/>
          <w:numId w:val="9"/>
        </w:numPr>
        <w:rPr>
          <w:rFonts w:ascii="Arial" w:cs="Arial" w:eastAsia="Arial" w:hAnsi="Arial"/>
          <w:sz w:val="10"/>
          <w:szCs w:val="10"/>
          <w:color w:val="auto"/>
        </w:rPr>
      </w:pPr>
      <w:r>
        <w:rPr>
          <w:rFonts w:ascii="Arial" w:cs="Arial" w:eastAsia="Arial" w:hAnsi="Arial"/>
          <w:sz w:val="10"/>
          <w:szCs w:val="10"/>
          <w:color w:val="auto"/>
        </w:rPr>
        <w:t>Type of Reporting Person</w:t>
      </w:r>
    </w:p>
    <w:p>
      <w:pPr>
        <w:spacing w:after="0" w:line="2" w:lineRule="exact"/>
        <w:rPr>
          <w:rFonts w:ascii="Arial" w:cs="Arial" w:eastAsia="Arial" w:hAnsi="Arial"/>
          <w:sz w:val="10"/>
          <w:szCs w:val="10"/>
          <w:color w:val="auto"/>
        </w:rPr>
      </w:pPr>
    </w:p>
    <w:p>
      <w:pPr>
        <w:ind w:left="980"/>
        <w:spacing w:after="0"/>
        <w:rPr>
          <w:rFonts w:ascii="Arial" w:cs="Arial" w:eastAsia="Arial" w:hAnsi="Arial"/>
          <w:sz w:val="10"/>
          <w:szCs w:val="10"/>
          <w:color w:val="auto"/>
        </w:rPr>
      </w:pPr>
      <w:r>
        <w:rPr>
          <w:rFonts w:ascii="Arial" w:cs="Arial" w:eastAsia="Arial" w:hAnsi="Arial"/>
          <w:sz w:val="10"/>
          <w:szCs w:val="10"/>
          <w:color w:val="auto"/>
        </w:rPr>
        <w:t>IN</w:t>
      </w:r>
    </w:p>
    <w:p>
      <w:pPr>
        <w:spacing w:after="0" w:line="137" w:lineRule="exact"/>
        <w:rPr>
          <w:sz w:val="20"/>
          <w:szCs w:val="20"/>
          <w:color w:val="auto"/>
        </w:rPr>
      </w:pPr>
    </w:p>
    <w:p>
      <w:pPr>
        <w:jc w:val="right"/>
        <w:ind w:right="4519"/>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8947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947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-5715</wp:posOffset>
            </wp:positionV>
            <wp:extent cx="43605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60545" cy="17145"/>
                    </a:xfrm>
                    <a:prstGeom prst="rect">
                      <a:avLst/>
                    </a:prstGeom>
                    <a:noFill/>
                  </pic:spPr>
                </pic:pic>
              </a:graphicData>
            </a:graphic>
          </wp:anchor>
        </w:drawing>
      </w:r>
    </w:p>
    <w:p>
      <w:pPr>
        <w:sectPr>
          <w:pgSz w:w="11900" w:h="16838" w:orient="portrait"/>
          <w:cols w:equalWidth="0" w:num="1">
            <w:col w:w="10159"/>
          </w:cols>
          <w:pgMar w:left="300" w:top="143" w:right="1440" w:bottom="1440" w:gutter="0" w:footer="0" w:header="0"/>
        </w:sectPr>
      </w:pPr>
    </w:p>
    <w:bookmarkStart w:id="2" w:name="page3"/>
    <w:bookmarkEnd w:id="2"/>
    <w:p>
      <w:pPr>
        <w:spacing w:after="0"/>
        <w:rPr>
          <w:sz w:val="20"/>
          <w:szCs w:val="20"/>
          <w:color w:val="auto"/>
        </w:rPr>
      </w:pPr>
      <w:r>
        <w:rPr>
          <w:rFonts w:ascii="Arial" w:cs="Arial" w:eastAsia="Arial" w:hAnsi="Arial"/>
          <w:sz w:val="8"/>
          <w:szCs w:val="8"/>
          <w:b w:val="1"/>
          <w:bCs w:val="1"/>
          <w:color w:val="auto"/>
        </w:rPr>
        <w:t>Item 1(a).</w:t>
      </w:r>
    </w:p>
    <w:p>
      <w:pPr>
        <w:spacing w:after="0" w:line="214"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Item 2(a).</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Item 2(b).</w:t>
      </w:r>
    </w:p>
    <w:p>
      <w:pPr>
        <w:spacing w:after="0" w:line="250"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Item 2(c).</w:t>
      </w:r>
    </w:p>
    <w:p>
      <w:pPr>
        <w:spacing w:after="0" w:line="250"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Item 2(e)</w:t>
      </w:r>
    </w:p>
    <w:p>
      <w:pPr>
        <w:spacing w:after="0" w:line="22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b w:val="1"/>
          <w:bCs w:val="1"/>
          <w:color w:val="auto"/>
        </w:rPr>
        <w:t>Name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43688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6880"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iClick Interactive Asia Group Limited (the “Issuer”)</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Address of Issuer’s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136398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63980"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15/F, Prosperity Millennia Plaza</w:t>
      </w:r>
    </w:p>
    <w:p>
      <w:pPr>
        <w:spacing w:after="0" w:line="225" w:lineRule="auto"/>
        <w:rPr>
          <w:sz w:val="20"/>
          <w:szCs w:val="20"/>
          <w:color w:val="auto"/>
        </w:rPr>
      </w:pPr>
      <w:r>
        <w:rPr>
          <w:rFonts w:ascii="Arial" w:cs="Arial" w:eastAsia="Arial" w:hAnsi="Arial"/>
          <w:sz w:val="10"/>
          <w:szCs w:val="10"/>
          <w:color w:val="auto"/>
        </w:rPr>
        <w:t>663 King’s Road, Quarry Bay</w:t>
      </w:r>
    </w:p>
    <w:p>
      <w:pPr>
        <w:spacing w:after="0"/>
        <w:rPr>
          <w:sz w:val="20"/>
          <w:szCs w:val="20"/>
          <w:color w:val="auto"/>
        </w:rPr>
      </w:pPr>
      <w:r>
        <w:rPr>
          <w:rFonts w:ascii="Arial" w:cs="Arial" w:eastAsia="Arial" w:hAnsi="Arial"/>
          <w:sz w:val="10"/>
          <w:szCs w:val="10"/>
          <w:color w:val="auto"/>
        </w:rPr>
        <w:t>Hong Kong 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1714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 cy="571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Name of Person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64262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620"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Chan Tung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165100</wp:posOffset>
            </wp:positionV>
            <wp:extent cx="1714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 cy="571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Address of Principal Business Office, or, if none, Residence</w:t>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173291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2915"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Room 1314A, 13/F, Lippo Sun Plaza, 28 Canton Road, TST, Hong Kong S.A.R.</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Citizenship</w:t>
      </w:r>
      <w:r>
        <w:rPr>
          <w:rFonts w:ascii="Arial" w:cs="Arial" w:eastAsia="Arial" w:hAnsi="Arial"/>
          <w:sz w:val="10"/>
          <w:szCs w:val="10"/>
          <w:b w:val="1"/>
          <w:bCs w:val="1"/>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0"/>
          <w:szCs w:val="10"/>
          <w:color w:val="auto"/>
        </w:rPr>
        <w:t>Chan Tung Ngai — Hong Kong</w:t>
      </w:r>
    </w:p>
    <w:p>
      <w:pPr>
        <w:spacing w:after="0" w:line="15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Title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6009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0095" cy="5715"/>
                    </a:xfrm>
                    <a:prstGeom prst="rect">
                      <a:avLst/>
                    </a:prstGeom>
                    <a:noFill/>
                  </pic:spPr>
                </pic:pic>
              </a:graphicData>
            </a:graphic>
          </wp:anchor>
        </w:drawing>
      </w:r>
    </w:p>
    <w:p>
      <w:pPr>
        <w:spacing w:after="0" w:line="230" w:lineRule="auto"/>
        <w:rPr>
          <w:sz w:val="20"/>
          <w:szCs w:val="20"/>
          <w:color w:val="auto"/>
        </w:rPr>
      </w:pPr>
      <w:r>
        <w:rPr>
          <w:rFonts w:ascii="Arial" w:cs="Arial" w:eastAsia="Arial" w:hAnsi="Arial"/>
          <w:sz w:val="10"/>
          <w:szCs w:val="10"/>
          <w:color w:val="auto"/>
        </w:rPr>
        <w:t>Class A ordinary shares, par value of $0.001 per share (the “Class A Ordinary Shares”). The Issuer’s ordinary shares consist of Class A Ordinary Shares and Class B ordinary shares, par value of $0.001 per share (“Class B Ordinary Shares”).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vote per share.</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30099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0990"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G47048 106</w:t>
      </w:r>
    </w:p>
    <w:p>
      <w:pPr>
        <w:spacing w:after="0" w:line="98"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If this statement is filed pursuant to §§ 240.13d-1(b), or 240.13d-2(b) or (c), check whether the persons filing is a</w:t>
      </w:r>
      <w:r>
        <w:rPr>
          <w:rFonts w:ascii="Arial" w:cs="Arial" w:eastAsia="Arial" w:hAnsi="Arial"/>
          <w:sz w:val="10"/>
          <w:szCs w:val="10"/>
          <w:b w:val="1"/>
          <w:bCs w:val="1"/>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2182495</wp:posOffset>
            </wp:positionV>
            <wp:extent cx="39268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268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60"/>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62230</wp:posOffset>
            </wp:positionV>
            <wp:extent cx="718947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2">
            <w:col w:w="420" w:space="700"/>
            <w:col w:w="10040"/>
          </w:cols>
          <w:pgMar w:left="300" w:top="131" w:right="439" w:bottom="1440" w:gutter="0" w:footer="0" w:header="0"/>
        </w:sectPr>
      </w:pPr>
    </w:p>
    <w:bookmarkStart w:id="3" w:name="page4"/>
    <w:bookmarkEnd w:id="3"/>
    <w:p>
      <w:pPr>
        <w:ind w:left="40"/>
        <w:spacing w:after="0"/>
        <w:tabs>
          <w:tab w:leader="none" w:pos="1020" w:val="left"/>
        </w:tabs>
        <w:rPr>
          <w:sz w:val="20"/>
          <w:szCs w:val="20"/>
          <w:color w:val="auto"/>
        </w:rPr>
      </w:pPr>
      <w:r>
        <w:rPr>
          <w:rFonts w:ascii="Arial" w:cs="Arial" w:eastAsia="Arial" w:hAnsi="Arial"/>
          <w:sz w:val="10"/>
          <w:szCs w:val="10"/>
          <w:b w:val="1"/>
          <w:bCs w:val="1"/>
          <w:color w:val="auto"/>
        </w:rPr>
        <w:t>Item 4.</w:t>
      </w:r>
      <w:r>
        <w:rPr>
          <w:sz w:val="20"/>
          <w:szCs w:val="20"/>
          <w:color w:val="auto"/>
        </w:rPr>
        <w:tab/>
      </w:r>
      <w:r>
        <w:rPr>
          <w:rFonts w:ascii="Arial" w:cs="Arial" w:eastAsia="Arial" w:hAnsi="Arial"/>
          <w:sz w:val="8"/>
          <w:szCs w:val="8"/>
          <w:b w:val="1"/>
          <w:bCs w:val="1"/>
          <w:u w:val="single" w:color="auto"/>
          <w:color w:val="auto"/>
        </w:rPr>
        <w:t>Ownership</w:t>
      </w:r>
    </w:p>
    <w:p>
      <w:pPr>
        <w:spacing w:after="0" w:line="77" w:lineRule="exact"/>
        <w:rPr>
          <w:sz w:val="20"/>
          <w:szCs w:val="20"/>
          <w:color w:val="auto"/>
        </w:rPr>
      </w:pPr>
    </w:p>
    <w:p>
      <w:pPr>
        <w:ind w:left="40"/>
        <w:spacing w:after="0" w:line="232" w:lineRule="auto"/>
        <w:rPr>
          <w:sz w:val="20"/>
          <w:szCs w:val="20"/>
          <w:color w:val="auto"/>
        </w:rPr>
      </w:pPr>
      <w:r>
        <w:rPr>
          <w:rFonts w:ascii="Arial" w:cs="Arial" w:eastAsia="Arial" w:hAnsi="Arial"/>
          <w:sz w:val="10"/>
          <w:szCs w:val="10"/>
          <w:color w:val="auto"/>
        </w:rPr>
        <w:t>The percentages set forth in this Schedule 13G are calculated based upon an aggregate of 36,879,844 ordinary shares, comprised of 32,059,236 Class A Ordinary Shares and 4,820,608 Class B Ordinary Shares, outstanding as of March 31, 2020, assuming conversion of all Class B Ordinary Shares into Class A Ordinary Shares).</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0"/>
          <w:szCs w:val="10"/>
          <w:b w:val="1"/>
          <w:bCs w:val="1"/>
          <w:color w:val="auto"/>
        </w:rPr>
        <w:t>Item 5.</w:t>
      </w:r>
      <w:r>
        <w:rPr>
          <w:sz w:val="20"/>
          <w:szCs w:val="20"/>
          <w:color w:val="auto"/>
        </w:rPr>
        <w:tab/>
      </w:r>
      <w:r>
        <w:rPr>
          <w:rFonts w:ascii="Arial" w:cs="Arial" w:eastAsia="Arial" w:hAnsi="Arial"/>
          <w:sz w:val="8"/>
          <w:szCs w:val="8"/>
          <w:b w:val="1"/>
          <w:bCs w:val="1"/>
          <w:color w:val="auto"/>
        </w:rPr>
        <w:t>Ownership of Five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4297045</wp:posOffset>
            </wp:positionH>
            <wp:positionV relativeFrom="paragraph">
              <wp:posOffset>1270</wp:posOffset>
            </wp:positionV>
            <wp:extent cx="13087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8735" cy="5715"/>
                    </a:xfrm>
                    <a:prstGeom prst="rect">
                      <a:avLst/>
                    </a:prstGeom>
                    <a:noFill/>
                  </pic:spPr>
                </pic:pic>
              </a:graphicData>
            </a:graphic>
          </wp:anchor>
        </w:drawing>
      </w:r>
    </w:p>
    <w:p>
      <w:pPr>
        <w:ind w:right="4260"/>
        <w:spacing w:after="0" w:line="232" w:lineRule="auto"/>
        <w:rPr>
          <w:sz w:val="20"/>
          <w:szCs w:val="20"/>
          <w:color w:val="auto"/>
        </w:rPr>
      </w:pPr>
      <w:r>
        <w:rPr>
          <w:rFonts w:ascii="Arial" w:cs="Arial" w:eastAsia="Arial" w:hAnsi="Arial"/>
          <w:sz w:val="10"/>
          <w:szCs w:val="10"/>
          <w:color w:val="auto"/>
        </w:rPr>
        <w:t>If this statement is being filed to report the fact that as of the date hereof the reporting person has ceased to be the beneficial owner of more than five percent of the class of securities, check the following [X].</w:t>
      </w:r>
    </w:p>
    <w:p>
      <w:pPr>
        <w:spacing w:after="0" w:line="243" w:lineRule="exact"/>
        <w:rPr>
          <w:sz w:val="20"/>
          <w:szCs w:val="20"/>
          <w:color w:val="auto"/>
        </w:rPr>
      </w:pPr>
    </w:p>
    <w:p>
      <w:pPr>
        <w:spacing w:after="0"/>
        <w:tabs>
          <w:tab w:leader="none" w:pos="660" w:val="left"/>
        </w:tabs>
        <w:rPr>
          <w:sz w:val="20"/>
          <w:szCs w:val="20"/>
          <w:color w:val="auto"/>
        </w:rPr>
      </w:pPr>
      <w:r>
        <w:rPr>
          <w:rFonts w:ascii="Arial" w:cs="Arial" w:eastAsia="Arial" w:hAnsi="Arial"/>
          <w:sz w:val="10"/>
          <w:szCs w:val="10"/>
          <w:b w:val="1"/>
          <w:bCs w:val="1"/>
          <w:color w:val="auto"/>
        </w:rPr>
        <w:t>Item 6.</w:t>
      </w:r>
      <w:r>
        <w:rPr>
          <w:sz w:val="20"/>
          <w:szCs w:val="20"/>
          <w:color w:val="auto"/>
        </w:rPr>
        <w:tab/>
      </w:r>
      <w:r>
        <w:rPr>
          <w:rFonts w:ascii="Arial" w:cs="Arial" w:eastAsia="Arial" w:hAnsi="Arial"/>
          <w:sz w:val="8"/>
          <w:szCs w:val="8"/>
          <w:b w:val="1"/>
          <w:bCs w:val="1"/>
          <w:color w:val="auto"/>
        </w:rPr>
        <w:t>Ownership of More than Five Percent on Behalf of Another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1270</wp:posOffset>
            </wp:positionV>
            <wp:extent cx="391477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14775" cy="571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Not applicable</w:t>
      </w:r>
    </w:p>
    <w:p>
      <w:pPr>
        <w:spacing w:after="0" w:line="242" w:lineRule="exact"/>
        <w:rPr>
          <w:sz w:val="20"/>
          <w:szCs w:val="20"/>
          <w:color w:val="auto"/>
        </w:rPr>
      </w:pPr>
    </w:p>
    <w:p>
      <w:pPr>
        <w:ind w:left="680" w:right="4300" w:hanging="665"/>
        <w:spacing w:after="0" w:line="268" w:lineRule="auto"/>
        <w:tabs>
          <w:tab w:leader="none" w:pos="660" w:val="left"/>
        </w:tabs>
        <w:rPr>
          <w:sz w:val="20"/>
          <w:szCs w:val="20"/>
          <w:color w:val="auto"/>
        </w:rPr>
      </w:pPr>
      <w:r>
        <w:rPr>
          <w:rFonts w:ascii="Arial" w:cs="Arial" w:eastAsia="Arial" w:hAnsi="Arial"/>
          <w:sz w:val="10"/>
          <w:szCs w:val="10"/>
          <w:b w:val="1"/>
          <w:bCs w:val="1"/>
          <w:color w:val="auto"/>
        </w:rPr>
        <w:t>Item 7.</w:t>
      </w:r>
      <w:r>
        <w:rPr>
          <w:sz w:val="20"/>
          <w:szCs w:val="20"/>
          <w:color w:val="auto"/>
        </w:rPr>
        <w:tab/>
      </w:r>
      <w:r>
        <w:rPr>
          <w:rFonts w:ascii="Arial" w:cs="Arial" w:eastAsia="Arial" w:hAnsi="Arial"/>
          <w:sz w:val="10"/>
          <w:szCs w:val="10"/>
          <w:b w:val="1"/>
          <w:bCs w:val="1"/>
          <w:color w:val="auto"/>
        </w:rPr>
        <w:t>Identification and Classification of the Subsidiary Which Acquired the Security Being Reported on By the Parent Holding Company or 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-13970</wp:posOffset>
            </wp:positionV>
            <wp:extent cx="391477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14775" cy="5715"/>
                    </a:xfrm>
                    <a:prstGeom prst="rect">
                      <a:avLst/>
                    </a:prstGeom>
                    <a:noFill/>
                  </pic:spPr>
                </pic:pic>
              </a:graphicData>
            </a:graphic>
          </wp:anchor>
        </w:drawing>
        <w:drawing>
          <wp:anchor simplePos="0" relativeHeight="251657728" behindDoc="1" locked="0" layoutInCell="0" allowOverlap="1">
            <wp:simplePos x="0" y="0"/>
            <wp:positionH relativeFrom="column">
              <wp:posOffset>427990</wp:posOffset>
            </wp:positionH>
            <wp:positionV relativeFrom="paragraph">
              <wp:posOffset>-88265</wp:posOffset>
            </wp:positionV>
            <wp:extent cx="391477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14775" cy="571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0"/>
          <w:szCs w:val="10"/>
          <w:color w:val="auto"/>
        </w:rPr>
        <w:t>Not applicable</w:t>
      </w:r>
    </w:p>
    <w:p>
      <w:pPr>
        <w:spacing w:after="0" w:line="242" w:lineRule="exact"/>
        <w:rPr>
          <w:sz w:val="20"/>
          <w:szCs w:val="20"/>
          <w:color w:val="auto"/>
        </w:rPr>
      </w:pPr>
    </w:p>
    <w:p>
      <w:pPr>
        <w:spacing w:after="0"/>
        <w:tabs>
          <w:tab w:leader="none" w:pos="660" w:val="left"/>
        </w:tabs>
        <w:rPr>
          <w:sz w:val="20"/>
          <w:szCs w:val="20"/>
          <w:color w:val="auto"/>
        </w:rPr>
      </w:pPr>
      <w:r>
        <w:rPr>
          <w:rFonts w:ascii="Arial" w:cs="Arial" w:eastAsia="Arial" w:hAnsi="Arial"/>
          <w:sz w:val="10"/>
          <w:szCs w:val="10"/>
          <w:b w:val="1"/>
          <w:bCs w:val="1"/>
          <w:color w:val="auto"/>
        </w:rPr>
        <w:t>Item 8.</w:t>
      </w:r>
      <w:r>
        <w:rPr>
          <w:sz w:val="20"/>
          <w:szCs w:val="20"/>
          <w:color w:val="auto"/>
        </w:rPr>
        <w:tab/>
      </w:r>
      <w:r>
        <w:rPr>
          <w:rFonts w:ascii="Arial" w:cs="Arial" w:eastAsia="Arial" w:hAnsi="Arial"/>
          <w:sz w:val="8"/>
          <w:szCs w:val="8"/>
          <w:b w:val="1"/>
          <w:bCs w:val="1"/>
          <w:color w:val="auto"/>
        </w:rPr>
        <w:t>Identification and Classification of Members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1270</wp:posOffset>
            </wp:positionV>
            <wp:extent cx="391477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14775" cy="571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Not applicable</w:t>
      </w:r>
    </w:p>
    <w:p>
      <w:pPr>
        <w:spacing w:after="0" w:line="242" w:lineRule="exact"/>
        <w:rPr>
          <w:sz w:val="20"/>
          <w:szCs w:val="20"/>
          <w:color w:val="auto"/>
        </w:rPr>
      </w:pPr>
    </w:p>
    <w:p>
      <w:pPr>
        <w:spacing w:after="0"/>
        <w:tabs>
          <w:tab w:leader="none" w:pos="660" w:val="left"/>
        </w:tabs>
        <w:rPr>
          <w:sz w:val="20"/>
          <w:szCs w:val="20"/>
          <w:color w:val="auto"/>
        </w:rPr>
      </w:pPr>
      <w:r>
        <w:rPr>
          <w:rFonts w:ascii="Arial" w:cs="Arial" w:eastAsia="Arial" w:hAnsi="Arial"/>
          <w:sz w:val="10"/>
          <w:szCs w:val="10"/>
          <w:b w:val="1"/>
          <w:bCs w:val="1"/>
          <w:color w:val="auto"/>
        </w:rPr>
        <w:t>Item 9.</w:t>
      </w:r>
      <w:r>
        <w:rPr>
          <w:sz w:val="20"/>
          <w:szCs w:val="20"/>
          <w:color w:val="auto"/>
        </w:rPr>
        <w:tab/>
      </w:r>
      <w:r>
        <w:rPr>
          <w:rFonts w:ascii="Arial" w:cs="Arial" w:eastAsia="Arial" w:hAnsi="Arial"/>
          <w:sz w:val="8"/>
          <w:szCs w:val="8"/>
          <w:b w:val="1"/>
          <w:bCs w:val="1"/>
          <w:color w:val="auto"/>
        </w:rPr>
        <w:t>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1270</wp:posOffset>
            </wp:positionV>
            <wp:extent cx="391477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14775" cy="571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Not applicable</w:t>
      </w:r>
    </w:p>
    <w:p>
      <w:pPr>
        <w:spacing w:after="0" w:line="173" w:lineRule="exact"/>
        <w:rPr>
          <w:sz w:val="20"/>
          <w:szCs w:val="20"/>
          <w:color w:val="auto"/>
        </w:rPr>
      </w:pPr>
    </w:p>
    <w:p>
      <w:pPr>
        <w:ind w:left="3360"/>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187960</wp:posOffset>
            </wp:positionV>
            <wp:extent cx="718947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9470" cy="114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56515</wp:posOffset>
            </wp:positionV>
            <wp:extent cx="4360545" cy="22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60545" cy="22860"/>
                    </a:xfrm>
                    <a:prstGeom prst="rect">
                      <a:avLst/>
                    </a:prstGeom>
                    <a:noFill/>
                  </pic:spPr>
                </pic:pic>
              </a:graphicData>
            </a:graphic>
          </wp:anchor>
        </w:drawing>
      </w:r>
    </w:p>
    <w:p>
      <w:pPr>
        <w:sectPr>
          <w:pgSz w:w="11900" w:h="16838" w:orient="portrait"/>
          <w:cols w:equalWidth="0" w:num="1">
            <w:col w:w="10940"/>
          </w:cols>
          <w:pgMar w:left="320" w:top="131" w:right="639" w:bottom="1440" w:gutter="0" w:footer="0" w:header="0"/>
        </w:sectPr>
      </w:pPr>
    </w:p>
    <w:bookmarkStart w:id="4" w:name="page5"/>
    <w:bookmarkEnd w:id="4"/>
    <w:p>
      <w:pPr>
        <w:ind w:left="60"/>
        <w:spacing w:after="0"/>
        <w:tabs>
          <w:tab w:leader="none" w:pos="1100" w:val="left"/>
        </w:tabs>
        <w:rPr>
          <w:sz w:val="20"/>
          <w:szCs w:val="20"/>
          <w:color w:val="auto"/>
        </w:rPr>
      </w:pPr>
      <w:r>
        <w:rPr>
          <w:rFonts w:ascii="Arial" w:cs="Arial" w:eastAsia="Arial" w:hAnsi="Arial"/>
          <w:sz w:val="10"/>
          <w:szCs w:val="10"/>
          <w:b w:val="1"/>
          <w:bCs w:val="1"/>
          <w:color w:val="auto"/>
        </w:rPr>
        <w:t>Item 10.</w:t>
      </w:r>
      <w:r>
        <w:rPr>
          <w:sz w:val="20"/>
          <w:szCs w:val="20"/>
          <w:color w:val="auto"/>
        </w:rPr>
        <w:tab/>
      </w:r>
      <w:r>
        <w:rPr>
          <w:rFonts w:ascii="Arial" w:cs="Arial" w:eastAsia="Arial" w:hAnsi="Arial"/>
          <w:sz w:val="8"/>
          <w:szCs w:val="8"/>
          <w:b w:val="1"/>
          <w:bCs w:val="1"/>
          <w:u w:val="single" w:color="auto"/>
          <w:color w:val="auto"/>
        </w:rPr>
        <w:t>Certifications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0"/>
          <w:szCs w:val="10"/>
          <w:color w:val="auto"/>
        </w:rPr>
        <w:t>Not applicable</w:t>
      </w:r>
    </w:p>
    <w:p>
      <w:pPr>
        <w:spacing w:after="0" w:line="134" w:lineRule="exact"/>
        <w:rPr>
          <w:sz w:val="20"/>
          <w:szCs w:val="20"/>
          <w:color w:val="auto"/>
        </w:rPr>
      </w:pPr>
    </w:p>
    <w:p>
      <w:pPr>
        <w:ind w:left="5340"/>
        <w:spacing w:after="0"/>
        <w:rPr>
          <w:sz w:val="20"/>
          <w:szCs w:val="20"/>
          <w:color w:val="auto"/>
        </w:rPr>
      </w:pPr>
      <w:r>
        <w:rPr>
          <w:rFonts w:ascii="Arial" w:cs="Arial" w:eastAsia="Arial" w:hAnsi="Arial"/>
          <w:sz w:val="10"/>
          <w:szCs w:val="10"/>
          <w:b w:val="1"/>
          <w:bCs w:val="1"/>
          <w:u w:val="single" w:color="auto"/>
          <w:color w:val="auto"/>
        </w:rPr>
        <w:t>SIGNATURE</w:t>
      </w:r>
    </w:p>
    <w:p>
      <w:pPr>
        <w:spacing w:after="0" w:line="131" w:lineRule="exact"/>
        <w:rPr>
          <w:sz w:val="20"/>
          <w:szCs w:val="20"/>
          <w:color w:val="auto"/>
        </w:rPr>
      </w:pPr>
    </w:p>
    <w:p>
      <w:pPr>
        <w:spacing w:after="0"/>
        <w:rPr>
          <w:sz w:val="20"/>
          <w:szCs w:val="20"/>
          <w:color w:val="auto"/>
        </w:rPr>
      </w:pPr>
      <w:r>
        <w:rPr>
          <w:rFonts w:ascii="Arial" w:cs="Arial" w:eastAsia="Arial" w:hAnsi="Arial"/>
          <w:sz w:val="10"/>
          <w:szCs w:val="10"/>
          <w:color w:val="auto"/>
        </w:rPr>
        <w:t>After reasonable inquiry and to the best of my knowledge and belief, I certify that the information set forth in this statement is true, complete and correct.</w:t>
      </w:r>
    </w:p>
    <w:p>
      <w:pPr>
        <w:spacing w:after="0" w:line="119" w:lineRule="exact"/>
        <w:rPr>
          <w:sz w:val="20"/>
          <w:szCs w:val="20"/>
          <w:color w:val="auto"/>
        </w:rPr>
      </w:pPr>
    </w:p>
    <w:p>
      <w:pPr>
        <w:spacing w:after="0"/>
        <w:rPr>
          <w:sz w:val="20"/>
          <w:szCs w:val="20"/>
          <w:color w:val="auto"/>
        </w:rPr>
      </w:pPr>
      <w:r>
        <w:rPr>
          <w:rFonts w:ascii="Arial" w:cs="Arial" w:eastAsia="Arial" w:hAnsi="Arial"/>
          <w:sz w:val="10"/>
          <w:szCs w:val="10"/>
          <w:color w:val="auto"/>
        </w:rPr>
        <w:t>Dated: May 1, 2020</w:t>
      </w:r>
    </w:p>
    <w:p>
      <w:pPr>
        <w:spacing w:after="0" w:line="372" w:lineRule="exact"/>
        <w:rPr>
          <w:sz w:val="20"/>
          <w:szCs w:val="20"/>
          <w:color w:val="auto"/>
        </w:rPr>
      </w:pPr>
    </w:p>
    <w:p>
      <w:pPr>
        <w:ind w:left="6220"/>
        <w:spacing w:after="0"/>
        <w:rPr>
          <w:sz w:val="20"/>
          <w:szCs w:val="20"/>
          <w:color w:val="auto"/>
        </w:rPr>
      </w:pPr>
      <w:r>
        <w:rPr>
          <w:rFonts w:ascii="Arial" w:cs="Arial" w:eastAsia="Arial" w:hAnsi="Arial"/>
          <w:sz w:val="8"/>
          <w:szCs w:val="8"/>
          <w:b w:val="1"/>
          <w:bCs w:val="1"/>
          <w:color w:val="auto"/>
        </w:rPr>
        <w:t>Chan Tung Ngai</w:t>
      </w:r>
    </w:p>
    <w:p>
      <w:pPr>
        <w:spacing w:after="0" w:line="108" w:lineRule="exact"/>
        <w:rPr>
          <w:sz w:val="20"/>
          <w:szCs w:val="20"/>
          <w:color w:val="auto"/>
        </w:rPr>
      </w:pPr>
    </w:p>
    <w:p>
      <w:pPr>
        <w:ind w:left="6220"/>
        <w:spacing w:after="0"/>
        <w:rPr>
          <w:sz w:val="20"/>
          <w:szCs w:val="20"/>
          <w:color w:val="auto"/>
        </w:rPr>
      </w:pPr>
      <w:r>
        <w:rPr>
          <w:rFonts w:ascii="Arial" w:cs="Arial" w:eastAsia="Arial" w:hAnsi="Arial"/>
          <w:sz w:val="8"/>
          <w:szCs w:val="8"/>
          <w:color w:val="auto"/>
        </w:rPr>
        <w:t>/s/ Chan Tung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12065</wp:posOffset>
            </wp:positionV>
            <wp:extent cx="322897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line="362" w:lineRule="exact"/>
        <w:rPr>
          <w:sz w:val="20"/>
          <w:szCs w:val="20"/>
          <w:color w:val="auto"/>
        </w:rPr>
      </w:pPr>
    </w:p>
    <w:p>
      <w:pPr>
        <w:ind w:left="3420"/>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6497955" cy="22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97955" cy="22860"/>
                    </a:xfrm>
                    <a:prstGeom prst="rect">
                      <a:avLst/>
                    </a:prstGeom>
                    <a:noFill/>
                  </pic:spPr>
                </pic:pic>
              </a:graphicData>
            </a:graphic>
          </wp:anchor>
        </w:drawing>
      </w:r>
    </w:p>
    <w:sectPr>
      <w:pgSz w:w="11900" w:h="16838" w:orient="portrait"/>
      <w:cols w:equalWidth="0" w:num="1">
        <w:col w:w="10159"/>
      </w:cols>
      <w:pgMar w:left="3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lvl w:ilvl="1">
      <w:lvlJc w:val="left"/>
      <w:lvlText w:val="(%2)"/>
      <w:numFmt w:val="lowerLetter"/>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5"/>
      <w:numFmt w:val="bullet"/>
      <w:start w:val="1"/>
    </w:lvl>
  </w:abstractNum>
  <w:abstractNum w:abstractNumId="6">
    <w:nsid w:val="7545E146"/>
    <w:multiLevelType w:val="hybridMultilevel"/>
    <w:lvl w:ilvl="0">
      <w:lvlJc w:val="left"/>
      <w:lvlText w:val="8"/>
      <w:numFmt w:val="bullet"/>
      <w:start w:val="1"/>
    </w:lvl>
  </w:abstractNum>
  <w:abstractNum w:abstractNumId="7">
    <w:nsid w:val="515F007C"/>
    <w:multiLevelType w:val="hybridMultilevel"/>
    <w:lvl w:ilvl="0">
      <w:lvlJc w:val="left"/>
      <w:lvlText w:val="9"/>
      <w:numFmt w:val="bullet"/>
      <w:start w:val="1"/>
    </w:lvl>
  </w:abstractNum>
  <w:abstractNum w:abstractNumId="8">
    <w:nsid w:val="5BD062C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2020-05-01T05:33:53Z</dcterms:created>
  <dcterms:modified xsi:type="dcterms:W3CDTF">2020-05-01T05:33:53Z</dcterms:modified>
</cp:coreProperties>
</file>