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ind w:right="-7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7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13" w:lineRule="exact"/>
        <w:rPr>
          <w:sz w:val="24"/>
          <w:szCs w:val="24"/>
          <w:color w:val="auto"/>
        </w:rPr>
      </w:pPr>
    </w:p>
    <w:p>
      <w:pPr>
        <w:jc w:val="center"/>
        <w:ind w:right="-79"/>
        <w:spacing w:after="0"/>
        <w:rPr>
          <w:sz w:val="20"/>
          <w:szCs w:val="20"/>
          <w:color w:val="auto"/>
        </w:rPr>
      </w:pPr>
      <w:r>
        <w:rPr>
          <w:rFonts w:ascii="Arial" w:cs="Arial" w:eastAsia="Arial" w:hAnsi="Arial"/>
          <w:sz w:val="32"/>
          <w:szCs w:val="32"/>
          <w:b w:val="1"/>
          <w:bCs w:val="1"/>
          <w:color w:val="auto"/>
        </w:rPr>
        <w:t>SCHEDULE 13D/A</w:t>
      </w:r>
    </w:p>
    <w:p>
      <w:pPr>
        <w:spacing w:after="0" w:line="226"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14"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(Amendment No. 1 )*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218440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6" w:lineRule="exact"/>
        <w:rPr>
          <w:sz w:val="24"/>
          <w:szCs w:val="24"/>
          <w:color w:val="auto"/>
        </w:rPr>
      </w:pPr>
    </w:p>
    <w:p>
      <w:pPr>
        <w:jc w:val="center"/>
        <w:ind w:right="-79"/>
        <w:spacing w:after="0"/>
        <w:rPr>
          <w:sz w:val="20"/>
          <w:szCs w:val="20"/>
          <w:color w:val="auto"/>
        </w:rPr>
      </w:pPr>
      <w:r>
        <w:rPr>
          <w:rFonts w:ascii="Arial" w:cs="Arial" w:eastAsia="Arial" w:hAnsi="Arial"/>
          <w:sz w:val="40"/>
          <w:szCs w:val="40"/>
          <w:b w:val="1"/>
          <w:bCs w:val="1"/>
          <w:color w:val="auto"/>
        </w:rPr>
        <w:t>iClick Interactive Asia Group Limited</w:t>
      </w:r>
    </w:p>
    <w:p>
      <w:pPr>
        <w:spacing w:after="0" w:line="35"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(Name of Issuer)</w:t>
      </w:r>
    </w:p>
    <w:p>
      <w:pPr>
        <w:spacing w:after="0" w:line="205"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Class A Ordinary Shares, par value of $0.001 per share</w:t>
      </w:r>
    </w:p>
    <w:p>
      <w:pPr>
        <w:spacing w:after="0" w:line="21" w:lineRule="exact"/>
        <w:rPr>
          <w:sz w:val="24"/>
          <w:szCs w:val="24"/>
          <w:color w:val="auto"/>
        </w:rPr>
      </w:pPr>
    </w:p>
    <w:p>
      <w:pPr>
        <w:jc w:val="center"/>
        <w:ind w:right="-79"/>
        <w:spacing w:after="0"/>
        <w:rPr>
          <w:sz w:val="20"/>
          <w:szCs w:val="20"/>
          <w:color w:val="auto"/>
        </w:rPr>
      </w:pPr>
      <w:r>
        <w:rPr>
          <w:rFonts w:ascii="Arial" w:cs="Arial" w:eastAsia="Arial" w:hAnsi="Arial"/>
          <w:sz w:val="14"/>
          <w:szCs w:val="14"/>
          <w:b w:val="1"/>
          <w:bCs w:val="1"/>
          <w:color w:val="auto"/>
        </w:rPr>
        <w:t>(Title of Class of Securities)</w:t>
      </w:r>
    </w:p>
    <w:p>
      <w:pPr>
        <w:spacing w:after="0" w:line="192"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G47048 106</w:t>
      </w:r>
    </w:p>
    <w:p>
      <w:pPr>
        <w:spacing w:after="0" w:line="21" w:lineRule="exact"/>
        <w:rPr>
          <w:sz w:val="24"/>
          <w:szCs w:val="24"/>
          <w:color w:val="auto"/>
        </w:rPr>
      </w:pPr>
    </w:p>
    <w:p>
      <w:pPr>
        <w:jc w:val="center"/>
        <w:ind w:right="-79"/>
        <w:spacing w:after="0"/>
        <w:rPr>
          <w:sz w:val="20"/>
          <w:szCs w:val="20"/>
          <w:color w:val="auto"/>
        </w:rPr>
      </w:pPr>
      <w:r>
        <w:rPr>
          <w:rFonts w:ascii="Arial" w:cs="Arial" w:eastAsia="Arial" w:hAnsi="Arial"/>
          <w:sz w:val="14"/>
          <w:szCs w:val="14"/>
          <w:b w:val="1"/>
          <w:bCs w:val="1"/>
          <w:color w:val="auto"/>
        </w:rPr>
        <w:t>(CUSIP Number)</w:t>
      </w:r>
    </w:p>
    <w:p>
      <w:pPr>
        <w:spacing w:after="0" w:line="219" w:lineRule="exact"/>
        <w:rPr>
          <w:sz w:val="24"/>
          <w:szCs w:val="24"/>
          <w:color w:val="auto"/>
        </w:rPr>
      </w:pPr>
    </w:p>
    <w:tbl>
      <w:tblPr>
        <w:tblLayout w:type="fixed"/>
        <w:tblInd w:w="80" w:type="dxa"/>
        <w:tblCellMar>
          <w:top w:w="0" w:type="dxa"/>
          <w:left w:w="0" w:type="dxa"/>
          <w:bottom w:w="0" w:type="dxa"/>
          <w:right w:w="0" w:type="dxa"/>
        </w:tblCellMar>
      </w:tblPr>
      <w:tr>
        <w:trPr>
          <w:trHeight w:val="216"/>
        </w:trPr>
        <w:tc>
          <w:tcPr>
            <w:tcW w:w="2920" w:type="dxa"/>
            <w:vAlign w:val="bottom"/>
          </w:tcPr>
          <w:p>
            <w:pPr>
              <w:jc w:val="center"/>
              <w:ind w:right="30"/>
              <w:spacing w:after="0"/>
              <w:rPr>
                <w:sz w:val="20"/>
                <w:szCs w:val="20"/>
                <w:color w:val="auto"/>
              </w:rPr>
            </w:pPr>
            <w:r>
              <w:rPr>
                <w:rFonts w:ascii="Arial" w:cs="Arial" w:eastAsia="Arial" w:hAnsi="Arial"/>
                <w:sz w:val="18"/>
                <w:szCs w:val="18"/>
                <w:b w:val="1"/>
                <w:bCs w:val="1"/>
                <w:color w:val="auto"/>
                <w:w w:val="90"/>
              </w:rPr>
              <w:t>Jian Tang</w:t>
            </w:r>
          </w:p>
        </w:tc>
        <w:tc>
          <w:tcPr>
            <w:tcW w:w="2780" w:type="dxa"/>
            <w:vAlign w:val="bottom"/>
          </w:tcPr>
          <w:p>
            <w:pPr>
              <w:jc w:val="center"/>
              <w:spacing w:after="0"/>
              <w:rPr>
                <w:sz w:val="20"/>
                <w:szCs w:val="20"/>
                <w:color w:val="auto"/>
              </w:rPr>
            </w:pPr>
            <w:r>
              <w:rPr>
                <w:rFonts w:ascii="Arial" w:cs="Arial" w:eastAsia="Arial" w:hAnsi="Arial"/>
                <w:sz w:val="18"/>
                <w:szCs w:val="18"/>
                <w:b w:val="1"/>
                <w:bCs w:val="1"/>
                <w:color w:val="auto"/>
                <w:w w:val="92"/>
              </w:rPr>
              <w:t>Igomax Inc.</w:t>
            </w:r>
          </w:p>
        </w:tc>
        <w:tc>
          <w:tcPr>
            <w:tcW w:w="2840" w:type="dxa"/>
            <w:vAlign w:val="bottom"/>
          </w:tcPr>
          <w:p>
            <w:pPr>
              <w:jc w:val="center"/>
              <w:spacing w:after="0"/>
              <w:rPr>
                <w:sz w:val="20"/>
                <w:szCs w:val="20"/>
                <w:color w:val="auto"/>
              </w:rPr>
            </w:pPr>
            <w:r>
              <w:rPr>
                <w:rFonts w:ascii="Arial" w:cs="Arial" w:eastAsia="Arial" w:hAnsi="Arial"/>
                <w:sz w:val="18"/>
                <w:szCs w:val="18"/>
                <w:b w:val="1"/>
                <w:bCs w:val="1"/>
                <w:color w:val="auto"/>
                <w:w w:val="91"/>
              </w:rPr>
              <w:t>Wing Hong Sammy Hsieh</w:t>
            </w:r>
          </w:p>
        </w:tc>
        <w:tc>
          <w:tcPr>
            <w:tcW w:w="2260" w:type="dxa"/>
            <w:vAlign w:val="bottom"/>
          </w:tcPr>
          <w:p>
            <w:pPr>
              <w:jc w:val="center"/>
              <w:ind w:left="130"/>
              <w:spacing w:after="0"/>
              <w:rPr>
                <w:sz w:val="20"/>
                <w:szCs w:val="20"/>
                <w:color w:val="auto"/>
              </w:rPr>
            </w:pPr>
            <w:r>
              <w:rPr>
                <w:rFonts w:ascii="Arial" w:cs="Arial" w:eastAsia="Arial" w:hAnsi="Arial"/>
                <w:sz w:val="18"/>
                <w:szCs w:val="18"/>
                <w:b w:val="1"/>
                <w:bCs w:val="1"/>
                <w:color w:val="auto"/>
                <w:w w:val="91"/>
              </w:rPr>
              <w:t>Bubinga Holdings Limited</w:t>
            </w:r>
          </w:p>
        </w:tc>
      </w:tr>
      <w:tr>
        <w:trPr>
          <w:trHeight w:val="216"/>
        </w:trPr>
        <w:tc>
          <w:tcPr>
            <w:tcW w:w="2920" w:type="dxa"/>
            <w:vAlign w:val="bottom"/>
          </w:tcPr>
          <w:p>
            <w:pPr>
              <w:jc w:val="center"/>
              <w:ind w:right="30"/>
              <w:spacing w:after="0"/>
              <w:rPr>
                <w:sz w:val="20"/>
                <w:szCs w:val="20"/>
                <w:color w:val="auto"/>
              </w:rPr>
            </w:pPr>
            <w:r>
              <w:rPr>
                <w:rFonts w:ascii="Arial" w:cs="Arial" w:eastAsia="Arial" w:hAnsi="Arial"/>
                <w:sz w:val="18"/>
                <w:szCs w:val="18"/>
                <w:b w:val="1"/>
                <w:bCs w:val="1"/>
                <w:color w:val="auto"/>
                <w:w w:val="92"/>
              </w:rPr>
              <w:t>15/F, Prosperity Millennia Plaza</w:t>
            </w:r>
          </w:p>
        </w:tc>
        <w:tc>
          <w:tcPr>
            <w:tcW w:w="2780" w:type="dxa"/>
            <w:vAlign w:val="bottom"/>
          </w:tcPr>
          <w:p>
            <w:pPr>
              <w:jc w:val="center"/>
              <w:spacing w:after="0"/>
              <w:rPr>
                <w:sz w:val="20"/>
                <w:szCs w:val="20"/>
                <w:color w:val="auto"/>
              </w:rPr>
            </w:pPr>
            <w:r>
              <w:rPr>
                <w:rFonts w:ascii="Arial" w:cs="Arial" w:eastAsia="Arial" w:hAnsi="Arial"/>
                <w:sz w:val="18"/>
                <w:szCs w:val="18"/>
                <w:b w:val="1"/>
                <w:bCs w:val="1"/>
                <w:color w:val="auto"/>
                <w:w w:val="91"/>
              </w:rPr>
              <w:t>15/F, Prosperity Millennia Plaza</w:t>
            </w:r>
          </w:p>
        </w:tc>
        <w:tc>
          <w:tcPr>
            <w:tcW w:w="2840" w:type="dxa"/>
            <w:vAlign w:val="bottom"/>
          </w:tcPr>
          <w:p>
            <w:pPr>
              <w:jc w:val="center"/>
              <w:spacing w:after="0"/>
              <w:rPr>
                <w:sz w:val="20"/>
                <w:szCs w:val="20"/>
                <w:color w:val="auto"/>
              </w:rPr>
            </w:pPr>
            <w:r>
              <w:rPr>
                <w:rFonts w:ascii="Arial" w:cs="Arial" w:eastAsia="Arial" w:hAnsi="Arial"/>
                <w:sz w:val="18"/>
                <w:szCs w:val="18"/>
                <w:b w:val="1"/>
                <w:bCs w:val="1"/>
                <w:color w:val="auto"/>
                <w:w w:val="91"/>
              </w:rPr>
              <w:t>15/F, Prosperity Millennia Plaza</w:t>
            </w:r>
          </w:p>
        </w:tc>
        <w:tc>
          <w:tcPr>
            <w:tcW w:w="2260" w:type="dxa"/>
            <w:vAlign w:val="bottom"/>
          </w:tcPr>
          <w:p>
            <w:pPr>
              <w:jc w:val="center"/>
              <w:ind w:left="130"/>
              <w:spacing w:after="0"/>
              <w:rPr>
                <w:sz w:val="20"/>
                <w:szCs w:val="20"/>
                <w:color w:val="auto"/>
              </w:rPr>
            </w:pPr>
            <w:r>
              <w:rPr>
                <w:rFonts w:ascii="Arial" w:cs="Arial" w:eastAsia="Arial" w:hAnsi="Arial"/>
                <w:sz w:val="18"/>
                <w:szCs w:val="18"/>
                <w:b w:val="1"/>
                <w:bCs w:val="1"/>
                <w:color w:val="auto"/>
                <w:w w:val="92"/>
              </w:rPr>
              <w:t>15/F, Prosperity Millennia</w:t>
            </w:r>
          </w:p>
        </w:tc>
      </w:tr>
      <w:tr>
        <w:trPr>
          <w:trHeight w:val="216"/>
        </w:trPr>
        <w:tc>
          <w:tcPr>
            <w:tcW w:w="2920" w:type="dxa"/>
            <w:vAlign w:val="bottom"/>
          </w:tcPr>
          <w:p>
            <w:pPr>
              <w:jc w:val="center"/>
              <w:ind w:right="30"/>
              <w:spacing w:after="0"/>
              <w:rPr>
                <w:sz w:val="20"/>
                <w:szCs w:val="20"/>
                <w:color w:val="auto"/>
              </w:rPr>
            </w:pPr>
            <w:r>
              <w:rPr>
                <w:rFonts w:ascii="Arial" w:cs="Arial" w:eastAsia="Arial" w:hAnsi="Arial"/>
                <w:sz w:val="18"/>
                <w:szCs w:val="18"/>
                <w:b w:val="1"/>
                <w:bCs w:val="1"/>
                <w:color w:val="auto"/>
                <w:w w:val="92"/>
              </w:rPr>
              <w:t>663 King’s Road, Quarry Bay, Hong</w:t>
            </w:r>
          </w:p>
        </w:tc>
        <w:tc>
          <w:tcPr>
            <w:tcW w:w="2780" w:type="dxa"/>
            <w:vAlign w:val="bottom"/>
          </w:tcPr>
          <w:p>
            <w:pPr>
              <w:jc w:val="center"/>
              <w:spacing w:after="0"/>
              <w:rPr>
                <w:sz w:val="20"/>
                <w:szCs w:val="20"/>
                <w:color w:val="auto"/>
              </w:rPr>
            </w:pPr>
            <w:r>
              <w:rPr>
                <w:rFonts w:ascii="Arial" w:cs="Arial" w:eastAsia="Arial" w:hAnsi="Arial"/>
                <w:sz w:val="18"/>
                <w:szCs w:val="18"/>
                <w:b w:val="1"/>
                <w:bCs w:val="1"/>
                <w:color w:val="auto"/>
                <w:w w:val="92"/>
              </w:rPr>
              <w:t>663 King’s Road, Quarry Bay,</w:t>
            </w:r>
          </w:p>
        </w:tc>
        <w:tc>
          <w:tcPr>
            <w:tcW w:w="2840" w:type="dxa"/>
            <w:vAlign w:val="bottom"/>
          </w:tcPr>
          <w:p>
            <w:pPr>
              <w:jc w:val="center"/>
              <w:spacing w:after="0"/>
              <w:rPr>
                <w:sz w:val="20"/>
                <w:szCs w:val="20"/>
                <w:color w:val="auto"/>
              </w:rPr>
            </w:pPr>
            <w:r>
              <w:rPr>
                <w:rFonts w:ascii="Arial" w:cs="Arial" w:eastAsia="Arial" w:hAnsi="Arial"/>
                <w:sz w:val="18"/>
                <w:szCs w:val="18"/>
                <w:b w:val="1"/>
                <w:bCs w:val="1"/>
                <w:color w:val="auto"/>
                <w:w w:val="90"/>
              </w:rPr>
              <w:t>663 King’s Road,</w:t>
            </w:r>
          </w:p>
        </w:tc>
        <w:tc>
          <w:tcPr>
            <w:tcW w:w="2260" w:type="dxa"/>
            <w:vAlign w:val="bottom"/>
          </w:tcPr>
          <w:p>
            <w:pPr>
              <w:jc w:val="center"/>
              <w:ind w:left="110"/>
              <w:spacing w:after="0"/>
              <w:rPr>
                <w:sz w:val="20"/>
                <w:szCs w:val="20"/>
                <w:color w:val="auto"/>
              </w:rPr>
            </w:pPr>
            <w:r>
              <w:rPr>
                <w:rFonts w:ascii="Arial" w:cs="Arial" w:eastAsia="Arial" w:hAnsi="Arial"/>
                <w:sz w:val="18"/>
                <w:szCs w:val="18"/>
                <w:b w:val="1"/>
                <w:bCs w:val="1"/>
                <w:color w:val="auto"/>
                <w:w w:val="91"/>
              </w:rPr>
              <w:t>Plaza</w:t>
            </w:r>
          </w:p>
        </w:tc>
      </w:tr>
      <w:tr>
        <w:trPr>
          <w:trHeight w:val="216"/>
        </w:trPr>
        <w:tc>
          <w:tcPr>
            <w:tcW w:w="2920" w:type="dxa"/>
            <w:vAlign w:val="bottom"/>
          </w:tcPr>
          <w:p>
            <w:pPr>
              <w:jc w:val="center"/>
              <w:ind w:right="30"/>
              <w:spacing w:after="0"/>
              <w:rPr>
                <w:sz w:val="20"/>
                <w:szCs w:val="20"/>
                <w:color w:val="auto"/>
              </w:rPr>
            </w:pPr>
            <w:r>
              <w:rPr>
                <w:rFonts w:ascii="Arial" w:cs="Arial" w:eastAsia="Arial" w:hAnsi="Arial"/>
                <w:sz w:val="18"/>
                <w:szCs w:val="18"/>
                <w:b w:val="1"/>
                <w:bCs w:val="1"/>
                <w:color w:val="auto"/>
                <w:w w:val="92"/>
              </w:rPr>
              <w:t>Kong S.A.R.</w:t>
            </w:r>
          </w:p>
        </w:tc>
        <w:tc>
          <w:tcPr>
            <w:tcW w:w="2780" w:type="dxa"/>
            <w:vAlign w:val="bottom"/>
          </w:tcPr>
          <w:p>
            <w:pPr>
              <w:jc w:val="center"/>
              <w:spacing w:after="0"/>
              <w:rPr>
                <w:sz w:val="20"/>
                <w:szCs w:val="20"/>
                <w:color w:val="auto"/>
              </w:rPr>
            </w:pPr>
            <w:r>
              <w:rPr>
                <w:rFonts w:ascii="Arial" w:cs="Arial" w:eastAsia="Arial" w:hAnsi="Arial"/>
                <w:sz w:val="18"/>
                <w:szCs w:val="18"/>
                <w:b w:val="1"/>
                <w:bCs w:val="1"/>
                <w:color w:val="auto"/>
                <w:w w:val="91"/>
              </w:rPr>
              <w:t>Hong Kong S.A.R.</w:t>
            </w:r>
          </w:p>
        </w:tc>
        <w:tc>
          <w:tcPr>
            <w:tcW w:w="2840" w:type="dxa"/>
            <w:vAlign w:val="bottom"/>
          </w:tcPr>
          <w:p>
            <w:pPr>
              <w:jc w:val="center"/>
              <w:spacing w:after="0"/>
              <w:rPr>
                <w:sz w:val="20"/>
                <w:szCs w:val="20"/>
                <w:color w:val="auto"/>
              </w:rPr>
            </w:pPr>
            <w:r>
              <w:rPr>
                <w:rFonts w:ascii="Arial" w:cs="Arial" w:eastAsia="Arial" w:hAnsi="Arial"/>
                <w:sz w:val="18"/>
                <w:szCs w:val="18"/>
                <w:b w:val="1"/>
                <w:bCs w:val="1"/>
                <w:color w:val="auto"/>
                <w:w w:val="92"/>
              </w:rPr>
              <w:t>Quarry Bay, Hong Kong S.A.R.</w:t>
            </w:r>
          </w:p>
        </w:tc>
        <w:tc>
          <w:tcPr>
            <w:tcW w:w="2260" w:type="dxa"/>
            <w:vAlign w:val="bottom"/>
          </w:tcPr>
          <w:p>
            <w:pPr>
              <w:jc w:val="center"/>
              <w:ind w:left="110"/>
              <w:spacing w:after="0"/>
              <w:rPr>
                <w:sz w:val="20"/>
                <w:szCs w:val="20"/>
                <w:color w:val="auto"/>
              </w:rPr>
            </w:pPr>
            <w:r>
              <w:rPr>
                <w:rFonts w:ascii="Arial" w:cs="Arial" w:eastAsia="Arial" w:hAnsi="Arial"/>
                <w:sz w:val="18"/>
                <w:szCs w:val="18"/>
                <w:b w:val="1"/>
                <w:bCs w:val="1"/>
                <w:color w:val="auto"/>
                <w:w w:val="92"/>
              </w:rPr>
              <w:t>663 King’s Road, Quarry</w:t>
            </w:r>
          </w:p>
        </w:tc>
      </w:tr>
      <w:tr>
        <w:trPr>
          <w:trHeight w:val="216"/>
        </w:trPr>
        <w:tc>
          <w:tcPr>
            <w:tcW w:w="2920" w:type="dxa"/>
            <w:vAlign w:val="bottom"/>
          </w:tcPr>
          <w:p>
            <w:pPr>
              <w:jc w:val="center"/>
              <w:ind w:right="30"/>
              <w:spacing w:after="0"/>
              <w:rPr>
                <w:sz w:val="20"/>
                <w:szCs w:val="20"/>
                <w:color w:val="auto"/>
              </w:rPr>
            </w:pPr>
            <w:r>
              <w:rPr>
                <w:rFonts w:ascii="Arial" w:cs="Arial" w:eastAsia="Arial" w:hAnsi="Arial"/>
                <w:sz w:val="18"/>
                <w:szCs w:val="18"/>
                <w:b w:val="1"/>
                <w:bCs w:val="1"/>
                <w:color w:val="auto"/>
                <w:w w:val="91"/>
              </w:rPr>
              <w:t>+86-10-8540-2700</w:t>
            </w:r>
          </w:p>
        </w:tc>
        <w:tc>
          <w:tcPr>
            <w:tcW w:w="2780" w:type="dxa"/>
            <w:vAlign w:val="bottom"/>
          </w:tcPr>
          <w:p>
            <w:pPr>
              <w:jc w:val="center"/>
              <w:spacing w:after="0"/>
              <w:rPr>
                <w:sz w:val="20"/>
                <w:szCs w:val="20"/>
                <w:color w:val="auto"/>
              </w:rPr>
            </w:pPr>
            <w:r>
              <w:rPr>
                <w:rFonts w:ascii="Arial" w:cs="Arial" w:eastAsia="Arial" w:hAnsi="Arial"/>
                <w:sz w:val="18"/>
                <w:szCs w:val="18"/>
                <w:b w:val="1"/>
                <w:bCs w:val="1"/>
                <w:color w:val="auto"/>
                <w:w w:val="91"/>
              </w:rPr>
              <w:t>+86-10-8540-2700</w:t>
            </w:r>
          </w:p>
        </w:tc>
        <w:tc>
          <w:tcPr>
            <w:tcW w:w="2840" w:type="dxa"/>
            <w:vAlign w:val="bottom"/>
          </w:tcPr>
          <w:p>
            <w:pPr>
              <w:jc w:val="center"/>
              <w:spacing w:after="0"/>
              <w:rPr>
                <w:sz w:val="20"/>
                <w:szCs w:val="20"/>
                <w:color w:val="auto"/>
              </w:rPr>
            </w:pPr>
            <w:r>
              <w:rPr>
                <w:rFonts w:ascii="Arial" w:cs="Arial" w:eastAsia="Arial" w:hAnsi="Arial"/>
                <w:sz w:val="18"/>
                <w:szCs w:val="18"/>
                <w:b w:val="1"/>
                <w:bCs w:val="1"/>
                <w:color w:val="auto"/>
                <w:w w:val="91"/>
              </w:rPr>
              <w:t>+852-3700-9618</w:t>
            </w:r>
          </w:p>
        </w:tc>
        <w:tc>
          <w:tcPr>
            <w:tcW w:w="2260" w:type="dxa"/>
            <w:vAlign w:val="bottom"/>
          </w:tcPr>
          <w:p>
            <w:pPr>
              <w:jc w:val="center"/>
              <w:ind w:left="130"/>
              <w:spacing w:after="0"/>
              <w:rPr>
                <w:sz w:val="20"/>
                <w:szCs w:val="20"/>
                <w:color w:val="auto"/>
              </w:rPr>
            </w:pPr>
            <w:r>
              <w:rPr>
                <w:rFonts w:ascii="Arial" w:cs="Arial" w:eastAsia="Arial" w:hAnsi="Arial"/>
                <w:sz w:val="18"/>
                <w:szCs w:val="18"/>
                <w:b w:val="1"/>
                <w:bCs w:val="1"/>
                <w:color w:val="auto"/>
                <w:w w:val="90"/>
              </w:rPr>
              <w:t>Bay, Hong Kong S.A.R.</w:t>
            </w:r>
          </w:p>
        </w:tc>
      </w:tr>
      <w:tr>
        <w:trPr>
          <w:trHeight w:val="234"/>
        </w:trPr>
        <w:tc>
          <w:tcPr>
            <w:tcW w:w="2920" w:type="dxa"/>
            <w:vAlign w:val="bottom"/>
          </w:tcPr>
          <w:p>
            <w:pPr>
              <w:spacing w:after="0"/>
              <w:rPr>
                <w:sz w:val="20"/>
                <w:szCs w:val="20"/>
                <w:color w:val="auto"/>
              </w:rPr>
            </w:pPr>
          </w:p>
        </w:tc>
        <w:tc>
          <w:tcPr>
            <w:tcW w:w="2780" w:type="dxa"/>
            <w:vAlign w:val="bottom"/>
          </w:tcPr>
          <w:p>
            <w:pPr>
              <w:spacing w:after="0"/>
              <w:rPr>
                <w:sz w:val="20"/>
                <w:szCs w:val="20"/>
                <w:color w:val="auto"/>
              </w:rPr>
            </w:pPr>
          </w:p>
        </w:tc>
        <w:tc>
          <w:tcPr>
            <w:tcW w:w="2840" w:type="dxa"/>
            <w:vAlign w:val="bottom"/>
          </w:tcPr>
          <w:p>
            <w:pPr>
              <w:spacing w:after="0"/>
              <w:rPr>
                <w:sz w:val="20"/>
                <w:szCs w:val="20"/>
                <w:color w:val="auto"/>
              </w:rPr>
            </w:pPr>
          </w:p>
        </w:tc>
        <w:tc>
          <w:tcPr>
            <w:tcW w:w="2260" w:type="dxa"/>
            <w:vAlign w:val="bottom"/>
          </w:tcPr>
          <w:p>
            <w:pPr>
              <w:jc w:val="center"/>
              <w:ind w:left="110"/>
              <w:spacing w:after="0"/>
              <w:rPr>
                <w:sz w:val="20"/>
                <w:szCs w:val="20"/>
                <w:color w:val="auto"/>
              </w:rPr>
            </w:pPr>
            <w:r>
              <w:rPr>
                <w:rFonts w:ascii="Arial" w:cs="Arial" w:eastAsia="Arial" w:hAnsi="Arial"/>
                <w:sz w:val="18"/>
                <w:szCs w:val="18"/>
                <w:b w:val="1"/>
                <w:bCs w:val="1"/>
                <w:color w:val="auto"/>
                <w:w w:val="91"/>
              </w:rPr>
              <w:t>+852-3700-9618</w:t>
            </w:r>
          </w:p>
        </w:tc>
      </w:tr>
    </w:tbl>
    <w:p>
      <w:pPr>
        <w:spacing w:after="0" w:line="207" w:lineRule="exact"/>
        <w:rPr>
          <w:sz w:val="24"/>
          <w:szCs w:val="24"/>
          <w:color w:val="auto"/>
        </w:rPr>
      </w:pPr>
    </w:p>
    <w:p>
      <w:pPr>
        <w:jc w:val="center"/>
        <w:ind w:right="-79"/>
        <w:spacing w:after="0"/>
        <w:rPr>
          <w:sz w:val="20"/>
          <w:szCs w:val="20"/>
          <w:color w:val="auto"/>
        </w:rPr>
      </w:pPr>
      <w:r>
        <w:rPr>
          <w:rFonts w:ascii="Arial" w:cs="Arial" w:eastAsia="Arial" w:hAnsi="Arial"/>
          <w:sz w:val="14"/>
          <w:szCs w:val="14"/>
          <w:b w:val="1"/>
          <w:bCs w:val="1"/>
          <w:color w:val="auto"/>
        </w:rPr>
        <w:t>(Name, Address and Telephone Number of Person Authorized to Receive Notices and Communications)</w:t>
      </w:r>
    </w:p>
    <w:p>
      <w:pPr>
        <w:spacing w:after="0" w:line="208"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July 6, 2023</w:t>
      </w:r>
    </w:p>
    <w:p>
      <w:pPr>
        <w:spacing w:after="0" w:line="21" w:lineRule="exact"/>
        <w:rPr>
          <w:sz w:val="24"/>
          <w:szCs w:val="24"/>
          <w:color w:val="auto"/>
        </w:rPr>
      </w:pPr>
    </w:p>
    <w:p>
      <w:pPr>
        <w:jc w:val="center"/>
        <w:ind w:right="-79"/>
        <w:spacing w:after="0"/>
        <w:rPr>
          <w:sz w:val="20"/>
          <w:szCs w:val="20"/>
          <w:color w:val="auto"/>
        </w:rPr>
      </w:pPr>
      <w:r>
        <w:rPr>
          <w:rFonts w:ascii="Arial" w:cs="Arial" w:eastAsia="Arial" w:hAnsi="Arial"/>
          <w:sz w:val="14"/>
          <w:szCs w:val="14"/>
          <w:b w:val="1"/>
          <w:bCs w:val="1"/>
          <w:color w:val="auto"/>
        </w:rPr>
        <w:t>(Date of Event which Requires Filing of this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219075</wp:posOffset>
            </wp:positionV>
            <wp:extent cx="14744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40" w:lineRule="exact"/>
        <w:rPr>
          <w:sz w:val="24"/>
          <w:szCs w:val="24"/>
          <w:color w:val="auto"/>
        </w:rPr>
      </w:pPr>
    </w:p>
    <w:p>
      <w:pPr>
        <w:ind w:right="100"/>
        <w:spacing w:after="0" w:line="238" w:lineRule="exact"/>
        <w:rPr>
          <w:sz w:val="20"/>
          <w:szCs w:val="20"/>
          <w:color w:val="auto"/>
        </w:rPr>
      </w:pPr>
      <w:r>
        <w:rPr>
          <w:rFonts w:ascii="Arial" w:cs="Arial" w:eastAsia="Arial" w:hAnsi="Arial"/>
          <w:sz w:val="18"/>
          <w:szCs w:val="18"/>
          <w:color w:val="auto"/>
        </w:rPr>
        <w:t xml:space="preserve">If the filing person has previously filed a statement on Schedule 13G to report the acquisition that is the subject of this Schedule 13D, and is filing this schedule because of §§240.13d-1(e), 240.13d-1(f) or 240.13d-1(g), check the following box.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145415</wp:posOffset>
            </wp:positionV>
            <wp:extent cx="699516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44" w:lineRule="exact"/>
        <w:rPr>
          <w:sz w:val="24"/>
          <w:szCs w:val="24"/>
          <w:color w:val="auto"/>
        </w:rPr>
      </w:pPr>
    </w:p>
    <w:p>
      <w:pPr>
        <w:ind w:right="260"/>
        <w:spacing w:after="0" w:line="282" w:lineRule="auto"/>
        <w:rPr>
          <w:sz w:val="20"/>
          <w:szCs w:val="20"/>
          <w:color w:val="auto"/>
        </w:rPr>
      </w:pPr>
      <w:r>
        <w:rPr>
          <w:rFonts w:ascii="Arial" w:cs="Arial" w:eastAsia="Arial" w:hAnsi="Arial"/>
          <w:sz w:val="18"/>
          <w:szCs w:val="18"/>
          <w:b w:val="1"/>
          <w:bCs w:val="1"/>
          <w:color w:val="auto"/>
        </w:rPr>
        <w:t>Note</w:t>
      </w:r>
      <w:r>
        <w:rPr>
          <w:rFonts w:ascii="Arial" w:cs="Arial" w:eastAsia="Arial" w:hAnsi="Arial"/>
          <w:sz w:val="18"/>
          <w:szCs w:val="18"/>
          <w:color w:val="auto"/>
        </w:rPr>
        <w:t>: Schedules filed in paper format shall include a signed original and five copies of the schedule, including all exhibits. See Rule 13d-7 for other</w:t>
      </w:r>
      <w:r>
        <w:rPr>
          <w:rFonts w:ascii="Arial" w:cs="Arial" w:eastAsia="Arial" w:hAnsi="Arial"/>
          <w:sz w:val="18"/>
          <w:szCs w:val="18"/>
          <w:b w:val="1"/>
          <w:bCs w:val="1"/>
          <w:color w:val="auto"/>
        </w:rPr>
        <w:t xml:space="preserve"> </w:t>
      </w:r>
      <w:r>
        <w:rPr>
          <w:rFonts w:ascii="Arial" w:cs="Arial" w:eastAsia="Arial" w:hAnsi="Arial"/>
          <w:sz w:val="18"/>
          <w:szCs w:val="18"/>
          <w:color w:val="auto"/>
        </w:rPr>
        <w:t>parties to whom copies are to be sent.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36830</wp:posOffset>
            </wp:positionV>
            <wp:extent cx="699516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54" w:lineRule="exact"/>
        <w:rPr>
          <w:sz w:val="24"/>
          <w:szCs w:val="24"/>
          <w:color w:val="auto"/>
        </w:rPr>
      </w:pPr>
    </w:p>
    <w:p>
      <w:pPr>
        <w:ind w:right="100"/>
        <w:spacing w:after="0" w:line="277" w:lineRule="auto"/>
        <w:rPr>
          <w:sz w:val="20"/>
          <w:szCs w:val="20"/>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170" w:lineRule="exact"/>
        <w:rPr>
          <w:sz w:val="24"/>
          <w:szCs w:val="24"/>
          <w:color w:val="auto"/>
        </w:rPr>
      </w:pPr>
    </w:p>
    <w:p>
      <w:pPr>
        <w:spacing w:after="0" w:line="263" w:lineRule="auto"/>
        <w:rPr>
          <w:sz w:val="20"/>
          <w:szCs w:val="20"/>
          <w:color w:val="auto"/>
        </w:rPr>
      </w:pPr>
      <w:r>
        <w:rPr>
          <w:rFonts w:ascii="Arial" w:cs="Arial" w:eastAsia="Arial" w:hAnsi="Arial"/>
          <w:sz w:val="18"/>
          <w:szCs w:val="18"/>
          <w:color w:val="auto"/>
        </w:rPr>
        <w:t>The information required on the remainder of this cover page shall not be deemed to be “filed” for the purpose of Section 18 of the Securities Exchange Act of 1934 (“</w:t>
      </w:r>
      <w:r>
        <w:rPr>
          <w:rFonts w:ascii="Arial" w:cs="Arial" w:eastAsia="Arial" w:hAnsi="Arial"/>
          <w:sz w:val="18"/>
          <w:szCs w:val="18"/>
          <w:u w:val="single" w:color="auto"/>
          <w:color w:val="auto"/>
        </w:rPr>
        <w:t>Act</w:t>
      </w:r>
      <w:r>
        <w:rPr>
          <w:rFonts w:ascii="Arial" w:cs="Arial" w:eastAsia="Arial" w:hAnsi="Arial"/>
          <w:sz w:val="18"/>
          <w:szCs w:val="18"/>
          <w:color w:val="auto"/>
        </w:rPr>
        <w: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142875</wp:posOffset>
            </wp:positionV>
            <wp:extent cx="69951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185420</wp:posOffset>
            </wp:positionV>
            <wp:extent cx="69951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0920"/>
          </w:cols>
          <w:pgMar w:left="440" w:top="382" w:right="539" w:bottom="1440" w:gutter="0" w:footer="0" w:header="0"/>
        </w:sectPr>
      </w:pPr>
    </w:p>
    <w:bookmarkStart w:id="1" w:name="page2"/>
    <w:bookmarkEnd w:id="1"/>
    <w:p>
      <w:pPr>
        <w:ind w:left="4"/>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1435"/>
                    </a:xfrm>
                    <a:prstGeom prst="rect">
                      <a:avLst/>
                    </a:prstGeom>
                    <a:noFill/>
                  </pic:spPr>
                </pic:pic>
              </a:graphicData>
            </a:graphic>
          </wp:anchor>
        </w:drawing>
        <w:t>CUSIP No. G47048 106</w:t>
      </w:r>
    </w:p>
    <w:p>
      <w:pPr>
        <w:spacing w:after="0" w:line="171" w:lineRule="exact"/>
        <w:rPr>
          <w:sz w:val="20"/>
          <w:szCs w:val="20"/>
          <w:color w:val="auto"/>
        </w:rPr>
      </w:pPr>
    </w:p>
    <w:p>
      <w:pPr>
        <w:ind w:left="684" w:hanging="437"/>
        <w:spacing w:after="0"/>
        <w:tabs>
          <w:tab w:leader="none" w:pos="684" w:val="left"/>
        </w:tabs>
        <w:numPr>
          <w:ilvl w:val="0"/>
          <w:numId w:val="1"/>
        </w:numPr>
        <w:rPr>
          <w:rFonts w:ascii="Arial" w:cs="Arial" w:eastAsia="Arial" w:hAnsi="Arial"/>
          <w:sz w:val="18"/>
          <w:szCs w:val="18"/>
          <w:color w:val="auto"/>
        </w:rPr>
      </w:pPr>
      <w:r>
        <w:rPr>
          <w:rFonts w:ascii="Arial" w:cs="Arial" w:eastAsia="Arial" w:hAnsi="Arial"/>
          <w:sz w:val="18"/>
          <w:szCs w:val="18"/>
          <w:color w:val="auto"/>
        </w:rPr>
        <w:t>NAMES OF REPORTING PERSONS</w:t>
      </w:r>
    </w:p>
    <w:p>
      <w:pPr>
        <w:spacing w:after="0" w:line="252" w:lineRule="exact"/>
        <w:rPr>
          <w:rFonts w:ascii="Arial" w:cs="Arial" w:eastAsia="Arial" w:hAnsi="Arial"/>
          <w:sz w:val="18"/>
          <w:szCs w:val="18"/>
          <w:color w:val="auto"/>
        </w:rPr>
      </w:pPr>
    </w:p>
    <w:p>
      <w:pPr>
        <w:ind w:left="684" w:right="4660"/>
        <w:spacing w:after="0" w:line="266" w:lineRule="auto"/>
        <w:rPr>
          <w:rFonts w:ascii="Arial" w:cs="Arial" w:eastAsia="Arial" w:hAnsi="Arial"/>
          <w:sz w:val="18"/>
          <w:szCs w:val="18"/>
          <w:color w:val="auto"/>
        </w:rPr>
      </w:pPr>
      <w:r>
        <w:rPr>
          <w:rFonts w:ascii="Arial" w:cs="Arial" w:eastAsia="Arial" w:hAnsi="Arial"/>
          <w:sz w:val="18"/>
          <w:szCs w:val="18"/>
          <w:color w:val="auto"/>
        </w:rPr>
        <w:t>I.R.S. IDENTIFICATION NOS. OF ABOVE PERSONS (ENTITIES ONLY) Jian Tang</w:t>
      </w:r>
    </w:p>
    <w:p>
      <w:pPr>
        <w:ind w:left="684" w:hanging="437"/>
        <w:spacing w:after="0"/>
        <w:tabs>
          <w:tab w:leader="none" w:pos="684" w:val="left"/>
        </w:tabs>
        <w:numPr>
          <w:ilvl w:val="0"/>
          <w:numId w:val="1"/>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-713105</wp:posOffset>
            </wp:positionV>
            <wp:extent cx="6926580" cy="629221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926580" cy="6292215"/>
                    </a:xfrm>
                    <a:prstGeom prst="rect">
                      <a:avLst/>
                    </a:prstGeom>
                    <a:noFill/>
                  </pic:spPr>
                </pic:pic>
              </a:graphicData>
            </a:graphic>
          </wp:anchor>
        </w:drawing>
      </w:r>
    </w:p>
    <w:p>
      <w:pPr>
        <w:ind w:left="684"/>
        <w:spacing w:after="0" w:line="205" w:lineRule="exact"/>
        <w:tabs>
          <w:tab w:leader="none" w:pos="1464" w:val="left"/>
        </w:tabs>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 xml:space="preserve">(b) </w:t>
      </w:r>
      <w:r>
        <w:rPr>
          <w:rFonts w:ascii="MS PGothic" w:cs="MS PGothic" w:eastAsia="MS PGothic" w:hAnsi="MS PGothic"/>
          <w:sz w:val="18"/>
          <w:szCs w:val="18"/>
          <w:color w:val="auto"/>
        </w:rPr>
        <w:t>☐</w:t>
      </w:r>
    </w:p>
    <w:p>
      <w:pPr>
        <w:spacing w:after="0" w:line="283" w:lineRule="exact"/>
        <w:rPr>
          <w:sz w:val="20"/>
          <w:szCs w:val="20"/>
          <w:color w:val="auto"/>
        </w:rPr>
      </w:pPr>
    </w:p>
    <w:p>
      <w:pPr>
        <w:ind w:left="684" w:hanging="437"/>
        <w:spacing w:after="0"/>
        <w:tabs>
          <w:tab w:leader="none" w:pos="684" w:val="left"/>
        </w:tabs>
        <w:numPr>
          <w:ilvl w:val="0"/>
          <w:numId w:val="2"/>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79" w:lineRule="exact"/>
        <w:rPr>
          <w:rFonts w:ascii="Arial" w:cs="Arial" w:eastAsia="Arial" w:hAnsi="Arial"/>
          <w:sz w:val="18"/>
          <w:szCs w:val="18"/>
          <w:color w:val="auto"/>
        </w:rPr>
      </w:pPr>
    </w:p>
    <w:p>
      <w:pPr>
        <w:ind w:left="684" w:hanging="437"/>
        <w:spacing w:after="0"/>
        <w:tabs>
          <w:tab w:leader="none" w:pos="684" w:val="left"/>
        </w:tabs>
        <w:numPr>
          <w:ilvl w:val="0"/>
          <w:numId w:val="2"/>
        </w:numPr>
        <w:rPr>
          <w:rFonts w:ascii="Arial" w:cs="Arial" w:eastAsia="Arial" w:hAnsi="Arial"/>
          <w:sz w:val="18"/>
          <w:szCs w:val="18"/>
          <w:color w:val="auto"/>
        </w:rPr>
      </w:pPr>
      <w:r>
        <w:rPr>
          <w:rFonts w:ascii="Arial" w:cs="Arial" w:eastAsia="Arial" w:hAnsi="Arial"/>
          <w:sz w:val="18"/>
          <w:szCs w:val="18"/>
          <w:color w:val="auto"/>
        </w:rPr>
        <w:t>SOURCE OF FUNDS (see instructions)</w:t>
      </w:r>
    </w:p>
    <w:p>
      <w:pPr>
        <w:spacing w:after="0" w:line="252" w:lineRule="exact"/>
        <w:rPr>
          <w:rFonts w:ascii="Arial" w:cs="Arial" w:eastAsia="Arial" w:hAnsi="Arial"/>
          <w:sz w:val="18"/>
          <w:szCs w:val="18"/>
          <w:color w:val="auto"/>
        </w:rPr>
      </w:pPr>
    </w:p>
    <w:p>
      <w:pPr>
        <w:ind w:left="684"/>
        <w:spacing w:after="0"/>
        <w:rPr>
          <w:rFonts w:ascii="Arial" w:cs="Arial" w:eastAsia="Arial" w:hAnsi="Arial"/>
          <w:sz w:val="18"/>
          <w:szCs w:val="18"/>
          <w:color w:val="auto"/>
        </w:rPr>
      </w:pPr>
      <w:r>
        <w:rPr>
          <w:rFonts w:ascii="Arial" w:cs="Arial" w:eastAsia="Arial" w:hAnsi="Arial"/>
          <w:sz w:val="18"/>
          <w:szCs w:val="18"/>
          <w:color w:val="auto"/>
        </w:rPr>
        <w:t>OO</w:t>
      </w:r>
    </w:p>
    <w:p>
      <w:pPr>
        <w:spacing w:after="0" w:line="36" w:lineRule="exact"/>
        <w:rPr>
          <w:rFonts w:ascii="Arial" w:cs="Arial" w:eastAsia="Arial" w:hAnsi="Arial"/>
          <w:sz w:val="18"/>
          <w:szCs w:val="18"/>
          <w:color w:val="auto"/>
        </w:rPr>
      </w:pPr>
    </w:p>
    <w:p>
      <w:pPr>
        <w:ind w:left="684" w:hanging="437"/>
        <w:spacing w:after="0"/>
        <w:tabs>
          <w:tab w:leader="none" w:pos="684" w:val="left"/>
        </w:tabs>
        <w:numPr>
          <w:ilvl w:val="0"/>
          <w:numId w:val="2"/>
        </w:numPr>
        <w:rPr>
          <w:rFonts w:ascii="Arial" w:cs="Arial" w:eastAsia="Arial" w:hAnsi="Arial"/>
          <w:sz w:val="18"/>
          <w:szCs w:val="18"/>
          <w:color w:val="auto"/>
        </w:rPr>
      </w:pPr>
      <w:r>
        <w:rPr>
          <w:rFonts w:ascii="Arial" w:cs="Arial" w:eastAsia="Arial" w:hAnsi="Arial"/>
          <w:sz w:val="18"/>
          <w:szCs w:val="18"/>
          <w:color w:val="auto"/>
        </w:rPr>
        <w:t>CHECK BOX IF DISCLOSURE OF LEGAL PROCEEDINGS IS REQUIRED PURSUANT TO ITEMS 2(d) or 2(e)</w:t>
      </w:r>
    </w:p>
    <w:p>
      <w:pPr>
        <w:spacing w:after="0" w:line="207" w:lineRule="exact"/>
        <w:rPr>
          <w:rFonts w:ascii="Arial" w:cs="Arial" w:eastAsia="Arial" w:hAnsi="Arial"/>
          <w:sz w:val="18"/>
          <w:szCs w:val="18"/>
          <w:color w:val="auto"/>
        </w:rPr>
      </w:pPr>
    </w:p>
    <w:p>
      <w:pPr>
        <w:ind w:left="684"/>
        <w:spacing w:after="0" w:line="181" w:lineRule="exact"/>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22" w:lineRule="exact"/>
        <w:rPr>
          <w:rFonts w:ascii="Arial" w:cs="Arial" w:eastAsia="Arial" w:hAnsi="Arial"/>
          <w:sz w:val="18"/>
          <w:szCs w:val="18"/>
          <w:color w:val="auto"/>
        </w:rPr>
      </w:pPr>
    </w:p>
    <w:p>
      <w:pPr>
        <w:ind w:left="684" w:hanging="437"/>
        <w:spacing w:after="0"/>
        <w:tabs>
          <w:tab w:leader="none" w:pos="684" w:val="left"/>
        </w:tabs>
        <w:numPr>
          <w:ilvl w:val="0"/>
          <w:numId w:val="2"/>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250" w:lineRule="exact"/>
        <w:rPr>
          <w:sz w:val="20"/>
          <w:szCs w:val="20"/>
          <w:color w:val="auto"/>
        </w:rPr>
      </w:pPr>
    </w:p>
    <w:p>
      <w:pPr>
        <w:ind w:left="684"/>
        <w:spacing w:after="0"/>
        <w:rPr>
          <w:sz w:val="20"/>
          <w:szCs w:val="20"/>
          <w:color w:val="auto"/>
        </w:rPr>
      </w:pPr>
      <w:r>
        <w:rPr>
          <w:rFonts w:ascii="Arial" w:cs="Arial" w:eastAsia="Arial" w:hAnsi="Arial"/>
          <w:sz w:val="18"/>
          <w:szCs w:val="18"/>
          <w:color w:val="auto"/>
        </w:rPr>
        <w:t>People’s Republic of China</w:t>
      </w:r>
    </w:p>
    <w:p>
      <w:pPr>
        <w:spacing w:after="0" w:line="36" w:lineRule="exact"/>
        <w:rPr>
          <w:sz w:val="20"/>
          <w:szCs w:val="20"/>
          <w:color w:val="auto"/>
        </w:rPr>
      </w:pPr>
    </w:p>
    <w:p>
      <w:pPr>
        <w:ind w:left="2164" w:hanging="440"/>
        <w:spacing w:after="0"/>
        <w:tabs>
          <w:tab w:leader="none" w:pos="2164" w:val="left"/>
        </w:tabs>
        <w:numPr>
          <w:ilvl w:val="0"/>
          <w:numId w:val="3"/>
        </w:numPr>
        <w:rPr>
          <w:rFonts w:ascii="Arial" w:cs="Arial" w:eastAsia="Arial" w:hAnsi="Arial"/>
          <w:sz w:val="18"/>
          <w:szCs w:val="18"/>
          <w:color w:val="auto"/>
        </w:rPr>
      </w:pPr>
      <w:r>
        <w:rPr>
          <w:rFonts w:ascii="Arial" w:cs="Arial" w:eastAsia="Arial" w:hAnsi="Arial"/>
          <w:sz w:val="18"/>
          <w:szCs w:val="18"/>
          <w:color w:val="auto"/>
        </w:rPr>
        <w:t>SOLE VOTING POWER</w:t>
      </w:r>
    </w:p>
    <w:p>
      <w:pPr>
        <w:spacing w:after="0" w:line="129" w:lineRule="exact"/>
        <w:rPr>
          <w:sz w:val="20"/>
          <w:szCs w:val="20"/>
          <w:color w:val="auto"/>
        </w:rPr>
      </w:pPr>
    </w:p>
    <w:tbl>
      <w:tblPr>
        <w:tblLayout w:type="fixed"/>
        <w:tblInd w:w="204" w:type="dxa"/>
        <w:tblCellMar>
          <w:top w:w="0" w:type="dxa"/>
          <w:left w:w="0" w:type="dxa"/>
          <w:bottom w:w="0" w:type="dxa"/>
          <w:right w:w="0" w:type="dxa"/>
        </w:tblCellMar>
      </w:tblPr>
      <w:tr>
        <w:trPr>
          <w:trHeight w:val="299"/>
        </w:trPr>
        <w:tc>
          <w:tcPr>
            <w:tcW w:w="1320" w:type="dxa"/>
            <w:vAlign w:val="bottom"/>
          </w:tcPr>
          <w:p>
            <w:pPr>
              <w:jc w:val="center"/>
              <w:spacing w:after="0"/>
              <w:rPr>
                <w:sz w:val="20"/>
                <w:szCs w:val="20"/>
                <w:color w:val="auto"/>
              </w:rPr>
            </w:pPr>
            <w:r>
              <w:rPr>
                <w:rFonts w:ascii="Arial" w:cs="Arial" w:eastAsia="Arial" w:hAnsi="Arial"/>
                <w:sz w:val="18"/>
                <w:szCs w:val="18"/>
                <w:color w:val="auto"/>
                <w:w w:val="96"/>
              </w:rPr>
              <w:t>NUMBER OF</w:t>
            </w:r>
          </w:p>
        </w:tc>
        <w:tc>
          <w:tcPr>
            <w:tcW w:w="480" w:type="dxa"/>
            <w:vAlign w:val="bottom"/>
          </w:tcPr>
          <w:p>
            <w:pPr>
              <w:spacing w:after="0"/>
              <w:rPr>
                <w:sz w:val="24"/>
                <w:szCs w:val="24"/>
                <w:color w:val="auto"/>
              </w:rPr>
            </w:pPr>
          </w:p>
        </w:tc>
        <w:tc>
          <w:tcPr>
            <w:tcW w:w="8900" w:type="dxa"/>
            <w:vAlign w:val="bottom"/>
          </w:tcPr>
          <w:p>
            <w:pPr>
              <w:ind w:left="160"/>
              <w:spacing w:after="0"/>
              <w:rPr>
                <w:sz w:val="20"/>
                <w:szCs w:val="20"/>
                <w:color w:val="auto"/>
              </w:rPr>
            </w:pPr>
            <w:r>
              <w:rPr>
                <w:rFonts w:ascii="Arial" w:cs="Arial" w:eastAsia="Arial" w:hAnsi="Arial"/>
                <w:sz w:val="18"/>
                <w:szCs w:val="18"/>
                <w:color w:val="auto"/>
              </w:rPr>
              <w:t xml:space="preserve">27,905 </w:t>
            </w:r>
            <w:r>
              <w:rPr>
                <w:rFonts w:ascii="Arial" w:cs="Arial" w:eastAsia="Arial" w:hAnsi="Arial"/>
                <w:sz w:val="26"/>
                <w:szCs w:val="26"/>
                <w:color w:val="auto"/>
                <w:vertAlign w:val="superscript"/>
              </w:rPr>
              <w:t>(1)</w:t>
            </w:r>
          </w:p>
        </w:tc>
        <w:tc>
          <w:tcPr>
            <w:tcW w:w="0" w:type="dxa"/>
            <w:vAlign w:val="bottom"/>
          </w:tcPr>
          <w:p>
            <w:pPr>
              <w:spacing w:after="0"/>
              <w:rPr>
                <w:sz w:val="1"/>
                <w:szCs w:val="1"/>
                <w:color w:val="auto"/>
              </w:rPr>
            </w:pPr>
          </w:p>
        </w:tc>
      </w:tr>
      <w:tr>
        <w:trPr>
          <w:trHeight w:val="68"/>
        </w:trPr>
        <w:tc>
          <w:tcPr>
            <w:tcW w:w="1320" w:type="dxa"/>
            <w:vAlign w:val="bottom"/>
            <w:vMerge w:val="restart"/>
          </w:tcPr>
          <w:p>
            <w:pPr>
              <w:jc w:val="center"/>
              <w:spacing w:after="0"/>
              <w:rPr>
                <w:sz w:val="20"/>
                <w:szCs w:val="20"/>
                <w:color w:val="auto"/>
              </w:rPr>
            </w:pPr>
            <w:r>
              <w:rPr>
                <w:rFonts w:ascii="Arial" w:cs="Arial" w:eastAsia="Arial" w:hAnsi="Arial"/>
                <w:sz w:val="18"/>
                <w:szCs w:val="18"/>
                <w:color w:val="auto"/>
                <w:w w:val="94"/>
              </w:rPr>
              <w:t>SHARES</w:t>
            </w:r>
          </w:p>
        </w:tc>
        <w:tc>
          <w:tcPr>
            <w:tcW w:w="480" w:type="dxa"/>
            <w:vAlign w:val="bottom"/>
            <w:tcBorders>
              <w:bottom w:val="single" w:sz="8" w:color="auto"/>
            </w:tcBorders>
          </w:tcPr>
          <w:p>
            <w:pPr>
              <w:spacing w:after="0"/>
              <w:rPr>
                <w:sz w:val="5"/>
                <w:szCs w:val="5"/>
                <w:color w:val="auto"/>
              </w:rPr>
            </w:pPr>
          </w:p>
        </w:tc>
        <w:tc>
          <w:tcPr>
            <w:tcW w:w="89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28"/>
        </w:trPr>
        <w:tc>
          <w:tcPr>
            <w:tcW w:w="1320" w:type="dxa"/>
            <w:vAlign w:val="bottom"/>
            <w:vMerge w:val="continue"/>
          </w:tcPr>
          <w:p>
            <w:pPr>
              <w:spacing w:after="0"/>
              <w:rPr>
                <w:sz w:val="11"/>
                <w:szCs w:val="11"/>
                <w:color w:val="auto"/>
              </w:rPr>
            </w:pPr>
          </w:p>
        </w:tc>
        <w:tc>
          <w:tcPr>
            <w:tcW w:w="480" w:type="dxa"/>
            <w:vAlign w:val="bottom"/>
            <w:vMerge w:val="restart"/>
          </w:tcPr>
          <w:p>
            <w:pPr>
              <w:jc w:val="right"/>
              <w:ind w:right="50"/>
              <w:spacing w:after="0"/>
              <w:rPr>
                <w:sz w:val="20"/>
                <w:szCs w:val="20"/>
                <w:color w:val="auto"/>
              </w:rPr>
            </w:pPr>
            <w:r>
              <w:rPr>
                <w:rFonts w:ascii="Arial" w:cs="Arial" w:eastAsia="Arial" w:hAnsi="Arial"/>
                <w:sz w:val="18"/>
                <w:szCs w:val="18"/>
                <w:color w:val="auto"/>
              </w:rPr>
              <w:t>8.</w:t>
            </w:r>
          </w:p>
        </w:tc>
        <w:tc>
          <w:tcPr>
            <w:tcW w:w="8900" w:type="dxa"/>
            <w:vAlign w:val="bottom"/>
            <w:vMerge w:val="restart"/>
          </w:tcPr>
          <w:p>
            <w:pPr>
              <w:ind w:left="16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96"/>
        </w:trPr>
        <w:tc>
          <w:tcPr>
            <w:tcW w:w="1320" w:type="dxa"/>
            <w:vAlign w:val="bottom"/>
            <w:vMerge w:val="restart"/>
          </w:tcPr>
          <w:p>
            <w:pPr>
              <w:jc w:val="center"/>
              <w:spacing w:after="0"/>
              <w:rPr>
                <w:sz w:val="20"/>
                <w:szCs w:val="20"/>
                <w:color w:val="auto"/>
              </w:rPr>
            </w:pPr>
            <w:r>
              <w:rPr>
                <w:rFonts w:ascii="Arial" w:cs="Arial" w:eastAsia="Arial" w:hAnsi="Arial"/>
                <w:sz w:val="18"/>
                <w:szCs w:val="18"/>
                <w:color w:val="auto"/>
                <w:w w:val="99"/>
              </w:rPr>
              <w:t>BENEFICIALLY</w:t>
            </w:r>
          </w:p>
        </w:tc>
        <w:tc>
          <w:tcPr>
            <w:tcW w:w="480" w:type="dxa"/>
            <w:vAlign w:val="bottom"/>
            <w:vMerge w:val="continue"/>
          </w:tcPr>
          <w:p>
            <w:pPr>
              <w:spacing w:after="0"/>
              <w:rPr>
                <w:sz w:val="8"/>
                <w:szCs w:val="8"/>
                <w:color w:val="auto"/>
              </w:rPr>
            </w:pPr>
          </w:p>
        </w:tc>
        <w:tc>
          <w:tcPr>
            <w:tcW w:w="89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0"/>
        </w:trPr>
        <w:tc>
          <w:tcPr>
            <w:tcW w:w="1320" w:type="dxa"/>
            <w:vAlign w:val="bottom"/>
            <w:vMerge w:val="continue"/>
          </w:tcPr>
          <w:p>
            <w:pPr>
              <w:spacing w:after="0"/>
              <w:rPr>
                <w:sz w:val="10"/>
                <w:szCs w:val="10"/>
                <w:color w:val="auto"/>
              </w:rPr>
            </w:pPr>
          </w:p>
        </w:tc>
        <w:tc>
          <w:tcPr>
            <w:tcW w:w="480" w:type="dxa"/>
            <w:vAlign w:val="bottom"/>
          </w:tcPr>
          <w:p>
            <w:pPr>
              <w:spacing w:after="0"/>
              <w:rPr>
                <w:sz w:val="10"/>
                <w:szCs w:val="10"/>
                <w:color w:val="auto"/>
              </w:rPr>
            </w:pPr>
          </w:p>
        </w:tc>
        <w:tc>
          <w:tcPr>
            <w:tcW w:w="89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1320" w:type="dxa"/>
            <w:vAlign w:val="bottom"/>
          </w:tcPr>
          <w:p>
            <w:pPr>
              <w:jc w:val="center"/>
              <w:spacing w:after="0"/>
              <w:rPr>
                <w:sz w:val="20"/>
                <w:szCs w:val="20"/>
                <w:color w:val="auto"/>
              </w:rPr>
            </w:pPr>
            <w:r>
              <w:rPr>
                <w:rFonts w:ascii="Arial" w:cs="Arial" w:eastAsia="Arial" w:hAnsi="Arial"/>
                <w:sz w:val="18"/>
                <w:szCs w:val="18"/>
                <w:color w:val="auto"/>
                <w:w w:val="97"/>
              </w:rPr>
              <w:t>OWNED BY</w:t>
            </w:r>
          </w:p>
        </w:tc>
        <w:tc>
          <w:tcPr>
            <w:tcW w:w="480" w:type="dxa"/>
            <w:vAlign w:val="bottom"/>
          </w:tcPr>
          <w:p>
            <w:pPr>
              <w:spacing w:after="0"/>
              <w:rPr>
                <w:sz w:val="18"/>
                <w:szCs w:val="18"/>
                <w:color w:val="auto"/>
              </w:rPr>
            </w:pPr>
          </w:p>
        </w:tc>
        <w:tc>
          <w:tcPr>
            <w:tcW w:w="8900" w:type="dxa"/>
            <w:vAlign w:val="bottom"/>
            <w:vMerge w:val="restart"/>
          </w:tcPr>
          <w:p>
            <w:pPr>
              <w:ind w:left="160"/>
              <w:spacing w:after="0"/>
              <w:rPr>
                <w:sz w:val="20"/>
                <w:szCs w:val="20"/>
                <w:color w:val="auto"/>
              </w:rPr>
            </w:pPr>
            <w:r>
              <w:rPr>
                <w:rFonts w:ascii="Arial" w:cs="Arial" w:eastAsia="Arial" w:hAnsi="Arial"/>
                <w:sz w:val="18"/>
                <w:szCs w:val="18"/>
                <w:color w:val="auto"/>
              </w:rPr>
              <w:t xml:space="preserve">2,498,553 </w:t>
            </w:r>
            <w:r>
              <w:rPr>
                <w:rFonts w:ascii="Arial" w:cs="Arial" w:eastAsia="Arial" w:hAnsi="Arial"/>
                <w:sz w:val="26"/>
                <w:szCs w:val="26"/>
                <w:color w:val="auto"/>
                <w:vertAlign w:val="superscript"/>
              </w:rPr>
              <w:t>(2)</w:t>
            </w:r>
          </w:p>
        </w:tc>
        <w:tc>
          <w:tcPr>
            <w:tcW w:w="0" w:type="dxa"/>
            <w:vAlign w:val="bottom"/>
          </w:tcPr>
          <w:p>
            <w:pPr>
              <w:spacing w:after="0"/>
              <w:rPr>
                <w:sz w:val="1"/>
                <w:szCs w:val="1"/>
                <w:color w:val="auto"/>
              </w:rPr>
            </w:pPr>
          </w:p>
        </w:tc>
      </w:tr>
      <w:tr>
        <w:trPr>
          <w:trHeight w:val="136"/>
        </w:trPr>
        <w:tc>
          <w:tcPr>
            <w:tcW w:w="1320" w:type="dxa"/>
            <w:vAlign w:val="bottom"/>
            <w:vMerge w:val="restart"/>
          </w:tcPr>
          <w:p>
            <w:pPr>
              <w:jc w:val="center"/>
              <w:spacing w:after="0"/>
              <w:rPr>
                <w:sz w:val="20"/>
                <w:szCs w:val="20"/>
                <w:color w:val="auto"/>
              </w:rPr>
            </w:pPr>
            <w:r>
              <w:rPr>
                <w:rFonts w:ascii="Arial" w:cs="Arial" w:eastAsia="Arial" w:hAnsi="Arial"/>
                <w:sz w:val="18"/>
                <w:szCs w:val="18"/>
                <w:color w:val="auto"/>
                <w:w w:val="99"/>
              </w:rPr>
              <w:t>EACH</w:t>
            </w:r>
          </w:p>
        </w:tc>
        <w:tc>
          <w:tcPr>
            <w:tcW w:w="480" w:type="dxa"/>
            <w:vAlign w:val="bottom"/>
            <w:tcBorders>
              <w:bottom w:val="single" w:sz="8" w:color="auto"/>
            </w:tcBorders>
          </w:tcPr>
          <w:p>
            <w:pPr>
              <w:spacing w:after="0"/>
              <w:rPr>
                <w:sz w:val="11"/>
                <w:szCs w:val="11"/>
                <w:color w:val="auto"/>
              </w:rPr>
            </w:pPr>
          </w:p>
        </w:tc>
        <w:tc>
          <w:tcPr>
            <w:tcW w:w="8900" w:type="dxa"/>
            <w:vAlign w:val="bottom"/>
            <w:tcBorders>
              <w:bottom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60"/>
        </w:trPr>
        <w:tc>
          <w:tcPr>
            <w:tcW w:w="1320" w:type="dxa"/>
            <w:vAlign w:val="bottom"/>
            <w:vMerge w:val="continue"/>
          </w:tcPr>
          <w:p>
            <w:pPr>
              <w:spacing w:after="0"/>
              <w:rPr>
                <w:sz w:val="5"/>
                <w:szCs w:val="5"/>
                <w:color w:val="auto"/>
              </w:rPr>
            </w:pPr>
          </w:p>
        </w:tc>
        <w:tc>
          <w:tcPr>
            <w:tcW w:w="480" w:type="dxa"/>
            <w:vAlign w:val="bottom"/>
            <w:vMerge w:val="restart"/>
          </w:tcPr>
          <w:p>
            <w:pPr>
              <w:jc w:val="right"/>
              <w:ind w:right="50"/>
              <w:spacing w:after="0"/>
              <w:rPr>
                <w:sz w:val="20"/>
                <w:szCs w:val="20"/>
                <w:color w:val="auto"/>
              </w:rPr>
            </w:pPr>
            <w:r>
              <w:rPr>
                <w:rFonts w:ascii="Arial" w:cs="Arial" w:eastAsia="Arial" w:hAnsi="Arial"/>
                <w:sz w:val="18"/>
                <w:szCs w:val="18"/>
                <w:color w:val="auto"/>
              </w:rPr>
              <w:t>9.</w:t>
            </w:r>
          </w:p>
        </w:tc>
        <w:tc>
          <w:tcPr>
            <w:tcW w:w="8900" w:type="dxa"/>
            <w:vAlign w:val="bottom"/>
            <w:vMerge w:val="restart"/>
          </w:tcPr>
          <w:p>
            <w:pPr>
              <w:ind w:left="16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164"/>
        </w:trPr>
        <w:tc>
          <w:tcPr>
            <w:tcW w:w="1320" w:type="dxa"/>
            <w:vAlign w:val="bottom"/>
            <w:vMerge w:val="restart"/>
          </w:tcPr>
          <w:p>
            <w:pPr>
              <w:jc w:val="center"/>
              <w:spacing w:after="0"/>
              <w:rPr>
                <w:sz w:val="20"/>
                <w:szCs w:val="20"/>
                <w:color w:val="auto"/>
              </w:rPr>
            </w:pPr>
            <w:r>
              <w:rPr>
                <w:rFonts w:ascii="Arial" w:cs="Arial" w:eastAsia="Arial" w:hAnsi="Arial"/>
                <w:sz w:val="18"/>
                <w:szCs w:val="18"/>
                <w:color w:val="auto"/>
                <w:w w:val="93"/>
              </w:rPr>
              <w:t>REPORTING</w:t>
            </w:r>
          </w:p>
        </w:tc>
        <w:tc>
          <w:tcPr>
            <w:tcW w:w="480" w:type="dxa"/>
            <w:vAlign w:val="bottom"/>
            <w:vMerge w:val="continue"/>
          </w:tcPr>
          <w:p>
            <w:pPr>
              <w:spacing w:after="0"/>
              <w:rPr>
                <w:sz w:val="14"/>
                <w:szCs w:val="14"/>
                <w:color w:val="auto"/>
              </w:rPr>
            </w:pPr>
          </w:p>
        </w:tc>
        <w:tc>
          <w:tcPr>
            <w:tcW w:w="89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52"/>
        </w:trPr>
        <w:tc>
          <w:tcPr>
            <w:tcW w:w="1320" w:type="dxa"/>
            <w:vAlign w:val="bottom"/>
            <w:vMerge w:val="continue"/>
          </w:tcPr>
          <w:p>
            <w:pPr>
              <w:spacing w:after="0"/>
              <w:rPr>
                <w:sz w:val="4"/>
                <w:szCs w:val="4"/>
                <w:color w:val="auto"/>
              </w:rPr>
            </w:pPr>
          </w:p>
        </w:tc>
        <w:tc>
          <w:tcPr>
            <w:tcW w:w="480" w:type="dxa"/>
            <w:vAlign w:val="bottom"/>
          </w:tcPr>
          <w:p>
            <w:pPr>
              <w:spacing w:after="0"/>
              <w:rPr>
                <w:sz w:val="4"/>
                <w:szCs w:val="4"/>
                <w:color w:val="auto"/>
              </w:rPr>
            </w:pPr>
          </w:p>
        </w:tc>
        <w:tc>
          <w:tcPr>
            <w:tcW w:w="89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1320" w:type="dxa"/>
            <w:vAlign w:val="bottom"/>
          </w:tcPr>
          <w:p>
            <w:pPr>
              <w:jc w:val="center"/>
              <w:spacing w:after="0"/>
              <w:rPr>
                <w:sz w:val="20"/>
                <w:szCs w:val="20"/>
                <w:color w:val="auto"/>
              </w:rPr>
            </w:pPr>
            <w:r>
              <w:rPr>
                <w:rFonts w:ascii="Arial" w:cs="Arial" w:eastAsia="Arial" w:hAnsi="Arial"/>
                <w:sz w:val="18"/>
                <w:szCs w:val="18"/>
                <w:color w:val="auto"/>
                <w:w w:val="92"/>
              </w:rPr>
              <w:t>PERSON</w:t>
            </w:r>
          </w:p>
        </w:tc>
        <w:tc>
          <w:tcPr>
            <w:tcW w:w="480" w:type="dxa"/>
            <w:vAlign w:val="bottom"/>
          </w:tcPr>
          <w:p>
            <w:pPr>
              <w:spacing w:after="0"/>
              <w:rPr>
                <w:sz w:val="18"/>
                <w:szCs w:val="18"/>
                <w:color w:val="auto"/>
              </w:rPr>
            </w:pPr>
          </w:p>
        </w:tc>
        <w:tc>
          <w:tcPr>
            <w:tcW w:w="8900" w:type="dxa"/>
            <w:vAlign w:val="bottom"/>
            <w:vMerge w:val="restart"/>
          </w:tcPr>
          <w:p>
            <w:pPr>
              <w:ind w:left="160"/>
              <w:spacing w:after="0"/>
              <w:rPr>
                <w:sz w:val="20"/>
                <w:szCs w:val="20"/>
                <w:color w:val="auto"/>
              </w:rPr>
            </w:pPr>
            <w:r>
              <w:rPr>
                <w:rFonts w:ascii="Arial" w:cs="Arial" w:eastAsia="Arial" w:hAnsi="Arial"/>
                <w:sz w:val="18"/>
                <w:szCs w:val="18"/>
                <w:color w:val="auto"/>
              </w:rPr>
              <w:t xml:space="preserve">27,905 </w:t>
            </w:r>
            <w:r>
              <w:rPr>
                <w:rFonts w:ascii="Arial" w:cs="Arial" w:eastAsia="Arial" w:hAnsi="Arial"/>
                <w:sz w:val="26"/>
                <w:szCs w:val="26"/>
                <w:color w:val="auto"/>
                <w:vertAlign w:val="superscript"/>
              </w:rPr>
              <w:t>(1)</w:t>
            </w:r>
          </w:p>
        </w:tc>
        <w:tc>
          <w:tcPr>
            <w:tcW w:w="0" w:type="dxa"/>
            <w:vAlign w:val="bottom"/>
          </w:tcPr>
          <w:p>
            <w:pPr>
              <w:spacing w:after="0"/>
              <w:rPr>
                <w:sz w:val="1"/>
                <w:szCs w:val="1"/>
                <w:color w:val="auto"/>
              </w:rPr>
            </w:pPr>
          </w:p>
        </w:tc>
      </w:tr>
      <w:tr>
        <w:trPr>
          <w:trHeight w:val="205"/>
        </w:trPr>
        <w:tc>
          <w:tcPr>
            <w:tcW w:w="1320" w:type="dxa"/>
            <w:vAlign w:val="bottom"/>
          </w:tcPr>
          <w:p>
            <w:pPr>
              <w:jc w:val="center"/>
              <w:spacing w:after="0" w:line="205" w:lineRule="exact"/>
              <w:rPr>
                <w:sz w:val="20"/>
                <w:szCs w:val="20"/>
                <w:color w:val="auto"/>
              </w:rPr>
            </w:pPr>
            <w:r>
              <w:rPr>
                <w:rFonts w:ascii="Arial" w:cs="Arial" w:eastAsia="Arial" w:hAnsi="Arial"/>
                <w:sz w:val="18"/>
                <w:szCs w:val="18"/>
                <w:color w:val="auto"/>
                <w:w w:val="99"/>
              </w:rPr>
              <w:t>WITH</w:t>
            </w:r>
          </w:p>
        </w:tc>
        <w:tc>
          <w:tcPr>
            <w:tcW w:w="480" w:type="dxa"/>
            <w:vAlign w:val="bottom"/>
          </w:tcPr>
          <w:p>
            <w:pPr>
              <w:spacing w:after="0"/>
              <w:rPr>
                <w:sz w:val="17"/>
                <w:szCs w:val="17"/>
                <w:color w:val="auto"/>
              </w:rPr>
            </w:pPr>
          </w:p>
        </w:tc>
        <w:tc>
          <w:tcPr>
            <w:tcW w:w="89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bl>
    <w:p>
      <w:pPr>
        <w:ind w:left="2164" w:right="6220" w:hanging="530"/>
        <w:spacing w:after="0" w:line="332" w:lineRule="auto"/>
        <w:tabs>
          <w:tab w:leader="none" w:pos="2164" w:val="left"/>
        </w:tabs>
        <w:numPr>
          <w:ilvl w:val="1"/>
          <w:numId w:val="4"/>
        </w:numPr>
        <w:rPr>
          <w:rFonts w:ascii="Arial" w:cs="Arial" w:eastAsia="Arial" w:hAnsi="Arial"/>
          <w:sz w:val="18"/>
          <w:szCs w:val="18"/>
          <w:color w:val="auto"/>
        </w:rPr>
      </w:pPr>
      <w:r>
        <w:rPr>
          <w:rFonts w:ascii="Arial" w:cs="Arial" w:eastAsia="Arial" w:hAnsi="Arial"/>
          <w:sz w:val="18"/>
          <w:szCs w:val="18"/>
          <w:color w:val="auto"/>
        </w:rPr>
        <w:t xml:space="preserve">SHARED DISPOSITIVE POWER 2,498,553 </w:t>
      </w:r>
      <w:r>
        <w:rPr>
          <w:rFonts w:ascii="Arial" w:cs="Arial" w:eastAsia="Arial" w:hAnsi="Arial"/>
          <w:sz w:val="26"/>
          <w:szCs w:val="26"/>
          <w:color w:val="auto"/>
          <w:vertAlign w:val="superscript"/>
        </w:rPr>
        <w:t>(2)</w:t>
      </w:r>
    </w:p>
    <w:p>
      <w:pPr>
        <w:spacing w:after="0" w:line="2" w:lineRule="exact"/>
        <w:rPr>
          <w:rFonts w:ascii="Arial" w:cs="Arial" w:eastAsia="Arial" w:hAnsi="Arial"/>
          <w:sz w:val="18"/>
          <w:szCs w:val="18"/>
          <w:color w:val="auto"/>
        </w:rPr>
      </w:pPr>
    </w:p>
    <w:p>
      <w:pPr>
        <w:ind w:left="664" w:right="3700" w:hanging="507"/>
        <w:spacing w:after="0" w:line="405" w:lineRule="auto"/>
        <w:tabs>
          <w:tab w:leader="none" w:pos="664" w:val="left"/>
        </w:tabs>
        <w:numPr>
          <w:ilvl w:val="0"/>
          <w:numId w:val="5"/>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2,526,458</w:t>
      </w:r>
    </w:p>
    <w:p>
      <w:pPr>
        <w:ind w:left="664" w:hanging="507"/>
        <w:spacing w:after="0"/>
        <w:tabs>
          <w:tab w:leader="none" w:pos="664" w:val="left"/>
        </w:tabs>
        <w:numPr>
          <w:ilvl w:val="0"/>
          <w:numId w:val="5"/>
        </w:numPr>
        <w:rPr>
          <w:rFonts w:ascii="Arial" w:cs="Arial" w:eastAsia="Arial" w:hAnsi="Arial"/>
          <w:sz w:val="18"/>
          <w:szCs w:val="18"/>
          <w:color w:val="auto"/>
        </w:rPr>
      </w:pPr>
      <w:r>
        <w:rPr>
          <w:rFonts w:ascii="Arial" w:cs="Arial" w:eastAsia="Arial" w:hAnsi="Arial"/>
          <w:sz w:val="18"/>
          <w:szCs w:val="18"/>
          <w:color w:val="auto"/>
        </w:rPr>
        <w:t>CHECK BOX IF THE AGGREGATE AMOUNT IN ROW (11) EXCLUDES CERTAIN SHARES (see instructions)</w:t>
      </w:r>
    </w:p>
    <w:p>
      <w:pPr>
        <w:spacing w:after="0" w:line="207" w:lineRule="exact"/>
        <w:rPr>
          <w:rFonts w:ascii="Arial" w:cs="Arial" w:eastAsia="Arial" w:hAnsi="Arial"/>
          <w:sz w:val="18"/>
          <w:szCs w:val="18"/>
          <w:color w:val="auto"/>
        </w:rPr>
      </w:pPr>
    </w:p>
    <w:p>
      <w:pPr>
        <w:ind w:left="664"/>
        <w:spacing w:after="0" w:line="181" w:lineRule="exact"/>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22" w:lineRule="exact"/>
        <w:rPr>
          <w:rFonts w:ascii="Arial" w:cs="Arial" w:eastAsia="Arial" w:hAnsi="Arial"/>
          <w:sz w:val="18"/>
          <w:szCs w:val="18"/>
          <w:color w:val="auto"/>
        </w:rPr>
      </w:pPr>
    </w:p>
    <w:p>
      <w:pPr>
        <w:ind w:left="664" w:hanging="507"/>
        <w:spacing w:after="0"/>
        <w:tabs>
          <w:tab w:leader="none" w:pos="664" w:val="left"/>
        </w:tabs>
        <w:numPr>
          <w:ilvl w:val="0"/>
          <w:numId w:val="5"/>
        </w:numPr>
        <w:rPr>
          <w:rFonts w:ascii="Arial" w:cs="Arial" w:eastAsia="Arial" w:hAnsi="Arial"/>
          <w:sz w:val="18"/>
          <w:szCs w:val="18"/>
          <w:color w:val="auto"/>
        </w:rPr>
      </w:pPr>
      <w:r>
        <w:rPr>
          <w:rFonts w:ascii="Arial" w:cs="Arial" w:eastAsia="Arial" w:hAnsi="Arial"/>
          <w:sz w:val="18"/>
          <w:szCs w:val="18"/>
          <w:color w:val="auto"/>
        </w:rPr>
        <w:t>PERCENT OF CLASS REPRESENTED BY AMOUNT IN ROW (11)</w:t>
      </w:r>
    </w:p>
    <w:p>
      <w:pPr>
        <w:spacing w:after="0" w:line="197" w:lineRule="exact"/>
        <w:rPr>
          <w:sz w:val="20"/>
          <w:szCs w:val="20"/>
          <w:color w:val="auto"/>
        </w:rPr>
      </w:pPr>
    </w:p>
    <w:p>
      <w:pPr>
        <w:ind w:left="724"/>
        <w:spacing w:after="0"/>
        <w:rPr>
          <w:sz w:val="20"/>
          <w:szCs w:val="20"/>
          <w:color w:val="auto"/>
        </w:rPr>
      </w:pPr>
      <w:r>
        <w:rPr>
          <w:rFonts w:ascii="Arial" w:cs="Arial" w:eastAsia="Arial" w:hAnsi="Arial"/>
          <w:sz w:val="18"/>
          <w:szCs w:val="18"/>
          <w:color w:val="auto"/>
        </w:rPr>
        <w:t>5.4%</w:t>
      </w:r>
      <w:r>
        <w:rPr>
          <w:rFonts w:ascii="Arial" w:cs="Arial" w:eastAsia="Arial" w:hAnsi="Arial"/>
          <w:sz w:val="26"/>
          <w:szCs w:val="26"/>
          <w:color w:val="auto"/>
          <w:vertAlign w:val="superscript"/>
        </w:rPr>
        <w:t>(3)</w:t>
      </w:r>
    </w:p>
    <w:p>
      <w:pPr>
        <w:ind w:left="664" w:hanging="507"/>
        <w:spacing w:after="0"/>
        <w:tabs>
          <w:tab w:leader="none" w:pos="664" w:val="left"/>
        </w:tabs>
        <w:numPr>
          <w:ilvl w:val="1"/>
          <w:numId w:val="6"/>
        </w:numPr>
        <w:rPr>
          <w:rFonts w:ascii="Arial" w:cs="Arial" w:eastAsia="Arial" w:hAnsi="Arial"/>
          <w:sz w:val="18"/>
          <w:szCs w:val="18"/>
          <w:color w:val="auto"/>
        </w:rPr>
      </w:pPr>
      <w:r>
        <w:rPr>
          <w:rFonts w:ascii="Arial" w:cs="Arial" w:eastAsia="Arial" w:hAnsi="Arial"/>
          <w:sz w:val="18"/>
          <w:szCs w:val="18"/>
          <w:color w:val="auto"/>
        </w:rPr>
        <w:t>TYPE OF REPORTING PERSON (see instructions)</w:t>
      </w:r>
    </w:p>
    <w:p>
      <w:pPr>
        <w:spacing w:after="0" w:line="236" w:lineRule="exact"/>
        <w:rPr>
          <w:rFonts w:ascii="Arial" w:cs="Arial" w:eastAsia="Arial" w:hAnsi="Arial"/>
          <w:sz w:val="18"/>
          <w:szCs w:val="18"/>
          <w:color w:val="auto"/>
        </w:rPr>
      </w:pPr>
    </w:p>
    <w:p>
      <w:pPr>
        <w:ind w:left="664"/>
        <w:spacing w:after="0"/>
        <w:rPr>
          <w:rFonts w:ascii="Arial" w:cs="Arial" w:eastAsia="Arial" w:hAnsi="Arial"/>
          <w:sz w:val="18"/>
          <w:szCs w:val="18"/>
          <w:color w:val="auto"/>
        </w:rPr>
      </w:pPr>
      <w:r>
        <w:rPr>
          <w:rFonts w:ascii="Arial" w:cs="Arial" w:eastAsia="Arial" w:hAnsi="Arial"/>
          <w:sz w:val="18"/>
          <w:szCs w:val="18"/>
          <w:color w:val="auto"/>
        </w:rPr>
        <w:t>IN</w:t>
      </w:r>
    </w:p>
    <w:p>
      <w:pPr>
        <w:spacing w:after="0" w:line="292" w:lineRule="exact"/>
        <w:rPr>
          <w:rFonts w:ascii="Arial" w:cs="Arial" w:eastAsia="Arial" w:hAnsi="Arial"/>
          <w:sz w:val="18"/>
          <w:szCs w:val="18"/>
          <w:color w:val="auto"/>
        </w:rPr>
      </w:pPr>
    </w:p>
    <w:p>
      <w:pPr>
        <w:ind w:left="444" w:hanging="444"/>
        <w:spacing w:after="0"/>
        <w:tabs>
          <w:tab w:leader="none" w:pos="444" w:val="left"/>
        </w:tabs>
        <w:numPr>
          <w:ilvl w:val="0"/>
          <w:numId w:val="7"/>
        </w:numPr>
        <w:rPr>
          <w:rFonts w:ascii="Arial" w:cs="Arial" w:eastAsia="Arial" w:hAnsi="Arial"/>
          <w:sz w:val="18"/>
          <w:szCs w:val="18"/>
          <w:color w:val="auto"/>
        </w:rPr>
      </w:pPr>
      <w:r>
        <w:rPr>
          <w:rFonts w:ascii="Arial" w:cs="Arial" w:eastAsia="Arial" w:hAnsi="Arial"/>
          <w:sz w:val="18"/>
          <w:szCs w:val="18"/>
          <w:color w:val="auto"/>
        </w:rPr>
        <w:t>Comprises 27,905 Class A Ordinary Shares that are issuable upon exercise of options held in trust by Mr. Jian Tang.</w:t>
      </w:r>
    </w:p>
    <w:p>
      <w:pPr>
        <w:spacing w:after="0" w:line="23" w:lineRule="exact"/>
        <w:rPr>
          <w:rFonts w:ascii="Arial" w:cs="Arial" w:eastAsia="Arial" w:hAnsi="Arial"/>
          <w:sz w:val="18"/>
          <w:szCs w:val="18"/>
          <w:color w:val="auto"/>
        </w:rPr>
      </w:pPr>
    </w:p>
    <w:p>
      <w:pPr>
        <w:ind w:left="444" w:right="240" w:hanging="444"/>
        <w:spacing w:after="0" w:line="265" w:lineRule="auto"/>
        <w:tabs>
          <w:tab w:leader="none" w:pos="444" w:val="left"/>
        </w:tabs>
        <w:numPr>
          <w:ilvl w:val="0"/>
          <w:numId w:val="7"/>
        </w:numPr>
        <w:rPr>
          <w:rFonts w:ascii="Arial" w:cs="Arial" w:eastAsia="Arial" w:hAnsi="Arial"/>
          <w:sz w:val="17"/>
          <w:szCs w:val="17"/>
          <w:color w:val="auto"/>
        </w:rPr>
      </w:pPr>
      <w:r>
        <w:rPr>
          <w:rFonts w:ascii="Arial" w:cs="Arial" w:eastAsia="Arial" w:hAnsi="Arial"/>
          <w:sz w:val="17"/>
          <w:szCs w:val="17"/>
          <w:color w:val="auto"/>
        </w:rPr>
        <w:t>Reflects (i) 396,290 Class A Ordinary Shares held by Igomax Inc. and (ii) 2,102,263 Class A Ordinary Shares issuable upon the conversion of 2,102,263 Class B Ordinary Shares held by Igomax Inc. Mr. Jian Tang is the sole director and shareholder of Igomax Inc.</w:t>
      </w:r>
    </w:p>
    <w:p>
      <w:pPr>
        <w:ind w:left="444" w:right="60" w:hanging="444"/>
        <w:spacing w:after="0" w:line="253" w:lineRule="auto"/>
        <w:tabs>
          <w:tab w:leader="none" w:pos="444"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percent ownership calculation assumes that there is a total of 47,113,493 Class A Ordinary Shares outstanding, which includes (i) the 45,011,230 Class A Ordinary Shares outstanding as of March 31, 2023, as reported in the Issuer’s Form 20-F filed with the U.S. Securities and Exchange Commission (the “</w:t>
      </w:r>
      <w:r>
        <w:rPr>
          <w:rFonts w:ascii="Arial" w:cs="Arial" w:eastAsia="Arial" w:hAnsi="Arial"/>
          <w:sz w:val="18"/>
          <w:szCs w:val="18"/>
          <w:u w:val="single" w:color="auto"/>
          <w:color w:val="auto"/>
        </w:rPr>
        <w:t>SEC</w:t>
      </w:r>
      <w:r>
        <w:rPr>
          <w:rFonts w:ascii="Arial" w:cs="Arial" w:eastAsia="Arial" w:hAnsi="Arial"/>
          <w:sz w:val="18"/>
          <w:szCs w:val="18"/>
          <w:color w:val="auto"/>
        </w:rPr>
        <w:t>”) on May 11, 2023, and (ii) the 2,102,263 Class A Ordinary Shares issuable upon the conversion of 2,102,263 Class B Ordinary Shares held by Igomax Inc.</w:t>
      </w:r>
    </w:p>
    <w:p>
      <w:pPr>
        <w:sectPr>
          <w:pgSz w:w="11900" w:h="16838" w:orient="portrait"/>
          <w:cols w:equalWidth="0" w:num="1">
            <w:col w:w="10904"/>
          </w:cols>
          <w:pgMar w:left="436" w:top="490" w:right="559" w:bottom="1440" w:gutter="0" w:footer="0" w:header="0"/>
        </w:sectPr>
      </w:pPr>
    </w:p>
    <w:bookmarkStart w:id="2" w:name="page3"/>
    <w:bookmarkEnd w:id="2"/>
    <w:p>
      <w:pPr>
        <w:ind w:left="4"/>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08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50800"/>
                    </a:xfrm>
                    <a:prstGeom prst="rect">
                      <a:avLst/>
                    </a:prstGeom>
                    <a:noFill/>
                  </pic:spPr>
                </pic:pic>
              </a:graphicData>
            </a:graphic>
          </wp:anchor>
        </w:drawing>
        <w:t>CUSIP No. G47048 106</w:t>
      </w:r>
    </w:p>
    <w:p>
      <w:pPr>
        <w:spacing w:after="0" w:line="171" w:lineRule="exact"/>
        <w:rPr>
          <w:sz w:val="20"/>
          <w:szCs w:val="20"/>
          <w:color w:val="auto"/>
        </w:rPr>
      </w:pPr>
    </w:p>
    <w:p>
      <w:pPr>
        <w:ind w:left="684" w:hanging="437"/>
        <w:spacing w:after="0"/>
        <w:tabs>
          <w:tab w:leader="none" w:pos="684" w:val="left"/>
        </w:tabs>
        <w:numPr>
          <w:ilvl w:val="0"/>
          <w:numId w:val="8"/>
        </w:numPr>
        <w:rPr>
          <w:rFonts w:ascii="Arial" w:cs="Arial" w:eastAsia="Arial" w:hAnsi="Arial"/>
          <w:sz w:val="18"/>
          <w:szCs w:val="18"/>
          <w:color w:val="auto"/>
        </w:rPr>
      </w:pPr>
      <w:r>
        <w:rPr>
          <w:rFonts w:ascii="Arial" w:cs="Arial" w:eastAsia="Arial" w:hAnsi="Arial"/>
          <w:sz w:val="18"/>
          <w:szCs w:val="18"/>
          <w:color w:val="auto"/>
        </w:rPr>
        <w:t>NAMES OF REPORTING PERSONS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-130175</wp:posOffset>
            </wp:positionV>
            <wp:extent cx="6926580" cy="629221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926580" cy="6292215"/>
                    </a:xfrm>
                    <a:prstGeom prst="rect">
                      <a:avLst/>
                    </a:prstGeom>
                    <a:noFill/>
                  </pic:spPr>
                </pic:pic>
              </a:graphicData>
            </a:graphic>
          </wp:anchor>
        </w:drawing>
      </w:r>
    </w:p>
    <w:p>
      <w:pPr>
        <w:spacing w:after="0" w:line="232" w:lineRule="exact"/>
        <w:rPr>
          <w:sz w:val="20"/>
          <w:szCs w:val="20"/>
          <w:color w:val="auto"/>
        </w:rPr>
      </w:pPr>
    </w:p>
    <w:p>
      <w:pPr>
        <w:ind w:left="724"/>
        <w:spacing w:after="0"/>
        <w:rPr>
          <w:sz w:val="20"/>
          <w:szCs w:val="20"/>
          <w:color w:val="auto"/>
        </w:rPr>
      </w:pPr>
      <w:r>
        <w:rPr>
          <w:rFonts w:ascii="Arial" w:cs="Arial" w:eastAsia="Arial" w:hAnsi="Arial"/>
          <w:sz w:val="18"/>
          <w:szCs w:val="18"/>
          <w:color w:val="auto"/>
        </w:rPr>
        <w:t>I.R.S. IDENTIFICATION NOS. OF ABOVE PERSONS (ENTITIES ONLY)</w:t>
      </w:r>
    </w:p>
    <w:p>
      <w:pPr>
        <w:spacing w:after="0" w:line="23" w:lineRule="exact"/>
        <w:rPr>
          <w:sz w:val="20"/>
          <w:szCs w:val="20"/>
          <w:color w:val="auto"/>
        </w:rPr>
      </w:pPr>
    </w:p>
    <w:p>
      <w:pPr>
        <w:ind w:left="684"/>
        <w:spacing w:after="0"/>
        <w:rPr>
          <w:sz w:val="20"/>
          <w:szCs w:val="20"/>
          <w:color w:val="auto"/>
        </w:rPr>
      </w:pPr>
      <w:r>
        <w:rPr>
          <w:rFonts w:ascii="Arial" w:cs="Arial" w:eastAsia="Arial" w:hAnsi="Arial"/>
          <w:sz w:val="18"/>
          <w:szCs w:val="18"/>
          <w:color w:val="auto"/>
        </w:rPr>
        <w:t>Igomax Inc.</w:t>
      </w:r>
    </w:p>
    <w:p>
      <w:pPr>
        <w:spacing w:after="0" w:line="22" w:lineRule="exact"/>
        <w:rPr>
          <w:sz w:val="20"/>
          <w:szCs w:val="20"/>
          <w:color w:val="auto"/>
        </w:rPr>
      </w:pPr>
    </w:p>
    <w:p>
      <w:pPr>
        <w:ind w:left="684" w:hanging="437"/>
        <w:spacing w:after="0"/>
        <w:tabs>
          <w:tab w:leader="none" w:pos="684" w:val="left"/>
        </w:tabs>
        <w:numPr>
          <w:ilvl w:val="0"/>
          <w:numId w:val="9"/>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18" w:lineRule="exact"/>
        <w:rPr>
          <w:sz w:val="20"/>
          <w:szCs w:val="20"/>
          <w:color w:val="auto"/>
        </w:rPr>
      </w:pPr>
    </w:p>
    <w:p>
      <w:pPr>
        <w:ind w:left="684"/>
        <w:spacing w:after="0" w:line="207" w:lineRule="exact"/>
        <w:tabs>
          <w:tab w:leader="none" w:pos="1464" w:val="left"/>
        </w:tabs>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 xml:space="preserve">(b) </w:t>
      </w:r>
      <w:r>
        <w:rPr>
          <w:rFonts w:ascii="MS PGothic" w:cs="MS PGothic" w:eastAsia="MS PGothic" w:hAnsi="MS PGothic"/>
          <w:sz w:val="18"/>
          <w:szCs w:val="18"/>
          <w:color w:val="auto"/>
        </w:rPr>
        <w:t>☐</w:t>
      </w:r>
    </w:p>
    <w:p>
      <w:pPr>
        <w:spacing w:after="0" w:line="283" w:lineRule="exact"/>
        <w:rPr>
          <w:sz w:val="20"/>
          <w:szCs w:val="20"/>
          <w:color w:val="auto"/>
        </w:rPr>
      </w:pPr>
    </w:p>
    <w:p>
      <w:pPr>
        <w:ind w:left="684" w:hanging="437"/>
        <w:spacing w:after="0"/>
        <w:tabs>
          <w:tab w:leader="none" w:pos="684" w:val="left"/>
        </w:tabs>
        <w:numPr>
          <w:ilvl w:val="0"/>
          <w:numId w:val="10"/>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79" w:lineRule="exact"/>
        <w:rPr>
          <w:rFonts w:ascii="Arial" w:cs="Arial" w:eastAsia="Arial" w:hAnsi="Arial"/>
          <w:sz w:val="18"/>
          <w:szCs w:val="18"/>
          <w:color w:val="auto"/>
        </w:rPr>
      </w:pPr>
    </w:p>
    <w:p>
      <w:pPr>
        <w:ind w:left="684" w:hanging="437"/>
        <w:spacing w:after="0"/>
        <w:tabs>
          <w:tab w:leader="none" w:pos="684" w:val="left"/>
        </w:tabs>
        <w:numPr>
          <w:ilvl w:val="0"/>
          <w:numId w:val="10"/>
        </w:numPr>
        <w:rPr>
          <w:rFonts w:ascii="Arial" w:cs="Arial" w:eastAsia="Arial" w:hAnsi="Arial"/>
          <w:sz w:val="18"/>
          <w:szCs w:val="18"/>
          <w:color w:val="auto"/>
        </w:rPr>
      </w:pPr>
      <w:r>
        <w:rPr>
          <w:rFonts w:ascii="Arial" w:cs="Arial" w:eastAsia="Arial" w:hAnsi="Arial"/>
          <w:sz w:val="18"/>
          <w:szCs w:val="18"/>
          <w:color w:val="auto"/>
        </w:rPr>
        <w:t>SOURCE OF FUNDS (see instructions)</w:t>
      </w:r>
    </w:p>
    <w:p>
      <w:pPr>
        <w:spacing w:after="0" w:line="252" w:lineRule="exact"/>
        <w:rPr>
          <w:rFonts w:ascii="Arial" w:cs="Arial" w:eastAsia="Arial" w:hAnsi="Arial"/>
          <w:sz w:val="18"/>
          <w:szCs w:val="18"/>
          <w:color w:val="auto"/>
        </w:rPr>
      </w:pPr>
    </w:p>
    <w:p>
      <w:pPr>
        <w:ind w:left="684"/>
        <w:spacing w:after="0"/>
        <w:rPr>
          <w:rFonts w:ascii="Arial" w:cs="Arial" w:eastAsia="Arial" w:hAnsi="Arial"/>
          <w:sz w:val="18"/>
          <w:szCs w:val="18"/>
          <w:color w:val="auto"/>
        </w:rPr>
      </w:pPr>
      <w:r>
        <w:rPr>
          <w:rFonts w:ascii="Arial" w:cs="Arial" w:eastAsia="Arial" w:hAnsi="Arial"/>
          <w:sz w:val="18"/>
          <w:szCs w:val="18"/>
          <w:color w:val="auto"/>
        </w:rPr>
        <w:t>OO</w:t>
      </w:r>
    </w:p>
    <w:p>
      <w:pPr>
        <w:spacing w:after="0" w:line="36" w:lineRule="exact"/>
        <w:rPr>
          <w:rFonts w:ascii="Arial" w:cs="Arial" w:eastAsia="Arial" w:hAnsi="Arial"/>
          <w:sz w:val="18"/>
          <w:szCs w:val="18"/>
          <w:color w:val="auto"/>
        </w:rPr>
      </w:pPr>
    </w:p>
    <w:p>
      <w:pPr>
        <w:ind w:left="684" w:hanging="437"/>
        <w:spacing w:after="0"/>
        <w:tabs>
          <w:tab w:leader="none" w:pos="684" w:val="left"/>
        </w:tabs>
        <w:numPr>
          <w:ilvl w:val="0"/>
          <w:numId w:val="10"/>
        </w:numPr>
        <w:rPr>
          <w:rFonts w:ascii="Arial" w:cs="Arial" w:eastAsia="Arial" w:hAnsi="Arial"/>
          <w:sz w:val="18"/>
          <w:szCs w:val="18"/>
          <w:color w:val="auto"/>
        </w:rPr>
      </w:pPr>
      <w:r>
        <w:rPr>
          <w:rFonts w:ascii="Arial" w:cs="Arial" w:eastAsia="Arial" w:hAnsi="Arial"/>
          <w:sz w:val="18"/>
          <w:szCs w:val="18"/>
          <w:color w:val="auto"/>
        </w:rPr>
        <w:t>CHECK BOX IF DISCLOSURE OF LEGAL PROCEEDINGS IS REQUIRED PURSUANT TO ITEMS 2(d) or 2(e)</w:t>
      </w:r>
    </w:p>
    <w:p>
      <w:pPr>
        <w:spacing w:after="0" w:line="207" w:lineRule="exact"/>
        <w:rPr>
          <w:rFonts w:ascii="Arial" w:cs="Arial" w:eastAsia="Arial" w:hAnsi="Arial"/>
          <w:sz w:val="18"/>
          <w:szCs w:val="18"/>
          <w:color w:val="auto"/>
        </w:rPr>
      </w:pPr>
    </w:p>
    <w:p>
      <w:pPr>
        <w:ind w:left="684"/>
        <w:spacing w:after="0" w:line="181" w:lineRule="exact"/>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22" w:lineRule="exact"/>
        <w:rPr>
          <w:rFonts w:ascii="Arial" w:cs="Arial" w:eastAsia="Arial" w:hAnsi="Arial"/>
          <w:sz w:val="18"/>
          <w:szCs w:val="18"/>
          <w:color w:val="auto"/>
        </w:rPr>
      </w:pPr>
    </w:p>
    <w:p>
      <w:pPr>
        <w:ind w:left="684" w:hanging="437"/>
        <w:spacing w:after="0"/>
        <w:tabs>
          <w:tab w:leader="none" w:pos="684" w:val="left"/>
        </w:tabs>
        <w:numPr>
          <w:ilvl w:val="0"/>
          <w:numId w:val="10"/>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250" w:lineRule="exact"/>
        <w:rPr>
          <w:sz w:val="20"/>
          <w:szCs w:val="20"/>
          <w:color w:val="auto"/>
        </w:rPr>
      </w:pPr>
    </w:p>
    <w:p>
      <w:pPr>
        <w:ind w:left="684"/>
        <w:spacing w:after="0"/>
        <w:rPr>
          <w:sz w:val="20"/>
          <w:szCs w:val="20"/>
          <w:color w:val="auto"/>
        </w:rPr>
      </w:pPr>
      <w:r>
        <w:rPr>
          <w:rFonts w:ascii="Arial" w:cs="Arial" w:eastAsia="Arial" w:hAnsi="Arial"/>
          <w:sz w:val="18"/>
          <w:szCs w:val="18"/>
          <w:color w:val="auto"/>
        </w:rPr>
        <w:t>British Virgin Islands</w:t>
      </w:r>
    </w:p>
    <w:p>
      <w:pPr>
        <w:spacing w:after="0" w:line="36" w:lineRule="exact"/>
        <w:rPr>
          <w:sz w:val="20"/>
          <w:szCs w:val="20"/>
          <w:color w:val="auto"/>
        </w:rPr>
      </w:pPr>
    </w:p>
    <w:p>
      <w:pPr>
        <w:ind w:left="2164" w:hanging="440"/>
        <w:spacing w:after="0"/>
        <w:tabs>
          <w:tab w:leader="none" w:pos="2164" w:val="left"/>
        </w:tabs>
        <w:numPr>
          <w:ilvl w:val="0"/>
          <w:numId w:val="11"/>
        </w:numPr>
        <w:rPr>
          <w:rFonts w:ascii="Arial" w:cs="Arial" w:eastAsia="Arial" w:hAnsi="Arial"/>
          <w:sz w:val="18"/>
          <w:szCs w:val="18"/>
          <w:color w:val="auto"/>
        </w:rPr>
      </w:pPr>
      <w:r>
        <w:rPr>
          <w:rFonts w:ascii="Arial" w:cs="Arial" w:eastAsia="Arial" w:hAnsi="Arial"/>
          <w:sz w:val="18"/>
          <w:szCs w:val="18"/>
          <w:color w:val="auto"/>
        </w:rPr>
        <w:t>SOLE VOTING POWER</w:t>
      </w:r>
    </w:p>
    <w:p>
      <w:pPr>
        <w:spacing w:after="0" w:line="212" w:lineRule="exact"/>
        <w:rPr>
          <w:sz w:val="20"/>
          <w:szCs w:val="20"/>
          <w:color w:val="auto"/>
        </w:rPr>
      </w:pPr>
    </w:p>
    <w:tbl>
      <w:tblPr>
        <w:tblLayout w:type="fixed"/>
        <w:tblInd w:w="204" w:type="dxa"/>
        <w:tblCellMar>
          <w:top w:w="0" w:type="dxa"/>
          <w:left w:w="0" w:type="dxa"/>
          <w:bottom w:w="0" w:type="dxa"/>
          <w:right w:w="0" w:type="dxa"/>
        </w:tblCellMar>
      </w:tblPr>
      <w:tr>
        <w:trPr>
          <w:trHeight w:val="217"/>
        </w:trPr>
        <w:tc>
          <w:tcPr>
            <w:tcW w:w="1320" w:type="dxa"/>
            <w:vAlign w:val="bottom"/>
          </w:tcPr>
          <w:p>
            <w:pPr>
              <w:jc w:val="center"/>
              <w:spacing w:after="0"/>
              <w:rPr>
                <w:sz w:val="20"/>
                <w:szCs w:val="20"/>
                <w:color w:val="auto"/>
              </w:rPr>
            </w:pPr>
            <w:r>
              <w:rPr>
                <w:rFonts w:ascii="Arial" w:cs="Arial" w:eastAsia="Arial" w:hAnsi="Arial"/>
                <w:sz w:val="18"/>
                <w:szCs w:val="18"/>
                <w:color w:val="auto"/>
                <w:w w:val="96"/>
              </w:rPr>
              <w:t>NUMBER OF</w:t>
            </w:r>
          </w:p>
        </w:tc>
        <w:tc>
          <w:tcPr>
            <w:tcW w:w="480" w:type="dxa"/>
            <w:vAlign w:val="bottom"/>
          </w:tcPr>
          <w:p>
            <w:pPr>
              <w:spacing w:after="0"/>
              <w:rPr>
                <w:sz w:val="18"/>
                <w:szCs w:val="18"/>
                <w:color w:val="auto"/>
              </w:rPr>
            </w:pPr>
          </w:p>
        </w:tc>
        <w:tc>
          <w:tcPr>
            <w:tcW w:w="8900" w:type="dxa"/>
            <w:vAlign w:val="bottom"/>
          </w:tcPr>
          <w:p>
            <w:pPr>
              <w:ind w:left="1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68"/>
        </w:trPr>
        <w:tc>
          <w:tcPr>
            <w:tcW w:w="1320" w:type="dxa"/>
            <w:vAlign w:val="bottom"/>
            <w:vMerge w:val="restart"/>
          </w:tcPr>
          <w:p>
            <w:pPr>
              <w:jc w:val="center"/>
              <w:spacing w:after="0"/>
              <w:rPr>
                <w:sz w:val="20"/>
                <w:szCs w:val="20"/>
                <w:color w:val="auto"/>
              </w:rPr>
            </w:pPr>
            <w:r>
              <w:rPr>
                <w:rFonts w:ascii="Arial" w:cs="Arial" w:eastAsia="Arial" w:hAnsi="Arial"/>
                <w:sz w:val="18"/>
                <w:szCs w:val="18"/>
                <w:color w:val="auto"/>
                <w:w w:val="94"/>
              </w:rPr>
              <w:t>SHARES</w:t>
            </w:r>
          </w:p>
        </w:tc>
        <w:tc>
          <w:tcPr>
            <w:tcW w:w="480" w:type="dxa"/>
            <w:vAlign w:val="bottom"/>
            <w:tcBorders>
              <w:bottom w:val="single" w:sz="8" w:color="auto"/>
            </w:tcBorders>
          </w:tcPr>
          <w:p>
            <w:pPr>
              <w:spacing w:after="0"/>
              <w:rPr>
                <w:sz w:val="5"/>
                <w:szCs w:val="5"/>
                <w:color w:val="auto"/>
              </w:rPr>
            </w:pPr>
          </w:p>
        </w:tc>
        <w:tc>
          <w:tcPr>
            <w:tcW w:w="89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28"/>
        </w:trPr>
        <w:tc>
          <w:tcPr>
            <w:tcW w:w="1320" w:type="dxa"/>
            <w:vAlign w:val="bottom"/>
            <w:vMerge w:val="continue"/>
          </w:tcPr>
          <w:p>
            <w:pPr>
              <w:spacing w:after="0"/>
              <w:rPr>
                <w:sz w:val="11"/>
                <w:szCs w:val="11"/>
                <w:color w:val="auto"/>
              </w:rPr>
            </w:pPr>
          </w:p>
        </w:tc>
        <w:tc>
          <w:tcPr>
            <w:tcW w:w="480" w:type="dxa"/>
            <w:vAlign w:val="bottom"/>
            <w:vMerge w:val="restart"/>
          </w:tcPr>
          <w:p>
            <w:pPr>
              <w:jc w:val="right"/>
              <w:ind w:right="50"/>
              <w:spacing w:after="0"/>
              <w:rPr>
                <w:sz w:val="20"/>
                <w:szCs w:val="20"/>
                <w:color w:val="auto"/>
              </w:rPr>
            </w:pPr>
            <w:r>
              <w:rPr>
                <w:rFonts w:ascii="Arial" w:cs="Arial" w:eastAsia="Arial" w:hAnsi="Arial"/>
                <w:sz w:val="18"/>
                <w:szCs w:val="18"/>
                <w:color w:val="auto"/>
              </w:rPr>
              <w:t>8.</w:t>
            </w:r>
          </w:p>
        </w:tc>
        <w:tc>
          <w:tcPr>
            <w:tcW w:w="8900" w:type="dxa"/>
            <w:vAlign w:val="bottom"/>
            <w:vMerge w:val="restart"/>
          </w:tcPr>
          <w:p>
            <w:pPr>
              <w:ind w:left="16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96"/>
        </w:trPr>
        <w:tc>
          <w:tcPr>
            <w:tcW w:w="1320" w:type="dxa"/>
            <w:vAlign w:val="bottom"/>
            <w:vMerge w:val="restart"/>
          </w:tcPr>
          <w:p>
            <w:pPr>
              <w:jc w:val="center"/>
              <w:spacing w:after="0"/>
              <w:rPr>
                <w:sz w:val="20"/>
                <w:szCs w:val="20"/>
                <w:color w:val="auto"/>
              </w:rPr>
            </w:pPr>
            <w:r>
              <w:rPr>
                <w:rFonts w:ascii="Arial" w:cs="Arial" w:eastAsia="Arial" w:hAnsi="Arial"/>
                <w:sz w:val="18"/>
                <w:szCs w:val="18"/>
                <w:color w:val="auto"/>
                <w:w w:val="99"/>
              </w:rPr>
              <w:t>BENEFICIALLY</w:t>
            </w:r>
          </w:p>
        </w:tc>
        <w:tc>
          <w:tcPr>
            <w:tcW w:w="480" w:type="dxa"/>
            <w:vAlign w:val="bottom"/>
            <w:vMerge w:val="continue"/>
          </w:tcPr>
          <w:p>
            <w:pPr>
              <w:spacing w:after="0"/>
              <w:rPr>
                <w:sz w:val="8"/>
                <w:szCs w:val="8"/>
                <w:color w:val="auto"/>
              </w:rPr>
            </w:pPr>
          </w:p>
        </w:tc>
        <w:tc>
          <w:tcPr>
            <w:tcW w:w="89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0"/>
        </w:trPr>
        <w:tc>
          <w:tcPr>
            <w:tcW w:w="1320" w:type="dxa"/>
            <w:vAlign w:val="bottom"/>
            <w:vMerge w:val="continue"/>
          </w:tcPr>
          <w:p>
            <w:pPr>
              <w:spacing w:after="0"/>
              <w:rPr>
                <w:sz w:val="10"/>
                <w:szCs w:val="10"/>
                <w:color w:val="auto"/>
              </w:rPr>
            </w:pPr>
          </w:p>
        </w:tc>
        <w:tc>
          <w:tcPr>
            <w:tcW w:w="480" w:type="dxa"/>
            <w:vAlign w:val="bottom"/>
          </w:tcPr>
          <w:p>
            <w:pPr>
              <w:spacing w:after="0"/>
              <w:rPr>
                <w:sz w:val="10"/>
                <w:szCs w:val="10"/>
                <w:color w:val="auto"/>
              </w:rPr>
            </w:pPr>
          </w:p>
        </w:tc>
        <w:tc>
          <w:tcPr>
            <w:tcW w:w="89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1320" w:type="dxa"/>
            <w:vAlign w:val="bottom"/>
          </w:tcPr>
          <w:p>
            <w:pPr>
              <w:jc w:val="center"/>
              <w:spacing w:after="0"/>
              <w:rPr>
                <w:sz w:val="20"/>
                <w:szCs w:val="20"/>
                <w:color w:val="auto"/>
              </w:rPr>
            </w:pPr>
            <w:r>
              <w:rPr>
                <w:rFonts w:ascii="Arial" w:cs="Arial" w:eastAsia="Arial" w:hAnsi="Arial"/>
                <w:sz w:val="18"/>
                <w:szCs w:val="18"/>
                <w:color w:val="auto"/>
                <w:w w:val="97"/>
              </w:rPr>
              <w:t>OWNED BY</w:t>
            </w:r>
          </w:p>
        </w:tc>
        <w:tc>
          <w:tcPr>
            <w:tcW w:w="480" w:type="dxa"/>
            <w:vAlign w:val="bottom"/>
          </w:tcPr>
          <w:p>
            <w:pPr>
              <w:spacing w:after="0"/>
              <w:rPr>
                <w:sz w:val="18"/>
                <w:szCs w:val="18"/>
                <w:color w:val="auto"/>
              </w:rPr>
            </w:pPr>
          </w:p>
        </w:tc>
        <w:tc>
          <w:tcPr>
            <w:tcW w:w="8900" w:type="dxa"/>
            <w:vAlign w:val="bottom"/>
            <w:vMerge w:val="restart"/>
          </w:tcPr>
          <w:p>
            <w:pPr>
              <w:ind w:left="160"/>
              <w:spacing w:after="0"/>
              <w:rPr>
                <w:sz w:val="20"/>
                <w:szCs w:val="20"/>
                <w:color w:val="auto"/>
              </w:rPr>
            </w:pPr>
            <w:r>
              <w:rPr>
                <w:rFonts w:ascii="Arial" w:cs="Arial" w:eastAsia="Arial" w:hAnsi="Arial"/>
                <w:sz w:val="18"/>
                <w:szCs w:val="18"/>
                <w:color w:val="auto"/>
              </w:rPr>
              <w:t>2,498,553</w:t>
            </w:r>
            <w:r>
              <w:rPr>
                <w:rFonts w:ascii="Arial" w:cs="Arial" w:eastAsia="Arial" w:hAnsi="Arial"/>
                <w:sz w:val="26"/>
                <w:szCs w:val="26"/>
                <w:color w:val="auto"/>
                <w:vertAlign w:val="superscript"/>
              </w:rPr>
              <w:t>(1)</w:t>
            </w:r>
          </w:p>
        </w:tc>
        <w:tc>
          <w:tcPr>
            <w:tcW w:w="0" w:type="dxa"/>
            <w:vAlign w:val="bottom"/>
          </w:tcPr>
          <w:p>
            <w:pPr>
              <w:spacing w:after="0"/>
              <w:rPr>
                <w:sz w:val="1"/>
                <w:szCs w:val="1"/>
                <w:color w:val="auto"/>
              </w:rPr>
            </w:pPr>
          </w:p>
        </w:tc>
      </w:tr>
      <w:tr>
        <w:trPr>
          <w:trHeight w:val="136"/>
        </w:trPr>
        <w:tc>
          <w:tcPr>
            <w:tcW w:w="1320" w:type="dxa"/>
            <w:vAlign w:val="bottom"/>
            <w:vMerge w:val="restart"/>
          </w:tcPr>
          <w:p>
            <w:pPr>
              <w:jc w:val="center"/>
              <w:spacing w:after="0"/>
              <w:rPr>
                <w:sz w:val="20"/>
                <w:szCs w:val="20"/>
                <w:color w:val="auto"/>
              </w:rPr>
            </w:pPr>
            <w:r>
              <w:rPr>
                <w:rFonts w:ascii="Arial" w:cs="Arial" w:eastAsia="Arial" w:hAnsi="Arial"/>
                <w:sz w:val="18"/>
                <w:szCs w:val="18"/>
                <w:color w:val="auto"/>
                <w:w w:val="99"/>
              </w:rPr>
              <w:t>EACH</w:t>
            </w:r>
          </w:p>
        </w:tc>
        <w:tc>
          <w:tcPr>
            <w:tcW w:w="480" w:type="dxa"/>
            <w:vAlign w:val="bottom"/>
            <w:tcBorders>
              <w:bottom w:val="single" w:sz="8" w:color="auto"/>
            </w:tcBorders>
          </w:tcPr>
          <w:p>
            <w:pPr>
              <w:spacing w:after="0"/>
              <w:rPr>
                <w:sz w:val="11"/>
                <w:szCs w:val="11"/>
                <w:color w:val="auto"/>
              </w:rPr>
            </w:pPr>
          </w:p>
        </w:tc>
        <w:tc>
          <w:tcPr>
            <w:tcW w:w="8900" w:type="dxa"/>
            <w:vAlign w:val="bottom"/>
            <w:tcBorders>
              <w:bottom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60"/>
        </w:trPr>
        <w:tc>
          <w:tcPr>
            <w:tcW w:w="1320" w:type="dxa"/>
            <w:vAlign w:val="bottom"/>
            <w:vMerge w:val="continue"/>
          </w:tcPr>
          <w:p>
            <w:pPr>
              <w:spacing w:after="0"/>
              <w:rPr>
                <w:sz w:val="5"/>
                <w:szCs w:val="5"/>
                <w:color w:val="auto"/>
              </w:rPr>
            </w:pPr>
          </w:p>
        </w:tc>
        <w:tc>
          <w:tcPr>
            <w:tcW w:w="480" w:type="dxa"/>
            <w:vAlign w:val="bottom"/>
            <w:vMerge w:val="restart"/>
          </w:tcPr>
          <w:p>
            <w:pPr>
              <w:jc w:val="right"/>
              <w:ind w:right="50"/>
              <w:spacing w:after="0"/>
              <w:rPr>
                <w:sz w:val="20"/>
                <w:szCs w:val="20"/>
                <w:color w:val="auto"/>
              </w:rPr>
            </w:pPr>
            <w:r>
              <w:rPr>
                <w:rFonts w:ascii="Arial" w:cs="Arial" w:eastAsia="Arial" w:hAnsi="Arial"/>
                <w:sz w:val="18"/>
                <w:szCs w:val="18"/>
                <w:color w:val="auto"/>
              </w:rPr>
              <w:t>9.</w:t>
            </w:r>
          </w:p>
        </w:tc>
        <w:tc>
          <w:tcPr>
            <w:tcW w:w="8900" w:type="dxa"/>
            <w:vAlign w:val="bottom"/>
            <w:vMerge w:val="restart"/>
          </w:tcPr>
          <w:p>
            <w:pPr>
              <w:ind w:left="16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164"/>
        </w:trPr>
        <w:tc>
          <w:tcPr>
            <w:tcW w:w="1320" w:type="dxa"/>
            <w:vAlign w:val="bottom"/>
            <w:vMerge w:val="restart"/>
          </w:tcPr>
          <w:p>
            <w:pPr>
              <w:jc w:val="center"/>
              <w:spacing w:after="0"/>
              <w:rPr>
                <w:sz w:val="20"/>
                <w:szCs w:val="20"/>
                <w:color w:val="auto"/>
              </w:rPr>
            </w:pPr>
            <w:r>
              <w:rPr>
                <w:rFonts w:ascii="Arial" w:cs="Arial" w:eastAsia="Arial" w:hAnsi="Arial"/>
                <w:sz w:val="18"/>
                <w:szCs w:val="18"/>
                <w:color w:val="auto"/>
                <w:w w:val="93"/>
              </w:rPr>
              <w:t>REPORTING</w:t>
            </w:r>
          </w:p>
        </w:tc>
        <w:tc>
          <w:tcPr>
            <w:tcW w:w="480" w:type="dxa"/>
            <w:vAlign w:val="bottom"/>
            <w:vMerge w:val="continue"/>
          </w:tcPr>
          <w:p>
            <w:pPr>
              <w:spacing w:after="0"/>
              <w:rPr>
                <w:sz w:val="14"/>
                <w:szCs w:val="14"/>
                <w:color w:val="auto"/>
              </w:rPr>
            </w:pPr>
          </w:p>
        </w:tc>
        <w:tc>
          <w:tcPr>
            <w:tcW w:w="89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52"/>
        </w:trPr>
        <w:tc>
          <w:tcPr>
            <w:tcW w:w="1320" w:type="dxa"/>
            <w:vAlign w:val="bottom"/>
            <w:vMerge w:val="continue"/>
          </w:tcPr>
          <w:p>
            <w:pPr>
              <w:spacing w:after="0"/>
              <w:rPr>
                <w:sz w:val="4"/>
                <w:szCs w:val="4"/>
                <w:color w:val="auto"/>
              </w:rPr>
            </w:pPr>
          </w:p>
        </w:tc>
        <w:tc>
          <w:tcPr>
            <w:tcW w:w="480" w:type="dxa"/>
            <w:vAlign w:val="bottom"/>
          </w:tcPr>
          <w:p>
            <w:pPr>
              <w:spacing w:after="0"/>
              <w:rPr>
                <w:sz w:val="4"/>
                <w:szCs w:val="4"/>
                <w:color w:val="auto"/>
              </w:rPr>
            </w:pPr>
          </w:p>
        </w:tc>
        <w:tc>
          <w:tcPr>
            <w:tcW w:w="89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1320" w:type="dxa"/>
            <w:vAlign w:val="bottom"/>
          </w:tcPr>
          <w:p>
            <w:pPr>
              <w:jc w:val="center"/>
              <w:spacing w:after="0"/>
              <w:rPr>
                <w:sz w:val="20"/>
                <w:szCs w:val="20"/>
                <w:color w:val="auto"/>
              </w:rPr>
            </w:pPr>
            <w:r>
              <w:rPr>
                <w:rFonts w:ascii="Arial" w:cs="Arial" w:eastAsia="Arial" w:hAnsi="Arial"/>
                <w:sz w:val="18"/>
                <w:szCs w:val="18"/>
                <w:color w:val="auto"/>
                <w:w w:val="92"/>
              </w:rPr>
              <w:t>PERSON</w:t>
            </w:r>
          </w:p>
        </w:tc>
        <w:tc>
          <w:tcPr>
            <w:tcW w:w="480" w:type="dxa"/>
            <w:vAlign w:val="bottom"/>
          </w:tcPr>
          <w:p>
            <w:pPr>
              <w:spacing w:after="0"/>
              <w:rPr>
                <w:sz w:val="18"/>
                <w:szCs w:val="18"/>
                <w:color w:val="auto"/>
              </w:rPr>
            </w:pPr>
          </w:p>
        </w:tc>
        <w:tc>
          <w:tcPr>
            <w:tcW w:w="8900" w:type="dxa"/>
            <w:vAlign w:val="bottom"/>
            <w:vMerge w:val="restart"/>
          </w:tcPr>
          <w:p>
            <w:pPr>
              <w:ind w:left="1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05"/>
        </w:trPr>
        <w:tc>
          <w:tcPr>
            <w:tcW w:w="1320" w:type="dxa"/>
            <w:vAlign w:val="bottom"/>
          </w:tcPr>
          <w:p>
            <w:pPr>
              <w:jc w:val="center"/>
              <w:spacing w:after="0" w:line="205" w:lineRule="exact"/>
              <w:rPr>
                <w:sz w:val="20"/>
                <w:szCs w:val="20"/>
                <w:color w:val="auto"/>
              </w:rPr>
            </w:pPr>
            <w:r>
              <w:rPr>
                <w:rFonts w:ascii="Arial" w:cs="Arial" w:eastAsia="Arial" w:hAnsi="Arial"/>
                <w:sz w:val="18"/>
                <w:szCs w:val="18"/>
                <w:color w:val="auto"/>
                <w:w w:val="99"/>
              </w:rPr>
              <w:t>WITH</w:t>
            </w:r>
          </w:p>
        </w:tc>
        <w:tc>
          <w:tcPr>
            <w:tcW w:w="480" w:type="dxa"/>
            <w:vAlign w:val="bottom"/>
          </w:tcPr>
          <w:p>
            <w:pPr>
              <w:spacing w:after="0"/>
              <w:rPr>
                <w:sz w:val="17"/>
                <w:szCs w:val="17"/>
                <w:color w:val="auto"/>
              </w:rPr>
            </w:pPr>
          </w:p>
        </w:tc>
        <w:tc>
          <w:tcPr>
            <w:tcW w:w="89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bl>
    <w:p>
      <w:pPr>
        <w:ind w:left="2164" w:right="6280" w:hanging="530"/>
        <w:spacing w:after="0" w:line="332" w:lineRule="auto"/>
        <w:tabs>
          <w:tab w:leader="none" w:pos="2164" w:val="left"/>
        </w:tabs>
        <w:numPr>
          <w:ilvl w:val="2"/>
          <w:numId w:val="12"/>
        </w:numPr>
        <w:rPr>
          <w:rFonts w:ascii="Arial" w:cs="Arial" w:eastAsia="Arial" w:hAnsi="Arial"/>
          <w:sz w:val="18"/>
          <w:szCs w:val="18"/>
          <w:color w:val="auto"/>
        </w:rPr>
      </w:pPr>
      <w:r>
        <w:rPr>
          <w:rFonts w:ascii="Arial" w:cs="Arial" w:eastAsia="Arial" w:hAnsi="Arial"/>
          <w:sz w:val="18"/>
          <w:szCs w:val="18"/>
          <w:color w:val="auto"/>
        </w:rPr>
        <w:t>SHARED DISPOSITIVE POWER 2,498,553</w:t>
      </w:r>
      <w:r>
        <w:rPr>
          <w:rFonts w:ascii="Arial" w:cs="Arial" w:eastAsia="Arial" w:hAnsi="Arial"/>
          <w:sz w:val="26"/>
          <w:szCs w:val="26"/>
          <w:color w:val="auto"/>
          <w:vertAlign w:val="superscript"/>
        </w:rPr>
        <w:t>(1)</w:t>
      </w:r>
    </w:p>
    <w:p>
      <w:pPr>
        <w:spacing w:after="0" w:line="2" w:lineRule="exact"/>
        <w:rPr>
          <w:rFonts w:ascii="Arial" w:cs="Arial" w:eastAsia="Arial" w:hAnsi="Arial"/>
          <w:sz w:val="18"/>
          <w:szCs w:val="18"/>
          <w:color w:val="auto"/>
        </w:rPr>
      </w:pPr>
    </w:p>
    <w:p>
      <w:pPr>
        <w:ind w:left="664" w:right="3760" w:hanging="507"/>
        <w:spacing w:after="0" w:line="339" w:lineRule="auto"/>
        <w:tabs>
          <w:tab w:leader="none" w:pos="664" w:val="left"/>
        </w:tabs>
        <w:numPr>
          <w:ilvl w:val="1"/>
          <w:numId w:val="13"/>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2,498,553</w:t>
      </w:r>
      <w:r>
        <w:rPr>
          <w:rFonts w:ascii="Arial" w:cs="Arial" w:eastAsia="Arial" w:hAnsi="Arial"/>
          <w:sz w:val="26"/>
          <w:szCs w:val="26"/>
          <w:color w:val="auto"/>
          <w:vertAlign w:val="superscript"/>
        </w:rPr>
        <w:t>(1)</w:t>
      </w:r>
    </w:p>
    <w:p>
      <w:pPr>
        <w:ind w:left="664" w:hanging="507"/>
        <w:spacing w:after="0"/>
        <w:tabs>
          <w:tab w:leader="none" w:pos="664" w:val="left"/>
        </w:tabs>
        <w:numPr>
          <w:ilvl w:val="1"/>
          <w:numId w:val="13"/>
        </w:numPr>
        <w:rPr>
          <w:rFonts w:ascii="Arial" w:cs="Arial" w:eastAsia="Arial" w:hAnsi="Arial"/>
          <w:sz w:val="18"/>
          <w:szCs w:val="18"/>
          <w:color w:val="auto"/>
        </w:rPr>
      </w:pPr>
      <w:r>
        <w:rPr>
          <w:rFonts w:ascii="Arial" w:cs="Arial" w:eastAsia="Arial" w:hAnsi="Arial"/>
          <w:sz w:val="18"/>
          <w:szCs w:val="18"/>
          <w:color w:val="auto"/>
        </w:rPr>
        <w:t>CHECK BOX IF THE AGGREGATE AMOUNT IN ROW (11) EXCLUDES CERTAIN SHARES (see instructions)</w:t>
      </w:r>
    </w:p>
    <w:p>
      <w:pPr>
        <w:spacing w:after="0" w:line="191" w:lineRule="exact"/>
        <w:rPr>
          <w:rFonts w:ascii="Arial" w:cs="Arial" w:eastAsia="Arial" w:hAnsi="Arial"/>
          <w:sz w:val="18"/>
          <w:szCs w:val="18"/>
          <w:color w:val="auto"/>
        </w:rPr>
      </w:pPr>
    </w:p>
    <w:p>
      <w:pPr>
        <w:ind w:left="664"/>
        <w:spacing w:after="0" w:line="181" w:lineRule="exact"/>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22" w:lineRule="exact"/>
        <w:rPr>
          <w:rFonts w:ascii="Arial" w:cs="Arial" w:eastAsia="Arial" w:hAnsi="Arial"/>
          <w:sz w:val="18"/>
          <w:szCs w:val="18"/>
          <w:color w:val="auto"/>
        </w:rPr>
      </w:pPr>
    </w:p>
    <w:p>
      <w:pPr>
        <w:ind w:left="664" w:hanging="507"/>
        <w:spacing w:after="0"/>
        <w:tabs>
          <w:tab w:leader="none" w:pos="664" w:val="left"/>
        </w:tabs>
        <w:numPr>
          <w:ilvl w:val="1"/>
          <w:numId w:val="13"/>
        </w:numPr>
        <w:rPr>
          <w:rFonts w:ascii="Arial" w:cs="Arial" w:eastAsia="Arial" w:hAnsi="Arial"/>
          <w:sz w:val="18"/>
          <w:szCs w:val="18"/>
          <w:color w:val="auto"/>
        </w:rPr>
      </w:pPr>
      <w:r>
        <w:rPr>
          <w:rFonts w:ascii="Arial" w:cs="Arial" w:eastAsia="Arial" w:hAnsi="Arial"/>
          <w:sz w:val="18"/>
          <w:szCs w:val="18"/>
          <w:color w:val="auto"/>
        </w:rPr>
        <w:t>PERCENT OF CLASS REPRESENTED BY AMOUNT IN ROW (11)</w:t>
      </w:r>
    </w:p>
    <w:p>
      <w:pPr>
        <w:spacing w:after="0" w:line="196" w:lineRule="exact"/>
        <w:rPr>
          <w:rFonts w:ascii="Arial" w:cs="Arial" w:eastAsia="Arial" w:hAnsi="Arial"/>
          <w:sz w:val="18"/>
          <w:szCs w:val="18"/>
          <w:color w:val="auto"/>
        </w:rPr>
      </w:pPr>
    </w:p>
    <w:p>
      <w:pPr>
        <w:ind w:left="664"/>
        <w:spacing w:after="0"/>
        <w:rPr>
          <w:rFonts w:ascii="Arial" w:cs="Arial" w:eastAsia="Arial" w:hAnsi="Arial"/>
          <w:sz w:val="18"/>
          <w:szCs w:val="18"/>
          <w:color w:val="auto"/>
        </w:rPr>
      </w:pPr>
      <w:r>
        <w:rPr>
          <w:rFonts w:ascii="Arial" w:cs="Arial" w:eastAsia="Arial" w:hAnsi="Arial"/>
          <w:sz w:val="18"/>
          <w:szCs w:val="18"/>
          <w:color w:val="auto"/>
        </w:rPr>
        <w:t>5.3%</w:t>
      </w:r>
      <w:r>
        <w:rPr>
          <w:rFonts w:ascii="Arial" w:cs="Arial" w:eastAsia="Arial" w:hAnsi="Arial"/>
          <w:sz w:val="26"/>
          <w:szCs w:val="26"/>
          <w:color w:val="auto"/>
          <w:vertAlign w:val="superscript"/>
        </w:rPr>
        <w:t>(2)</w:t>
      </w:r>
    </w:p>
    <w:p>
      <w:pPr>
        <w:ind w:left="664" w:hanging="507"/>
        <w:spacing w:after="0"/>
        <w:tabs>
          <w:tab w:leader="none" w:pos="664" w:val="left"/>
        </w:tabs>
        <w:numPr>
          <w:ilvl w:val="1"/>
          <w:numId w:val="13"/>
        </w:numPr>
        <w:rPr>
          <w:rFonts w:ascii="Arial" w:cs="Arial" w:eastAsia="Arial" w:hAnsi="Arial"/>
          <w:sz w:val="18"/>
          <w:szCs w:val="18"/>
          <w:color w:val="auto"/>
        </w:rPr>
      </w:pPr>
      <w:r>
        <w:rPr>
          <w:rFonts w:ascii="Arial" w:cs="Arial" w:eastAsia="Arial" w:hAnsi="Arial"/>
          <w:sz w:val="18"/>
          <w:szCs w:val="18"/>
          <w:color w:val="auto"/>
        </w:rPr>
        <w:t>TYPE OF REPORTING PERSON (see instructions)</w:t>
      </w:r>
    </w:p>
    <w:p>
      <w:pPr>
        <w:spacing w:after="0" w:line="236" w:lineRule="exact"/>
        <w:rPr>
          <w:rFonts w:ascii="Arial" w:cs="Arial" w:eastAsia="Arial" w:hAnsi="Arial"/>
          <w:sz w:val="18"/>
          <w:szCs w:val="18"/>
          <w:color w:val="auto"/>
        </w:rPr>
      </w:pPr>
    </w:p>
    <w:p>
      <w:pPr>
        <w:ind w:left="664"/>
        <w:spacing w:after="0"/>
        <w:rPr>
          <w:rFonts w:ascii="Arial" w:cs="Arial" w:eastAsia="Arial" w:hAnsi="Arial"/>
          <w:sz w:val="18"/>
          <w:szCs w:val="18"/>
          <w:color w:val="auto"/>
        </w:rPr>
      </w:pPr>
      <w:r>
        <w:rPr>
          <w:rFonts w:ascii="Arial" w:cs="Arial" w:eastAsia="Arial" w:hAnsi="Arial"/>
          <w:sz w:val="18"/>
          <w:szCs w:val="18"/>
          <w:color w:val="auto"/>
        </w:rPr>
        <w:t>CO</w:t>
      </w:r>
    </w:p>
    <w:p>
      <w:pPr>
        <w:spacing w:after="0" w:line="292" w:lineRule="exact"/>
        <w:rPr>
          <w:rFonts w:ascii="Arial" w:cs="Arial" w:eastAsia="Arial" w:hAnsi="Arial"/>
          <w:sz w:val="18"/>
          <w:szCs w:val="18"/>
          <w:color w:val="auto"/>
        </w:rPr>
      </w:pPr>
    </w:p>
    <w:p>
      <w:pPr>
        <w:ind w:left="444" w:right="300" w:hanging="444"/>
        <w:spacing w:after="0" w:line="258" w:lineRule="auto"/>
        <w:tabs>
          <w:tab w:leader="none" w:pos="444"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Reflects (i) 396,290 Class A Ordinary Shares held by Igomax Inc. and (ii) 2,102,263 Class A Ordinary Shares issuable upon the conversion of 2,102,263 Class B Ordinary Shares held by Igomax Inc.</w:t>
      </w:r>
    </w:p>
    <w:p>
      <w:pPr>
        <w:spacing w:after="0" w:line="1" w:lineRule="exact"/>
        <w:rPr>
          <w:rFonts w:ascii="Arial" w:cs="Arial" w:eastAsia="Arial" w:hAnsi="Arial"/>
          <w:sz w:val="18"/>
          <w:szCs w:val="18"/>
          <w:color w:val="auto"/>
        </w:rPr>
      </w:pPr>
    </w:p>
    <w:p>
      <w:pPr>
        <w:ind w:left="444" w:hanging="444"/>
        <w:spacing w:after="0" w:line="302" w:lineRule="auto"/>
        <w:tabs>
          <w:tab w:leader="none" w:pos="444"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The percent ownership calculation assumes that there is a total of 47,113,493 Class A Ordinary Shares outstanding, which includes (i) the 45,011,230 Class A Ordinary Shares outstanding as of March 31, 2023, as reported in the Issuer’s Form 20-F filed with the SEC on May 11, 2023, and (ii) the 2,102,263 Class A Ordinary Shares issuable upon the conversion of 2,102,263 Class B Ordinary Shares held by Igomax Inc.</w:t>
      </w:r>
    </w:p>
    <w:p>
      <w:pPr>
        <w:sectPr>
          <w:pgSz w:w="11900" w:h="16838" w:orient="portrait"/>
          <w:cols w:equalWidth="0" w:num="1">
            <w:col w:w="10964"/>
          </w:cols>
          <w:pgMar w:left="436" w:top="490" w:right="499" w:bottom="1440" w:gutter="0" w:footer="0" w:header="0"/>
        </w:sectPr>
      </w:pPr>
    </w:p>
    <w:bookmarkStart w:id="3" w:name="page4"/>
    <w:bookmarkEnd w:id="3"/>
    <w:p>
      <w:pPr>
        <w:ind w:left="4"/>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08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50800"/>
                    </a:xfrm>
                    <a:prstGeom prst="rect">
                      <a:avLst/>
                    </a:prstGeom>
                    <a:noFill/>
                  </pic:spPr>
                </pic:pic>
              </a:graphicData>
            </a:graphic>
          </wp:anchor>
        </w:drawing>
        <w:t>CUSIP No. G47048 106</w:t>
      </w:r>
    </w:p>
    <w:p>
      <w:pPr>
        <w:spacing w:after="0" w:line="171" w:lineRule="exact"/>
        <w:rPr>
          <w:sz w:val="20"/>
          <w:szCs w:val="20"/>
          <w:color w:val="auto"/>
        </w:rPr>
      </w:pPr>
    </w:p>
    <w:p>
      <w:pPr>
        <w:ind w:left="684" w:hanging="437"/>
        <w:spacing w:after="0"/>
        <w:tabs>
          <w:tab w:leader="none" w:pos="684" w:val="left"/>
        </w:tabs>
        <w:numPr>
          <w:ilvl w:val="0"/>
          <w:numId w:val="15"/>
        </w:numPr>
        <w:rPr>
          <w:rFonts w:ascii="Arial" w:cs="Arial" w:eastAsia="Arial" w:hAnsi="Arial"/>
          <w:sz w:val="18"/>
          <w:szCs w:val="18"/>
          <w:color w:val="auto"/>
        </w:rPr>
      </w:pPr>
      <w:r>
        <w:rPr>
          <w:rFonts w:ascii="Arial" w:cs="Arial" w:eastAsia="Arial" w:hAnsi="Arial"/>
          <w:sz w:val="18"/>
          <w:szCs w:val="18"/>
          <w:color w:val="auto"/>
        </w:rPr>
        <w:t>NAMES OF REPORTING PERSONS</w:t>
      </w:r>
    </w:p>
    <w:p>
      <w:pPr>
        <w:spacing w:after="0" w:line="23" w:lineRule="exact"/>
        <w:rPr>
          <w:rFonts w:ascii="Arial" w:cs="Arial" w:eastAsia="Arial" w:hAnsi="Arial"/>
          <w:sz w:val="18"/>
          <w:szCs w:val="18"/>
          <w:color w:val="auto"/>
        </w:rPr>
      </w:pPr>
    </w:p>
    <w:p>
      <w:pPr>
        <w:ind w:left="684" w:right="4720"/>
        <w:spacing w:after="0" w:line="398" w:lineRule="auto"/>
        <w:rPr>
          <w:rFonts w:ascii="Arial" w:cs="Arial" w:eastAsia="Arial" w:hAnsi="Arial"/>
          <w:sz w:val="18"/>
          <w:szCs w:val="18"/>
          <w:color w:val="auto"/>
        </w:rPr>
      </w:pPr>
      <w:r>
        <w:rPr>
          <w:rFonts w:ascii="Arial" w:cs="Arial" w:eastAsia="Arial" w:hAnsi="Arial"/>
          <w:sz w:val="18"/>
          <w:szCs w:val="18"/>
          <w:color w:val="auto"/>
        </w:rPr>
        <w:t>I.R.S. IDENTIFICATION NOS. OF ABOVE PERSONS (ENTITIES ONLY) Wing Hong Sammy Hsieh</w:t>
      </w:r>
    </w:p>
    <w:p>
      <w:pPr>
        <w:spacing w:after="0" w:line="1" w:lineRule="exact"/>
        <w:rPr>
          <w:rFonts w:ascii="Arial" w:cs="Arial" w:eastAsia="Arial" w:hAnsi="Arial"/>
          <w:sz w:val="18"/>
          <w:szCs w:val="18"/>
          <w:color w:val="auto"/>
        </w:rPr>
      </w:pPr>
    </w:p>
    <w:p>
      <w:pPr>
        <w:ind w:left="684" w:hanging="437"/>
        <w:spacing w:after="0"/>
        <w:tabs>
          <w:tab w:leader="none" w:pos="684" w:val="left"/>
        </w:tabs>
        <w:numPr>
          <w:ilvl w:val="0"/>
          <w:numId w:val="15"/>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-713105</wp:posOffset>
            </wp:positionV>
            <wp:extent cx="6926580" cy="629221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926580" cy="6292215"/>
                    </a:xfrm>
                    <a:prstGeom prst="rect">
                      <a:avLst/>
                    </a:prstGeom>
                    <a:noFill/>
                  </pic:spPr>
                </pic:pic>
              </a:graphicData>
            </a:graphic>
          </wp:anchor>
        </w:drawing>
      </w:r>
    </w:p>
    <w:p>
      <w:pPr>
        <w:ind w:left="684"/>
        <w:spacing w:after="0" w:line="205" w:lineRule="exact"/>
        <w:tabs>
          <w:tab w:leader="none" w:pos="1464" w:val="left"/>
        </w:tabs>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 xml:space="preserve">(b) </w:t>
      </w:r>
      <w:r>
        <w:rPr>
          <w:rFonts w:ascii="MS PGothic" w:cs="MS PGothic" w:eastAsia="MS PGothic" w:hAnsi="MS PGothic"/>
          <w:sz w:val="18"/>
          <w:szCs w:val="18"/>
          <w:color w:val="auto"/>
        </w:rPr>
        <w:t>☐</w:t>
      </w:r>
    </w:p>
    <w:p>
      <w:pPr>
        <w:spacing w:after="0" w:line="283" w:lineRule="exact"/>
        <w:rPr>
          <w:sz w:val="20"/>
          <w:szCs w:val="20"/>
          <w:color w:val="auto"/>
        </w:rPr>
      </w:pPr>
    </w:p>
    <w:p>
      <w:pPr>
        <w:ind w:left="684" w:hanging="437"/>
        <w:spacing w:after="0"/>
        <w:tabs>
          <w:tab w:leader="none" w:pos="684" w:val="left"/>
        </w:tabs>
        <w:numPr>
          <w:ilvl w:val="0"/>
          <w:numId w:val="16"/>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79" w:lineRule="exact"/>
        <w:rPr>
          <w:rFonts w:ascii="Arial" w:cs="Arial" w:eastAsia="Arial" w:hAnsi="Arial"/>
          <w:sz w:val="18"/>
          <w:szCs w:val="18"/>
          <w:color w:val="auto"/>
        </w:rPr>
      </w:pPr>
    </w:p>
    <w:p>
      <w:pPr>
        <w:ind w:left="684" w:hanging="437"/>
        <w:spacing w:after="0"/>
        <w:tabs>
          <w:tab w:leader="none" w:pos="684" w:val="left"/>
        </w:tabs>
        <w:numPr>
          <w:ilvl w:val="0"/>
          <w:numId w:val="16"/>
        </w:numPr>
        <w:rPr>
          <w:rFonts w:ascii="Arial" w:cs="Arial" w:eastAsia="Arial" w:hAnsi="Arial"/>
          <w:sz w:val="18"/>
          <w:szCs w:val="18"/>
          <w:color w:val="auto"/>
        </w:rPr>
      </w:pPr>
      <w:r>
        <w:rPr>
          <w:rFonts w:ascii="Arial" w:cs="Arial" w:eastAsia="Arial" w:hAnsi="Arial"/>
          <w:sz w:val="18"/>
          <w:szCs w:val="18"/>
          <w:color w:val="auto"/>
        </w:rPr>
        <w:t>SOURCE OF FUNDS (see instructions)</w:t>
      </w:r>
    </w:p>
    <w:p>
      <w:pPr>
        <w:spacing w:after="0" w:line="252" w:lineRule="exact"/>
        <w:rPr>
          <w:rFonts w:ascii="Arial" w:cs="Arial" w:eastAsia="Arial" w:hAnsi="Arial"/>
          <w:sz w:val="18"/>
          <w:szCs w:val="18"/>
          <w:color w:val="auto"/>
        </w:rPr>
      </w:pPr>
    </w:p>
    <w:p>
      <w:pPr>
        <w:ind w:left="684"/>
        <w:spacing w:after="0"/>
        <w:rPr>
          <w:rFonts w:ascii="Arial" w:cs="Arial" w:eastAsia="Arial" w:hAnsi="Arial"/>
          <w:sz w:val="18"/>
          <w:szCs w:val="18"/>
          <w:color w:val="auto"/>
        </w:rPr>
      </w:pPr>
      <w:r>
        <w:rPr>
          <w:rFonts w:ascii="Arial" w:cs="Arial" w:eastAsia="Arial" w:hAnsi="Arial"/>
          <w:sz w:val="18"/>
          <w:szCs w:val="18"/>
          <w:color w:val="auto"/>
        </w:rPr>
        <w:t>OO</w:t>
      </w:r>
    </w:p>
    <w:p>
      <w:pPr>
        <w:spacing w:after="0" w:line="36" w:lineRule="exact"/>
        <w:rPr>
          <w:rFonts w:ascii="Arial" w:cs="Arial" w:eastAsia="Arial" w:hAnsi="Arial"/>
          <w:sz w:val="18"/>
          <w:szCs w:val="18"/>
          <w:color w:val="auto"/>
        </w:rPr>
      </w:pPr>
    </w:p>
    <w:p>
      <w:pPr>
        <w:ind w:left="684" w:hanging="437"/>
        <w:spacing w:after="0"/>
        <w:tabs>
          <w:tab w:leader="none" w:pos="684" w:val="left"/>
        </w:tabs>
        <w:numPr>
          <w:ilvl w:val="0"/>
          <w:numId w:val="16"/>
        </w:numPr>
        <w:rPr>
          <w:rFonts w:ascii="Arial" w:cs="Arial" w:eastAsia="Arial" w:hAnsi="Arial"/>
          <w:sz w:val="18"/>
          <w:szCs w:val="18"/>
          <w:color w:val="auto"/>
        </w:rPr>
      </w:pPr>
      <w:r>
        <w:rPr>
          <w:rFonts w:ascii="Arial" w:cs="Arial" w:eastAsia="Arial" w:hAnsi="Arial"/>
          <w:sz w:val="18"/>
          <w:szCs w:val="18"/>
          <w:color w:val="auto"/>
        </w:rPr>
        <w:t>CHECK BOX IF DISCLOSURE OF LEGAL PROCEEDINGS IS REQUIRED PURSUANT TO ITEMS 2(d) or 2(e)</w:t>
      </w:r>
    </w:p>
    <w:p>
      <w:pPr>
        <w:spacing w:after="0" w:line="207" w:lineRule="exact"/>
        <w:rPr>
          <w:rFonts w:ascii="Arial" w:cs="Arial" w:eastAsia="Arial" w:hAnsi="Arial"/>
          <w:sz w:val="18"/>
          <w:szCs w:val="18"/>
          <w:color w:val="auto"/>
        </w:rPr>
      </w:pPr>
    </w:p>
    <w:p>
      <w:pPr>
        <w:ind w:left="684"/>
        <w:spacing w:after="0" w:line="181" w:lineRule="exact"/>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22" w:lineRule="exact"/>
        <w:rPr>
          <w:rFonts w:ascii="Arial" w:cs="Arial" w:eastAsia="Arial" w:hAnsi="Arial"/>
          <w:sz w:val="18"/>
          <w:szCs w:val="18"/>
          <w:color w:val="auto"/>
        </w:rPr>
      </w:pPr>
    </w:p>
    <w:p>
      <w:pPr>
        <w:ind w:left="684" w:hanging="437"/>
        <w:spacing w:after="0"/>
        <w:tabs>
          <w:tab w:leader="none" w:pos="684" w:val="left"/>
        </w:tabs>
        <w:numPr>
          <w:ilvl w:val="0"/>
          <w:numId w:val="16"/>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250" w:lineRule="exact"/>
        <w:rPr>
          <w:sz w:val="20"/>
          <w:szCs w:val="20"/>
          <w:color w:val="auto"/>
        </w:rPr>
      </w:pPr>
    </w:p>
    <w:p>
      <w:pPr>
        <w:ind w:left="684"/>
        <w:spacing w:after="0"/>
        <w:rPr>
          <w:sz w:val="20"/>
          <w:szCs w:val="20"/>
          <w:color w:val="auto"/>
        </w:rPr>
      </w:pPr>
      <w:r>
        <w:rPr>
          <w:rFonts w:ascii="Arial" w:cs="Arial" w:eastAsia="Arial" w:hAnsi="Arial"/>
          <w:sz w:val="18"/>
          <w:szCs w:val="18"/>
          <w:color w:val="auto"/>
        </w:rPr>
        <w:t>Hong Kong S.A.R.</w:t>
      </w:r>
    </w:p>
    <w:p>
      <w:pPr>
        <w:spacing w:after="0" w:line="36" w:lineRule="exact"/>
        <w:rPr>
          <w:sz w:val="20"/>
          <w:szCs w:val="20"/>
          <w:color w:val="auto"/>
        </w:rPr>
      </w:pPr>
    </w:p>
    <w:p>
      <w:pPr>
        <w:ind w:left="2164" w:hanging="440"/>
        <w:spacing w:after="0"/>
        <w:tabs>
          <w:tab w:leader="none" w:pos="2164" w:val="left"/>
        </w:tabs>
        <w:numPr>
          <w:ilvl w:val="0"/>
          <w:numId w:val="17"/>
        </w:numPr>
        <w:rPr>
          <w:rFonts w:ascii="Arial" w:cs="Arial" w:eastAsia="Arial" w:hAnsi="Arial"/>
          <w:sz w:val="18"/>
          <w:szCs w:val="18"/>
          <w:color w:val="auto"/>
        </w:rPr>
      </w:pPr>
      <w:r>
        <w:rPr>
          <w:rFonts w:ascii="Arial" w:cs="Arial" w:eastAsia="Arial" w:hAnsi="Arial"/>
          <w:sz w:val="18"/>
          <w:szCs w:val="18"/>
          <w:color w:val="auto"/>
        </w:rPr>
        <w:t>SOLE VOTING POWER</w:t>
      </w:r>
    </w:p>
    <w:p>
      <w:pPr>
        <w:spacing w:after="0" w:line="212" w:lineRule="exact"/>
        <w:rPr>
          <w:sz w:val="20"/>
          <w:szCs w:val="20"/>
          <w:color w:val="auto"/>
        </w:rPr>
      </w:pPr>
    </w:p>
    <w:tbl>
      <w:tblPr>
        <w:tblLayout w:type="fixed"/>
        <w:tblInd w:w="204" w:type="dxa"/>
        <w:tblCellMar>
          <w:top w:w="0" w:type="dxa"/>
          <w:left w:w="0" w:type="dxa"/>
          <w:bottom w:w="0" w:type="dxa"/>
          <w:right w:w="0" w:type="dxa"/>
        </w:tblCellMar>
      </w:tblPr>
      <w:tr>
        <w:trPr>
          <w:trHeight w:val="217"/>
        </w:trPr>
        <w:tc>
          <w:tcPr>
            <w:tcW w:w="1320" w:type="dxa"/>
            <w:vAlign w:val="bottom"/>
          </w:tcPr>
          <w:p>
            <w:pPr>
              <w:jc w:val="center"/>
              <w:spacing w:after="0"/>
              <w:rPr>
                <w:sz w:val="20"/>
                <w:szCs w:val="20"/>
                <w:color w:val="auto"/>
              </w:rPr>
            </w:pPr>
            <w:r>
              <w:rPr>
                <w:rFonts w:ascii="Arial" w:cs="Arial" w:eastAsia="Arial" w:hAnsi="Arial"/>
                <w:sz w:val="18"/>
                <w:szCs w:val="18"/>
                <w:color w:val="auto"/>
                <w:w w:val="96"/>
              </w:rPr>
              <w:t>NUMBER OF</w:t>
            </w:r>
          </w:p>
        </w:tc>
        <w:tc>
          <w:tcPr>
            <w:tcW w:w="480" w:type="dxa"/>
            <w:vAlign w:val="bottom"/>
          </w:tcPr>
          <w:p>
            <w:pPr>
              <w:spacing w:after="0"/>
              <w:rPr>
                <w:sz w:val="18"/>
                <w:szCs w:val="18"/>
                <w:color w:val="auto"/>
              </w:rPr>
            </w:pPr>
          </w:p>
        </w:tc>
        <w:tc>
          <w:tcPr>
            <w:tcW w:w="8900" w:type="dxa"/>
            <w:vAlign w:val="bottom"/>
          </w:tcPr>
          <w:p>
            <w:pPr>
              <w:ind w:left="160"/>
              <w:spacing w:after="0"/>
              <w:rPr>
                <w:sz w:val="20"/>
                <w:szCs w:val="20"/>
                <w:color w:val="auto"/>
              </w:rPr>
            </w:pPr>
            <w:r>
              <w:rPr>
                <w:rFonts w:ascii="Arial" w:cs="Arial" w:eastAsia="Arial" w:hAnsi="Arial"/>
                <w:sz w:val="18"/>
                <w:szCs w:val="18"/>
                <w:color w:val="auto"/>
              </w:rPr>
              <w:t>241,290</w:t>
            </w:r>
          </w:p>
        </w:tc>
        <w:tc>
          <w:tcPr>
            <w:tcW w:w="0" w:type="dxa"/>
            <w:vAlign w:val="bottom"/>
          </w:tcPr>
          <w:p>
            <w:pPr>
              <w:spacing w:after="0"/>
              <w:rPr>
                <w:sz w:val="1"/>
                <w:szCs w:val="1"/>
                <w:color w:val="auto"/>
              </w:rPr>
            </w:pPr>
          </w:p>
        </w:tc>
      </w:tr>
      <w:tr>
        <w:trPr>
          <w:trHeight w:val="68"/>
        </w:trPr>
        <w:tc>
          <w:tcPr>
            <w:tcW w:w="1320" w:type="dxa"/>
            <w:vAlign w:val="bottom"/>
            <w:vMerge w:val="restart"/>
          </w:tcPr>
          <w:p>
            <w:pPr>
              <w:jc w:val="center"/>
              <w:spacing w:after="0"/>
              <w:rPr>
                <w:sz w:val="20"/>
                <w:szCs w:val="20"/>
                <w:color w:val="auto"/>
              </w:rPr>
            </w:pPr>
            <w:r>
              <w:rPr>
                <w:rFonts w:ascii="Arial" w:cs="Arial" w:eastAsia="Arial" w:hAnsi="Arial"/>
                <w:sz w:val="18"/>
                <w:szCs w:val="18"/>
                <w:color w:val="auto"/>
                <w:w w:val="94"/>
              </w:rPr>
              <w:t>SHARES</w:t>
            </w:r>
          </w:p>
        </w:tc>
        <w:tc>
          <w:tcPr>
            <w:tcW w:w="480" w:type="dxa"/>
            <w:vAlign w:val="bottom"/>
            <w:tcBorders>
              <w:bottom w:val="single" w:sz="8" w:color="auto"/>
            </w:tcBorders>
          </w:tcPr>
          <w:p>
            <w:pPr>
              <w:spacing w:after="0"/>
              <w:rPr>
                <w:sz w:val="5"/>
                <w:szCs w:val="5"/>
                <w:color w:val="auto"/>
              </w:rPr>
            </w:pPr>
          </w:p>
        </w:tc>
        <w:tc>
          <w:tcPr>
            <w:tcW w:w="89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28"/>
        </w:trPr>
        <w:tc>
          <w:tcPr>
            <w:tcW w:w="1320" w:type="dxa"/>
            <w:vAlign w:val="bottom"/>
            <w:vMerge w:val="continue"/>
          </w:tcPr>
          <w:p>
            <w:pPr>
              <w:spacing w:after="0"/>
              <w:rPr>
                <w:sz w:val="11"/>
                <w:szCs w:val="11"/>
                <w:color w:val="auto"/>
              </w:rPr>
            </w:pPr>
          </w:p>
        </w:tc>
        <w:tc>
          <w:tcPr>
            <w:tcW w:w="480" w:type="dxa"/>
            <w:vAlign w:val="bottom"/>
            <w:vMerge w:val="restart"/>
          </w:tcPr>
          <w:p>
            <w:pPr>
              <w:jc w:val="right"/>
              <w:ind w:right="50"/>
              <w:spacing w:after="0"/>
              <w:rPr>
                <w:sz w:val="20"/>
                <w:szCs w:val="20"/>
                <w:color w:val="auto"/>
              </w:rPr>
            </w:pPr>
            <w:r>
              <w:rPr>
                <w:rFonts w:ascii="Arial" w:cs="Arial" w:eastAsia="Arial" w:hAnsi="Arial"/>
                <w:sz w:val="18"/>
                <w:szCs w:val="18"/>
                <w:color w:val="auto"/>
              </w:rPr>
              <w:t>8.</w:t>
            </w:r>
          </w:p>
        </w:tc>
        <w:tc>
          <w:tcPr>
            <w:tcW w:w="8900" w:type="dxa"/>
            <w:vAlign w:val="bottom"/>
            <w:vMerge w:val="restart"/>
          </w:tcPr>
          <w:p>
            <w:pPr>
              <w:ind w:left="16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96"/>
        </w:trPr>
        <w:tc>
          <w:tcPr>
            <w:tcW w:w="1320" w:type="dxa"/>
            <w:vAlign w:val="bottom"/>
            <w:vMerge w:val="restart"/>
          </w:tcPr>
          <w:p>
            <w:pPr>
              <w:jc w:val="center"/>
              <w:spacing w:after="0"/>
              <w:rPr>
                <w:sz w:val="20"/>
                <w:szCs w:val="20"/>
                <w:color w:val="auto"/>
              </w:rPr>
            </w:pPr>
            <w:r>
              <w:rPr>
                <w:rFonts w:ascii="Arial" w:cs="Arial" w:eastAsia="Arial" w:hAnsi="Arial"/>
                <w:sz w:val="18"/>
                <w:szCs w:val="18"/>
                <w:color w:val="auto"/>
                <w:w w:val="99"/>
              </w:rPr>
              <w:t>BENEFICIALLY</w:t>
            </w:r>
          </w:p>
        </w:tc>
        <w:tc>
          <w:tcPr>
            <w:tcW w:w="480" w:type="dxa"/>
            <w:vAlign w:val="bottom"/>
            <w:vMerge w:val="continue"/>
          </w:tcPr>
          <w:p>
            <w:pPr>
              <w:spacing w:after="0"/>
              <w:rPr>
                <w:sz w:val="8"/>
                <w:szCs w:val="8"/>
                <w:color w:val="auto"/>
              </w:rPr>
            </w:pPr>
          </w:p>
        </w:tc>
        <w:tc>
          <w:tcPr>
            <w:tcW w:w="89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0"/>
        </w:trPr>
        <w:tc>
          <w:tcPr>
            <w:tcW w:w="1320" w:type="dxa"/>
            <w:vAlign w:val="bottom"/>
            <w:vMerge w:val="continue"/>
          </w:tcPr>
          <w:p>
            <w:pPr>
              <w:spacing w:after="0"/>
              <w:rPr>
                <w:sz w:val="10"/>
                <w:szCs w:val="10"/>
                <w:color w:val="auto"/>
              </w:rPr>
            </w:pPr>
          </w:p>
        </w:tc>
        <w:tc>
          <w:tcPr>
            <w:tcW w:w="480" w:type="dxa"/>
            <w:vAlign w:val="bottom"/>
          </w:tcPr>
          <w:p>
            <w:pPr>
              <w:spacing w:after="0"/>
              <w:rPr>
                <w:sz w:val="10"/>
                <w:szCs w:val="10"/>
                <w:color w:val="auto"/>
              </w:rPr>
            </w:pPr>
          </w:p>
        </w:tc>
        <w:tc>
          <w:tcPr>
            <w:tcW w:w="89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1320" w:type="dxa"/>
            <w:vAlign w:val="bottom"/>
          </w:tcPr>
          <w:p>
            <w:pPr>
              <w:jc w:val="center"/>
              <w:spacing w:after="0"/>
              <w:rPr>
                <w:sz w:val="20"/>
                <w:szCs w:val="20"/>
                <w:color w:val="auto"/>
              </w:rPr>
            </w:pPr>
            <w:r>
              <w:rPr>
                <w:rFonts w:ascii="Arial" w:cs="Arial" w:eastAsia="Arial" w:hAnsi="Arial"/>
                <w:sz w:val="18"/>
                <w:szCs w:val="18"/>
                <w:color w:val="auto"/>
                <w:w w:val="97"/>
              </w:rPr>
              <w:t>OWNED BY</w:t>
            </w:r>
          </w:p>
        </w:tc>
        <w:tc>
          <w:tcPr>
            <w:tcW w:w="480" w:type="dxa"/>
            <w:vAlign w:val="bottom"/>
          </w:tcPr>
          <w:p>
            <w:pPr>
              <w:spacing w:after="0"/>
              <w:rPr>
                <w:sz w:val="18"/>
                <w:szCs w:val="18"/>
                <w:color w:val="auto"/>
              </w:rPr>
            </w:pPr>
          </w:p>
        </w:tc>
        <w:tc>
          <w:tcPr>
            <w:tcW w:w="8900" w:type="dxa"/>
            <w:vAlign w:val="bottom"/>
            <w:vMerge w:val="restart"/>
          </w:tcPr>
          <w:p>
            <w:pPr>
              <w:ind w:left="160"/>
              <w:spacing w:after="0"/>
              <w:rPr>
                <w:sz w:val="20"/>
                <w:szCs w:val="20"/>
                <w:color w:val="auto"/>
              </w:rPr>
            </w:pPr>
            <w:r>
              <w:rPr>
                <w:rFonts w:ascii="Arial" w:cs="Arial" w:eastAsia="Arial" w:hAnsi="Arial"/>
                <w:sz w:val="18"/>
                <w:szCs w:val="18"/>
                <w:color w:val="auto"/>
              </w:rPr>
              <w:t>2,282,815</w:t>
            </w:r>
            <w:r>
              <w:rPr>
                <w:rFonts w:ascii="Arial" w:cs="Arial" w:eastAsia="Arial" w:hAnsi="Arial"/>
                <w:sz w:val="26"/>
                <w:szCs w:val="26"/>
                <w:color w:val="auto"/>
                <w:vertAlign w:val="superscript"/>
              </w:rPr>
              <w:t>(1)</w:t>
            </w:r>
          </w:p>
        </w:tc>
        <w:tc>
          <w:tcPr>
            <w:tcW w:w="0" w:type="dxa"/>
            <w:vAlign w:val="bottom"/>
          </w:tcPr>
          <w:p>
            <w:pPr>
              <w:spacing w:after="0"/>
              <w:rPr>
                <w:sz w:val="1"/>
                <w:szCs w:val="1"/>
                <w:color w:val="auto"/>
              </w:rPr>
            </w:pPr>
          </w:p>
        </w:tc>
      </w:tr>
      <w:tr>
        <w:trPr>
          <w:trHeight w:val="136"/>
        </w:trPr>
        <w:tc>
          <w:tcPr>
            <w:tcW w:w="1320" w:type="dxa"/>
            <w:vAlign w:val="bottom"/>
            <w:vMerge w:val="restart"/>
          </w:tcPr>
          <w:p>
            <w:pPr>
              <w:jc w:val="center"/>
              <w:spacing w:after="0"/>
              <w:rPr>
                <w:sz w:val="20"/>
                <w:szCs w:val="20"/>
                <w:color w:val="auto"/>
              </w:rPr>
            </w:pPr>
            <w:r>
              <w:rPr>
                <w:rFonts w:ascii="Arial" w:cs="Arial" w:eastAsia="Arial" w:hAnsi="Arial"/>
                <w:sz w:val="18"/>
                <w:szCs w:val="18"/>
                <w:color w:val="auto"/>
                <w:w w:val="99"/>
              </w:rPr>
              <w:t>EACH</w:t>
            </w:r>
          </w:p>
        </w:tc>
        <w:tc>
          <w:tcPr>
            <w:tcW w:w="480" w:type="dxa"/>
            <w:vAlign w:val="bottom"/>
            <w:tcBorders>
              <w:bottom w:val="single" w:sz="8" w:color="auto"/>
            </w:tcBorders>
          </w:tcPr>
          <w:p>
            <w:pPr>
              <w:spacing w:after="0"/>
              <w:rPr>
                <w:sz w:val="11"/>
                <w:szCs w:val="11"/>
                <w:color w:val="auto"/>
              </w:rPr>
            </w:pPr>
          </w:p>
        </w:tc>
        <w:tc>
          <w:tcPr>
            <w:tcW w:w="8900" w:type="dxa"/>
            <w:vAlign w:val="bottom"/>
            <w:tcBorders>
              <w:bottom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60"/>
        </w:trPr>
        <w:tc>
          <w:tcPr>
            <w:tcW w:w="1320" w:type="dxa"/>
            <w:vAlign w:val="bottom"/>
            <w:vMerge w:val="continue"/>
          </w:tcPr>
          <w:p>
            <w:pPr>
              <w:spacing w:after="0"/>
              <w:rPr>
                <w:sz w:val="5"/>
                <w:szCs w:val="5"/>
                <w:color w:val="auto"/>
              </w:rPr>
            </w:pPr>
          </w:p>
        </w:tc>
        <w:tc>
          <w:tcPr>
            <w:tcW w:w="480" w:type="dxa"/>
            <w:vAlign w:val="bottom"/>
            <w:vMerge w:val="restart"/>
          </w:tcPr>
          <w:p>
            <w:pPr>
              <w:jc w:val="right"/>
              <w:ind w:right="50"/>
              <w:spacing w:after="0"/>
              <w:rPr>
                <w:sz w:val="20"/>
                <w:szCs w:val="20"/>
                <w:color w:val="auto"/>
              </w:rPr>
            </w:pPr>
            <w:r>
              <w:rPr>
                <w:rFonts w:ascii="Arial" w:cs="Arial" w:eastAsia="Arial" w:hAnsi="Arial"/>
                <w:sz w:val="18"/>
                <w:szCs w:val="18"/>
                <w:color w:val="auto"/>
              </w:rPr>
              <w:t>9.</w:t>
            </w:r>
          </w:p>
        </w:tc>
        <w:tc>
          <w:tcPr>
            <w:tcW w:w="8900" w:type="dxa"/>
            <w:vAlign w:val="bottom"/>
            <w:vMerge w:val="restart"/>
          </w:tcPr>
          <w:p>
            <w:pPr>
              <w:ind w:left="16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164"/>
        </w:trPr>
        <w:tc>
          <w:tcPr>
            <w:tcW w:w="1320" w:type="dxa"/>
            <w:vAlign w:val="bottom"/>
            <w:vMerge w:val="restart"/>
          </w:tcPr>
          <w:p>
            <w:pPr>
              <w:jc w:val="center"/>
              <w:spacing w:after="0"/>
              <w:rPr>
                <w:sz w:val="20"/>
                <w:szCs w:val="20"/>
                <w:color w:val="auto"/>
              </w:rPr>
            </w:pPr>
            <w:r>
              <w:rPr>
                <w:rFonts w:ascii="Arial" w:cs="Arial" w:eastAsia="Arial" w:hAnsi="Arial"/>
                <w:sz w:val="18"/>
                <w:szCs w:val="18"/>
                <w:color w:val="auto"/>
                <w:w w:val="93"/>
              </w:rPr>
              <w:t>REPORTING</w:t>
            </w:r>
          </w:p>
        </w:tc>
        <w:tc>
          <w:tcPr>
            <w:tcW w:w="480" w:type="dxa"/>
            <w:vAlign w:val="bottom"/>
            <w:vMerge w:val="continue"/>
          </w:tcPr>
          <w:p>
            <w:pPr>
              <w:spacing w:after="0"/>
              <w:rPr>
                <w:sz w:val="14"/>
                <w:szCs w:val="14"/>
                <w:color w:val="auto"/>
              </w:rPr>
            </w:pPr>
          </w:p>
        </w:tc>
        <w:tc>
          <w:tcPr>
            <w:tcW w:w="89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52"/>
        </w:trPr>
        <w:tc>
          <w:tcPr>
            <w:tcW w:w="1320" w:type="dxa"/>
            <w:vAlign w:val="bottom"/>
            <w:vMerge w:val="continue"/>
          </w:tcPr>
          <w:p>
            <w:pPr>
              <w:spacing w:after="0"/>
              <w:rPr>
                <w:sz w:val="4"/>
                <w:szCs w:val="4"/>
                <w:color w:val="auto"/>
              </w:rPr>
            </w:pPr>
          </w:p>
        </w:tc>
        <w:tc>
          <w:tcPr>
            <w:tcW w:w="480" w:type="dxa"/>
            <w:vAlign w:val="bottom"/>
          </w:tcPr>
          <w:p>
            <w:pPr>
              <w:spacing w:after="0"/>
              <w:rPr>
                <w:sz w:val="4"/>
                <w:szCs w:val="4"/>
                <w:color w:val="auto"/>
              </w:rPr>
            </w:pPr>
          </w:p>
        </w:tc>
        <w:tc>
          <w:tcPr>
            <w:tcW w:w="89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1320" w:type="dxa"/>
            <w:vAlign w:val="bottom"/>
          </w:tcPr>
          <w:p>
            <w:pPr>
              <w:jc w:val="center"/>
              <w:spacing w:after="0"/>
              <w:rPr>
                <w:sz w:val="20"/>
                <w:szCs w:val="20"/>
                <w:color w:val="auto"/>
              </w:rPr>
            </w:pPr>
            <w:r>
              <w:rPr>
                <w:rFonts w:ascii="Arial" w:cs="Arial" w:eastAsia="Arial" w:hAnsi="Arial"/>
                <w:sz w:val="18"/>
                <w:szCs w:val="18"/>
                <w:color w:val="auto"/>
                <w:w w:val="92"/>
              </w:rPr>
              <w:t>PERSON</w:t>
            </w:r>
          </w:p>
        </w:tc>
        <w:tc>
          <w:tcPr>
            <w:tcW w:w="480" w:type="dxa"/>
            <w:vAlign w:val="bottom"/>
          </w:tcPr>
          <w:p>
            <w:pPr>
              <w:spacing w:after="0"/>
              <w:rPr>
                <w:sz w:val="18"/>
                <w:szCs w:val="18"/>
                <w:color w:val="auto"/>
              </w:rPr>
            </w:pPr>
          </w:p>
        </w:tc>
        <w:tc>
          <w:tcPr>
            <w:tcW w:w="8900" w:type="dxa"/>
            <w:vAlign w:val="bottom"/>
            <w:vMerge w:val="restart"/>
          </w:tcPr>
          <w:p>
            <w:pPr>
              <w:ind w:left="160"/>
              <w:spacing w:after="0"/>
              <w:rPr>
                <w:sz w:val="20"/>
                <w:szCs w:val="20"/>
                <w:color w:val="auto"/>
              </w:rPr>
            </w:pPr>
            <w:r>
              <w:rPr>
                <w:rFonts w:ascii="Arial" w:cs="Arial" w:eastAsia="Arial" w:hAnsi="Arial"/>
                <w:sz w:val="18"/>
                <w:szCs w:val="18"/>
                <w:color w:val="auto"/>
              </w:rPr>
              <w:t>241,290</w:t>
            </w:r>
          </w:p>
        </w:tc>
        <w:tc>
          <w:tcPr>
            <w:tcW w:w="0" w:type="dxa"/>
            <w:vAlign w:val="bottom"/>
          </w:tcPr>
          <w:p>
            <w:pPr>
              <w:spacing w:after="0"/>
              <w:rPr>
                <w:sz w:val="1"/>
                <w:szCs w:val="1"/>
                <w:color w:val="auto"/>
              </w:rPr>
            </w:pPr>
          </w:p>
        </w:tc>
      </w:tr>
      <w:tr>
        <w:trPr>
          <w:trHeight w:val="205"/>
        </w:trPr>
        <w:tc>
          <w:tcPr>
            <w:tcW w:w="1320" w:type="dxa"/>
            <w:vAlign w:val="bottom"/>
          </w:tcPr>
          <w:p>
            <w:pPr>
              <w:jc w:val="center"/>
              <w:spacing w:after="0" w:line="205" w:lineRule="exact"/>
              <w:rPr>
                <w:sz w:val="20"/>
                <w:szCs w:val="20"/>
                <w:color w:val="auto"/>
              </w:rPr>
            </w:pPr>
            <w:r>
              <w:rPr>
                <w:rFonts w:ascii="Arial" w:cs="Arial" w:eastAsia="Arial" w:hAnsi="Arial"/>
                <w:sz w:val="18"/>
                <w:szCs w:val="18"/>
                <w:color w:val="auto"/>
                <w:w w:val="99"/>
              </w:rPr>
              <w:t>WITH</w:t>
            </w:r>
          </w:p>
        </w:tc>
        <w:tc>
          <w:tcPr>
            <w:tcW w:w="480" w:type="dxa"/>
            <w:vAlign w:val="bottom"/>
          </w:tcPr>
          <w:p>
            <w:pPr>
              <w:spacing w:after="0"/>
              <w:rPr>
                <w:sz w:val="17"/>
                <w:szCs w:val="17"/>
                <w:color w:val="auto"/>
              </w:rPr>
            </w:pPr>
          </w:p>
        </w:tc>
        <w:tc>
          <w:tcPr>
            <w:tcW w:w="89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bl>
    <w:p>
      <w:pPr>
        <w:ind w:left="2164" w:right="6280" w:hanging="530"/>
        <w:spacing w:after="0" w:line="332" w:lineRule="auto"/>
        <w:tabs>
          <w:tab w:leader="none" w:pos="2164" w:val="left"/>
        </w:tabs>
        <w:numPr>
          <w:ilvl w:val="2"/>
          <w:numId w:val="18"/>
        </w:numPr>
        <w:rPr>
          <w:rFonts w:ascii="Arial" w:cs="Arial" w:eastAsia="Arial" w:hAnsi="Arial"/>
          <w:sz w:val="18"/>
          <w:szCs w:val="18"/>
          <w:color w:val="auto"/>
        </w:rPr>
      </w:pPr>
      <w:r>
        <w:rPr>
          <w:rFonts w:ascii="Arial" w:cs="Arial" w:eastAsia="Arial" w:hAnsi="Arial"/>
          <w:sz w:val="18"/>
          <w:szCs w:val="18"/>
          <w:color w:val="auto"/>
        </w:rPr>
        <w:t>SHARED DISPOSITIVE POWER 2,282,815</w:t>
      </w:r>
      <w:r>
        <w:rPr>
          <w:rFonts w:ascii="Arial" w:cs="Arial" w:eastAsia="Arial" w:hAnsi="Arial"/>
          <w:sz w:val="26"/>
          <w:szCs w:val="26"/>
          <w:color w:val="auto"/>
          <w:vertAlign w:val="superscript"/>
        </w:rPr>
        <w:t>(1)</w:t>
      </w:r>
    </w:p>
    <w:p>
      <w:pPr>
        <w:spacing w:after="0" w:line="2" w:lineRule="exact"/>
        <w:rPr>
          <w:rFonts w:ascii="Arial" w:cs="Arial" w:eastAsia="Arial" w:hAnsi="Arial"/>
          <w:sz w:val="18"/>
          <w:szCs w:val="18"/>
          <w:color w:val="auto"/>
        </w:rPr>
      </w:pPr>
    </w:p>
    <w:p>
      <w:pPr>
        <w:ind w:left="664" w:right="3760" w:hanging="507"/>
        <w:spacing w:after="0" w:line="339" w:lineRule="auto"/>
        <w:tabs>
          <w:tab w:leader="none" w:pos="664" w:val="left"/>
        </w:tabs>
        <w:numPr>
          <w:ilvl w:val="1"/>
          <w:numId w:val="19"/>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2,524,105</w:t>
      </w:r>
      <w:r>
        <w:rPr>
          <w:rFonts w:ascii="Arial" w:cs="Arial" w:eastAsia="Arial" w:hAnsi="Arial"/>
          <w:sz w:val="26"/>
          <w:szCs w:val="26"/>
          <w:color w:val="auto"/>
          <w:vertAlign w:val="superscript"/>
        </w:rPr>
        <w:t>(2)</w:t>
      </w:r>
    </w:p>
    <w:p>
      <w:pPr>
        <w:ind w:left="664" w:hanging="507"/>
        <w:spacing w:after="0"/>
        <w:tabs>
          <w:tab w:leader="none" w:pos="664" w:val="left"/>
        </w:tabs>
        <w:numPr>
          <w:ilvl w:val="1"/>
          <w:numId w:val="19"/>
        </w:numPr>
        <w:rPr>
          <w:rFonts w:ascii="Arial" w:cs="Arial" w:eastAsia="Arial" w:hAnsi="Arial"/>
          <w:sz w:val="18"/>
          <w:szCs w:val="18"/>
          <w:color w:val="auto"/>
        </w:rPr>
      </w:pPr>
      <w:r>
        <w:rPr>
          <w:rFonts w:ascii="Arial" w:cs="Arial" w:eastAsia="Arial" w:hAnsi="Arial"/>
          <w:sz w:val="18"/>
          <w:szCs w:val="18"/>
          <w:color w:val="auto"/>
        </w:rPr>
        <w:t>CHECK BOX IF THE AGGREGATE AMOUNT IN ROW (11) EXCLUDES CERTAIN SHARES (see instructions)</w:t>
      </w:r>
    </w:p>
    <w:p>
      <w:pPr>
        <w:spacing w:after="0" w:line="191" w:lineRule="exact"/>
        <w:rPr>
          <w:rFonts w:ascii="Arial" w:cs="Arial" w:eastAsia="Arial" w:hAnsi="Arial"/>
          <w:sz w:val="18"/>
          <w:szCs w:val="18"/>
          <w:color w:val="auto"/>
        </w:rPr>
      </w:pPr>
    </w:p>
    <w:p>
      <w:pPr>
        <w:ind w:left="664"/>
        <w:spacing w:after="0" w:line="181" w:lineRule="exact"/>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22" w:lineRule="exact"/>
        <w:rPr>
          <w:rFonts w:ascii="Arial" w:cs="Arial" w:eastAsia="Arial" w:hAnsi="Arial"/>
          <w:sz w:val="18"/>
          <w:szCs w:val="18"/>
          <w:color w:val="auto"/>
        </w:rPr>
      </w:pPr>
    </w:p>
    <w:p>
      <w:pPr>
        <w:ind w:left="664" w:hanging="507"/>
        <w:spacing w:after="0"/>
        <w:tabs>
          <w:tab w:leader="none" w:pos="664" w:val="left"/>
        </w:tabs>
        <w:numPr>
          <w:ilvl w:val="1"/>
          <w:numId w:val="19"/>
        </w:numPr>
        <w:rPr>
          <w:rFonts w:ascii="Arial" w:cs="Arial" w:eastAsia="Arial" w:hAnsi="Arial"/>
          <w:sz w:val="18"/>
          <w:szCs w:val="18"/>
          <w:color w:val="auto"/>
        </w:rPr>
      </w:pPr>
      <w:r>
        <w:rPr>
          <w:rFonts w:ascii="Arial" w:cs="Arial" w:eastAsia="Arial" w:hAnsi="Arial"/>
          <w:sz w:val="18"/>
          <w:szCs w:val="18"/>
          <w:color w:val="auto"/>
        </w:rPr>
        <w:t>PERCENT OF CLASS REPRESENTED BY AMOUNT IN ROW (11)</w:t>
      </w:r>
    </w:p>
    <w:p>
      <w:pPr>
        <w:spacing w:after="0" w:line="196" w:lineRule="exact"/>
        <w:rPr>
          <w:rFonts w:ascii="Arial" w:cs="Arial" w:eastAsia="Arial" w:hAnsi="Arial"/>
          <w:sz w:val="18"/>
          <w:szCs w:val="18"/>
          <w:color w:val="auto"/>
        </w:rPr>
      </w:pPr>
    </w:p>
    <w:p>
      <w:pPr>
        <w:ind w:left="664"/>
        <w:spacing w:after="0"/>
        <w:rPr>
          <w:rFonts w:ascii="Arial" w:cs="Arial" w:eastAsia="Arial" w:hAnsi="Arial"/>
          <w:sz w:val="18"/>
          <w:szCs w:val="18"/>
          <w:color w:val="auto"/>
        </w:rPr>
      </w:pPr>
      <w:r>
        <w:rPr>
          <w:rFonts w:ascii="Arial" w:cs="Arial" w:eastAsia="Arial" w:hAnsi="Arial"/>
          <w:sz w:val="18"/>
          <w:szCs w:val="18"/>
          <w:color w:val="auto"/>
        </w:rPr>
        <w:t>5.3%</w:t>
      </w:r>
      <w:r>
        <w:rPr>
          <w:rFonts w:ascii="Arial" w:cs="Arial" w:eastAsia="Arial" w:hAnsi="Arial"/>
          <w:sz w:val="26"/>
          <w:szCs w:val="26"/>
          <w:color w:val="auto"/>
          <w:vertAlign w:val="superscript"/>
        </w:rPr>
        <w:t>(3)</w:t>
      </w:r>
    </w:p>
    <w:p>
      <w:pPr>
        <w:ind w:left="664" w:hanging="507"/>
        <w:spacing w:after="0"/>
        <w:tabs>
          <w:tab w:leader="none" w:pos="664" w:val="left"/>
        </w:tabs>
        <w:numPr>
          <w:ilvl w:val="1"/>
          <w:numId w:val="19"/>
        </w:numPr>
        <w:rPr>
          <w:rFonts w:ascii="Arial" w:cs="Arial" w:eastAsia="Arial" w:hAnsi="Arial"/>
          <w:sz w:val="18"/>
          <w:szCs w:val="18"/>
          <w:color w:val="auto"/>
        </w:rPr>
      </w:pPr>
      <w:r>
        <w:rPr>
          <w:rFonts w:ascii="Arial" w:cs="Arial" w:eastAsia="Arial" w:hAnsi="Arial"/>
          <w:sz w:val="18"/>
          <w:szCs w:val="18"/>
          <w:color w:val="auto"/>
        </w:rPr>
        <w:t>TYPE OF REPORTING PERSON (see instructions)</w:t>
      </w:r>
    </w:p>
    <w:p>
      <w:pPr>
        <w:spacing w:after="0" w:line="236" w:lineRule="exact"/>
        <w:rPr>
          <w:rFonts w:ascii="Arial" w:cs="Arial" w:eastAsia="Arial" w:hAnsi="Arial"/>
          <w:sz w:val="18"/>
          <w:szCs w:val="18"/>
          <w:color w:val="auto"/>
        </w:rPr>
      </w:pPr>
    </w:p>
    <w:p>
      <w:pPr>
        <w:ind w:left="664"/>
        <w:spacing w:after="0"/>
        <w:rPr>
          <w:rFonts w:ascii="Arial" w:cs="Arial" w:eastAsia="Arial" w:hAnsi="Arial"/>
          <w:sz w:val="18"/>
          <w:szCs w:val="18"/>
          <w:color w:val="auto"/>
        </w:rPr>
      </w:pPr>
      <w:r>
        <w:rPr>
          <w:rFonts w:ascii="Arial" w:cs="Arial" w:eastAsia="Arial" w:hAnsi="Arial"/>
          <w:sz w:val="18"/>
          <w:szCs w:val="18"/>
          <w:color w:val="auto"/>
        </w:rPr>
        <w:t>IN</w:t>
      </w:r>
    </w:p>
    <w:p>
      <w:pPr>
        <w:spacing w:after="0" w:line="292" w:lineRule="exact"/>
        <w:rPr>
          <w:rFonts w:ascii="Arial" w:cs="Arial" w:eastAsia="Arial" w:hAnsi="Arial"/>
          <w:sz w:val="18"/>
          <w:szCs w:val="18"/>
          <w:color w:val="auto"/>
        </w:rPr>
      </w:pPr>
    </w:p>
    <w:p>
      <w:pPr>
        <w:ind w:left="444" w:right="320" w:hanging="444"/>
        <w:spacing w:after="0" w:line="258" w:lineRule="auto"/>
        <w:tabs>
          <w:tab w:leader="none" w:pos="444" w:val="left"/>
        </w:tabs>
        <w:numPr>
          <w:ilvl w:val="0"/>
          <w:numId w:val="20"/>
        </w:numPr>
        <w:rPr>
          <w:rFonts w:ascii="Arial" w:cs="Arial" w:eastAsia="Arial" w:hAnsi="Arial"/>
          <w:sz w:val="18"/>
          <w:szCs w:val="18"/>
          <w:color w:val="auto"/>
        </w:rPr>
      </w:pPr>
      <w:r>
        <w:rPr>
          <w:rFonts w:ascii="Arial" w:cs="Arial" w:eastAsia="Arial" w:hAnsi="Arial"/>
          <w:sz w:val="18"/>
          <w:szCs w:val="18"/>
          <w:color w:val="auto"/>
        </w:rPr>
        <w:t>Comprises 2,282,815 Class A Ordinary Shares issuable upon the conversion of 2,282,815 Class B Ordinary Shares held by Bubinga Holdings Limited. Mr. Wing Hong Sammy Hsieh is the sole director and shareholder of Bubinga Holdings Limited.</w:t>
      </w:r>
    </w:p>
    <w:p>
      <w:pPr>
        <w:spacing w:after="0" w:line="1" w:lineRule="exact"/>
        <w:rPr>
          <w:rFonts w:ascii="Arial" w:cs="Arial" w:eastAsia="Arial" w:hAnsi="Arial"/>
          <w:sz w:val="18"/>
          <w:szCs w:val="18"/>
          <w:color w:val="auto"/>
        </w:rPr>
      </w:pPr>
    </w:p>
    <w:p>
      <w:pPr>
        <w:ind w:left="444" w:right="80" w:hanging="444"/>
        <w:spacing w:after="0" w:line="250" w:lineRule="auto"/>
        <w:tabs>
          <w:tab w:leader="none" w:pos="444"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Reflects (i) 241,290 Class A Ordinary Shares held directly by Mr. Wing Hong Sammy Hsieh and (ii) 2,282,815 Class A Ordinary Shares issuable upon the conversion of 2,282,815 Class B Ordinary Shares held by Bubinga Holdings Limited.</w:t>
      </w:r>
    </w:p>
    <w:p>
      <w:pPr>
        <w:ind w:left="444" w:hanging="444"/>
        <w:spacing w:after="0" w:line="253" w:lineRule="auto"/>
        <w:tabs>
          <w:tab w:leader="none" w:pos="444"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percent ownership calculation assumes that there is a total of 47,294,045 Class A Ordinary Shares outstanding, which includes (i) the 45,011,230 Class A Ordinary Shares outstanding as of March 31, 2023, as reported in the Issuer’s Form 20-F filed with the SEC on May 11, 2023, and (ii) the 2,282,815 Class A Ordinary Shares issuable upon the conversion of 2,282,815 Class B Ordinary Shares held by Bubinga Holdings Limited.</w:t>
      </w:r>
    </w:p>
    <w:p>
      <w:pPr>
        <w:sectPr>
          <w:pgSz w:w="11900" w:h="16838" w:orient="portrait"/>
          <w:cols w:equalWidth="0" w:num="1">
            <w:col w:w="10964"/>
          </w:cols>
          <w:pgMar w:left="436" w:top="490" w:right="499" w:bottom="1440" w:gutter="0" w:footer="0" w:header="0"/>
        </w:sectPr>
      </w:pPr>
    </w:p>
    <w:bookmarkStart w:id="4" w:name="page5"/>
    <w:bookmarkEnd w:id="4"/>
    <w:p>
      <w:pPr>
        <w:ind w:left="4"/>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08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50800"/>
                    </a:xfrm>
                    <a:prstGeom prst="rect">
                      <a:avLst/>
                    </a:prstGeom>
                    <a:noFill/>
                  </pic:spPr>
                </pic:pic>
              </a:graphicData>
            </a:graphic>
          </wp:anchor>
        </w:drawing>
        <w:t>CUSIP No. G47048 106</w:t>
      </w:r>
    </w:p>
    <w:p>
      <w:pPr>
        <w:spacing w:after="0" w:line="171" w:lineRule="exact"/>
        <w:rPr>
          <w:sz w:val="20"/>
          <w:szCs w:val="20"/>
          <w:color w:val="auto"/>
        </w:rPr>
      </w:pPr>
    </w:p>
    <w:p>
      <w:pPr>
        <w:ind w:left="684" w:hanging="437"/>
        <w:spacing w:after="0"/>
        <w:tabs>
          <w:tab w:leader="none" w:pos="684" w:val="left"/>
        </w:tabs>
        <w:numPr>
          <w:ilvl w:val="0"/>
          <w:numId w:val="21"/>
        </w:numPr>
        <w:rPr>
          <w:rFonts w:ascii="Arial" w:cs="Arial" w:eastAsia="Arial" w:hAnsi="Arial"/>
          <w:sz w:val="18"/>
          <w:szCs w:val="18"/>
          <w:color w:val="auto"/>
        </w:rPr>
      </w:pPr>
      <w:r>
        <w:rPr>
          <w:rFonts w:ascii="Arial" w:cs="Arial" w:eastAsia="Arial" w:hAnsi="Arial"/>
          <w:sz w:val="18"/>
          <w:szCs w:val="18"/>
          <w:color w:val="auto"/>
        </w:rPr>
        <w:t>NAMES OF REPORTING PERSONS</w:t>
      </w:r>
    </w:p>
    <w:p>
      <w:pPr>
        <w:spacing w:after="0" w:line="23" w:lineRule="exact"/>
        <w:rPr>
          <w:rFonts w:ascii="Arial" w:cs="Arial" w:eastAsia="Arial" w:hAnsi="Arial"/>
          <w:sz w:val="18"/>
          <w:szCs w:val="18"/>
          <w:color w:val="auto"/>
        </w:rPr>
      </w:pPr>
    </w:p>
    <w:p>
      <w:pPr>
        <w:ind w:left="684" w:right="4720"/>
        <w:spacing w:after="0" w:line="398" w:lineRule="auto"/>
        <w:rPr>
          <w:rFonts w:ascii="Arial" w:cs="Arial" w:eastAsia="Arial" w:hAnsi="Arial"/>
          <w:sz w:val="18"/>
          <w:szCs w:val="18"/>
          <w:color w:val="auto"/>
        </w:rPr>
      </w:pPr>
      <w:r>
        <w:rPr>
          <w:rFonts w:ascii="Arial" w:cs="Arial" w:eastAsia="Arial" w:hAnsi="Arial"/>
          <w:sz w:val="18"/>
          <w:szCs w:val="18"/>
          <w:color w:val="auto"/>
        </w:rPr>
        <w:t>I.R.S. IDENTIFICATION NOS. OF ABOVE PERSONS (ENTITIES ONLY) Bubinga Holdings Limited</w:t>
      </w:r>
    </w:p>
    <w:p>
      <w:pPr>
        <w:spacing w:after="0" w:line="1" w:lineRule="exact"/>
        <w:rPr>
          <w:rFonts w:ascii="Arial" w:cs="Arial" w:eastAsia="Arial" w:hAnsi="Arial"/>
          <w:sz w:val="18"/>
          <w:szCs w:val="18"/>
          <w:color w:val="auto"/>
        </w:rPr>
      </w:pPr>
    </w:p>
    <w:p>
      <w:pPr>
        <w:ind w:left="684" w:hanging="437"/>
        <w:spacing w:after="0"/>
        <w:tabs>
          <w:tab w:leader="none" w:pos="684" w:val="left"/>
        </w:tabs>
        <w:numPr>
          <w:ilvl w:val="0"/>
          <w:numId w:val="21"/>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-713105</wp:posOffset>
            </wp:positionV>
            <wp:extent cx="6926580" cy="629221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926580" cy="6292215"/>
                    </a:xfrm>
                    <a:prstGeom prst="rect">
                      <a:avLst/>
                    </a:prstGeom>
                    <a:noFill/>
                  </pic:spPr>
                </pic:pic>
              </a:graphicData>
            </a:graphic>
          </wp:anchor>
        </w:drawing>
      </w:r>
    </w:p>
    <w:p>
      <w:pPr>
        <w:ind w:left="684"/>
        <w:spacing w:after="0" w:line="205" w:lineRule="exact"/>
        <w:tabs>
          <w:tab w:leader="none" w:pos="1464" w:val="left"/>
        </w:tabs>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 xml:space="preserve">(b) </w:t>
      </w:r>
      <w:r>
        <w:rPr>
          <w:rFonts w:ascii="MS PGothic" w:cs="MS PGothic" w:eastAsia="MS PGothic" w:hAnsi="MS PGothic"/>
          <w:sz w:val="18"/>
          <w:szCs w:val="18"/>
          <w:color w:val="auto"/>
        </w:rPr>
        <w:t>☐</w:t>
      </w:r>
    </w:p>
    <w:p>
      <w:pPr>
        <w:spacing w:after="0" w:line="283" w:lineRule="exact"/>
        <w:rPr>
          <w:sz w:val="20"/>
          <w:szCs w:val="20"/>
          <w:color w:val="auto"/>
        </w:rPr>
      </w:pPr>
    </w:p>
    <w:p>
      <w:pPr>
        <w:ind w:left="684" w:hanging="437"/>
        <w:spacing w:after="0"/>
        <w:tabs>
          <w:tab w:leader="none" w:pos="684" w:val="left"/>
        </w:tabs>
        <w:numPr>
          <w:ilvl w:val="0"/>
          <w:numId w:val="22"/>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79" w:lineRule="exact"/>
        <w:rPr>
          <w:rFonts w:ascii="Arial" w:cs="Arial" w:eastAsia="Arial" w:hAnsi="Arial"/>
          <w:sz w:val="18"/>
          <w:szCs w:val="18"/>
          <w:color w:val="auto"/>
        </w:rPr>
      </w:pPr>
    </w:p>
    <w:p>
      <w:pPr>
        <w:ind w:left="684" w:hanging="437"/>
        <w:spacing w:after="0"/>
        <w:tabs>
          <w:tab w:leader="none" w:pos="684" w:val="left"/>
        </w:tabs>
        <w:numPr>
          <w:ilvl w:val="0"/>
          <w:numId w:val="22"/>
        </w:numPr>
        <w:rPr>
          <w:rFonts w:ascii="Arial" w:cs="Arial" w:eastAsia="Arial" w:hAnsi="Arial"/>
          <w:sz w:val="18"/>
          <w:szCs w:val="18"/>
          <w:color w:val="auto"/>
        </w:rPr>
      </w:pPr>
      <w:r>
        <w:rPr>
          <w:rFonts w:ascii="Arial" w:cs="Arial" w:eastAsia="Arial" w:hAnsi="Arial"/>
          <w:sz w:val="18"/>
          <w:szCs w:val="18"/>
          <w:color w:val="auto"/>
        </w:rPr>
        <w:t>SOURCE OF FUNDS (see instructions)</w:t>
      </w:r>
    </w:p>
    <w:p>
      <w:pPr>
        <w:spacing w:after="0" w:line="252" w:lineRule="exact"/>
        <w:rPr>
          <w:rFonts w:ascii="Arial" w:cs="Arial" w:eastAsia="Arial" w:hAnsi="Arial"/>
          <w:sz w:val="18"/>
          <w:szCs w:val="18"/>
          <w:color w:val="auto"/>
        </w:rPr>
      </w:pPr>
    </w:p>
    <w:p>
      <w:pPr>
        <w:ind w:left="684"/>
        <w:spacing w:after="0"/>
        <w:rPr>
          <w:rFonts w:ascii="Arial" w:cs="Arial" w:eastAsia="Arial" w:hAnsi="Arial"/>
          <w:sz w:val="18"/>
          <w:szCs w:val="18"/>
          <w:color w:val="auto"/>
        </w:rPr>
      </w:pPr>
      <w:r>
        <w:rPr>
          <w:rFonts w:ascii="Arial" w:cs="Arial" w:eastAsia="Arial" w:hAnsi="Arial"/>
          <w:sz w:val="18"/>
          <w:szCs w:val="18"/>
          <w:color w:val="auto"/>
        </w:rPr>
        <w:t>OO</w:t>
      </w:r>
    </w:p>
    <w:p>
      <w:pPr>
        <w:spacing w:after="0" w:line="36" w:lineRule="exact"/>
        <w:rPr>
          <w:rFonts w:ascii="Arial" w:cs="Arial" w:eastAsia="Arial" w:hAnsi="Arial"/>
          <w:sz w:val="18"/>
          <w:szCs w:val="18"/>
          <w:color w:val="auto"/>
        </w:rPr>
      </w:pPr>
    </w:p>
    <w:p>
      <w:pPr>
        <w:ind w:left="684" w:hanging="437"/>
        <w:spacing w:after="0"/>
        <w:tabs>
          <w:tab w:leader="none" w:pos="684" w:val="left"/>
        </w:tabs>
        <w:numPr>
          <w:ilvl w:val="0"/>
          <w:numId w:val="22"/>
        </w:numPr>
        <w:rPr>
          <w:rFonts w:ascii="Arial" w:cs="Arial" w:eastAsia="Arial" w:hAnsi="Arial"/>
          <w:sz w:val="18"/>
          <w:szCs w:val="18"/>
          <w:color w:val="auto"/>
        </w:rPr>
      </w:pPr>
      <w:r>
        <w:rPr>
          <w:rFonts w:ascii="Arial" w:cs="Arial" w:eastAsia="Arial" w:hAnsi="Arial"/>
          <w:sz w:val="18"/>
          <w:szCs w:val="18"/>
          <w:color w:val="auto"/>
        </w:rPr>
        <w:t>CHECK BOX IF DISCLOSURE OF LEGAL PROCEEDINGS IS REQUIRED PURSUANT TO ITEMS 2(d) or 2(e)</w:t>
      </w:r>
    </w:p>
    <w:p>
      <w:pPr>
        <w:spacing w:after="0" w:line="207" w:lineRule="exact"/>
        <w:rPr>
          <w:rFonts w:ascii="Arial" w:cs="Arial" w:eastAsia="Arial" w:hAnsi="Arial"/>
          <w:sz w:val="18"/>
          <w:szCs w:val="18"/>
          <w:color w:val="auto"/>
        </w:rPr>
      </w:pPr>
    </w:p>
    <w:p>
      <w:pPr>
        <w:ind w:left="684"/>
        <w:spacing w:after="0" w:line="181" w:lineRule="exact"/>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22" w:lineRule="exact"/>
        <w:rPr>
          <w:rFonts w:ascii="Arial" w:cs="Arial" w:eastAsia="Arial" w:hAnsi="Arial"/>
          <w:sz w:val="18"/>
          <w:szCs w:val="18"/>
          <w:color w:val="auto"/>
        </w:rPr>
      </w:pPr>
    </w:p>
    <w:p>
      <w:pPr>
        <w:ind w:left="684" w:hanging="437"/>
        <w:spacing w:after="0"/>
        <w:tabs>
          <w:tab w:leader="none" w:pos="684" w:val="left"/>
        </w:tabs>
        <w:numPr>
          <w:ilvl w:val="0"/>
          <w:numId w:val="22"/>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250" w:lineRule="exact"/>
        <w:rPr>
          <w:sz w:val="20"/>
          <w:szCs w:val="20"/>
          <w:color w:val="auto"/>
        </w:rPr>
      </w:pPr>
    </w:p>
    <w:p>
      <w:pPr>
        <w:ind w:left="684"/>
        <w:spacing w:after="0"/>
        <w:rPr>
          <w:sz w:val="20"/>
          <w:szCs w:val="20"/>
          <w:color w:val="auto"/>
        </w:rPr>
      </w:pPr>
      <w:r>
        <w:rPr>
          <w:rFonts w:ascii="Arial" w:cs="Arial" w:eastAsia="Arial" w:hAnsi="Arial"/>
          <w:sz w:val="18"/>
          <w:szCs w:val="18"/>
          <w:color w:val="auto"/>
        </w:rPr>
        <w:t>British Virgin Islands</w:t>
      </w:r>
    </w:p>
    <w:p>
      <w:pPr>
        <w:spacing w:after="0" w:line="36" w:lineRule="exact"/>
        <w:rPr>
          <w:sz w:val="20"/>
          <w:szCs w:val="20"/>
          <w:color w:val="auto"/>
        </w:rPr>
      </w:pPr>
    </w:p>
    <w:p>
      <w:pPr>
        <w:ind w:left="2164" w:hanging="440"/>
        <w:spacing w:after="0"/>
        <w:tabs>
          <w:tab w:leader="none" w:pos="2164" w:val="left"/>
        </w:tabs>
        <w:numPr>
          <w:ilvl w:val="0"/>
          <w:numId w:val="23"/>
        </w:numPr>
        <w:rPr>
          <w:rFonts w:ascii="Arial" w:cs="Arial" w:eastAsia="Arial" w:hAnsi="Arial"/>
          <w:sz w:val="18"/>
          <w:szCs w:val="18"/>
          <w:color w:val="auto"/>
        </w:rPr>
      </w:pPr>
      <w:r>
        <w:rPr>
          <w:rFonts w:ascii="Arial" w:cs="Arial" w:eastAsia="Arial" w:hAnsi="Arial"/>
          <w:sz w:val="18"/>
          <w:szCs w:val="18"/>
          <w:color w:val="auto"/>
        </w:rPr>
        <w:t>SOLE VOTING POWER</w:t>
      </w:r>
    </w:p>
    <w:p>
      <w:pPr>
        <w:spacing w:after="0" w:line="212" w:lineRule="exact"/>
        <w:rPr>
          <w:sz w:val="20"/>
          <w:szCs w:val="20"/>
          <w:color w:val="auto"/>
        </w:rPr>
      </w:pPr>
    </w:p>
    <w:tbl>
      <w:tblPr>
        <w:tblLayout w:type="fixed"/>
        <w:tblInd w:w="204" w:type="dxa"/>
        <w:tblCellMar>
          <w:top w:w="0" w:type="dxa"/>
          <w:left w:w="0" w:type="dxa"/>
          <w:bottom w:w="0" w:type="dxa"/>
          <w:right w:w="0" w:type="dxa"/>
        </w:tblCellMar>
      </w:tblPr>
      <w:tr>
        <w:trPr>
          <w:trHeight w:val="217"/>
        </w:trPr>
        <w:tc>
          <w:tcPr>
            <w:tcW w:w="1320" w:type="dxa"/>
            <w:vAlign w:val="bottom"/>
          </w:tcPr>
          <w:p>
            <w:pPr>
              <w:jc w:val="center"/>
              <w:spacing w:after="0"/>
              <w:rPr>
                <w:sz w:val="20"/>
                <w:szCs w:val="20"/>
                <w:color w:val="auto"/>
              </w:rPr>
            </w:pPr>
            <w:r>
              <w:rPr>
                <w:rFonts w:ascii="Arial" w:cs="Arial" w:eastAsia="Arial" w:hAnsi="Arial"/>
                <w:sz w:val="18"/>
                <w:szCs w:val="18"/>
                <w:color w:val="auto"/>
                <w:w w:val="96"/>
              </w:rPr>
              <w:t>NUMBER OF</w:t>
            </w:r>
          </w:p>
        </w:tc>
        <w:tc>
          <w:tcPr>
            <w:tcW w:w="480" w:type="dxa"/>
            <w:vAlign w:val="bottom"/>
          </w:tcPr>
          <w:p>
            <w:pPr>
              <w:spacing w:after="0"/>
              <w:rPr>
                <w:sz w:val="18"/>
                <w:szCs w:val="18"/>
                <w:color w:val="auto"/>
              </w:rPr>
            </w:pPr>
          </w:p>
        </w:tc>
        <w:tc>
          <w:tcPr>
            <w:tcW w:w="8900" w:type="dxa"/>
            <w:vAlign w:val="bottom"/>
          </w:tcPr>
          <w:p>
            <w:pPr>
              <w:ind w:left="1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68"/>
        </w:trPr>
        <w:tc>
          <w:tcPr>
            <w:tcW w:w="1320" w:type="dxa"/>
            <w:vAlign w:val="bottom"/>
            <w:vMerge w:val="restart"/>
          </w:tcPr>
          <w:p>
            <w:pPr>
              <w:jc w:val="center"/>
              <w:spacing w:after="0"/>
              <w:rPr>
                <w:sz w:val="20"/>
                <w:szCs w:val="20"/>
                <w:color w:val="auto"/>
              </w:rPr>
            </w:pPr>
            <w:r>
              <w:rPr>
                <w:rFonts w:ascii="Arial" w:cs="Arial" w:eastAsia="Arial" w:hAnsi="Arial"/>
                <w:sz w:val="18"/>
                <w:szCs w:val="18"/>
                <w:color w:val="auto"/>
                <w:w w:val="94"/>
              </w:rPr>
              <w:t>SHARES</w:t>
            </w:r>
          </w:p>
        </w:tc>
        <w:tc>
          <w:tcPr>
            <w:tcW w:w="480" w:type="dxa"/>
            <w:vAlign w:val="bottom"/>
            <w:tcBorders>
              <w:bottom w:val="single" w:sz="8" w:color="auto"/>
            </w:tcBorders>
          </w:tcPr>
          <w:p>
            <w:pPr>
              <w:spacing w:after="0"/>
              <w:rPr>
                <w:sz w:val="5"/>
                <w:szCs w:val="5"/>
                <w:color w:val="auto"/>
              </w:rPr>
            </w:pPr>
          </w:p>
        </w:tc>
        <w:tc>
          <w:tcPr>
            <w:tcW w:w="89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28"/>
        </w:trPr>
        <w:tc>
          <w:tcPr>
            <w:tcW w:w="1320" w:type="dxa"/>
            <w:vAlign w:val="bottom"/>
            <w:vMerge w:val="continue"/>
          </w:tcPr>
          <w:p>
            <w:pPr>
              <w:spacing w:after="0"/>
              <w:rPr>
                <w:sz w:val="11"/>
                <w:szCs w:val="11"/>
                <w:color w:val="auto"/>
              </w:rPr>
            </w:pPr>
          </w:p>
        </w:tc>
        <w:tc>
          <w:tcPr>
            <w:tcW w:w="480" w:type="dxa"/>
            <w:vAlign w:val="bottom"/>
            <w:vMerge w:val="restart"/>
          </w:tcPr>
          <w:p>
            <w:pPr>
              <w:jc w:val="right"/>
              <w:ind w:right="50"/>
              <w:spacing w:after="0"/>
              <w:rPr>
                <w:sz w:val="20"/>
                <w:szCs w:val="20"/>
                <w:color w:val="auto"/>
              </w:rPr>
            </w:pPr>
            <w:r>
              <w:rPr>
                <w:rFonts w:ascii="Arial" w:cs="Arial" w:eastAsia="Arial" w:hAnsi="Arial"/>
                <w:sz w:val="18"/>
                <w:szCs w:val="18"/>
                <w:color w:val="auto"/>
              </w:rPr>
              <w:t>8.</w:t>
            </w:r>
          </w:p>
        </w:tc>
        <w:tc>
          <w:tcPr>
            <w:tcW w:w="8900" w:type="dxa"/>
            <w:vAlign w:val="bottom"/>
            <w:vMerge w:val="restart"/>
          </w:tcPr>
          <w:p>
            <w:pPr>
              <w:ind w:left="16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96"/>
        </w:trPr>
        <w:tc>
          <w:tcPr>
            <w:tcW w:w="1320" w:type="dxa"/>
            <w:vAlign w:val="bottom"/>
            <w:vMerge w:val="restart"/>
          </w:tcPr>
          <w:p>
            <w:pPr>
              <w:jc w:val="center"/>
              <w:spacing w:after="0"/>
              <w:rPr>
                <w:sz w:val="20"/>
                <w:szCs w:val="20"/>
                <w:color w:val="auto"/>
              </w:rPr>
            </w:pPr>
            <w:r>
              <w:rPr>
                <w:rFonts w:ascii="Arial" w:cs="Arial" w:eastAsia="Arial" w:hAnsi="Arial"/>
                <w:sz w:val="18"/>
                <w:szCs w:val="18"/>
                <w:color w:val="auto"/>
                <w:w w:val="99"/>
              </w:rPr>
              <w:t>BENEFICIALLY</w:t>
            </w:r>
          </w:p>
        </w:tc>
        <w:tc>
          <w:tcPr>
            <w:tcW w:w="480" w:type="dxa"/>
            <w:vAlign w:val="bottom"/>
            <w:vMerge w:val="continue"/>
          </w:tcPr>
          <w:p>
            <w:pPr>
              <w:spacing w:after="0"/>
              <w:rPr>
                <w:sz w:val="8"/>
                <w:szCs w:val="8"/>
                <w:color w:val="auto"/>
              </w:rPr>
            </w:pPr>
          </w:p>
        </w:tc>
        <w:tc>
          <w:tcPr>
            <w:tcW w:w="89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0"/>
        </w:trPr>
        <w:tc>
          <w:tcPr>
            <w:tcW w:w="1320" w:type="dxa"/>
            <w:vAlign w:val="bottom"/>
            <w:vMerge w:val="continue"/>
          </w:tcPr>
          <w:p>
            <w:pPr>
              <w:spacing w:after="0"/>
              <w:rPr>
                <w:sz w:val="10"/>
                <w:szCs w:val="10"/>
                <w:color w:val="auto"/>
              </w:rPr>
            </w:pPr>
          </w:p>
        </w:tc>
        <w:tc>
          <w:tcPr>
            <w:tcW w:w="480" w:type="dxa"/>
            <w:vAlign w:val="bottom"/>
          </w:tcPr>
          <w:p>
            <w:pPr>
              <w:spacing w:after="0"/>
              <w:rPr>
                <w:sz w:val="10"/>
                <w:szCs w:val="10"/>
                <w:color w:val="auto"/>
              </w:rPr>
            </w:pPr>
          </w:p>
        </w:tc>
        <w:tc>
          <w:tcPr>
            <w:tcW w:w="89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1320" w:type="dxa"/>
            <w:vAlign w:val="bottom"/>
          </w:tcPr>
          <w:p>
            <w:pPr>
              <w:jc w:val="center"/>
              <w:spacing w:after="0"/>
              <w:rPr>
                <w:sz w:val="20"/>
                <w:szCs w:val="20"/>
                <w:color w:val="auto"/>
              </w:rPr>
            </w:pPr>
            <w:r>
              <w:rPr>
                <w:rFonts w:ascii="Arial" w:cs="Arial" w:eastAsia="Arial" w:hAnsi="Arial"/>
                <w:sz w:val="18"/>
                <w:szCs w:val="18"/>
                <w:color w:val="auto"/>
                <w:w w:val="97"/>
              </w:rPr>
              <w:t>OWNED BY</w:t>
            </w:r>
          </w:p>
        </w:tc>
        <w:tc>
          <w:tcPr>
            <w:tcW w:w="480" w:type="dxa"/>
            <w:vAlign w:val="bottom"/>
          </w:tcPr>
          <w:p>
            <w:pPr>
              <w:spacing w:after="0"/>
              <w:rPr>
                <w:sz w:val="18"/>
                <w:szCs w:val="18"/>
                <w:color w:val="auto"/>
              </w:rPr>
            </w:pPr>
          </w:p>
        </w:tc>
        <w:tc>
          <w:tcPr>
            <w:tcW w:w="8900" w:type="dxa"/>
            <w:vAlign w:val="bottom"/>
            <w:vMerge w:val="restart"/>
          </w:tcPr>
          <w:p>
            <w:pPr>
              <w:ind w:left="160"/>
              <w:spacing w:after="0"/>
              <w:rPr>
                <w:sz w:val="20"/>
                <w:szCs w:val="20"/>
                <w:color w:val="auto"/>
              </w:rPr>
            </w:pPr>
            <w:r>
              <w:rPr>
                <w:rFonts w:ascii="Arial" w:cs="Arial" w:eastAsia="Arial" w:hAnsi="Arial"/>
                <w:sz w:val="18"/>
                <w:szCs w:val="18"/>
                <w:color w:val="auto"/>
              </w:rPr>
              <w:t>2,282,815</w:t>
            </w:r>
            <w:r>
              <w:rPr>
                <w:rFonts w:ascii="Arial" w:cs="Arial" w:eastAsia="Arial" w:hAnsi="Arial"/>
                <w:sz w:val="26"/>
                <w:szCs w:val="26"/>
                <w:color w:val="auto"/>
                <w:vertAlign w:val="superscript"/>
              </w:rPr>
              <w:t>(1)</w:t>
            </w:r>
          </w:p>
        </w:tc>
        <w:tc>
          <w:tcPr>
            <w:tcW w:w="0" w:type="dxa"/>
            <w:vAlign w:val="bottom"/>
          </w:tcPr>
          <w:p>
            <w:pPr>
              <w:spacing w:after="0"/>
              <w:rPr>
                <w:sz w:val="1"/>
                <w:szCs w:val="1"/>
                <w:color w:val="auto"/>
              </w:rPr>
            </w:pPr>
          </w:p>
        </w:tc>
      </w:tr>
      <w:tr>
        <w:trPr>
          <w:trHeight w:val="136"/>
        </w:trPr>
        <w:tc>
          <w:tcPr>
            <w:tcW w:w="1320" w:type="dxa"/>
            <w:vAlign w:val="bottom"/>
            <w:vMerge w:val="restart"/>
          </w:tcPr>
          <w:p>
            <w:pPr>
              <w:jc w:val="center"/>
              <w:spacing w:after="0"/>
              <w:rPr>
                <w:sz w:val="20"/>
                <w:szCs w:val="20"/>
                <w:color w:val="auto"/>
              </w:rPr>
            </w:pPr>
            <w:r>
              <w:rPr>
                <w:rFonts w:ascii="Arial" w:cs="Arial" w:eastAsia="Arial" w:hAnsi="Arial"/>
                <w:sz w:val="18"/>
                <w:szCs w:val="18"/>
                <w:color w:val="auto"/>
                <w:w w:val="99"/>
              </w:rPr>
              <w:t>EACH</w:t>
            </w:r>
          </w:p>
        </w:tc>
        <w:tc>
          <w:tcPr>
            <w:tcW w:w="480" w:type="dxa"/>
            <w:vAlign w:val="bottom"/>
            <w:tcBorders>
              <w:bottom w:val="single" w:sz="8" w:color="auto"/>
            </w:tcBorders>
          </w:tcPr>
          <w:p>
            <w:pPr>
              <w:spacing w:after="0"/>
              <w:rPr>
                <w:sz w:val="11"/>
                <w:szCs w:val="11"/>
                <w:color w:val="auto"/>
              </w:rPr>
            </w:pPr>
          </w:p>
        </w:tc>
        <w:tc>
          <w:tcPr>
            <w:tcW w:w="8900" w:type="dxa"/>
            <w:vAlign w:val="bottom"/>
            <w:tcBorders>
              <w:bottom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60"/>
        </w:trPr>
        <w:tc>
          <w:tcPr>
            <w:tcW w:w="1320" w:type="dxa"/>
            <w:vAlign w:val="bottom"/>
            <w:vMerge w:val="continue"/>
          </w:tcPr>
          <w:p>
            <w:pPr>
              <w:spacing w:after="0"/>
              <w:rPr>
                <w:sz w:val="5"/>
                <w:szCs w:val="5"/>
                <w:color w:val="auto"/>
              </w:rPr>
            </w:pPr>
          </w:p>
        </w:tc>
        <w:tc>
          <w:tcPr>
            <w:tcW w:w="480" w:type="dxa"/>
            <w:vAlign w:val="bottom"/>
            <w:vMerge w:val="restart"/>
          </w:tcPr>
          <w:p>
            <w:pPr>
              <w:jc w:val="right"/>
              <w:ind w:right="50"/>
              <w:spacing w:after="0"/>
              <w:rPr>
                <w:sz w:val="20"/>
                <w:szCs w:val="20"/>
                <w:color w:val="auto"/>
              </w:rPr>
            </w:pPr>
            <w:r>
              <w:rPr>
                <w:rFonts w:ascii="Arial" w:cs="Arial" w:eastAsia="Arial" w:hAnsi="Arial"/>
                <w:sz w:val="18"/>
                <w:szCs w:val="18"/>
                <w:color w:val="auto"/>
              </w:rPr>
              <w:t>9.</w:t>
            </w:r>
          </w:p>
        </w:tc>
        <w:tc>
          <w:tcPr>
            <w:tcW w:w="8900" w:type="dxa"/>
            <w:vAlign w:val="bottom"/>
            <w:vMerge w:val="restart"/>
          </w:tcPr>
          <w:p>
            <w:pPr>
              <w:ind w:left="16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164"/>
        </w:trPr>
        <w:tc>
          <w:tcPr>
            <w:tcW w:w="1320" w:type="dxa"/>
            <w:vAlign w:val="bottom"/>
            <w:vMerge w:val="restart"/>
          </w:tcPr>
          <w:p>
            <w:pPr>
              <w:jc w:val="center"/>
              <w:spacing w:after="0"/>
              <w:rPr>
                <w:sz w:val="20"/>
                <w:szCs w:val="20"/>
                <w:color w:val="auto"/>
              </w:rPr>
            </w:pPr>
            <w:r>
              <w:rPr>
                <w:rFonts w:ascii="Arial" w:cs="Arial" w:eastAsia="Arial" w:hAnsi="Arial"/>
                <w:sz w:val="18"/>
                <w:szCs w:val="18"/>
                <w:color w:val="auto"/>
                <w:w w:val="93"/>
              </w:rPr>
              <w:t>REPORTING</w:t>
            </w:r>
          </w:p>
        </w:tc>
        <w:tc>
          <w:tcPr>
            <w:tcW w:w="480" w:type="dxa"/>
            <w:vAlign w:val="bottom"/>
            <w:vMerge w:val="continue"/>
          </w:tcPr>
          <w:p>
            <w:pPr>
              <w:spacing w:after="0"/>
              <w:rPr>
                <w:sz w:val="14"/>
                <w:szCs w:val="14"/>
                <w:color w:val="auto"/>
              </w:rPr>
            </w:pPr>
          </w:p>
        </w:tc>
        <w:tc>
          <w:tcPr>
            <w:tcW w:w="89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52"/>
        </w:trPr>
        <w:tc>
          <w:tcPr>
            <w:tcW w:w="1320" w:type="dxa"/>
            <w:vAlign w:val="bottom"/>
            <w:vMerge w:val="continue"/>
          </w:tcPr>
          <w:p>
            <w:pPr>
              <w:spacing w:after="0"/>
              <w:rPr>
                <w:sz w:val="4"/>
                <w:szCs w:val="4"/>
                <w:color w:val="auto"/>
              </w:rPr>
            </w:pPr>
          </w:p>
        </w:tc>
        <w:tc>
          <w:tcPr>
            <w:tcW w:w="480" w:type="dxa"/>
            <w:vAlign w:val="bottom"/>
          </w:tcPr>
          <w:p>
            <w:pPr>
              <w:spacing w:after="0"/>
              <w:rPr>
                <w:sz w:val="4"/>
                <w:szCs w:val="4"/>
                <w:color w:val="auto"/>
              </w:rPr>
            </w:pPr>
          </w:p>
        </w:tc>
        <w:tc>
          <w:tcPr>
            <w:tcW w:w="89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1320" w:type="dxa"/>
            <w:vAlign w:val="bottom"/>
          </w:tcPr>
          <w:p>
            <w:pPr>
              <w:jc w:val="center"/>
              <w:spacing w:after="0"/>
              <w:rPr>
                <w:sz w:val="20"/>
                <w:szCs w:val="20"/>
                <w:color w:val="auto"/>
              </w:rPr>
            </w:pPr>
            <w:r>
              <w:rPr>
                <w:rFonts w:ascii="Arial" w:cs="Arial" w:eastAsia="Arial" w:hAnsi="Arial"/>
                <w:sz w:val="18"/>
                <w:szCs w:val="18"/>
                <w:color w:val="auto"/>
                <w:w w:val="92"/>
              </w:rPr>
              <w:t>PERSON</w:t>
            </w:r>
          </w:p>
        </w:tc>
        <w:tc>
          <w:tcPr>
            <w:tcW w:w="480" w:type="dxa"/>
            <w:vAlign w:val="bottom"/>
          </w:tcPr>
          <w:p>
            <w:pPr>
              <w:spacing w:after="0"/>
              <w:rPr>
                <w:sz w:val="18"/>
                <w:szCs w:val="18"/>
                <w:color w:val="auto"/>
              </w:rPr>
            </w:pPr>
          </w:p>
        </w:tc>
        <w:tc>
          <w:tcPr>
            <w:tcW w:w="8900" w:type="dxa"/>
            <w:vAlign w:val="bottom"/>
            <w:vMerge w:val="restart"/>
          </w:tcPr>
          <w:p>
            <w:pPr>
              <w:ind w:left="1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05"/>
        </w:trPr>
        <w:tc>
          <w:tcPr>
            <w:tcW w:w="1320" w:type="dxa"/>
            <w:vAlign w:val="bottom"/>
          </w:tcPr>
          <w:p>
            <w:pPr>
              <w:jc w:val="center"/>
              <w:spacing w:after="0" w:line="205" w:lineRule="exact"/>
              <w:rPr>
                <w:sz w:val="20"/>
                <w:szCs w:val="20"/>
                <w:color w:val="auto"/>
              </w:rPr>
            </w:pPr>
            <w:r>
              <w:rPr>
                <w:rFonts w:ascii="Arial" w:cs="Arial" w:eastAsia="Arial" w:hAnsi="Arial"/>
                <w:sz w:val="18"/>
                <w:szCs w:val="18"/>
                <w:color w:val="auto"/>
                <w:w w:val="99"/>
              </w:rPr>
              <w:t>WITH</w:t>
            </w:r>
          </w:p>
        </w:tc>
        <w:tc>
          <w:tcPr>
            <w:tcW w:w="480" w:type="dxa"/>
            <w:vAlign w:val="bottom"/>
          </w:tcPr>
          <w:p>
            <w:pPr>
              <w:spacing w:after="0"/>
              <w:rPr>
                <w:sz w:val="17"/>
                <w:szCs w:val="17"/>
                <w:color w:val="auto"/>
              </w:rPr>
            </w:pPr>
          </w:p>
        </w:tc>
        <w:tc>
          <w:tcPr>
            <w:tcW w:w="89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bl>
    <w:p>
      <w:pPr>
        <w:ind w:left="2164" w:right="6280" w:hanging="530"/>
        <w:spacing w:after="0" w:line="332" w:lineRule="auto"/>
        <w:tabs>
          <w:tab w:leader="none" w:pos="2164" w:val="left"/>
        </w:tabs>
        <w:numPr>
          <w:ilvl w:val="2"/>
          <w:numId w:val="24"/>
        </w:numPr>
        <w:rPr>
          <w:rFonts w:ascii="Arial" w:cs="Arial" w:eastAsia="Arial" w:hAnsi="Arial"/>
          <w:sz w:val="18"/>
          <w:szCs w:val="18"/>
          <w:color w:val="auto"/>
        </w:rPr>
      </w:pPr>
      <w:r>
        <w:rPr>
          <w:rFonts w:ascii="Arial" w:cs="Arial" w:eastAsia="Arial" w:hAnsi="Arial"/>
          <w:sz w:val="18"/>
          <w:szCs w:val="18"/>
          <w:color w:val="auto"/>
        </w:rPr>
        <w:t>SHARED DISPOSITIVE POWER 2,282,815</w:t>
      </w:r>
      <w:r>
        <w:rPr>
          <w:rFonts w:ascii="Arial" w:cs="Arial" w:eastAsia="Arial" w:hAnsi="Arial"/>
          <w:sz w:val="26"/>
          <w:szCs w:val="26"/>
          <w:color w:val="auto"/>
          <w:vertAlign w:val="superscript"/>
        </w:rPr>
        <w:t>(1)</w:t>
      </w:r>
    </w:p>
    <w:p>
      <w:pPr>
        <w:spacing w:after="0" w:line="2" w:lineRule="exact"/>
        <w:rPr>
          <w:rFonts w:ascii="Arial" w:cs="Arial" w:eastAsia="Arial" w:hAnsi="Arial"/>
          <w:sz w:val="18"/>
          <w:szCs w:val="18"/>
          <w:color w:val="auto"/>
        </w:rPr>
      </w:pPr>
    </w:p>
    <w:p>
      <w:pPr>
        <w:ind w:left="664" w:right="3760" w:hanging="507"/>
        <w:spacing w:after="0" w:line="339" w:lineRule="auto"/>
        <w:tabs>
          <w:tab w:leader="none" w:pos="664" w:val="left"/>
        </w:tabs>
        <w:numPr>
          <w:ilvl w:val="1"/>
          <w:numId w:val="25"/>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2,282,815</w:t>
      </w:r>
      <w:r>
        <w:rPr>
          <w:rFonts w:ascii="Arial" w:cs="Arial" w:eastAsia="Arial" w:hAnsi="Arial"/>
          <w:sz w:val="26"/>
          <w:szCs w:val="26"/>
          <w:color w:val="auto"/>
          <w:vertAlign w:val="superscript"/>
        </w:rPr>
        <w:t>(1)</w:t>
      </w:r>
    </w:p>
    <w:p>
      <w:pPr>
        <w:ind w:left="664" w:hanging="507"/>
        <w:spacing w:after="0"/>
        <w:tabs>
          <w:tab w:leader="none" w:pos="664" w:val="left"/>
        </w:tabs>
        <w:numPr>
          <w:ilvl w:val="1"/>
          <w:numId w:val="25"/>
        </w:numPr>
        <w:rPr>
          <w:rFonts w:ascii="Arial" w:cs="Arial" w:eastAsia="Arial" w:hAnsi="Arial"/>
          <w:sz w:val="18"/>
          <w:szCs w:val="18"/>
          <w:color w:val="auto"/>
        </w:rPr>
      </w:pPr>
      <w:r>
        <w:rPr>
          <w:rFonts w:ascii="Arial" w:cs="Arial" w:eastAsia="Arial" w:hAnsi="Arial"/>
          <w:sz w:val="18"/>
          <w:szCs w:val="18"/>
          <w:color w:val="auto"/>
        </w:rPr>
        <w:t>CHECK BOX IF THE AGGREGATE AMOUNT IN ROW (11) EXCLUDES CERTAIN SHARES (see instructions)</w:t>
      </w:r>
    </w:p>
    <w:p>
      <w:pPr>
        <w:spacing w:after="0" w:line="191" w:lineRule="exact"/>
        <w:rPr>
          <w:rFonts w:ascii="Arial" w:cs="Arial" w:eastAsia="Arial" w:hAnsi="Arial"/>
          <w:sz w:val="18"/>
          <w:szCs w:val="18"/>
          <w:color w:val="auto"/>
        </w:rPr>
      </w:pPr>
    </w:p>
    <w:p>
      <w:pPr>
        <w:ind w:left="664"/>
        <w:spacing w:after="0" w:line="181" w:lineRule="exact"/>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22" w:lineRule="exact"/>
        <w:rPr>
          <w:rFonts w:ascii="Arial" w:cs="Arial" w:eastAsia="Arial" w:hAnsi="Arial"/>
          <w:sz w:val="18"/>
          <w:szCs w:val="18"/>
          <w:color w:val="auto"/>
        </w:rPr>
      </w:pPr>
    </w:p>
    <w:p>
      <w:pPr>
        <w:ind w:left="664" w:hanging="507"/>
        <w:spacing w:after="0"/>
        <w:tabs>
          <w:tab w:leader="none" w:pos="664" w:val="left"/>
        </w:tabs>
        <w:numPr>
          <w:ilvl w:val="1"/>
          <w:numId w:val="25"/>
        </w:numPr>
        <w:rPr>
          <w:rFonts w:ascii="Arial" w:cs="Arial" w:eastAsia="Arial" w:hAnsi="Arial"/>
          <w:sz w:val="18"/>
          <w:szCs w:val="18"/>
          <w:color w:val="auto"/>
        </w:rPr>
      </w:pPr>
      <w:r>
        <w:rPr>
          <w:rFonts w:ascii="Arial" w:cs="Arial" w:eastAsia="Arial" w:hAnsi="Arial"/>
          <w:sz w:val="18"/>
          <w:szCs w:val="18"/>
          <w:color w:val="auto"/>
        </w:rPr>
        <w:t>PERCENT OF CLASS REPRESENTED BY AMOUNT IN ROW (11)</w:t>
      </w:r>
    </w:p>
    <w:p>
      <w:pPr>
        <w:spacing w:after="0" w:line="196" w:lineRule="exact"/>
        <w:rPr>
          <w:rFonts w:ascii="Arial" w:cs="Arial" w:eastAsia="Arial" w:hAnsi="Arial"/>
          <w:sz w:val="18"/>
          <w:szCs w:val="18"/>
          <w:color w:val="auto"/>
        </w:rPr>
      </w:pPr>
    </w:p>
    <w:p>
      <w:pPr>
        <w:ind w:left="664"/>
        <w:spacing w:after="0"/>
        <w:rPr>
          <w:rFonts w:ascii="Arial" w:cs="Arial" w:eastAsia="Arial" w:hAnsi="Arial"/>
          <w:sz w:val="18"/>
          <w:szCs w:val="18"/>
          <w:color w:val="auto"/>
        </w:rPr>
      </w:pPr>
      <w:r>
        <w:rPr>
          <w:rFonts w:ascii="Arial" w:cs="Arial" w:eastAsia="Arial" w:hAnsi="Arial"/>
          <w:sz w:val="18"/>
          <w:szCs w:val="18"/>
          <w:color w:val="auto"/>
        </w:rPr>
        <w:t xml:space="preserve">4.8% </w:t>
      </w:r>
      <w:r>
        <w:rPr>
          <w:rFonts w:ascii="Arial" w:cs="Arial" w:eastAsia="Arial" w:hAnsi="Arial"/>
          <w:sz w:val="26"/>
          <w:szCs w:val="26"/>
          <w:color w:val="auto"/>
          <w:vertAlign w:val="superscript"/>
        </w:rPr>
        <w:t>(2)</w:t>
      </w:r>
    </w:p>
    <w:p>
      <w:pPr>
        <w:ind w:left="664" w:hanging="507"/>
        <w:spacing w:after="0"/>
        <w:tabs>
          <w:tab w:leader="none" w:pos="664" w:val="left"/>
        </w:tabs>
        <w:numPr>
          <w:ilvl w:val="1"/>
          <w:numId w:val="25"/>
        </w:numPr>
        <w:rPr>
          <w:rFonts w:ascii="Arial" w:cs="Arial" w:eastAsia="Arial" w:hAnsi="Arial"/>
          <w:sz w:val="18"/>
          <w:szCs w:val="18"/>
          <w:color w:val="auto"/>
        </w:rPr>
      </w:pPr>
      <w:r>
        <w:rPr>
          <w:rFonts w:ascii="Arial" w:cs="Arial" w:eastAsia="Arial" w:hAnsi="Arial"/>
          <w:sz w:val="18"/>
          <w:szCs w:val="18"/>
          <w:color w:val="auto"/>
        </w:rPr>
        <w:t>TYPE OF REPORTING PERSON (see instructions)</w:t>
      </w:r>
    </w:p>
    <w:p>
      <w:pPr>
        <w:spacing w:after="0" w:line="236" w:lineRule="exact"/>
        <w:rPr>
          <w:rFonts w:ascii="Arial" w:cs="Arial" w:eastAsia="Arial" w:hAnsi="Arial"/>
          <w:sz w:val="18"/>
          <w:szCs w:val="18"/>
          <w:color w:val="auto"/>
        </w:rPr>
      </w:pPr>
    </w:p>
    <w:p>
      <w:pPr>
        <w:ind w:left="664"/>
        <w:spacing w:after="0"/>
        <w:rPr>
          <w:rFonts w:ascii="Arial" w:cs="Arial" w:eastAsia="Arial" w:hAnsi="Arial"/>
          <w:sz w:val="18"/>
          <w:szCs w:val="18"/>
          <w:color w:val="auto"/>
        </w:rPr>
      </w:pPr>
      <w:r>
        <w:rPr>
          <w:rFonts w:ascii="Arial" w:cs="Arial" w:eastAsia="Arial" w:hAnsi="Arial"/>
          <w:sz w:val="18"/>
          <w:szCs w:val="18"/>
          <w:color w:val="auto"/>
        </w:rPr>
        <w:t>CO</w:t>
      </w:r>
    </w:p>
    <w:p>
      <w:pPr>
        <w:spacing w:after="0" w:line="292" w:lineRule="exact"/>
        <w:rPr>
          <w:rFonts w:ascii="Arial" w:cs="Arial" w:eastAsia="Arial" w:hAnsi="Arial"/>
          <w:sz w:val="18"/>
          <w:szCs w:val="18"/>
          <w:color w:val="auto"/>
        </w:rPr>
      </w:pPr>
    </w:p>
    <w:p>
      <w:pPr>
        <w:ind w:left="444" w:right="320" w:hanging="444"/>
        <w:spacing w:after="0" w:line="258" w:lineRule="auto"/>
        <w:tabs>
          <w:tab w:leader="none" w:pos="444" w:val="left"/>
        </w:tabs>
        <w:numPr>
          <w:ilvl w:val="0"/>
          <w:numId w:val="26"/>
        </w:numPr>
        <w:rPr>
          <w:rFonts w:ascii="Arial" w:cs="Arial" w:eastAsia="Arial" w:hAnsi="Arial"/>
          <w:sz w:val="18"/>
          <w:szCs w:val="18"/>
          <w:color w:val="auto"/>
        </w:rPr>
      </w:pPr>
      <w:r>
        <w:rPr>
          <w:rFonts w:ascii="Arial" w:cs="Arial" w:eastAsia="Arial" w:hAnsi="Arial"/>
          <w:sz w:val="18"/>
          <w:szCs w:val="18"/>
          <w:color w:val="auto"/>
        </w:rPr>
        <w:t>Comprises 2,282,815 Class A Ordinary Shares issuable upon the conversion of 2,282,815 Class B Ordinary Shares held by Bubinga Holdings Limited.</w:t>
      </w:r>
    </w:p>
    <w:p>
      <w:pPr>
        <w:spacing w:after="0" w:line="1" w:lineRule="exact"/>
        <w:rPr>
          <w:rFonts w:ascii="Arial" w:cs="Arial" w:eastAsia="Arial" w:hAnsi="Arial"/>
          <w:sz w:val="18"/>
          <w:szCs w:val="18"/>
          <w:color w:val="auto"/>
        </w:rPr>
      </w:pPr>
    </w:p>
    <w:p>
      <w:pPr>
        <w:ind w:left="444" w:hanging="444"/>
        <w:spacing w:after="0" w:line="253" w:lineRule="auto"/>
        <w:tabs>
          <w:tab w:leader="none" w:pos="444"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percent ownership calculation assumes that there is a total of 47,294,045 Class A Ordinary Shares outstanding, which includes (i) the 45,011,230 Class A Ordinary Shares outstanding as of March 31, 2023, as reported in the Issuer’s Form 20-F filed with the SEC on May 11, 2023, and (ii) the 2,282,815 Class A Ordinary Shares issuable upon the conversion of 2,282,815 Class B Ordinary Shares held by Bubinga Holdings Limited.</w:t>
      </w:r>
    </w:p>
    <w:p>
      <w:pPr>
        <w:sectPr>
          <w:pgSz w:w="11900" w:h="16838" w:orient="portrait"/>
          <w:cols w:equalWidth="0" w:num="1">
            <w:col w:w="10964"/>
          </w:cols>
          <w:pgMar w:left="436" w:top="490" w:right="499" w:bottom="1440" w:gutter="0" w:footer="0" w:header="0"/>
        </w:sectPr>
      </w:pPr>
    </w:p>
    <w:bookmarkStart w:id="5" w:name="page6"/>
    <w:bookmarkEnd w:id="5"/>
    <w:p>
      <w:pPr>
        <w:ind w:right="80"/>
        <w:spacing w:after="0" w:line="275"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08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50800"/>
                    </a:xfrm>
                    <a:prstGeom prst="rect">
                      <a:avLst/>
                    </a:prstGeom>
                    <a:noFill/>
                  </pic:spPr>
                </pic:pic>
              </a:graphicData>
            </a:graphic>
          </wp:anchor>
        </w:drawing>
        <w:t>This Schedule 13D/A amends the Schedule 13D filed by Mr. Jian Tang, Igomax Inc., Mr. Wing Hong Sammy Hsieh and Bubinga Holdings Limited (collectively, the “</w:t>
      </w:r>
      <w:r>
        <w:rPr>
          <w:rFonts w:ascii="Arial" w:cs="Arial" w:eastAsia="Arial" w:hAnsi="Arial"/>
          <w:sz w:val="17"/>
          <w:szCs w:val="17"/>
          <w:u w:val="single" w:color="auto"/>
          <w:color w:val="auto"/>
        </w:rPr>
        <w:t>Reporting Persons</w:t>
      </w:r>
      <w:r>
        <w:rPr>
          <w:rFonts w:ascii="Arial" w:cs="Arial" w:eastAsia="Arial" w:hAnsi="Arial"/>
          <w:sz w:val="17"/>
          <w:szCs w:val="17"/>
          <w:color w:val="auto"/>
        </w:rPr>
        <w:t>”) on December 22, 2022 (the “</w:t>
      </w:r>
      <w:r>
        <w:rPr>
          <w:rFonts w:ascii="Arial" w:cs="Arial" w:eastAsia="Arial" w:hAnsi="Arial"/>
          <w:sz w:val="17"/>
          <w:szCs w:val="17"/>
          <w:u w:val="single" w:color="auto"/>
          <w:color w:val="auto"/>
        </w:rPr>
        <w:t>Original Schedule 13D</w:t>
      </w:r>
      <w:r>
        <w:rPr>
          <w:rFonts w:ascii="Arial" w:cs="Arial" w:eastAsia="Arial" w:hAnsi="Arial"/>
          <w:sz w:val="17"/>
          <w:szCs w:val="17"/>
          <w:color w:val="auto"/>
        </w:rPr>
        <w:t>”), relating to Class A ordinary shares, par value $0.001 per share (the “</w:t>
      </w:r>
      <w:r>
        <w:rPr>
          <w:rFonts w:ascii="Arial" w:cs="Arial" w:eastAsia="Arial" w:hAnsi="Arial"/>
          <w:sz w:val="17"/>
          <w:szCs w:val="17"/>
          <w:u w:val="single" w:color="auto"/>
          <w:color w:val="auto"/>
        </w:rPr>
        <w:t>Class A Ordinary Shares</w:t>
      </w:r>
      <w:r>
        <w:rPr>
          <w:rFonts w:ascii="Arial" w:cs="Arial" w:eastAsia="Arial" w:hAnsi="Arial"/>
          <w:sz w:val="17"/>
          <w:szCs w:val="17"/>
          <w:color w:val="auto"/>
        </w:rPr>
        <w:t>”), of iClick Interactive Asia Group Limited, a company incorporated in the Cayman Islands (the “</w:t>
      </w:r>
      <w:r>
        <w:rPr>
          <w:rFonts w:ascii="Arial" w:cs="Arial" w:eastAsia="Arial" w:hAnsi="Arial"/>
          <w:sz w:val="17"/>
          <w:szCs w:val="17"/>
          <w:u w:val="single" w:color="auto"/>
          <w:color w:val="auto"/>
        </w:rPr>
        <w:t>Issuer</w:t>
      </w:r>
      <w:r>
        <w:rPr>
          <w:rFonts w:ascii="Arial" w:cs="Arial" w:eastAsia="Arial" w:hAnsi="Arial"/>
          <w:sz w:val="17"/>
          <w:szCs w:val="17"/>
          <w:color w:val="auto"/>
        </w:rPr>
        <w:t>”). Except as set forth herein, the Original Schedule 13D is unmodified and remains in full force and effect as to the Reporting Persons. Capitalized terms used but not defined herein shall have the meaning set forth in the Original Schedule 13D.</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Purpose of Transaction.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Item 4 in the Original Schedule 13D is amended and supplemented by inserting the following:</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On July 6, 2023, the Buyer Group communicated its willingness to increase the cash consideration in the Proposal from US$4.0672 per ADS to US$4.08 per ADS, to the special committee of the Issuer’s board of directors formed in connection with the Proposal.</w:t>
      </w:r>
    </w:p>
    <w:p>
      <w:pPr>
        <w:sectPr>
          <w:pgSz w:w="11900" w:h="16838" w:orient="portrait"/>
          <w:cols w:equalWidth="0" w:num="1">
            <w:col w:w="11000"/>
          </w:cols>
          <w:pgMar w:left="440" w:top="490" w:right="459" w:bottom="1440" w:gutter="0" w:footer="0" w:header="0"/>
        </w:sectPr>
      </w:pPr>
    </w:p>
    <w:bookmarkStart w:id="6" w:name="page7"/>
    <w:bookmarkEnd w:id="6"/>
    <w:p>
      <w:pPr>
        <w:ind w:left="49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08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50800"/>
                    </a:xfrm>
                    <a:prstGeom prst="rect">
                      <a:avLst/>
                    </a:prstGeom>
                    <a:noFill/>
                  </pic:spPr>
                </pic:pic>
              </a:graphicData>
            </a:graphic>
          </wp:anchor>
        </w:drawing>
        <w:t>SIGNATURES</w:t>
      </w:r>
    </w:p>
    <w:p>
      <w:pPr>
        <w:spacing w:after="0" w:line="12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After reasonable inquiry and to the best of my knowledge and belief, I certify that the information set forth in this statement is true, complete and correct.</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color w:val="auto"/>
        </w:rPr>
        <w:t>Date: July 7, 2023</w:t>
      </w:r>
    </w:p>
    <w:p>
      <w:pPr>
        <w:spacing w:after="0" w:line="248" w:lineRule="exact"/>
        <w:rPr>
          <w:sz w:val="20"/>
          <w:szCs w:val="20"/>
          <w:color w:val="auto"/>
        </w:rPr>
      </w:pPr>
    </w:p>
    <w:p>
      <w:pPr>
        <w:ind w:left="6600"/>
        <w:spacing w:after="0"/>
        <w:rPr>
          <w:sz w:val="20"/>
          <w:szCs w:val="20"/>
          <w:color w:val="auto"/>
        </w:rPr>
      </w:pPr>
      <w:r>
        <w:rPr>
          <w:rFonts w:ascii="Arial" w:cs="Arial" w:eastAsia="Arial" w:hAnsi="Arial"/>
          <w:sz w:val="18"/>
          <w:szCs w:val="18"/>
          <w:b w:val="1"/>
          <w:bCs w:val="1"/>
          <w:color w:val="auto"/>
        </w:rPr>
        <w:t>JIAN TANG</w:t>
      </w:r>
    </w:p>
    <w:p>
      <w:pPr>
        <w:spacing w:after="0" w:line="229" w:lineRule="exact"/>
        <w:rPr>
          <w:sz w:val="20"/>
          <w:szCs w:val="20"/>
          <w:color w:val="auto"/>
        </w:rPr>
      </w:pPr>
    </w:p>
    <w:p>
      <w:pPr>
        <w:ind w:left="6600"/>
        <w:spacing w:after="0"/>
        <w:rPr>
          <w:sz w:val="20"/>
          <w:szCs w:val="20"/>
          <w:color w:val="auto"/>
        </w:rPr>
      </w:pPr>
      <w:r>
        <w:rPr>
          <w:rFonts w:ascii="Arial" w:cs="Arial" w:eastAsia="Arial" w:hAnsi="Arial"/>
          <w:sz w:val="18"/>
          <w:szCs w:val="18"/>
          <w:color w:val="auto"/>
        </w:rPr>
        <w:t>/s/ Jian Tang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14605</wp:posOffset>
            </wp:positionV>
            <wp:extent cx="279463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228" w:lineRule="exact"/>
        <w:rPr>
          <w:sz w:val="20"/>
          <w:szCs w:val="20"/>
          <w:color w:val="auto"/>
        </w:rPr>
      </w:pPr>
    </w:p>
    <w:p>
      <w:pPr>
        <w:ind w:left="6600"/>
        <w:spacing w:after="0"/>
        <w:rPr>
          <w:sz w:val="20"/>
          <w:szCs w:val="20"/>
          <w:color w:val="auto"/>
        </w:rPr>
      </w:pPr>
      <w:r>
        <w:rPr>
          <w:rFonts w:ascii="Arial" w:cs="Arial" w:eastAsia="Arial" w:hAnsi="Arial"/>
          <w:sz w:val="18"/>
          <w:szCs w:val="18"/>
          <w:b w:val="1"/>
          <w:bCs w:val="1"/>
          <w:color w:val="auto"/>
        </w:rPr>
        <w:t>IGOMAX INC.</w:t>
      </w:r>
    </w:p>
    <w:p>
      <w:pPr>
        <w:spacing w:after="0" w:line="229" w:lineRule="exact"/>
        <w:rPr>
          <w:sz w:val="20"/>
          <w:szCs w:val="20"/>
          <w:color w:val="auto"/>
        </w:rPr>
      </w:pPr>
    </w:p>
    <w:p>
      <w:pPr>
        <w:ind w:left="6600"/>
        <w:spacing w:after="0"/>
        <w:rPr>
          <w:sz w:val="20"/>
          <w:szCs w:val="20"/>
          <w:color w:val="auto"/>
        </w:rPr>
      </w:pPr>
      <w:r>
        <w:rPr>
          <w:rFonts w:ascii="Arial" w:cs="Arial" w:eastAsia="Arial" w:hAnsi="Arial"/>
          <w:sz w:val="18"/>
          <w:szCs w:val="18"/>
          <w:color w:val="auto"/>
        </w:rPr>
        <w:t>/s/ Jian Tang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14605</wp:posOffset>
            </wp:positionV>
            <wp:extent cx="279463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2794635" cy="8890"/>
                    </a:xfrm>
                    <a:prstGeom prst="rect">
                      <a:avLst/>
                    </a:prstGeom>
                    <a:noFill/>
                  </pic:spPr>
                </pic:pic>
              </a:graphicData>
            </a:graphic>
          </wp:anchor>
        </w:drawing>
      </w:r>
    </w:p>
    <w:p>
      <w:pPr>
        <w:spacing w:after="0" w:line="26" w:lineRule="exact"/>
        <w:rPr>
          <w:sz w:val="20"/>
          <w:szCs w:val="20"/>
          <w:color w:val="auto"/>
        </w:rPr>
      </w:pPr>
    </w:p>
    <w:p>
      <w:pPr>
        <w:ind w:left="6600"/>
        <w:spacing w:after="0"/>
        <w:rPr>
          <w:sz w:val="20"/>
          <w:szCs w:val="20"/>
          <w:color w:val="auto"/>
        </w:rPr>
      </w:pPr>
      <w:r>
        <w:rPr>
          <w:rFonts w:ascii="Arial" w:cs="Arial" w:eastAsia="Arial" w:hAnsi="Arial"/>
          <w:sz w:val="18"/>
          <w:szCs w:val="18"/>
          <w:b w:val="1"/>
          <w:bCs w:val="1"/>
          <w:color w:val="auto"/>
        </w:rPr>
        <w:t xml:space="preserve">Name: </w:t>
      </w:r>
      <w:r>
        <w:rPr>
          <w:rFonts w:ascii="Arial" w:cs="Arial" w:eastAsia="Arial" w:hAnsi="Arial"/>
          <w:sz w:val="18"/>
          <w:szCs w:val="18"/>
          <w:color w:val="auto"/>
        </w:rPr>
        <w:t>Jian Tang</w:t>
      </w:r>
    </w:p>
    <w:p>
      <w:pPr>
        <w:spacing w:after="0" w:line="27" w:lineRule="exact"/>
        <w:rPr>
          <w:sz w:val="20"/>
          <w:szCs w:val="20"/>
          <w:color w:val="auto"/>
        </w:rPr>
      </w:pPr>
    </w:p>
    <w:p>
      <w:pPr>
        <w:ind w:left="6600"/>
        <w:spacing w:after="0"/>
        <w:rPr>
          <w:sz w:val="20"/>
          <w:szCs w:val="20"/>
          <w:color w:val="auto"/>
        </w:rPr>
      </w:pPr>
      <w:r>
        <w:rPr>
          <w:rFonts w:ascii="Arial" w:cs="Arial" w:eastAsia="Arial" w:hAnsi="Arial"/>
          <w:sz w:val="18"/>
          <w:szCs w:val="18"/>
          <w:b w:val="1"/>
          <w:bCs w:val="1"/>
          <w:color w:val="auto"/>
        </w:rPr>
        <w:t xml:space="preserve">Title: </w:t>
      </w:r>
      <w:r>
        <w:rPr>
          <w:rFonts w:ascii="Arial" w:cs="Arial" w:eastAsia="Arial" w:hAnsi="Arial"/>
          <w:sz w:val="18"/>
          <w:szCs w:val="18"/>
          <w:color w:val="auto"/>
        </w:rPr>
        <w:t>Director</w:t>
      </w:r>
    </w:p>
    <w:p>
      <w:pPr>
        <w:spacing w:after="0" w:line="207" w:lineRule="exact"/>
        <w:rPr>
          <w:sz w:val="20"/>
          <w:szCs w:val="20"/>
          <w:color w:val="auto"/>
        </w:rPr>
      </w:pPr>
    </w:p>
    <w:p>
      <w:pPr>
        <w:ind w:left="6600"/>
        <w:spacing w:after="0"/>
        <w:rPr>
          <w:sz w:val="20"/>
          <w:szCs w:val="20"/>
          <w:color w:val="auto"/>
        </w:rPr>
      </w:pPr>
      <w:r>
        <w:rPr>
          <w:rFonts w:ascii="Arial" w:cs="Arial" w:eastAsia="Arial" w:hAnsi="Arial"/>
          <w:sz w:val="18"/>
          <w:szCs w:val="18"/>
          <w:b w:val="1"/>
          <w:bCs w:val="1"/>
          <w:color w:val="auto"/>
        </w:rPr>
        <w:t>WING HONG SAMMY HSIEH</w:t>
      </w:r>
    </w:p>
    <w:p>
      <w:pPr>
        <w:spacing w:after="0" w:line="229" w:lineRule="exact"/>
        <w:rPr>
          <w:sz w:val="20"/>
          <w:szCs w:val="20"/>
          <w:color w:val="auto"/>
        </w:rPr>
      </w:pPr>
    </w:p>
    <w:p>
      <w:pPr>
        <w:ind w:left="6600"/>
        <w:spacing w:after="0"/>
        <w:rPr>
          <w:sz w:val="20"/>
          <w:szCs w:val="20"/>
          <w:color w:val="auto"/>
        </w:rPr>
      </w:pPr>
      <w:r>
        <w:rPr>
          <w:rFonts w:ascii="Arial" w:cs="Arial" w:eastAsia="Arial" w:hAnsi="Arial"/>
          <w:sz w:val="18"/>
          <w:szCs w:val="18"/>
          <w:color w:val="auto"/>
        </w:rPr>
        <w:t>/s/ Wing Hong Sammy Hsieh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14605</wp:posOffset>
            </wp:positionV>
            <wp:extent cx="279463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228" w:lineRule="exact"/>
        <w:rPr>
          <w:sz w:val="20"/>
          <w:szCs w:val="20"/>
          <w:color w:val="auto"/>
        </w:rPr>
      </w:pPr>
    </w:p>
    <w:p>
      <w:pPr>
        <w:ind w:left="6600"/>
        <w:spacing w:after="0"/>
        <w:rPr>
          <w:sz w:val="20"/>
          <w:szCs w:val="20"/>
          <w:color w:val="auto"/>
        </w:rPr>
      </w:pPr>
      <w:r>
        <w:rPr>
          <w:rFonts w:ascii="Arial" w:cs="Arial" w:eastAsia="Arial" w:hAnsi="Arial"/>
          <w:sz w:val="18"/>
          <w:szCs w:val="18"/>
          <w:b w:val="1"/>
          <w:bCs w:val="1"/>
          <w:color w:val="auto"/>
        </w:rPr>
        <w:t>BUBINGA HOLDINGS LIMITED</w:t>
      </w:r>
    </w:p>
    <w:p>
      <w:pPr>
        <w:spacing w:after="0" w:line="229" w:lineRule="exact"/>
        <w:rPr>
          <w:sz w:val="20"/>
          <w:szCs w:val="20"/>
          <w:color w:val="auto"/>
        </w:rPr>
      </w:pPr>
    </w:p>
    <w:p>
      <w:pPr>
        <w:ind w:left="6600"/>
        <w:spacing w:after="0"/>
        <w:rPr>
          <w:sz w:val="20"/>
          <w:szCs w:val="20"/>
          <w:color w:val="auto"/>
        </w:rPr>
      </w:pPr>
      <w:r>
        <w:rPr>
          <w:rFonts w:ascii="Arial" w:cs="Arial" w:eastAsia="Arial" w:hAnsi="Arial"/>
          <w:sz w:val="18"/>
          <w:szCs w:val="18"/>
          <w:color w:val="auto"/>
        </w:rPr>
        <w:t>/s/ Wing Hong Sammy Hsieh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14605</wp:posOffset>
            </wp:positionV>
            <wp:extent cx="279463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2" w:lineRule="exact"/>
        <w:rPr>
          <w:sz w:val="20"/>
          <w:szCs w:val="20"/>
          <w:color w:val="auto"/>
        </w:rPr>
      </w:pPr>
    </w:p>
    <w:p>
      <w:pPr>
        <w:ind w:left="6600"/>
        <w:spacing w:after="0"/>
        <w:rPr>
          <w:sz w:val="20"/>
          <w:szCs w:val="20"/>
          <w:color w:val="auto"/>
        </w:rPr>
      </w:pPr>
      <w:r>
        <w:rPr>
          <w:rFonts w:ascii="Arial" w:cs="Arial" w:eastAsia="Arial" w:hAnsi="Arial"/>
          <w:sz w:val="18"/>
          <w:szCs w:val="18"/>
          <w:b w:val="1"/>
          <w:bCs w:val="1"/>
          <w:color w:val="auto"/>
        </w:rPr>
        <w:t xml:space="preserve">Name: </w:t>
      </w:r>
      <w:r>
        <w:rPr>
          <w:rFonts w:ascii="Arial" w:cs="Arial" w:eastAsia="Arial" w:hAnsi="Arial"/>
          <w:sz w:val="18"/>
          <w:szCs w:val="18"/>
          <w:color w:val="auto"/>
        </w:rPr>
        <w:t>Wing Hong Sammy Hsieh</w:t>
      </w:r>
    </w:p>
    <w:p>
      <w:pPr>
        <w:spacing w:after="0" w:line="27" w:lineRule="exact"/>
        <w:rPr>
          <w:sz w:val="20"/>
          <w:szCs w:val="20"/>
          <w:color w:val="auto"/>
        </w:rPr>
      </w:pPr>
    </w:p>
    <w:p>
      <w:pPr>
        <w:ind w:left="6600"/>
        <w:spacing w:after="0"/>
        <w:rPr>
          <w:sz w:val="20"/>
          <w:szCs w:val="20"/>
          <w:color w:val="auto"/>
        </w:rPr>
      </w:pPr>
      <w:r>
        <w:rPr>
          <w:rFonts w:ascii="Arial" w:cs="Arial" w:eastAsia="Arial" w:hAnsi="Arial"/>
          <w:sz w:val="18"/>
          <w:szCs w:val="18"/>
          <w:b w:val="1"/>
          <w:bCs w:val="1"/>
          <w:color w:val="auto"/>
        </w:rPr>
        <w:t xml:space="preserve">Title: </w:t>
      </w:r>
      <w:r>
        <w:rPr>
          <w:rFonts w:ascii="Arial" w:cs="Arial" w:eastAsia="Arial" w:hAnsi="Arial"/>
          <w:sz w:val="18"/>
          <w:szCs w:val="18"/>
          <w:color w:val="auto"/>
        </w:rPr>
        <w:t>Director</w:t>
      </w:r>
    </w:p>
    <w:sectPr>
      <w:pgSz w:w="11900" w:h="16838" w:orient="portrait"/>
      <w:cols w:equalWidth="0" w:num="1">
        <w:col w:w="10460"/>
      </w:cols>
      <w:pgMar w:left="440" w:top="486" w:right="9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09CF92E"/>
    <w:multiLevelType w:val="hybridMultilevel"/>
    <w:lvl w:ilvl="0">
      <w:lvlJc w:val="left"/>
      <w:lvlText w:val="%1."/>
      <w:numFmt w:val="decimal"/>
      <w:start w:val="1"/>
    </w:lvl>
  </w:abstractNum>
  <w:abstractNum w:abstractNumId="1">
    <w:nsid w:val="DED7263"/>
    <w:multiLevelType w:val="hybridMultilevel"/>
    <w:lvl w:ilvl="0">
      <w:lvlJc w:val="left"/>
      <w:lvlText w:val="%1."/>
      <w:numFmt w:val="decimal"/>
      <w:start w:val="3"/>
    </w:lvl>
  </w:abstractNum>
  <w:abstractNum w:abstractNumId="2">
    <w:nsid w:val="7FDCC233"/>
    <w:multiLevelType w:val="hybridMultilevel"/>
    <w:lvl w:ilvl="0">
      <w:lvlJc w:val="left"/>
      <w:lvlText w:val="%1."/>
      <w:numFmt w:val="decimal"/>
      <w:start w:val="7"/>
    </w:lvl>
  </w:abstractNum>
  <w:abstractNum w:abstractNumId="3">
    <w:nsid w:val="1BEFD79F"/>
    <w:multiLevelType w:val="hybridMultilevel"/>
    <w:lvl w:ilvl="0">
      <w:lvlJc w:val="left"/>
      <w:lvlText w:val="%1"/>
      <w:numFmt w:val="decimal"/>
      <w:start w:val="1"/>
    </w:lvl>
    <w:lvl w:ilvl="1">
      <w:lvlJc w:val="left"/>
      <w:lvlText w:val="%2."/>
      <w:numFmt w:val="decimal"/>
      <w:start w:val="10"/>
    </w:lvl>
  </w:abstractNum>
  <w:abstractNum w:abstractNumId="4">
    <w:nsid w:val="41A7C4C9"/>
    <w:multiLevelType w:val="hybridMultilevel"/>
    <w:lvl w:ilvl="0">
      <w:lvlJc w:val="left"/>
      <w:lvlText w:val="%1."/>
      <w:numFmt w:val="decimal"/>
      <w:start w:val="11"/>
    </w:lvl>
    <w:lvl w:ilvl="1">
      <w:lvlJc w:val="left"/>
      <w:lvlText w:val="%2"/>
      <w:numFmt w:val="decimal"/>
      <w:start w:val="1"/>
    </w:lvl>
  </w:abstractNum>
  <w:abstractNum w:abstractNumId="5">
    <w:nsid w:val="6B68079A"/>
    <w:multiLevelType w:val="hybridMultilevel"/>
    <w:lvl w:ilvl="0">
      <w:lvlJc w:val="left"/>
      <w:lvlText w:val="%1"/>
      <w:numFmt w:val="decimal"/>
      <w:start w:val="1"/>
    </w:lvl>
    <w:lvl w:ilvl="1">
      <w:lvlJc w:val="left"/>
      <w:lvlText w:val="%2."/>
      <w:numFmt w:val="decimal"/>
      <w:start w:val="14"/>
    </w:lvl>
  </w:abstractNum>
  <w:abstractNum w:abstractNumId="6">
    <w:nsid w:val="4E6AFB66"/>
    <w:multiLevelType w:val="hybridMultilevel"/>
    <w:lvl w:ilvl="0">
      <w:lvlJc w:val="left"/>
      <w:lvlText w:val="(%1)"/>
      <w:numFmt w:val="decimal"/>
      <w:start w:val="1"/>
    </w:lvl>
    <w:lvl w:ilvl="1">
      <w:lvlJc w:val="left"/>
      <w:lvlText w:val="%2"/>
      <w:numFmt w:val="decimal"/>
      <w:start w:val="1"/>
    </w:lvl>
  </w:abstractNum>
  <w:abstractNum w:abstractNumId="7">
    <w:nsid w:val="25E45D32"/>
    <w:multiLevelType w:val="hybridMultilevel"/>
    <w:lvl w:ilvl="0">
      <w:lvlJc w:val="left"/>
      <w:lvlText w:val="%1."/>
      <w:numFmt w:val="decimal"/>
      <w:start w:val="1"/>
    </w:lvl>
  </w:abstractNum>
  <w:abstractNum w:abstractNumId="8">
    <w:nsid w:val="519B500D"/>
    <w:multiLevelType w:val="hybridMultilevel"/>
    <w:lvl w:ilvl="0">
      <w:lvlJc w:val="left"/>
      <w:lvlText w:val="%1."/>
      <w:numFmt w:val="decimal"/>
      <w:start w:val="2"/>
    </w:lvl>
  </w:abstractNum>
  <w:abstractNum w:abstractNumId="9">
    <w:nsid w:val="431BD7B7"/>
    <w:multiLevelType w:val="hybridMultilevel"/>
    <w:lvl w:ilvl="0">
      <w:lvlJc w:val="left"/>
      <w:lvlText w:val="%1."/>
      <w:numFmt w:val="decimal"/>
      <w:start w:val="3"/>
    </w:lvl>
  </w:abstractNum>
  <w:abstractNum w:abstractNumId="10">
    <w:nsid w:val="3F2DBA31"/>
    <w:multiLevelType w:val="hybridMultilevel"/>
    <w:lvl w:ilvl="0">
      <w:lvlJc w:val="left"/>
      <w:lvlText w:val="%1."/>
      <w:numFmt w:val="decimal"/>
      <w:start w:val="7"/>
    </w:lvl>
  </w:abstractNum>
  <w:abstractNum w:abstractNumId="11">
    <w:nsid w:val="7C83E458"/>
    <w:multiLevelType w:val="hybridMultilevel"/>
    <w:lvl w:ilvl="0">
      <w:lvlJc w:val="left"/>
      <w:lvlText w:val="%1"/>
      <w:numFmt w:val="decimal"/>
      <w:start w:val="1"/>
    </w:lvl>
    <w:lvl w:ilvl="1">
      <w:lvlJc w:val="left"/>
      <w:lvlText w:val="%2"/>
      <w:numFmt w:val="decimal"/>
      <w:start w:val="1"/>
    </w:lvl>
    <w:lvl w:ilvl="2">
      <w:lvlJc w:val="left"/>
      <w:lvlText w:val="%3."/>
      <w:numFmt w:val="decimal"/>
      <w:start w:val="10"/>
    </w:lvl>
  </w:abstractNum>
  <w:abstractNum w:abstractNumId="12">
    <w:nsid w:val="257130A3"/>
    <w:multiLevelType w:val="hybridMultilevel"/>
    <w:lvl w:ilvl="0">
      <w:lvlJc w:val="left"/>
      <w:lvlText w:val="%1"/>
      <w:numFmt w:val="decimal"/>
      <w:start w:val="1"/>
    </w:lvl>
    <w:lvl w:ilvl="1">
      <w:lvlJc w:val="left"/>
      <w:lvlText w:val="%2."/>
      <w:numFmt w:val="decimal"/>
      <w:start w:val="11"/>
    </w:lvl>
    <w:lvl w:ilvl="2">
      <w:lvlJc w:val="left"/>
      <w:lvlText w:val="%3"/>
      <w:numFmt w:val="decimal"/>
      <w:start w:val="1"/>
    </w:lvl>
  </w:abstractNum>
  <w:abstractNum w:abstractNumId="13">
    <w:nsid w:val="62BBD95A"/>
    <w:multiLevelType w:val="hybridMultilevel"/>
    <w:lvl w:ilvl="0">
      <w:lvlJc w:val="left"/>
      <w:lvlText w:val="(%1)"/>
      <w:numFmt w:val="decimal"/>
      <w:start w:val="1"/>
    </w:lvl>
    <w:lvl w:ilvl="1">
      <w:lvlJc w:val="left"/>
      <w:lvlText w:val="%2"/>
      <w:numFmt w:val="decimal"/>
      <w:start w:val="1"/>
    </w:lvl>
    <w:lvl w:ilvl="2">
      <w:lvlJc w:val="left"/>
      <w:lvlText w:val="%3"/>
      <w:numFmt w:val="decimal"/>
      <w:start w:val="1"/>
    </w:lvl>
  </w:abstractNum>
  <w:abstractNum w:abstractNumId="14">
    <w:nsid w:val="436C6125"/>
    <w:multiLevelType w:val="hybridMultilevel"/>
    <w:lvl w:ilvl="0">
      <w:lvlJc w:val="left"/>
      <w:lvlText w:val="%1."/>
      <w:numFmt w:val="decimal"/>
      <w:start w:val="1"/>
    </w:lvl>
  </w:abstractNum>
  <w:abstractNum w:abstractNumId="15">
    <w:nsid w:val="628C895D"/>
    <w:multiLevelType w:val="hybridMultilevel"/>
    <w:lvl w:ilvl="0">
      <w:lvlJc w:val="left"/>
      <w:lvlText w:val="%1."/>
      <w:numFmt w:val="decimal"/>
      <w:start w:val="3"/>
    </w:lvl>
  </w:abstractNum>
  <w:abstractNum w:abstractNumId="16">
    <w:nsid w:val="333AB105"/>
    <w:multiLevelType w:val="hybridMultilevel"/>
    <w:lvl w:ilvl="0">
      <w:lvlJc w:val="left"/>
      <w:lvlText w:val="%1."/>
      <w:numFmt w:val="decimal"/>
      <w:start w:val="7"/>
    </w:lvl>
  </w:abstractNum>
  <w:abstractNum w:abstractNumId="17">
    <w:nsid w:val="721DA317"/>
    <w:multiLevelType w:val="hybridMultilevel"/>
    <w:lvl w:ilvl="0">
      <w:lvlJc w:val="left"/>
      <w:lvlText w:val="%1"/>
      <w:numFmt w:val="decimal"/>
      <w:start w:val="1"/>
    </w:lvl>
    <w:lvl w:ilvl="1">
      <w:lvlJc w:val="left"/>
      <w:lvlText w:val="%2"/>
      <w:numFmt w:val="decimal"/>
      <w:start w:val="1"/>
    </w:lvl>
    <w:lvl w:ilvl="2">
      <w:lvlJc w:val="left"/>
      <w:lvlText w:val="%3."/>
      <w:numFmt w:val="decimal"/>
      <w:start w:val="10"/>
    </w:lvl>
  </w:abstractNum>
  <w:abstractNum w:abstractNumId="18">
    <w:nsid w:val="2443A858"/>
    <w:multiLevelType w:val="hybridMultilevel"/>
    <w:lvl w:ilvl="0">
      <w:lvlJc w:val="left"/>
      <w:lvlText w:val="%1"/>
      <w:numFmt w:val="decimal"/>
      <w:start w:val="1"/>
    </w:lvl>
    <w:lvl w:ilvl="1">
      <w:lvlJc w:val="left"/>
      <w:lvlText w:val="%2."/>
      <w:numFmt w:val="decimal"/>
      <w:start w:val="11"/>
    </w:lvl>
    <w:lvl w:ilvl="2">
      <w:lvlJc w:val="left"/>
      <w:lvlText w:val="%3"/>
      <w:numFmt w:val="decimal"/>
      <w:start w:val="1"/>
    </w:lvl>
  </w:abstractNum>
  <w:abstractNum w:abstractNumId="19">
    <w:nsid w:val="2D1D5AE9"/>
    <w:multiLevelType w:val="hybridMultilevel"/>
    <w:lvl w:ilvl="0">
      <w:lvlJc w:val="left"/>
      <w:lvlText w:val="(%1)"/>
      <w:numFmt w:val="decimal"/>
      <w:start w:val="1"/>
    </w:lvl>
    <w:lvl w:ilvl="1">
      <w:lvlJc w:val="left"/>
      <w:lvlText w:val="%2"/>
      <w:numFmt w:val="decimal"/>
      <w:start w:val="1"/>
    </w:lvl>
    <w:lvl w:ilvl="2">
      <w:lvlJc w:val="left"/>
      <w:lvlText w:val="%3"/>
      <w:numFmt w:val="decimal"/>
      <w:start w:val="1"/>
    </w:lvl>
  </w:abstractNum>
  <w:abstractNum w:abstractNumId="20">
    <w:nsid w:val="6763845E"/>
    <w:multiLevelType w:val="hybridMultilevel"/>
    <w:lvl w:ilvl="0">
      <w:lvlJc w:val="left"/>
      <w:lvlText w:val="%1."/>
      <w:numFmt w:val="decimal"/>
      <w:start w:val="1"/>
    </w:lvl>
  </w:abstractNum>
  <w:abstractNum w:abstractNumId="21">
    <w:nsid w:val="75A2A8D4"/>
    <w:multiLevelType w:val="hybridMultilevel"/>
    <w:lvl w:ilvl="0">
      <w:lvlJc w:val="left"/>
      <w:lvlText w:val="%1."/>
      <w:numFmt w:val="decimal"/>
      <w:start w:val="3"/>
    </w:lvl>
  </w:abstractNum>
  <w:abstractNum w:abstractNumId="22">
    <w:nsid w:val="8EDBDAB"/>
    <w:multiLevelType w:val="hybridMultilevel"/>
    <w:lvl w:ilvl="0">
      <w:lvlJc w:val="left"/>
      <w:lvlText w:val="%1."/>
      <w:numFmt w:val="decimal"/>
      <w:start w:val="7"/>
    </w:lvl>
  </w:abstractNum>
  <w:abstractNum w:abstractNumId="23">
    <w:nsid w:val="79838CB2"/>
    <w:multiLevelType w:val="hybridMultilevel"/>
    <w:lvl w:ilvl="0">
      <w:lvlJc w:val="left"/>
      <w:lvlText w:val="%1"/>
      <w:numFmt w:val="decimal"/>
      <w:start w:val="1"/>
    </w:lvl>
    <w:lvl w:ilvl="1">
      <w:lvlJc w:val="left"/>
      <w:lvlText w:val="%2"/>
      <w:numFmt w:val="decimal"/>
      <w:start w:val="1"/>
    </w:lvl>
    <w:lvl w:ilvl="2">
      <w:lvlJc w:val="left"/>
      <w:lvlText w:val="%3."/>
      <w:numFmt w:val="decimal"/>
      <w:start w:val="10"/>
    </w:lvl>
  </w:abstractNum>
  <w:abstractNum w:abstractNumId="24">
    <w:nsid w:val="4353D0CD"/>
    <w:multiLevelType w:val="hybridMultilevel"/>
    <w:lvl w:ilvl="0">
      <w:lvlJc w:val="left"/>
      <w:lvlText w:val="%1"/>
      <w:numFmt w:val="decimal"/>
      <w:start w:val="1"/>
    </w:lvl>
    <w:lvl w:ilvl="1">
      <w:lvlJc w:val="left"/>
      <w:lvlText w:val="%2."/>
      <w:numFmt w:val="decimal"/>
      <w:start w:val="11"/>
    </w:lvl>
    <w:lvl w:ilvl="2">
      <w:lvlJc w:val="left"/>
      <w:lvlText w:val="%3"/>
      <w:numFmt w:val="decimal"/>
      <w:start w:val="1"/>
    </w:lvl>
  </w:abstractNum>
  <w:abstractNum w:abstractNumId="25">
    <w:nsid w:val="B03E0C6"/>
    <w:multiLevelType w:val="hybridMultilevel"/>
    <w:lvl w:ilvl="0">
      <w:lvlJc w:val="left"/>
      <w:lvlText w:val="(%1)"/>
      <w:numFmt w:val="decimal"/>
      <w:start w:val="1"/>
    </w:lvl>
    <w:lvl w:ilvl="1">
      <w:lvlJc w:val="left"/>
      <w:lvlText w:val="%2"/>
      <w:numFmt w:val="decimal"/>
      <w:start w:val="1"/>
    </w:lvl>
    <w:lvl w:ilvl="2">
      <w:lvlJc w:val="left"/>
      <w:lvlText w:val="%3"/>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2023-07-07T15:14:54Z</dcterms:created>
  <dcterms:modified xsi:type="dcterms:W3CDTF">2023-07-07T15:14:54Z</dcterms:modified>
</cp:coreProperties>
</file>