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00"/>
        <w:spacing w:after="0" w:line="279" w:lineRule="auto"/>
        <w:rPr>
          <w:sz w:val="20"/>
          <w:szCs w:val="20"/>
          <w:color w:val="auto"/>
        </w:rPr>
      </w:pPr>
      <w:r>
        <w:rPr>
          <w:rFonts w:ascii="Times New Roman" w:cs="Times New Roman" w:eastAsia="Times New Roman" w:hAnsi="Times New Roman"/>
          <w:sz w:val="38"/>
          <w:szCs w:val="38"/>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3290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27940"/>
                    </a:xfrm>
                    <a:prstGeom prst="rect">
                      <a:avLst/>
                    </a:prstGeom>
                    <a:noFill/>
                  </pic:spPr>
                </pic:pic>
              </a:graphicData>
            </a:graphic>
          </wp:anchor>
        </w:drawing>
        <w:drawing>
          <wp:anchor simplePos="0" relativeHeight="251657728" behindDoc="1" locked="0" layoutInCell="0" allowOverlap="1">
            <wp:simplePos x="0" y="0"/>
            <wp:positionH relativeFrom="page">
              <wp:posOffset>410210</wp:posOffset>
            </wp:positionH>
            <wp:positionV relativeFrom="page">
              <wp:posOffset>631190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t>SECURITIES AND EXCHANGE COMMISSION Washington, D.C. 20549</w:t>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color w:val="auto"/>
        </w:rPr>
        <w:t>SCHEDULE 13G</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color w:val="auto"/>
        </w:rPr>
        <w:t>UNDER THE SECURITIES EXCHANGE ACT OF 1934</w:t>
      </w:r>
    </w:p>
    <w:p>
      <w:pPr>
        <w:spacing w:after="0" w:line="5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9"/>
          <w:szCs w:val="19"/>
          <w:b w:val="1"/>
          <w:bCs w:val="1"/>
          <w:color w:val="auto"/>
        </w:rPr>
        <w:t xml:space="preserve">(Amendment No. </w:t>
      </w:r>
      <w:r>
        <w:rPr>
          <w:rFonts w:ascii="Times New Roman" w:cs="Times New Roman" w:eastAsia="Times New Roman" w:hAnsi="Times New Roman"/>
          <w:sz w:val="19"/>
          <w:szCs w:val="19"/>
          <w:b w:val="1"/>
          <w:bCs w:val="1"/>
          <w:color w:val="0000FF"/>
        </w:rPr>
        <w:t>2</w:t>
      </w:r>
      <w:r>
        <w:rPr>
          <w:rFonts w:ascii="Times New Roman" w:cs="Times New Roman" w:eastAsia="Times New Roman" w:hAnsi="Times New Roman"/>
          <w:sz w:val="19"/>
          <w:szCs w:val="19"/>
          <w:b w:val="1"/>
          <w:bCs w:val="1"/>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(Name of Issuer)</w:t>
      </w:r>
    </w:p>
    <w:p>
      <w:pPr>
        <w:spacing w:after="0" w:line="200" w:lineRule="exact"/>
        <w:rPr>
          <w:sz w:val="24"/>
          <w:szCs w:val="24"/>
          <w:color w:val="auto"/>
        </w:rPr>
      </w:pPr>
    </w:p>
    <w:p>
      <w:pPr>
        <w:spacing w:after="0" w:line="314"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9"/>
          <w:szCs w:val="19"/>
          <w:b w:val="1"/>
          <w:bCs w:val="1"/>
          <w:color w:val="0000FF"/>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9"/>
          <w:szCs w:val="19"/>
          <w:b w:val="1"/>
          <w:bCs w:val="1"/>
          <w:color w:val="auto"/>
        </w:rPr>
        <w:t>(Title of Class of Securities)</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(Date of Event Which Requires Filing of this Statement)</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Check the appropriate box to designate the rule pursuant to which this Schedule is filed:</w:t>
      </w:r>
    </w:p>
    <w:p>
      <w:pPr>
        <w:spacing w:after="0" w:line="5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85725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161925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color w:val="auto"/>
        </w:rPr>
        <w:t>SCHEDULE 13G</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CUSIP No. </w:t>
      </w:r>
      <w:r>
        <w:rPr>
          <w:rFonts w:ascii="Times New Roman" w:cs="Times New Roman" w:eastAsia="Times New Roman" w:hAnsi="Times New Roman"/>
          <w:sz w:val="16"/>
          <w:szCs w:val="16"/>
          <w:color w:val="auto"/>
        </w:rPr>
        <w:t>45113Y203</w:t>
      </w:r>
    </w:p>
    <w:p>
      <w:pPr>
        <w:spacing w:after="0" w:line="200" w:lineRule="exact"/>
        <w:rPr>
          <w:sz w:val="24"/>
          <w:szCs w:val="24"/>
          <w:color w:val="auto"/>
        </w:rPr>
      </w:pPr>
    </w:p>
    <w:p>
      <w:pPr>
        <w:spacing w:after="0" w:line="34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Names of Reporting Persons</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Nuveen Asset Management, LLC</w:t>
      </w:r>
    </w:p>
    <w:p>
      <w:pPr>
        <w:spacing w:after="0" w:line="3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51" w:lineRule="exact"/>
        <w:rPr>
          <w:sz w:val="24"/>
          <w:szCs w:val="24"/>
          <w:color w:val="auto"/>
        </w:rPr>
      </w:pPr>
    </w:p>
    <w:p>
      <w:pPr>
        <w:ind w:left="980" w:hanging="978"/>
        <w:spacing w:after="0"/>
        <w:tabs>
          <w:tab w:leader="none" w:pos="980" w:val="left"/>
        </w:tabs>
        <w:numPr>
          <w:ilvl w:val="0"/>
          <w:numId w:val="1"/>
        </w:numPr>
        <w:rPr>
          <w:rFonts w:ascii="Times New Roman" w:cs="Times New Roman" w:eastAsia="Times New Roman" w:hAnsi="Times New Roman"/>
          <w:sz w:val="38"/>
          <w:szCs w:val="38"/>
          <w:color w:val="auto"/>
          <w:vertAlign w:val="superscript"/>
        </w:rPr>
      </w:pPr>
      <w:r>
        <w:rPr>
          <w:sz w:val="1"/>
          <w:szCs w:val="1"/>
          <w:color w:val="auto"/>
        </w:rPr>
        <w:drawing>
          <wp:inline distT="0" distB="0" distL="0" distR="0">
            <wp:extent cx="114300" cy="11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w:t>
      </w:r>
    </w:p>
    <w:p>
      <w:pPr>
        <w:ind w:left="980"/>
        <w:spacing w:after="0"/>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4300"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w:t>
      </w:r>
    </w:p>
    <w:p>
      <w:pPr>
        <w:spacing w:after="0" w:line="42" w:lineRule="exact"/>
        <w:rPr>
          <w:sz w:val="24"/>
          <w:szCs w:val="24"/>
          <w:color w:val="auto"/>
        </w:rPr>
      </w:pPr>
    </w:p>
    <w:p>
      <w:pPr>
        <w:ind w:left="980" w:hanging="978"/>
        <w:spacing w:after="0"/>
        <w:tabs>
          <w:tab w:leader="none" w:pos="9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 Use Only</w:t>
      </w:r>
    </w:p>
    <w:p>
      <w:pPr>
        <w:spacing w:after="0" w:line="5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Citizenship or Place of Organization</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DELAWARE</w:t>
      </w:r>
    </w:p>
    <w:p>
      <w:pPr>
        <w:sectPr>
          <w:pgSz w:w="11900" w:h="16840" w:orient="portrait"/>
          <w:cols w:equalWidth="0" w:num="1">
            <w:col w:w="9760"/>
          </w:cols>
          <w:pgMar w:left="700" w:top="1132" w:right="1440" w:bottom="59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98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Sole Voting Power</w:t>
            </w: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r>
        <w:trPr>
          <w:trHeight w:val="228"/>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Number of</w:t>
            </w:r>
          </w:p>
        </w:tc>
        <w:tc>
          <w:tcPr>
            <w:tcW w:w="2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Shared Voting Power</w:t>
            </w:r>
          </w:p>
        </w:tc>
        <w:tc>
          <w:tcPr>
            <w:tcW w:w="0" w:type="dxa"/>
            <w:vAlign w:val="bottom"/>
          </w:tcPr>
          <w:p>
            <w:pPr>
              <w:spacing w:after="0"/>
              <w:rPr>
                <w:sz w:val="1"/>
                <w:szCs w:val="1"/>
                <w:color w:val="auto"/>
              </w:rPr>
            </w:pPr>
          </w:p>
        </w:tc>
      </w:tr>
      <w:tr>
        <w:trPr>
          <w:trHeight w:val="11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Shares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Beneficially</w:t>
            </w:r>
          </w:p>
        </w:tc>
        <w:tc>
          <w:tcPr>
            <w:tcW w:w="200" w:type="dxa"/>
            <w:vAlign w:val="bottom"/>
            <w:vMerge w:val="continue"/>
          </w:tcPr>
          <w:p>
            <w:pPr>
              <w:spacing w:after="0"/>
              <w:rPr>
                <w:sz w:val="19"/>
                <w:szCs w:val="1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r>
        <w:trPr>
          <w:trHeight w:val="11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Owned by</w:t>
            </w:r>
          </w:p>
        </w:tc>
        <w:tc>
          <w:tcPr>
            <w:tcW w:w="2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w w:val="99"/>
              </w:rPr>
              <w:t>Sole Dispositive Power</w:t>
            </w: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Each</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Reporting</w:t>
            </w:r>
          </w:p>
        </w:tc>
        <w:tc>
          <w:tcPr>
            <w:tcW w:w="200" w:type="dxa"/>
            <w:vAlign w:val="bottom"/>
            <w:vMerge w:val="continue"/>
          </w:tcPr>
          <w:p>
            <w:pPr>
              <w:spacing w:after="0"/>
              <w:rPr>
                <w:sz w:val="14"/>
                <w:szCs w:val="14"/>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Person</w:t>
            </w:r>
          </w:p>
        </w:tc>
        <w:tc>
          <w:tcPr>
            <w:tcW w:w="2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Shared Dispositive</w:t>
            </w:r>
          </w:p>
        </w:tc>
        <w:tc>
          <w:tcPr>
            <w:tcW w:w="0" w:type="dxa"/>
            <w:vAlign w:val="bottom"/>
          </w:tcPr>
          <w:p>
            <w:pPr>
              <w:spacing w:after="0"/>
              <w:rPr>
                <w:sz w:val="1"/>
                <w:szCs w:val="1"/>
                <w:color w:val="auto"/>
              </w:rPr>
            </w:pPr>
          </w:p>
        </w:tc>
      </w:tr>
      <w:tr>
        <w:trPr>
          <w:trHeight w:val="193"/>
        </w:trPr>
        <w:tc>
          <w:tcPr>
            <w:tcW w:w="98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With:</w:t>
            </w:r>
          </w:p>
        </w:tc>
        <w:tc>
          <w:tcPr>
            <w:tcW w:w="2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Power</w:t>
            </w:r>
          </w:p>
        </w:tc>
        <w:tc>
          <w:tcPr>
            <w:tcW w:w="0" w:type="dxa"/>
            <w:vAlign w:val="bottom"/>
          </w:tcPr>
          <w:p>
            <w:pPr>
              <w:spacing w:after="0"/>
              <w:rPr>
                <w:sz w:val="1"/>
                <w:szCs w:val="1"/>
                <w:color w:val="auto"/>
              </w:rPr>
            </w:pPr>
          </w:p>
        </w:tc>
      </w:tr>
      <w:tr>
        <w:trPr>
          <w:trHeight w:val="348"/>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Aggregate Amount Beneficially Owned by Each Reporting Person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0.00</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Check box if the aggregate amount in row (9) excludes certain shares (See Instructions)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15875</wp:posOffset>
            </wp:positionV>
            <wp:extent cx="1143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Percent of class represented by amount in row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0.00 %</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Type of Reporting Person (See Instructions)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SCHEDULE 13G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1.</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Name of issuer: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iClick Interactive Asia Group Ltd</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Address of issuer's principal executive offices: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15/F, Prosperity Millennia Plaza 663 King's Road, Quarry Bay Hong Kong S.A.R., People's Republic of 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2.</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Name of person filing: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Nuveen Asset Management, LLC ("NAM")</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Address or principal business office or, if none, residence: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333 W. Wacker Drive Chicago, IL 60606</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Citizenship: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Delaware</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Title of class of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Sponsored American Depository Receipt</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CUSIP No.: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45113Y203</w:t>
      </w:r>
    </w:p>
    <w:p>
      <w:pPr>
        <w:spacing w:after="0" w:line="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If this statement is filed pursuant to Â§Â§ 240.13d-1(b) or 240.13d-2(b) or (c), check whether the person filing is a:</w:t>
      </w:r>
    </w:p>
    <w:p>
      <w:pPr>
        <w:spacing w:after="0" w:line="58" w:lineRule="exact"/>
        <w:rPr>
          <w:sz w:val="20"/>
          <w:szCs w:val="20"/>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Broker or dealer registered under section 15 of the Act (15 U.S.C. 78o);</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Bank as defined in section 3(a)(6) of the Act (15 U.S.C. 78c);</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Insurance company as defined in section 3(a)(19) of the Act (15 U.S.C. 78c);</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Investment company registered under section 8 of the Investment Company Act of 1940 (15 U.S.C. 80a-8);</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An investment adviser in accordance with Â§ 240.13d-1(b)(1)(ii)(E);</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An employee benefit plan or endowment fund in accordance with Â§ 240.13d-1(b)(1)(ii)(F);</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parent holding company or control person in accordance with Â§ 240.13d-1(b)(1)(ii)(G);</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savings associations as defined in Section 3(b) of the Federal Deposit Insurance Act (12 U.S.C. 1813);</w:t>
      </w:r>
    </w:p>
    <w:p>
      <w:pPr>
        <w:sectPr>
          <w:pgSz w:w="11900" w:h="16840" w:orient="portrait"/>
          <w:cols w:equalWidth="0" w:num="1">
            <w:col w:w="9760"/>
          </w:cols>
          <w:pgMar w:left="700" w:top="604" w:right="1440" w:bottom="289" w:gutter="0" w:footer="0" w:header="0"/>
        </w:sectPr>
      </w:pPr>
    </w:p>
    <w:bookmarkStart w:id="2" w:name="page3"/>
    <w:bookmarkEnd w:id="2"/>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8.</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10.</w:t>
      </w:r>
    </w:p>
    <w:p>
      <w:pPr>
        <w:spacing w:after="0" w:line="20" w:lineRule="exact"/>
        <w:rPr>
          <w:sz w:val="20"/>
          <w:szCs w:val="20"/>
          <w:color w:val="auto"/>
        </w:rPr>
      </w:pPr>
      <w:r>
        <w:rPr>
          <w:sz w:val="20"/>
          <w:szCs w:val="20"/>
          <w:color w:val="auto"/>
        </w:rPr>
        <w:br w:type="column"/>
      </w:r>
    </w:p>
    <w:p>
      <w:pPr>
        <w:ind w:right="220"/>
        <w:spacing w:after="0" w:line="275" w:lineRule="auto"/>
        <w:rPr>
          <w:sz w:val="20"/>
          <w:szCs w:val="20"/>
          <w:color w:val="auto"/>
        </w:rPr>
      </w:pPr>
      <w:r>
        <w:rPr>
          <w:sz w:val="1"/>
          <w:szCs w:val="1"/>
          <w:color w:val="auto"/>
        </w:rPr>
        <w:drawing>
          <wp:inline distT="0" distB="0" distL="0" distR="0">
            <wp:extent cx="114300" cy="114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church plan that is excluded from the definition of an investment company under section 3(c)(14) of the Investment Company Act of 1940 (15 U.S.C. 80a-3);</w:t>
      </w:r>
    </w:p>
    <w:p>
      <w:pPr>
        <w:spacing w:after="0" w:line="1" w:lineRule="exact"/>
        <w:rPr>
          <w:sz w:val="20"/>
          <w:szCs w:val="20"/>
          <w:color w:val="auto"/>
        </w:rPr>
      </w:pPr>
    </w:p>
    <w:p>
      <w:pPr>
        <w:ind w:right="380"/>
        <w:spacing w:after="0" w:line="261" w:lineRule="auto"/>
        <w:rPr>
          <w:sz w:val="20"/>
          <w:szCs w:val="20"/>
          <w:color w:val="auto"/>
        </w:rPr>
      </w:pPr>
      <w:r>
        <w:rPr>
          <w:sz w:val="1"/>
          <w:szCs w:val="1"/>
          <w:color w:val="auto"/>
        </w:rPr>
        <w:drawing>
          <wp:inline distT="0" distB="0" distL="0" distR="0">
            <wp:extent cx="114300" cy="114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non-U.S. institution in accordance with Â§ 240.13d-1(b)(1)(ii)(J). If filing as a non-U.S. institution in accordance with Â§ 240.13d-1(b)(1)(ii)(J),</w:t>
      </w:r>
    </w:p>
    <w:p>
      <w:pPr>
        <w:ind w:left="340"/>
        <w:spacing w:after="0"/>
        <w:rPr>
          <w:sz w:val="20"/>
          <w:szCs w:val="20"/>
          <w:color w:val="auto"/>
        </w:rPr>
      </w:pPr>
      <w:r>
        <w:rPr>
          <w:rFonts w:ascii="Times New Roman" w:cs="Times New Roman" w:eastAsia="Times New Roman" w:hAnsi="Times New Roman"/>
          <w:sz w:val="19"/>
          <w:szCs w:val="19"/>
          <w:color w:val="auto"/>
        </w:rPr>
        <w:t>please specify the type of institution:</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1430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Amount beneficially owned: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Percent of class: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0 %</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shares as to which the person has:</w:t>
      </w:r>
    </w:p>
    <w:p>
      <w:pPr>
        <w:spacing w:after="0" w:line="58" w:lineRule="exact"/>
        <w:rPr>
          <w:sz w:val="20"/>
          <w:szCs w:val="20"/>
          <w:color w:val="auto"/>
        </w:rPr>
      </w:pPr>
    </w:p>
    <w:p>
      <w:pPr>
        <w:ind w:left="240" w:hanging="234"/>
        <w:spacing w:after="0"/>
        <w:tabs>
          <w:tab w:leader="none" w:pos="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 power to vote or to direct the vote:</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power to vote or to direct the vote:</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 power to dispose or to direct the disposition of:</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power to dispose or to direct the disposition of:</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Ownership of 5 Percent or Less of a Class.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 of more than 5 Percent on Behalf of Another Person.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Nuveen Asset Management, LLC ("NAM"), is a registered investment adviser affiliated with TCIM and TAL. NAM may be deemed to be a beneficial owner of 0 shares of Issuer's common stock. TIAA-CREF Investment Management, LLC ("TCIM") is the investment adviser to the College Retirement Equities Fund ("CREF"), a registered investment company, and may be deemed to be a beneficial owner of 0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0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4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9"/>
          <w:szCs w:val="19"/>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Identification and Classification of Members of the Group.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Dissolution of Group.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Certifications:</w:t>
      </w:r>
    </w:p>
    <w:p>
      <w:pPr>
        <w:sectPr>
          <w:pgSz w:w="11900" w:h="16840" w:orient="portrait"/>
          <w:cols w:equalWidth="0" w:num="2">
            <w:col w:w="640" w:space="220"/>
            <w:col w:w="9620"/>
          </w:cols>
          <w:pgMar w:left="700" w:top="568" w:right="720" w:bottom="736" w:gutter="0" w:footer="0" w:header="0"/>
        </w:sectPr>
      </w:pPr>
    </w:p>
    <w:bookmarkStart w:id="3" w:name="page4"/>
    <w:bookmarkEnd w:id="3"/>
    <w:p>
      <w:pPr>
        <w:ind w:left="660"/>
        <w:spacing w:after="0" w:line="259"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58"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9"/>
          <w:szCs w:val="19"/>
          <w:color w:val="auto"/>
        </w:rPr>
        <w:t>After reasonable inquiry and to the best of my knowledge and belief, I certify that the information set forth in this statement is true, complete and correct.</w:t>
      </w:r>
    </w:p>
    <w:p>
      <w:pPr>
        <w:spacing w:after="0" w:line="27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Nuveen Asset Management, LLC</w:t>
      </w:r>
    </w:p>
    <w:p>
      <w:pPr>
        <w:spacing w:after="0" w:line="154" w:lineRule="exact"/>
        <w:rPr>
          <w:sz w:val="20"/>
          <w:szCs w:val="20"/>
          <w:color w:val="auto"/>
        </w:rPr>
      </w:pPr>
    </w:p>
    <w:p>
      <w:pPr>
        <w:ind w:left="4720"/>
        <w:spacing w:after="0"/>
        <w:tabs>
          <w:tab w:leader="none" w:pos="5680" w:val="left"/>
        </w:tabs>
        <w:rPr>
          <w:sz w:val="20"/>
          <w:szCs w:val="20"/>
          <w:color w:val="auto"/>
        </w:rPr>
      </w:pPr>
      <w:r>
        <w:rPr>
          <w:rFonts w:ascii="Times New Roman" w:cs="Times New Roman" w:eastAsia="Times New Roman" w:hAnsi="Times New Roman"/>
          <w:sz w:val="19"/>
          <w:szCs w:val="19"/>
          <w:color w:val="auto"/>
        </w:rPr>
        <w:t>Signature:</w:t>
        <w:tab/>
        <w:t>/s/ Erik Mogavero</w:t>
      </w:r>
    </w:p>
    <w:p>
      <w:pPr>
        <w:spacing w:after="0" w:line="5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Name/Title: Managing Director Head of Affiliate Compliance</w:t>
      </w:r>
    </w:p>
    <w:p>
      <w:pPr>
        <w:spacing w:after="0" w:line="58" w:lineRule="exact"/>
        <w:rPr>
          <w:sz w:val="20"/>
          <w:szCs w:val="20"/>
          <w:color w:val="auto"/>
        </w:rPr>
      </w:pPr>
    </w:p>
    <w:p>
      <w:pPr>
        <w:ind w:left="4720"/>
        <w:spacing w:after="0"/>
        <w:tabs>
          <w:tab w:leader="none" w:pos="568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05/07/2025</w:t>
      </w:r>
    </w:p>
    <w:sectPr>
      <w:pgSz w:w="11900" w:h="16840" w:orient="portrait"/>
      <w:cols w:equalWidth="0" w:num="1">
        <w:col w:w="10300"/>
      </w:cols>
      <w:pgMar w:left="900" w:top="568" w:right="7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2025-05-07T12:05:54Z</dcterms:created>
  <dcterms:modified xsi:type="dcterms:W3CDTF">2025-05-07T12:05:54Z</dcterms:modified>
</cp:coreProperties>
</file>