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Washington, D.C. 20549</w:t>
      </w:r>
    </w:p>
    <w:p>
      <w:pPr>
        <w:spacing w:after="0" w:line="8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SCHEDULE 13G/A</w:t>
      </w:r>
    </w:p>
    <w:p>
      <w:pPr>
        <w:spacing w:after="0" w:line="140"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2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(Amendment No.9)*</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26"/>
          <w:szCs w:val="26"/>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(Name of Issuer)</w:t>
      </w:r>
    </w:p>
    <w:p>
      <w:pPr>
        <w:spacing w:after="0" w:line="118"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(Title of Class of Securities)</w:t>
      </w:r>
    </w:p>
    <w:p>
      <w:pPr>
        <w:spacing w:after="0" w:line="118" w:lineRule="exact"/>
        <w:rPr>
          <w:sz w:val="24"/>
          <w:szCs w:val="24"/>
          <w:color w:val="auto"/>
        </w:rPr>
      </w:pPr>
    </w:p>
    <w:p>
      <w:pPr>
        <w:ind w:left="5320"/>
        <w:spacing w:after="0"/>
        <w:rPr>
          <w:sz w:val="20"/>
          <w:szCs w:val="20"/>
          <w:color w:val="auto"/>
        </w:rPr>
      </w:pPr>
      <w:r>
        <w:rPr>
          <w:rFonts w:ascii="Arial" w:cs="Arial" w:eastAsia="Arial" w:hAnsi="Arial"/>
          <w:sz w:val="14"/>
          <w:szCs w:val="14"/>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(CUSIP Number)</w:t>
      </w:r>
    </w:p>
    <w:p>
      <w:pPr>
        <w:spacing w:after="0" w:line="118"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(Date of Event Which Requires Filing of this Statement)</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to designate the rule pursuant to which this Schedule is filed:</w:t>
      </w:r>
    </w:p>
    <w:p>
      <w:pPr>
        <w:spacing w:after="0" w:line="28" w:lineRule="exact"/>
        <w:rPr>
          <w:sz w:val="24"/>
          <w:szCs w:val="24"/>
          <w:color w:val="auto"/>
        </w:rPr>
      </w:pPr>
    </w:p>
    <w:p>
      <w:pPr>
        <w:ind w:left="880" w:hanging="494"/>
        <w:spacing w:after="0"/>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Rule 13d-1(b)</w:t>
      </w:r>
    </w:p>
    <w:p>
      <w:pPr>
        <w:spacing w:after="0" w:line="68" w:lineRule="exact"/>
        <w:rPr>
          <w:rFonts w:ascii="Arial" w:cs="Arial" w:eastAsia="Arial" w:hAnsi="Arial"/>
          <w:sz w:val="14"/>
          <w:szCs w:val="14"/>
          <w:color w:val="auto"/>
        </w:rPr>
      </w:pPr>
    </w:p>
    <w:p>
      <w:pPr>
        <w:ind w:left="880" w:hanging="494"/>
        <w:spacing w:after="0"/>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Rule 13d-1(c)</w:t>
      </w:r>
    </w:p>
    <w:p>
      <w:pPr>
        <w:spacing w:after="0" w:line="68"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XRule 13d-1(d)</w:t>
      </w:r>
    </w:p>
    <w:p>
      <w:pPr>
        <w:spacing w:after="0" w:line="190"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8"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581025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240" w:top="454" w:right="699" w:bottom="1440" w:gutter="0" w:footer="0" w:header="0"/>
        </w:sectPr>
      </w:pPr>
    </w:p>
    <w:bookmarkStart w:id="1" w:name="page2"/>
    <w:bookmarkEnd w:id="1"/>
    <w:p>
      <w:pPr>
        <w:ind w:left="1140" w:right="7479" w:hanging="754"/>
        <w:spacing w:after="0" w:line="231" w:lineRule="auto"/>
        <w:tabs>
          <w:tab w:leader="none" w:pos="1013" w:val="left"/>
        </w:tabs>
        <w:numPr>
          <w:ilvl w:val="0"/>
          <w:numId w:val="2"/>
        </w:numPr>
        <w:rPr>
          <w:rFonts w:ascii="Arial" w:cs="Arial" w:eastAsia="Arial" w:hAnsi="Arial"/>
          <w:sz w:val="14"/>
          <w:szCs w:val="14"/>
          <w:color w:val="auto"/>
        </w:rPr>
      </w:pPr>
      <w:r>
        <w:rPr>
          <w:rFonts w:ascii="Arial" w:cs="Arial" w:eastAsia="Arial" w:hAnsi="Arial"/>
          <w:sz w:val="14"/>
          <w:szCs w:val="14"/>
          <w:color w:val="auto"/>
        </w:rPr>
        <w:t>Names of Reporting Persons Jiping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37" w:lineRule="exact"/>
        <w:rPr>
          <w:sz w:val="20"/>
          <w:szCs w:val="20"/>
          <w:color w:val="auto"/>
        </w:rPr>
      </w:pPr>
    </w:p>
    <w:p>
      <w:pPr>
        <w:ind w:left="1000" w:hanging="614"/>
        <w:spacing w:after="0"/>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Check the Appropriate Box if a Member of a Group</w:t>
      </w:r>
    </w:p>
    <w:p>
      <w:pPr>
        <w:spacing w:after="0" w:line="91" w:lineRule="exact"/>
        <w:rPr>
          <w:rFonts w:ascii="Arial" w:cs="Arial" w:eastAsia="Arial" w:hAnsi="Arial"/>
          <w:sz w:val="12"/>
          <w:szCs w:val="12"/>
          <w:color w:val="auto"/>
        </w:rPr>
      </w:pPr>
    </w:p>
    <w:p>
      <w:pPr>
        <w:ind w:left="2180" w:hanging="1159"/>
        <w:spacing w:after="0"/>
        <w:tabs>
          <w:tab w:leader="none" w:pos="21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18415</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3</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Number of Shares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Beneficially Owned by</w:t>
      </w:r>
    </w:p>
    <w:p>
      <w:pPr>
        <w:spacing w:after="0" w:line="1"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Each Reporting</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180" w:hanging="1159"/>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w:t>
      </w:r>
    </w:p>
    <w:p>
      <w:pPr>
        <w:spacing w:after="0" w:line="2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-247015</wp:posOffset>
            </wp:positionV>
            <wp:extent cx="585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Citizenship or Place of Organization</w:t>
      </w:r>
    </w:p>
    <w:p>
      <w:pPr>
        <w:ind w:left="140"/>
        <w:spacing w:after="0"/>
        <w:rPr>
          <w:sz w:val="20"/>
          <w:szCs w:val="20"/>
          <w:color w:val="auto"/>
        </w:rPr>
      </w:pPr>
      <w:r>
        <w:rPr>
          <w:rFonts w:ascii="Arial" w:cs="Arial" w:eastAsia="Arial" w:hAnsi="Arial"/>
          <w:sz w:val="14"/>
          <w:szCs w:val="14"/>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319" w:lineRule="exact"/>
        <w:rPr>
          <w:sz w:val="20"/>
          <w:szCs w:val="20"/>
          <w:color w:val="auto"/>
        </w:rPr>
      </w:pPr>
    </w:p>
    <w:p>
      <w:pPr>
        <w:ind w:left="1240" w:hanging="171"/>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Sole Voting Power</w:t>
      </w:r>
    </w:p>
    <w:p>
      <w:pPr>
        <w:spacing w:after="0" w:line="28" w:lineRule="exact"/>
        <w:rPr>
          <w:rFonts w:ascii="Arial" w:cs="Arial" w:eastAsia="Arial" w:hAnsi="Arial"/>
          <w:sz w:val="14"/>
          <w:szCs w:val="14"/>
          <w:color w:val="auto"/>
        </w:rPr>
      </w:pPr>
    </w:p>
    <w:p>
      <w:pPr>
        <w:ind w:left="1240"/>
        <w:spacing w:after="0"/>
        <w:rPr>
          <w:rFonts w:ascii="Arial" w:cs="Arial" w:eastAsia="Arial" w:hAnsi="Arial"/>
          <w:sz w:val="14"/>
          <w:szCs w:val="14"/>
          <w:color w:val="auto"/>
        </w:rPr>
      </w:pPr>
      <w:r>
        <w:rPr>
          <w:rFonts w:ascii="Arial" w:cs="Arial" w:eastAsia="Arial" w:hAnsi="Arial"/>
          <w:sz w:val="12"/>
          <w:szCs w:val="12"/>
          <w:color w:val="auto"/>
        </w:rPr>
        <w:t>1,703,446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92710</wp:posOffset>
            </wp:positionV>
            <wp:extent cx="5857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74" w:lineRule="exact"/>
        <w:rPr>
          <w:sz w:val="20"/>
          <w:szCs w:val="20"/>
          <w:color w:val="auto"/>
        </w:rPr>
      </w:pPr>
    </w:p>
    <w:p>
      <w:pPr>
        <w:ind w:left="1240" w:right="6719" w:hanging="171"/>
        <w:spacing w:after="0" w:line="444" w:lineRule="auto"/>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Shared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-8255</wp:posOffset>
            </wp:positionV>
            <wp:extent cx="585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700" w:space="300"/>
            <w:col w:w="9219"/>
          </w:cols>
          <w:pgMar w:left="240" w:top="449" w:right="1440" w:bottom="1440" w:gutter="0" w:footer="0" w:header="0"/>
          <w:type w:val="continuous"/>
        </w:sectPr>
      </w:pPr>
    </w:p>
    <w:p>
      <w:pPr>
        <w:spacing w:after="0"/>
        <w:tabs>
          <w:tab w:leader="none" w:pos="2040" w:val="left"/>
        </w:tabs>
        <w:rPr>
          <w:sz w:val="20"/>
          <w:szCs w:val="20"/>
          <w:color w:val="auto"/>
        </w:rPr>
      </w:pPr>
      <w:r>
        <w:rPr>
          <w:rFonts w:ascii="Arial" w:cs="Arial" w:eastAsia="Arial" w:hAnsi="Arial"/>
          <w:sz w:val="14"/>
          <w:szCs w:val="14"/>
          <w:color w:val="auto"/>
        </w:rPr>
        <w:t>Person With:</w:t>
      </w:r>
      <w:r>
        <w:rPr>
          <w:sz w:val="20"/>
          <w:szCs w:val="20"/>
          <w:color w:val="auto"/>
        </w:rPr>
        <w:tab/>
      </w:r>
      <w:r>
        <w:rPr>
          <w:rFonts w:ascii="Arial" w:cs="Arial" w:eastAsia="Arial" w:hAnsi="Arial"/>
          <w:sz w:val="12"/>
          <w:szCs w:val="12"/>
          <w:color w:val="auto"/>
        </w:rPr>
        <w:t>7  Sole Dispositive Power</w:t>
      </w:r>
    </w:p>
    <w:p>
      <w:pPr>
        <w:spacing w:after="0" w:line="109"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1,703,446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78105</wp:posOffset>
            </wp:positionV>
            <wp:extent cx="5857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1" w:lineRule="exact"/>
        <w:rPr>
          <w:sz w:val="20"/>
          <w:szCs w:val="20"/>
          <w:color w:val="auto"/>
        </w:rPr>
      </w:pPr>
    </w:p>
    <w:p>
      <w:pPr>
        <w:ind w:left="2240" w:right="6439" w:hanging="171"/>
        <w:spacing w:after="0" w:line="283" w:lineRule="auto"/>
        <w:tabs>
          <w:tab w:leader="none" w:pos="2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59690</wp:posOffset>
            </wp:positionV>
            <wp:extent cx="585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303" w:lineRule="exact"/>
        <w:rPr>
          <w:sz w:val="20"/>
          <w:szCs w:val="20"/>
          <w:color w:val="auto"/>
        </w:rPr>
      </w:pPr>
    </w:p>
    <w:p>
      <w:pPr>
        <w:ind w:left="1140" w:right="5279" w:hanging="754"/>
        <w:spacing w:after="0" w:line="231" w:lineRule="auto"/>
        <w:tabs>
          <w:tab w:leader="none" w:pos="1013" w:val="left"/>
        </w:tabs>
        <w:numPr>
          <w:ilvl w:val="0"/>
          <w:numId w:val="8"/>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1,703,446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37" w:lineRule="exact"/>
        <w:rPr>
          <w:sz w:val="20"/>
          <w:szCs w:val="20"/>
          <w:color w:val="auto"/>
        </w:rPr>
      </w:pPr>
    </w:p>
    <w:p>
      <w:pPr>
        <w:ind w:left="1140" w:right="6659" w:hanging="754"/>
        <w:spacing w:after="0" w:line="231" w:lineRule="auto"/>
        <w:tabs>
          <w:tab w:leader="none" w:pos="1023"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270" w:lineRule="exact"/>
        <w:rPr>
          <w:rFonts w:ascii="Arial" w:cs="Arial" w:eastAsia="Arial" w:hAnsi="Arial"/>
          <w:sz w:val="14"/>
          <w:szCs w:val="14"/>
          <w:color w:val="auto"/>
        </w:rPr>
      </w:pPr>
    </w:p>
    <w:p>
      <w:pPr>
        <w:ind w:left="1140" w:right="6059" w:hanging="754"/>
        <w:spacing w:after="0" w:line="231" w:lineRule="auto"/>
        <w:tabs>
          <w:tab w:leader="none" w:pos="1023"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 of Class Represented by Amount in Row (9) 6.0%. See Item 4.</w:t>
      </w:r>
    </w:p>
    <w:p>
      <w:pPr>
        <w:spacing w:after="0" w:line="271" w:lineRule="exact"/>
        <w:rPr>
          <w:rFonts w:ascii="Arial" w:cs="Arial" w:eastAsia="Arial" w:hAnsi="Arial"/>
          <w:sz w:val="14"/>
          <w:szCs w:val="14"/>
          <w:color w:val="auto"/>
        </w:rPr>
      </w:pPr>
    </w:p>
    <w:p>
      <w:pPr>
        <w:ind w:left="1000" w:hanging="614"/>
        <w:spacing w:after="0"/>
        <w:tabs>
          <w:tab w:leader="none" w:pos="1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-633730</wp:posOffset>
            </wp:positionV>
            <wp:extent cx="6603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-255905</wp:posOffset>
            </wp:positionV>
            <wp:extent cx="6603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type w:val="continuous"/>
        </w:sectPr>
      </w:pPr>
    </w:p>
    <w:bookmarkStart w:id="2" w:name="page3"/>
    <w:bookmarkEnd w:id="2"/>
    <w:p>
      <w:pPr>
        <w:ind w:left="1020" w:right="8160" w:hanging="634"/>
        <w:spacing w:after="0" w:line="300" w:lineRule="auto"/>
        <w:tabs>
          <w:tab w:leader="none" w:pos="1004" w:val="left"/>
        </w:tabs>
        <w:numPr>
          <w:ilvl w:val="0"/>
          <w:numId w:val="10"/>
        </w:numPr>
        <w:rPr>
          <w:rFonts w:ascii="Arial" w:cs="Arial" w:eastAsia="Arial" w:hAnsi="Arial"/>
          <w:sz w:val="12"/>
          <w:szCs w:val="12"/>
          <w:color w:val="auto"/>
        </w:rPr>
      </w:pPr>
      <w:r>
        <w:rPr>
          <w:rFonts w:ascii="Arial" w:cs="Arial" w:eastAsia="Arial" w:hAnsi="Arial"/>
          <w:sz w:val="12"/>
          <w:szCs w:val="12"/>
          <w:color w:val="auto"/>
        </w:rPr>
        <w:t>Names of Reporting Persons Maestro Investment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-12065</wp:posOffset>
            </wp:positionV>
            <wp:extent cx="66033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2" w:lineRule="exact"/>
        <w:rPr>
          <w:sz w:val="20"/>
          <w:szCs w:val="20"/>
          <w:color w:val="auto"/>
        </w:rPr>
      </w:pPr>
    </w:p>
    <w:p>
      <w:pPr>
        <w:ind w:left="1000" w:hanging="614"/>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68" w:lineRule="exact"/>
        <w:rPr>
          <w:rFonts w:ascii="Arial" w:cs="Arial" w:eastAsia="Arial" w:hAnsi="Arial"/>
          <w:sz w:val="14"/>
          <w:szCs w:val="14"/>
          <w:color w:val="auto"/>
        </w:rPr>
      </w:pPr>
    </w:p>
    <w:p>
      <w:pPr>
        <w:ind w:left="2180" w:hanging="1159"/>
        <w:spacing w:after="0"/>
        <w:tabs>
          <w:tab w:leader="none" w:pos="21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149" w:lineRule="exact"/>
        <w:rPr>
          <w:rFonts w:ascii="Arial" w:cs="Arial" w:eastAsia="Arial" w:hAnsi="Arial"/>
          <w:sz w:val="14"/>
          <w:szCs w:val="14"/>
          <w:color w:val="auto"/>
        </w:rPr>
      </w:pPr>
    </w:p>
    <w:p>
      <w:pPr>
        <w:ind w:left="2180" w:hanging="1159"/>
        <w:spacing w:after="0"/>
        <w:tabs>
          <w:tab w:leader="none" w:pos="21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-178435</wp:posOffset>
            </wp:positionV>
            <wp:extent cx="5857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9525</wp:posOffset>
            </wp:positionV>
            <wp:extent cx="5857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51" w:lineRule="exact"/>
        <w:rPr>
          <w:sz w:val="20"/>
          <w:szCs w:val="20"/>
          <w:color w:val="auto"/>
        </w:rPr>
      </w:pPr>
    </w:p>
    <w:p>
      <w:pPr>
        <w:ind w:left="1000" w:hanging="614"/>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24" w:lineRule="exact"/>
        <w:rPr>
          <w:sz w:val="20"/>
          <w:szCs w:val="20"/>
          <w:color w:val="auto"/>
        </w:rPr>
      </w:pPr>
    </w:p>
    <w:p>
      <w:pPr>
        <w:ind w:left="1140" w:right="8240" w:hanging="754"/>
        <w:spacing w:after="0" w:line="300" w:lineRule="auto"/>
        <w:tabs>
          <w:tab w:leader="none" w:pos="1013" w:val="left"/>
        </w:tabs>
        <w:numPr>
          <w:ilvl w:val="0"/>
          <w:numId w:val="13"/>
        </w:numPr>
        <w:rPr>
          <w:rFonts w:ascii="Arial" w:cs="Arial" w:eastAsia="Arial" w:hAnsi="Arial"/>
          <w:sz w:val="12"/>
          <w:szCs w:val="12"/>
          <w:color w:val="auto"/>
        </w:rPr>
      </w:pPr>
      <w:r>
        <w:rPr>
          <w:rFonts w:ascii="Arial" w:cs="Arial" w:eastAsia="Arial" w:hAnsi="Arial"/>
          <w:sz w:val="12"/>
          <w:szCs w:val="12"/>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-3810</wp:posOffset>
            </wp:positionV>
            <wp:extent cx="66033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9220" w:type="dxa"/>
            <w:vAlign w:val="bottom"/>
          </w:tcPr>
          <w:p>
            <w:pPr>
              <w:ind w:left="60"/>
              <w:spacing w:after="0"/>
              <w:rPr>
                <w:sz w:val="20"/>
                <w:szCs w:val="20"/>
                <w:color w:val="auto"/>
              </w:rPr>
            </w:pPr>
            <w:r>
              <w:rPr>
                <w:rFonts w:ascii="Arial" w:cs="Arial" w:eastAsia="Arial" w:hAnsi="Arial"/>
                <w:sz w:val="14"/>
                <w:szCs w:val="14"/>
                <w:color w:val="auto"/>
              </w:rPr>
              <w:t>Sole Voting Power</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20" w:type="dxa"/>
            <w:vAlign w:val="bottom"/>
          </w:tcPr>
          <w:p>
            <w:pPr>
              <w:ind w:lef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9220" w:type="dxa"/>
            <w:vAlign w:val="bottom"/>
          </w:tcPr>
          <w:p>
            <w:pPr>
              <w:ind w:left="60"/>
              <w:spacing w:after="0"/>
              <w:rPr>
                <w:sz w:val="20"/>
                <w:szCs w:val="20"/>
                <w:color w:val="auto"/>
              </w:rPr>
            </w:pPr>
            <w:r>
              <w:rPr>
                <w:rFonts w:ascii="Arial" w:cs="Arial" w:eastAsia="Arial" w:hAnsi="Arial"/>
                <w:sz w:val="14"/>
                <w:szCs w:val="14"/>
                <w:color w:val="auto"/>
              </w:rPr>
              <w:t>Shared Voting Power</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0"/>
                <w:szCs w:val="20"/>
                <w:color w:val="auto"/>
              </w:rPr>
            </w:pPr>
            <w:r>
              <w:rPr>
                <w:rFonts w:ascii="Arial" w:cs="Arial" w:eastAsia="Arial" w:hAnsi="Arial"/>
                <w:sz w:val="14"/>
                <w:szCs w:val="14"/>
                <w:color w:val="auto"/>
              </w:rPr>
              <w:t>Number of</w:t>
            </w:r>
          </w:p>
        </w:tc>
        <w:tc>
          <w:tcPr>
            <w:tcW w:w="760" w:type="dxa"/>
            <w:vAlign w:val="bottom"/>
          </w:tcPr>
          <w:p>
            <w:pPr>
              <w:spacing w:after="0"/>
              <w:rPr>
                <w:sz w:val="21"/>
                <w:szCs w:val="21"/>
                <w:color w:val="auto"/>
              </w:rPr>
            </w:pPr>
          </w:p>
        </w:tc>
        <w:tc>
          <w:tcPr>
            <w:tcW w:w="9220" w:type="dxa"/>
            <w:vAlign w:val="bottom"/>
          </w:tcPr>
          <w:p>
            <w:pPr>
              <w:ind w:lef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Shares</w:t>
            </w:r>
          </w:p>
        </w:tc>
        <w:tc>
          <w:tcPr>
            <w:tcW w:w="760" w:type="dxa"/>
            <w:vAlign w:val="bottom"/>
          </w:tcPr>
          <w:p>
            <w:pPr>
              <w:spacing w:after="0"/>
              <w:rPr>
                <w:sz w:val="12"/>
                <w:szCs w:val="12"/>
                <w:color w:val="auto"/>
              </w:rPr>
            </w:pPr>
          </w:p>
        </w:tc>
        <w:tc>
          <w:tcPr>
            <w:tcW w:w="9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20" w:type="dxa"/>
            <w:vAlign w:val="bottom"/>
          </w:tcPr>
          <w:p>
            <w:pPr>
              <w:spacing w:after="0" w:line="115" w:lineRule="exact"/>
              <w:rPr>
                <w:sz w:val="20"/>
                <w:szCs w:val="20"/>
                <w:color w:val="auto"/>
              </w:rPr>
            </w:pPr>
            <w:r>
              <w:rPr>
                <w:rFonts w:ascii="Arial" w:cs="Arial" w:eastAsia="Arial" w:hAnsi="Arial"/>
                <w:sz w:val="12"/>
                <w:szCs w:val="12"/>
                <w:color w:val="auto"/>
              </w:rPr>
              <w:t>Beneficially</w:t>
            </w:r>
          </w:p>
        </w:tc>
        <w:tc>
          <w:tcPr>
            <w:tcW w:w="76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Owned by</w:t>
            </w:r>
          </w:p>
        </w:tc>
        <w:tc>
          <w:tcPr>
            <w:tcW w:w="76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Each</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4"/>
                <w:szCs w:val="14"/>
                <w:color w:val="auto"/>
              </w:rPr>
              <w:t>Sole Dispositive Power</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rPr>
              <w:t>Reporting</w:t>
            </w:r>
          </w:p>
        </w:tc>
        <w:tc>
          <w:tcPr>
            <w:tcW w:w="760" w:type="dxa"/>
            <w:vAlign w:val="bottom"/>
            <w:vMerge w:val="continue"/>
          </w:tcPr>
          <w:p>
            <w:pPr>
              <w:spacing w:after="0"/>
              <w:rPr>
                <w:sz w:val="14"/>
                <w:szCs w:val="14"/>
                <w:color w:val="auto"/>
              </w:rPr>
            </w:pPr>
          </w:p>
        </w:tc>
        <w:tc>
          <w:tcPr>
            <w:tcW w:w="9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rPr>
              <w:t>Person With:</w:t>
            </w:r>
          </w:p>
        </w:tc>
        <w:tc>
          <w:tcPr>
            <w:tcW w:w="760" w:type="dxa"/>
            <w:vAlign w:val="bottom"/>
          </w:tcPr>
          <w:p>
            <w:pPr>
              <w:spacing w:after="0"/>
              <w:rPr>
                <w:sz w:val="14"/>
                <w:szCs w:val="14"/>
                <w:color w:val="auto"/>
              </w:rPr>
            </w:pPr>
          </w:p>
        </w:tc>
        <w:tc>
          <w:tcPr>
            <w:tcW w:w="9220" w:type="dxa"/>
            <w:vAlign w:val="bottom"/>
            <w:vMerge w:val="restart"/>
          </w:tcPr>
          <w:p>
            <w:pPr>
              <w:ind w:lef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1"/>
        </w:trPr>
        <w:tc>
          <w:tcPr>
            <w:tcW w:w="1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1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9220" w:type="dxa"/>
            <w:vAlign w:val="bottom"/>
          </w:tcPr>
          <w:p>
            <w:pPr>
              <w:ind w:left="60"/>
              <w:spacing w:after="0"/>
              <w:rPr>
                <w:sz w:val="20"/>
                <w:szCs w:val="20"/>
                <w:color w:val="auto"/>
              </w:rPr>
            </w:pPr>
            <w:r>
              <w:rPr>
                <w:rFonts w:ascii="Arial" w:cs="Arial" w:eastAsia="Arial" w:hAnsi="Arial"/>
                <w:sz w:val="14"/>
                <w:szCs w:val="14"/>
                <w:color w:val="auto"/>
              </w:rPr>
              <w:t>Shared Dispositive Power</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20" w:type="dxa"/>
            <w:vAlign w:val="bottom"/>
          </w:tcPr>
          <w:p>
            <w:pPr>
              <w:ind w:lef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000" w:hanging="614"/>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w:t>
      </w:r>
    </w:p>
    <w:p>
      <w:pPr>
        <w:ind w:left="1280" w:hanging="145"/>
        <w:spacing w:after="0"/>
        <w:tabs>
          <w:tab w:leader="none" w:pos="12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38" w:lineRule="exact"/>
        <w:rPr>
          <w:sz w:val="20"/>
          <w:szCs w:val="20"/>
          <w:color w:val="auto"/>
        </w:rPr>
      </w:pPr>
    </w:p>
    <w:p>
      <w:pPr>
        <w:ind w:left="1000" w:hanging="614"/>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298" w:lineRule="exact"/>
        <w:rPr>
          <w:rFonts w:ascii="Arial" w:cs="Arial" w:eastAsia="Arial" w:hAnsi="Arial"/>
          <w:sz w:val="14"/>
          <w:szCs w:val="14"/>
          <w:color w:val="auto"/>
        </w:rPr>
      </w:pPr>
    </w:p>
    <w:p>
      <w:pPr>
        <w:ind w:left="1020" w:right="7260" w:hanging="634"/>
        <w:spacing w:after="0" w:line="231" w:lineRule="auto"/>
        <w:tabs>
          <w:tab w:leader="none" w:pos="10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 of Class Represented by Amount in Row (9) 0.0%. See Item 4.</w:t>
      </w:r>
    </w:p>
    <w:p>
      <w:pPr>
        <w:spacing w:after="0" w:line="298" w:lineRule="exact"/>
        <w:rPr>
          <w:rFonts w:ascii="Arial" w:cs="Arial" w:eastAsia="Arial" w:hAnsi="Arial"/>
          <w:sz w:val="14"/>
          <w:szCs w:val="14"/>
          <w:color w:val="auto"/>
        </w:rPr>
      </w:pPr>
    </w:p>
    <w:p>
      <w:pPr>
        <w:ind w:left="1000" w:hanging="614"/>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-668020</wp:posOffset>
            </wp:positionV>
            <wp:extent cx="66033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-273050</wp:posOffset>
            </wp:positionV>
            <wp:extent cx="6603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9525</wp:posOffset>
            </wp:positionV>
            <wp:extent cx="66033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Issuer:</w:t>
            </w:r>
          </w:p>
        </w:tc>
        <w:tc>
          <w:tcPr>
            <w:tcW w:w="9220" w:type="dxa"/>
            <w:vAlign w:val="bottom"/>
            <w:tcBorders>
              <w:bottom w:val="single" w:sz="8" w:color="auto"/>
            </w:tcBorders>
          </w:tcPr>
          <w:p>
            <w:pPr>
              <w:spacing w:after="0"/>
              <w:rPr>
                <w:sz w:val="14"/>
                <w:szCs w:val="14"/>
                <w:color w:val="auto"/>
              </w:rPr>
            </w:pPr>
          </w:p>
        </w:tc>
      </w:tr>
      <w:tr>
        <w:trPr>
          <w:trHeight w:val="115"/>
        </w:trPr>
        <w:tc>
          <w:tcPr>
            <w:tcW w:w="1020" w:type="dxa"/>
            <w:vAlign w:val="bottom"/>
          </w:tcPr>
          <w:p>
            <w:pPr>
              <w:spacing w:after="0"/>
              <w:rPr>
                <w:sz w:val="10"/>
                <w:szCs w:val="10"/>
                <w:color w:val="auto"/>
              </w:rPr>
            </w:pPr>
          </w:p>
        </w:tc>
        <w:tc>
          <w:tcPr>
            <w:tcW w:w="1180" w:type="dxa"/>
            <w:vAlign w:val="bottom"/>
            <w:tcBorders>
              <w:bottom w:val="single" w:sz="8" w:color="auto"/>
            </w:tcBorders>
          </w:tcPr>
          <w:p>
            <w:pPr>
              <w:spacing w:after="0" w:line="115" w:lineRule="exact"/>
              <w:rPr>
                <w:sz w:val="20"/>
                <w:szCs w:val="20"/>
                <w:color w:val="auto"/>
              </w:rPr>
            </w:pPr>
            <w:r>
              <w:rPr>
                <w:rFonts w:ascii="Arial" w:cs="Arial" w:eastAsia="Arial" w:hAnsi="Arial"/>
                <w:sz w:val="12"/>
                <w:szCs w:val="12"/>
                <w:color w:val="auto"/>
              </w:rPr>
              <w:t>iClick Interactive</w:t>
            </w:r>
          </w:p>
        </w:tc>
        <w:tc>
          <w:tcPr>
            <w:tcW w:w="9220" w:type="dxa"/>
            <w:vAlign w:val="bottom"/>
            <w:tcBorders>
              <w:bottom w:val="single" w:sz="8" w:color="auto"/>
            </w:tcBorders>
          </w:tcPr>
          <w:p>
            <w:pPr>
              <w:ind w:left="100"/>
              <w:spacing w:after="0" w:line="115" w:lineRule="exact"/>
              <w:rPr>
                <w:sz w:val="20"/>
                <w:szCs w:val="20"/>
                <w:color w:val="auto"/>
              </w:rPr>
            </w:pPr>
            <w:r>
              <w:rPr>
                <w:rFonts w:ascii="Arial" w:cs="Arial" w:eastAsia="Arial" w:hAnsi="Arial"/>
                <w:sz w:val="12"/>
                <w:szCs w:val="12"/>
                <w:color w:val="auto"/>
              </w:rPr>
              <w:t>Asia Group Limited (the “Issuer”)</w:t>
            </w:r>
          </w:p>
        </w:tc>
      </w:tr>
      <w:tr>
        <w:trPr>
          <w:trHeight w:val="223"/>
        </w:trPr>
        <w:tc>
          <w:tcPr>
            <w:tcW w:w="102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10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Address of Issuer’s Principal Executive Offices:</w:t>
            </w:r>
          </w:p>
        </w:tc>
      </w:tr>
      <w:tr>
        <w:trPr>
          <w:trHeight w:val="114"/>
        </w:trPr>
        <w:tc>
          <w:tcPr>
            <w:tcW w:w="1020" w:type="dxa"/>
            <w:vAlign w:val="bottom"/>
          </w:tcPr>
          <w:p>
            <w:pPr>
              <w:spacing w:after="0"/>
              <w:rPr>
                <w:sz w:val="9"/>
                <w:szCs w:val="9"/>
                <w:color w:val="auto"/>
              </w:rPr>
            </w:pPr>
          </w:p>
        </w:tc>
        <w:tc>
          <w:tcPr>
            <w:tcW w:w="10400" w:type="dxa"/>
            <w:vAlign w:val="bottom"/>
            <w:gridSpan w:val="2"/>
          </w:tcPr>
          <w:p>
            <w:pPr>
              <w:spacing w:after="0" w:line="114" w:lineRule="exact"/>
              <w:rPr>
                <w:sz w:val="20"/>
                <w:szCs w:val="20"/>
                <w:color w:val="auto"/>
              </w:rPr>
            </w:pPr>
            <w:r>
              <w:rPr>
                <w:rFonts w:ascii="Arial" w:cs="Arial" w:eastAsia="Arial" w:hAnsi="Arial"/>
                <w:sz w:val="12"/>
                <w:szCs w:val="12"/>
                <w:color w:val="auto"/>
              </w:rPr>
              <w:t>15/F, Prosperity Millennia Plaza</w:t>
            </w:r>
          </w:p>
        </w:tc>
      </w:tr>
      <w:tr>
        <w:trPr>
          <w:trHeight w:val="149"/>
        </w:trPr>
        <w:tc>
          <w:tcPr>
            <w:tcW w:w="1020" w:type="dxa"/>
            <w:vAlign w:val="bottom"/>
          </w:tcPr>
          <w:p>
            <w:pPr>
              <w:spacing w:after="0"/>
              <w:rPr>
                <w:sz w:val="12"/>
                <w:szCs w:val="12"/>
                <w:color w:val="auto"/>
              </w:rPr>
            </w:pPr>
          </w:p>
        </w:tc>
        <w:tc>
          <w:tcPr>
            <w:tcW w:w="10400" w:type="dxa"/>
            <w:vAlign w:val="bottom"/>
            <w:gridSpan w:val="2"/>
          </w:tcPr>
          <w:p>
            <w:pPr>
              <w:spacing w:after="0" w:line="149" w:lineRule="exact"/>
              <w:rPr>
                <w:sz w:val="20"/>
                <w:szCs w:val="20"/>
                <w:color w:val="auto"/>
              </w:rPr>
            </w:pPr>
            <w:r>
              <w:rPr>
                <w:rFonts w:ascii="Arial" w:cs="Arial" w:eastAsia="Arial" w:hAnsi="Arial"/>
                <w:sz w:val="14"/>
                <w:szCs w:val="14"/>
                <w:color w:val="auto"/>
              </w:rPr>
              <w:t>663 King’s Road, Quarry Bay</w:t>
            </w:r>
          </w:p>
        </w:tc>
      </w:tr>
      <w:tr>
        <w:trPr>
          <w:trHeight w:val="149"/>
        </w:trPr>
        <w:tc>
          <w:tcPr>
            <w:tcW w:w="1020" w:type="dxa"/>
            <w:vAlign w:val="bottom"/>
          </w:tcPr>
          <w:p>
            <w:pPr>
              <w:spacing w:after="0"/>
              <w:rPr>
                <w:sz w:val="12"/>
                <w:szCs w:val="12"/>
                <w:color w:val="auto"/>
              </w:rPr>
            </w:pPr>
          </w:p>
        </w:tc>
        <w:tc>
          <w:tcPr>
            <w:tcW w:w="1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Hong Kong S.A.R.</w:t>
            </w:r>
          </w:p>
        </w:tc>
        <w:tc>
          <w:tcPr>
            <w:tcW w:w="9220" w:type="dxa"/>
            <w:vAlign w:val="bottom"/>
            <w:tcBorders>
              <w:bottom w:val="single" w:sz="8" w:color="auto"/>
            </w:tcBorders>
          </w:tcPr>
          <w:p>
            <w:pPr>
              <w:spacing w:after="0"/>
              <w:rPr>
                <w:sz w:val="12"/>
                <w:szCs w:val="12"/>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4"/>
                <w:szCs w:val="14"/>
                <w:b w:val="1"/>
                <w:bCs w:val="1"/>
                <w:color w:val="auto"/>
              </w:rPr>
              <w:t>Item 2(a).</w:t>
            </w:r>
          </w:p>
        </w:tc>
        <w:tc>
          <w:tcPr>
            <w:tcW w:w="10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Person Filing:</w:t>
            </w:r>
          </w:p>
        </w:tc>
      </w:tr>
      <w:tr>
        <w:trPr>
          <w:trHeight w:val="156"/>
        </w:trPr>
        <w:tc>
          <w:tcPr>
            <w:tcW w:w="1020" w:type="dxa"/>
            <w:vAlign w:val="bottom"/>
          </w:tcPr>
          <w:p>
            <w:pPr>
              <w:spacing w:after="0"/>
              <w:rPr>
                <w:sz w:val="13"/>
                <w:szCs w:val="13"/>
                <w:color w:val="auto"/>
              </w:rPr>
            </w:pPr>
          </w:p>
        </w:tc>
        <w:tc>
          <w:tcPr>
            <w:tcW w:w="1180" w:type="dxa"/>
            <w:vAlign w:val="bottom"/>
          </w:tcPr>
          <w:p>
            <w:pPr>
              <w:spacing w:after="0" w:line="156" w:lineRule="exact"/>
              <w:rPr>
                <w:sz w:val="20"/>
                <w:szCs w:val="20"/>
                <w:color w:val="auto"/>
              </w:rPr>
            </w:pPr>
            <w:r>
              <w:rPr>
                <w:rFonts w:ascii="Arial" w:cs="Arial" w:eastAsia="Arial" w:hAnsi="Arial"/>
                <w:sz w:val="14"/>
                <w:szCs w:val="14"/>
                <w:color w:val="auto"/>
              </w:rPr>
              <w:t>Jiping Liu</w:t>
            </w:r>
          </w:p>
        </w:tc>
        <w:tc>
          <w:tcPr>
            <w:tcW w:w="9220" w:type="dxa"/>
            <w:vAlign w:val="bottom"/>
          </w:tcPr>
          <w:p>
            <w:pPr>
              <w:spacing w:after="0"/>
              <w:rPr>
                <w:sz w:val="13"/>
                <w:szCs w:val="13"/>
                <w:color w:val="auto"/>
              </w:rPr>
            </w:pPr>
          </w:p>
        </w:tc>
      </w:tr>
      <w:tr>
        <w:trPr>
          <w:trHeight w:val="256"/>
        </w:trPr>
        <w:tc>
          <w:tcPr>
            <w:tcW w:w="1020" w:type="dxa"/>
            <w:vAlign w:val="bottom"/>
          </w:tcPr>
          <w:p>
            <w:pPr>
              <w:spacing w:after="0"/>
              <w:rPr>
                <w:sz w:val="22"/>
                <w:szCs w:val="22"/>
                <w:color w:val="auto"/>
              </w:rPr>
            </w:pPr>
          </w:p>
        </w:tc>
        <w:tc>
          <w:tcPr>
            <w:tcW w:w="10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Maestro Investment Holdings Limited</w:t>
            </w:r>
          </w:p>
        </w:tc>
      </w:tr>
      <w:tr>
        <w:trPr>
          <w:trHeight w:val="222"/>
        </w:trPr>
        <w:tc>
          <w:tcPr>
            <w:tcW w:w="1020" w:type="dxa"/>
            <w:vAlign w:val="bottom"/>
          </w:tcPr>
          <w:p>
            <w:pPr>
              <w:spacing w:after="0"/>
              <w:rPr>
                <w:sz w:val="20"/>
                <w:szCs w:val="20"/>
                <w:color w:val="auto"/>
              </w:rPr>
            </w:pPr>
            <w:r>
              <w:rPr>
                <w:rFonts w:ascii="Arial" w:cs="Arial" w:eastAsia="Arial" w:hAnsi="Arial"/>
                <w:sz w:val="14"/>
                <w:szCs w:val="14"/>
                <w:b w:val="1"/>
                <w:bCs w:val="1"/>
                <w:color w:val="auto"/>
              </w:rPr>
              <w:t>Item 2(b).</w:t>
            </w:r>
          </w:p>
        </w:tc>
        <w:tc>
          <w:tcPr>
            <w:tcW w:w="10400" w:type="dxa"/>
            <w:vAlign w:val="bottom"/>
            <w:gridSpan w:val="2"/>
          </w:tcPr>
          <w:p>
            <w:pPr>
              <w:spacing w:after="0"/>
              <w:rPr>
                <w:sz w:val="20"/>
                <w:szCs w:val="20"/>
                <w:color w:val="auto"/>
              </w:rPr>
            </w:pPr>
            <w:r>
              <w:rPr>
                <w:rFonts w:ascii="Arial" w:cs="Arial" w:eastAsia="Arial" w:hAnsi="Arial"/>
                <w:sz w:val="14"/>
                <w:szCs w:val="14"/>
                <w:b w:val="1"/>
                <w:bCs w:val="1"/>
                <w:color w:val="auto"/>
              </w:rPr>
              <w:t>Address of Principal Business Office, or, if none, Residence</w:t>
            </w:r>
            <w:r>
              <w:rPr>
                <w:rFonts w:ascii="Arial" w:cs="Arial" w:eastAsia="Arial" w:hAnsi="Arial"/>
                <w:sz w:val="14"/>
                <w:szCs w:val="14"/>
                <w:color w:val="auto"/>
              </w:rPr>
              <w:t>:</w:t>
            </w:r>
          </w:p>
        </w:tc>
      </w:tr>
    </w:tbl>
    <w:p>
      <w:pPr>
        <w:ind w:left="1020"/>
        <w:spacing w:after="0" w:line="201" w:lineRule="auto"/>
        <w:rPr>
          <w:sz w:val="20"/>
          <w:szCs w:val="20"/>
          <w:color w:val="auto"/>
        </w:rPr>
      </w:pPr>
      <w:r>
        <w:rPr>
          <w:rFonts w:ascii="Arial" w:cs="Arial" w:eastAsia="Arial" w:hAnsi="Arial"/>
          <w:sz w:val="14"/>
          <w:szCs w:val="14"/>
          <w:color w:val="auto"/>
        </w:rPr>
        <w:t>Jiping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-84455</wp:posOffset>
            </wp:positionV>
            <wp:extent cx="66033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1020"/>
        <w:spacing w:after="0" w:line="221" w:lineRule="auto"/>
        <w:rPr>
          <w:sz w:val="20"/>
          <w:szCs w:val="20"/>
          <w:color w:val="auto"/>
        </w:rPr>
      </w:pPr>
      <w:r>
        <w:rPr>
          <w:rFonts w:ascii="Arial" w:cs="Arial" w:eastAsia="Arial" w:hAnsi="Arial"/>
          <w:sz w:val="14"/>
          <w:szCs w:val="14"/>
          <w:color w:val="auto"/>
        </w:rPr>
        <w:t>ABM Chambers, Columbus Centre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Road Town, Tortola</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British Virgin Islands</w:t>
      </w:r>
    </w:p>
    <w:p>
      <w:pPr>
        <w:spacing w:after="0" w:line="5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Maestro Investment Holdings Limited</w:t>
      </w:r>
    </w:p>
    <w:p>
      <w:pPr>
        <w:ind w:left="1020"/>
        <w:spacing w:after="0" w:line="221" w:lineRule="auto"/>
        <w:rPr>
          <w:sz w:val="20"/>
          <w:szCs w:val="20"/>
          <w:color w:val="auto"/>
        </w:rPr>
      </w:pPr>
      <w:r>
        <w:rPr>
          <w:rFonts w:ascii="Arial" w:cs="Arial" w:eastAsia="Arial" w:hAnsi="Arial"/>
          <w:sz w:val="14"/>
          <w:szCs w:val="14"/>
          <w:color w:val="auto"/>
        </w:rPr>
        <w:t>ABM Chambers, Columbus Centre</w:t>
      </w:r>
    </w:p>
    <w:p>
      <w:pPr>
        <w:ind w:left="1020"/>
        <w:spacing w:after="0" w:line="221" w:lineRule="auto"/>
        <w:rPr>
          <w:sz w:val="20"/>
          <w:szCs w:val="20"/>
          <w:color w:val="auto"/>
        </w:rPr>
      </w:pPr>
      <w:r>
        <w:rPr>
          <w:rFonts w:ascii="Arial" w:cs="Arial" w:eastAsia="Arial" w:hAnsi="Arial"/>
          <w:sz w:val="14"/>
          <w:szCs w:val="14"/>
          <w:color w:val="auto"/>
        </w:rPr>
        <w:t>Road Town, Tortola, VG1110</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6603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4"/>
                <w:szCs w:val="14"/>
                <w:b w:val="1"/>
                <w:bCs w:val="1"/>
                <w:color w:val="auto"/>
              </w:rPr>
              <w:t>Item 2(c).</w:t>
            </w: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Citizenship:</w:t>
            </w:r>
          </w:p>
        </w:tc>
        <w:tc>
          <w:tcPr>
            <w:tcW w:w="1040" w:type="dxa"/>
            <w:vAlign w:val="bottom"/>
            <w:tcBorders>
              <w:bottom w:val="single" w:sz="8" w:color="auto"/>
            </w:tcBorders>
          </w:tcPr>
          <w:p>
            <w:pPr>
              <w:spacing w:after="0"/>
              <w:rPr>
                <w:sz w:val="14"/>
                <w:szCs w:val="14"/>
                <w:color w:val="auto"/>
              </w:rPr>
            </w:pPr>
          </w:p>
        </w:tc>
        <w:tc>
          <w:tcPr>
            <w:tcW w:w="8500" w:type="dxa"/>
            <w:vAlign w:val="bottom"/>
            <w:tcBorders>
              <w:bottom w:val="single" w:sz="8" w:color="auto"/>
            </w:tcBorders>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860" w:type="dxa"/>
            <w:vAlign w:val="bottom"/>
          </w:tcPr>
          <w:p>
            <w:pPr>
              <w:spacing w:after="0" w:line="156" w:lineRule="exact"/>
              <w:rPr>
                <w:sz w:val="20"/>
                <w:szCs w:val="20"/>
                <w:color w:val="auto"/>
              </w:rPr>
            </w:pPr>
            <w:r>
              <w:rPr>
                <w:rFonts w:ascii="Arial" w:cs="Arial" w:eastAsia="Arial" w:hAnsi="Arial"/>
                <w:sz w:val="14"/>
                <w:szCs w:val="14"/>
                <w:color w:val="auto"/>
              </w:rPr>
              <w:t>Jiping Liu</w:t>
            </w:r>
          </w:p>
        </w:tc>
        <w:tc>
          <w:tcPr>
            <w:tcW w:w="954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 People’s Republic of China</w:t>
            </w:r>
          </w:p>
        </w:tc>
      </w:tr>
      <w:tr>
        <w:trPr>
          <w:trHeight w:val="216"/>
        </w:trPr>
        <w:tc>
          <w:tcPr>
            <w:tcW w:w="1020" w:type="dxa"/>
            <w:vAlign w:val="bottom"/>
          </w:tcPr>
          <w:p>
            <w:pPr>
              <w:spacing w:after="0"/>
              <w:rPr>
                <w:sz w:val="18"/>
                <w:szCs w:val="18"/>
                <w:color w:val="auto"/>
              </w:rPr>
            </w:pPr>
          </w:p>
        </w:tc>
        <w:tc>
          <w:tcPr>
            <w:tcW w:w="10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Maestro Investment Holdings Limited — British Virgin Islands</w:t>
            </w:r>
          </w:p>
        </w:tc>
      </w:tr>
      <w:tr>
        <w:trPr>
          <w:trHeight w:val="223"/>
        </w:trPr>
        <w:tc>
          <w:tcPr>
            <w:tcW w:w="1020" w:type="dxa"/>
            <w:vAlign w:val="bottom"/>
          </w:tcPr>
          <w:p>
            <w:pPr>
              <w:spacing w:after="0"/>
              <w:rPr>
                <w:sz w:val="20"/>
                <w:szCs w:val="20"/>
                <w:color w:val="auto"/>
              </w:rPr>
            </w:pPr>
            <w:r>
              <w:rPr>
                <w:rFonts w:ascii="Arial" w:cs="Arial" w:eastAsia="Arial" w:hAnsi="Arial"/>
                <w:sz w:val="14"/>
                <w:szCs w:val="14"/>
                <w:b w:val="1"/>
                <w:bCs w:val="1"/>
                <w:color w:val="auto"/>
              </w:rPr>
              <w:t>Item 2(d).</w:t>
            </w: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Title of Class of Securities:</w:t>
            </w:r>
          </w:p>
        </w:tc>
        <w:tc>
          <w:tcPr>
            <w:tcW w:w="8500" w:type="dxa"/>
            <w:vAlign w:val="bottom"/>
            <w:tcBorders>
              <w:bottom w:val="single" w:sz="8" w:color="auto"/>
            </w:tcBorders>
          </w:tcPr>
          <w:p>
            <w:pPr>
              <w:spacing w:after="0"/>
              <w:rPr>
                <w:sz w:val="19"/>
                <w:szCs w:val="19"/>
                <w:color w:val="auto"/>
              </w:rPr>
            </w:pPr>
          </w:p>
        </w:tc>
      </w:tr>
      <w:tr>
        <w:trPr>
          <w:trHeight w:val="114"/>
        </w:trPr>
        <w:tc>
          <w:tcPr>
            <w:tcW w:w="1020" w:type="dxa"/>
            <w:vAlign w:val="bottom"/>
          </w:tcPr>
          <w:p>
            <w:pPr>
              <w:spacing w:after="0"/>
              <w:rPr>
                <w:sz w:val="9"/>
                <w:szCs w:val="9"/>
                <w:color w:val="auto"/>
              </w:rPr>
            </w:pPr>
          </w:p>
        </w:tc>
        <w:tc>
          <w:tcPr>
            <w:tcW w:w="1900" w:type="dxa"/>
            <w:vAlign w:val="bottom"/>
            <w:gridSpan w:val="2"/>
          </w:tcPr>
          <w:p>
            <w:pPr>
              <w:spacing w:after="0" w:line="114" w:lineRule="exact"/>
              <w:rPr>
                <w:sz w:val="20"/>
                <w:szCs w:val="20"/>
                <w:color w:val="auto"/>
              </w:rPr>
            </w:pPr>
            <w:r>
              <w:rPr>
                <w:rFonts w:ascii="Arial" w:cs="Arial" w:eastAsia="Arial" w:hAnsi="Arial"/>
                <w:sz w:val="12"/>
                <w:szCs w:val="12"/>
                <w:color w:val="auto"/>
              </w:rPr>
              <w:t>Class A ordinary shares, par</w:t>
            </w:r>
          </w:p>
        </w:tc>
        <w:tc>
          <w:tcPr>
            <w:tcW w:w="8500" w:type="dxa"/>
            <w:vAlign w:val="bottom"/>
          </w:tcPr>
          <w:p>
            <w:pPr>
              <w:ind w:left="180"/>
              <w:spacing w:after="0" w:line="114" w:lineRule="exact"/>
              <w:rPr>
                <w:sz w:val="20"/>
                <w:szCs w:val="20"/>
                <w:color w:val="auto"/>
              </w:rPr>
            </w:pPr>
            <w:r>
              <w:rPr>
                <w:rFonts w:ascii="Arial" w:cs="Arial" w:eastAsia="Arial" w:hAnsi="Arial"/>
                <w:sz w:val="12"/>
                <w:szCs w:val="12"/>
                <w:color w:val="auto"/>
              </w:rPr>
              <w:t>value of $0.001 per share (the “Class A Ordinary Shares”). The Issuer’s ordinary shares consist of Class A Ordinary</w:t>
            </w:r>
          </w:p>
        </w:tc>
      </w:tr>
    </w:tbl>
    <w:p>
      <w:pPr>
        <w:ind w:left="1020"/>
        <w:spacing w:after="0" w:line="221" w:lineRule="auto"/>
        <w:rPr>
          <w:sz w:val="20"/>
          <w:szCs w:val="20"/>
          <w:color w:val="auto"/>
        </w:rPr>
      </w:pPr>
      <w:r>
        <w:rPr>
          <w:rFonts w:ascii="Arial" w:cs="Arial" w:eastAsia="Arial" w:hAnsi="Arial"/>
          <w:sz w:val="14"/>
          <w:szCs w:val="14"/>
          <w:color w:val="auto"/>
        </w:rPr>
        <w:t>Shares and Class B ordinary shares, par value of $0.001 per share (“Class B Ordinary Shares”). The rights of the holders of Class A Ordinary Shares</w:t>
      </w: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0400" w:type="dxa"/>
            <w:vAlign w:val="bottom"/>
          </w:tcPr>
          <w:p>
            <w:pPr>
              <w:spacing w:after="0" w:line="149" w:lineRule="exact"/>
              <w:rPr>
                <w:sz w:val="20"/>
                <w:szCs w:val="20"/>
                <w:color w:val="auto"/>
              </w:rPr>
            </w:pPr>
            <w:r>
              <w:rPr>
                <w:rFonts w:ascii="Arial" w:cs="Arial" w:eastAsia="Arial" w:hAnsi="Arial"/>
                <w:sz w:val="14"/>
                <w:szCs w:val="14"/>
                <w:color w:val="auto"/>
              </w:rPr>
              <w:t>and Class B Ordinary Shares are identical, except with respect to conversion rights and voting rights. Each Class B Ordinary Share is convertible at the</w:t>
            </w:r>
          </w:p>
        </w:tc>
        <w:tc>
          <w:tcPr>
            <w:tcW w:w="20" w:type="dxa"/>
            <w:vAlign w:val="bottom"/>
          </w:tcPr>
          <w:p>
            <w:pPr>
              <w:spacing w:after="0"/>
              <w:rPr>
                <w:sz w:val="12"/>
                <w:szCs w:val="12"/>
                <w:color w:val="auto"/>
              </w:rPr>
            </w:pPr>
          </w:p>
        </w:tc>
      </w:tr>
      <w:tr>
        <w:trPr>
          <w:trHeight w:val="149"/>
        </w:trPr>
        <w:tc>
          <w:tcPr>
            <w:tcW w:w="1020" w:type="dxa"/>
            <w:vAlign w:val="bottom"/>
          </w:tcPr>
          <w:p>
            <w:pPr>
              <w:spacing w:after="0"/>
              <w:rPr>
                <w:sz w:val="12"/>
                <w:szCs w:val="12"/>
                <w:color w:val="auto"/>
              </w:rPr>
            </w:pPr>
          </w:p>
        </w:tc>
        <w:tc>
          <w:tcPr>
            <w:tcW w:w="10400" w:type="dxa"/>
            <w:vAlign w:val="bottom"/>
          </w:tcPr>
          <w:p>
            <w:pPr>
              <w:spacing w:after="0" w:line="149" w:lineRule="exact"/>
              <w:rPr>
                <w:sz w:val="20"/>
                <w:szCs w:val="20"/>
                <w:color w:val="auto"/>
              </w:rPr>
            </w:pPr>
            <w:r>
              <w:rPr>
                <w:rFonts w:ascii="Arial" w:cs="Arial" w:eastAsia="Arial" w:hAnsi="Arial"/>
                <w:sz w:val="14"/>
                <w:szCs w:val="14"/>
                <w:color w:val="auto"/>
              </w:rPr>
              <w:t>option of the holder at any time into one Class A Ordinary Share. Each Class B Ordinary Share is entitled to twenty (20) votes per share, whereas each</w:t>
            </w:r>
          </w:p>
        </w:tc>
        <w:tc>
          <w:tcPr>
            <w:tcW w:w="20" w:type="dxa"/>
            <w:vAlign w:val="bottom"/>
          </w:tcPr>
          <w:p>
            <w:pPr>
              <w:spacing w:after="0"/>
              <w:rPr>
                <w:sz w:val="12"/>
                <w:szCs w:val="12"/>
                <w:color w:val="auto"/>
              </w:rPr>
            </w:pPr>
          </w:p>
        </w:tc>
      </w:tr>
      <w:tr>
        <w:trPr>
          <w:trHeight w:val="149"/>
        </w:trPr>
        <w:tc>
          <w:tcPr>
            <w:tcW w:w="1020" w:type="dxa"/>
            <w:vAlign w:val="bottom"/>
          </w:tcPr>
          <w:p>
            <w:pPr>
              <w:spacing w:after="0"/>
              <w:rPr>
                <w:sz w:val="12"/>
                <w:szCs w:val="12"/>
                <w:color w:val="auto"/>
              </w:rPr>
            </w:pPr>
          </w:p>
        </w:tc>
        <w:tc>
          <w:tcPr>
            <w:tcW w:w="10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Class A Ordinary Share is entitled to one vote per share.</w:t>
            </w:r>
          </w:p>
        </w:tc>
        <w:tc>
          <w:tcPr>
            <w:tcW w:w="20" w:type="dxa"/>
            <w:vAlign w:val="bottom"/>
          </w:tcPr>
          <w:p>
            <w:pPr>
              <w:spacing w:after="0"/>
              <w:rPr>
                <w:sz w:val="12"/>
                <w:szCs w:val="12"/>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4"/>
                <w:szCs w:val="14"/>
                <w:b w:val="1"/>
                <w:bCs w:val="1"/>
                <w:color w:val="auto"/>
              </w:rPr>
              <w:t>Item 2(e)</w:t>
            </w: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CUSIP No.:</w:t>
            </w:r>
          </w:p>
        </w:tc>
        <w:tc>
          <w:tcPr>
            <w:tcW w:w="20" w:type="dxa"/>
            <w:vAlign w:val="bottom"/>
          </w:tcPr>
          <w:p>
            <w:pPr>
              <w:spacing w:after="0"/>
              <w:rPr>
                <w:sz w:val="19"/>
                <w:szCs w:val="19"/>
                <w:color w:val="auto"/>
              </w:rPr>
            </w:pPr>
          </w:p>
        </w:tc>
      </w:tr>
      <w:tr>
        <w:trPr>
          <w:trHeight w:val="115"/>
        </w:trPr>
        <w:tc>
          <w:tcPr>
            <w:tcW w:w="1020" w:type="dxa"/>
            <w:vAlign w:val="bottom"/>
          </w:tcPr>
          <w:p>
            <w:pPr>
              <w:spacing w:after="0"/>
              <w:rPr>
                <w:sz w:val="10"/>
                <w:szCs w:val="10"/>
                <w:color w:val="auto"/>
              </w:rPr>
            </w:pPr>
          </w:p>
        </w:tc>
        <w:tc>
          <w:tcPr>
            <w:tcW w:w="10400" w:type="dxa"/>
            <w:vAlign w:val="bottom"/>
            <w:tcBorders>
              <w:bottom w:val="single" w:sz="8" w:color="auto"/>
            </w:tcBorders>
          </w:tcPr>
          <w:p>
            <w:pPr>
              <w:spacing w:after="0" w:line="115" w:lineRule="exact"/>
              <w:rPr>
                <w:sz w:val="20"/>
                <w:szCs w:val="20"/>
                <w:color w:val="auto"/>
              </w:rPr>
            </w:pPr>
            <w:r>
              <w:rPr>
                <w:rFonts w:ascii="Arial" w:cs="Arial" w:eastAsia="Arial" w:hAnsi="Arial"/>
                <w:sz w:val="12"/>
                <w:szCs w:val="12"/>
                <w:color w:val="auto"/>
              </w:rPr>
              <w:t>G47048 106</w:t>
            </w:r>
          </w:p>
        </w:tc>
        <w:tc>
          <w:tcPr>
            <w:tcW w:w="20" w:type="dxa"/>
            <w:vAlign w:val="bottom"/>
          </w:tcPr>
          <w:p>
            <w:pPr>
              <w:spacing w:after="0"/>
              <w:rPr>
                <w:sz w:val="10"/>
                <w:szCs w:val="10"/>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If this statement is filed pursuant to §§ 240.13d-1(b), or 240.13d-2(b) or (c), check whether the persons filing is a:</w:t>
            </w:r>
          </w:p>
        </w:tc>
        <w:tc>
          <w:tcPr>
            <w:tcW w:w="20" w:type="dxa"/>
            <w:vAlign w:val="bottom"/>
          </w:tcPr>
          <w:p>
            <w:pPr>
              <w:spacing w:after="0"/>
              <w:rPr>
                <w:sz w:val="19"/>
                <w:szCs w:val="19"/>
                <w:color w:val="auto"/>
              </w:rPr>
            </w:pPr>
          </w:p>
        </w:tc>
      </w:tr>
      <w:tr>
        <w:trPr>
          <w:trHeight w:val="263"/>
        </w:trPr>
        <w:tc>
          <w:tcPr>
            <w:tcW w:w="1020" w:type="dxa"/>
            <w:vAlign w:val="bottom"/>
          </w:tcPr>
          <w:p>
            <w:pPr>
              <w:spacing w:after="0"/>
              <w:rPr>
                <w:sz w:val="22"/>
                <w:szCs w:val="22"/>
                <w:color w:val="auto"/>
              </w:rPr>
            </w:pPr>
          </w:p>
        </w:tc>
        <w:tc>
          <w:tcPr>
            <w:tcW w:w="10400" w:type="dxa"/>
            <w:vAlign w:val="bottom"/>
          </w:tcPr>
          <w:p>
            <w:pPr>
              <w:spacing w:after="0"/>
              <w:rPr>
                <w:sz w:val="20"/>
                <w:szCs w:val="20"/>
                <w:color w:val="auto"/>
              </w:rPr>
            </w:pPr>
            <w:r>
              <w:rPr>
                <w:rFonts w:ascii="Arial" w:cs="Arial" w:eastAsia="Arial" w:hAnsi="Arial"/>
                <w:sz w:val="14"/>
                <w:szCs w:val="14"/>
                <w:color w:val="auto"/>
              </w:rPr>
              <w:t>Not applicable</w:t>
            </w:r>
          </w:p>
        </w:tc>
        <w:tc>
          <w:tcPr>
            <w:tcW w:w="20" w:type="dxa"/>
            <w:vAlign w:val="bottom"/>
          </w:tcPr>
          <w:p>
            <w:pPr>
              <w:spacing w:after="0"/>
              <w:rPr>
                <w:sz w:val="22"/>
                <w:szCs w:val="22"/>
                <w:color w:val="auto"/>
              </w:rPr>
            </w:pPr>
          </w:p>
        </w:tc>
      </w:tr>
      <w:tr>
        <w:trPr>
          <w:trHeight w:val="770"/>
        </w:trPr>
        <w:tc>
          <w:tcPr>
            <w:tcW w:w="102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r>
      <w:tr>
        <w:trPr>
          <w:trHeight w:val="102"/>
        </w:trPr>
        <w:tc>
          <w:tcPr>
            <w:tcW w:w="1020" w:type="dxa"/>
            <w:vAlign w:val="bottom"/>
            <w:tcBorders>
              <w:bottom w:val="single" w:sz="8" w:color="9A9A9A"/>
            </w:tcBorders>
          </w:tcPr>
          <w:p>
            <w:pPr>
              <w:spacing w:after="0"/>
              <w:rPr>
                <w:sz w:val="8"/>
                <w:szCs w:val="8"/>
                <w:color w:val="auto"/>
              </w:rPr>
            </w:pPr>
          </w:p>
        </w:tc>
        <w:tc>
          <w:tcPr>
            <w:tcW w:w="10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u w:val="single" w:color="auto"/>
          <w:color w:val="auto"/>
        </w:rPr>
        <w:t>Ownership</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with respect to the ownership of the Class A Ordinary Shares by each of the reporting persons is provided as of December 31,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Sole Power</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Shared</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to</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Shared</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Sole Power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Power to</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Percent</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Vote or</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Power</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Dispose or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Dispose or to</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Beneficially</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of</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Direct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 Vote or to</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Direct the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Direct the</w:t>
            </w:r>
          </w:p>
        </w:tc>
      </w:tr>
      <w:tr>
        <w:trPr>
          <w:trHeight w:val="165"/>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Reporting Person:</w:t>
            </w:r>
          </w:p>
        </w:tc>
        <w:tc>
          <w:tcPr>
            <w:tcW w:w="1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Class:(1)</w:t>
            </w: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the Vote:</w:t>
            </w: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Direct the Vote:</w:t>
            </w: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Disposition of:</w:t>
            </w:r>
          </w:p>
        </w:tc>
        <w:tc>
          <w:tcPr>
            <w:tcW w:w="1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Disposition of:</w:t>
            </w:r>
          </w:p>
        </w:tc>
      </w:tr>
      <w:tr>
        <w:trPr>
          <w:trHeight w:val="129"/>
        </w:trPr>
        <w:tc>
          <w:tcPr>
            <w:tcW w:w="2620" w:type="dxa"/>
            <w:vAlign w:val="bottom"/>
            <w:shd w:val="clear" w:color="auto" w:fill="CFF0FC"/>
          </w:tcPr>
          <w:p>
            <w:pPr>
              <w:spacing w:after="0" w:line="129" w:lineRule="exact"/>
              <w:rPr>
                <w:sz w:val="20"/>
                <w:szCs w:val="20"/>
                <w:color w:val="auto"/>
              </w:rPr>
            </w:pPr>
            <w:r>
              <w:rPr>
                <w:rFonts w:ascii="Arial" w:cs="Arial" w:eastAsia="Arial" w:hAnsi="Arial"/>
                <w:sz w:val="14"/>
                <w:szCs w:val="14"/>
                <w:color w:val="auto"/>
              </w:rPr>
              <w:t>Jiping Liu</w:t>
            </w:r>
          </w:p>
        </w:tc>
        <w:tc>
          <w:tcPr>
            <w:tcW w:w="1480" w:type="dxa"/>
            <w:vAlign w:val="bottom"/>
            <w:gridSpan w:val="2"/>
            <w:shd w:val="clear" w:color="auto" w:fill="CFF0FC"/>
          </w:tcPr>
          <w:p>
            <w:pPr>
              <w:jc w:val="right"/>
              <w:ind w:right="212"/>
              <w:spacing w:after="0" w:line="129" w:lineRule="exact"/>
              <w:rPr>
                <w:sz w:val="20"/>
                <w:szCs w:val="20"/>
                <w:color w:val="auto"/>
              </w:rPr>
            </w:pPr>
            <w:r>
              <w:rPr>
                <w:rFonts w:ascii="Arial" w:cs="Arial" w:eastAsia="Arial" w:hAnsi="Arial"/>
                <w:sz w:val="14"/>
                <w:szCs w:val="14"/>
                <w:color w:val="auto"/>
              </w:rPr>
              <w:t>1,703,446 (2)</w:t>
            </w:r>
          </w:p>
        </w:tc>
        <w:tc>
          <w:tcPr>
            <w:tcW w:w="120" w:type="dxa"/>
            <w:vAlign w:val="bottom"/>
            <w:shd w:val="clear" w:color="auto" w:fill="CFF0FC"/>
          </w:tcPr>
          <w:p>
            <w:pPr>
              <w:spacing w:after="0"/>
              <w:rPr>
                <w:sz w:val="11"/>
                <w:szCs w:val="11"/>
                <w:color w:val="auto"/>
              </w:rPr>
            </w:pPr>
          </w:p>
        </w:tc>
        <w:tc>
          <w:tcPr>
            <w:tcW w:w="1360" w:type="dxa"/>
            <w:vAlign w:val="bottom"/>
            <w:shd w:val="clear" w:color="auto" w:fill="CFF0FC"/>
          </w:tcPr>
          <w:p>
            <w:pPr>
              <w:jc w:val="center"/>
              <w:spacing w:after="0" w:line="129" w:lineRule="exact"/>
              <w:rPr>
                <w:sz w:val="20"/>
                <w:szCs w:val="20"/>
                <w:color w:val="auto"/>
              </w:rPr>
            </w:pPr>
            <w:r>
              <w:rPr>
                <w:rFonts w:ascii="Arial" w:cs="Arial" w:eastAsia="Arial" w:hAnsi="Arial"/>
                <w:sz w:val="14"/>
                <w:szCs w:val="14"/>
                <w:color w:val="auto"/>
              </w:rPr>
              <w:t>6.0%</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212"/>
              <w:spacing w:after="0" w:line="129" w:lineRule="exact"/>
              <w:rPr>
                <w:sz w:val="20"/>
                <w:szCs w:val="20"/>
                <w:color w:val="auto"/>
              </w:rPr>
            </w:pPr>
            <w:r>
              <w:rPr>
                <w:rFonts w:ascii="Arial" w:cs="Arial" w:eastAsia="Arial" w:hAnsi="Arial"/>
                <w:sz w:val="14"/>
                <w:szCs w:val="14"/>
                <w:color w:val="auto"/>
              </w:rPr>
              <w:t>1,703,446 (2)</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center"/>
              <w:spacing w:after="0" w:line="129" w:lineRule="exact"/>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172"/>
              <w:spacing w:after="0" w:line="129" w:lineRule="exact"/>
              <w:rPr>
                <w:sz w:val="20"/>
                <w:szCs w:val="20"/>
                <w:color w:val="auto"/>
              </w:rPr>
            </w:pPr>
            <w:r>
              <w:rPr>
                <w:rFonts w:ascii="Arial" w:cs="Arial" w:eastAsia="Arial" w:hAnsi="Arial"/>
                <w:sz w:val="14"/>
                <w:szCs w:val="14"/>
                <w:color w:val="auto"/>
              </w:rPr>
              <w:t>1,703,446 (2)</w:t>
            </w: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jc w:val="center"/>
              <w:spacing w:after="0" w:line="129" w:lineRule="exact"/>
              <w:rPr>
                <w:sz w:val="20"/>
                <w:szCs w:val="20"/>
                <w:color w:val="auto"/>
              </w:rPr>
            </w:pPr>
            <w:r>
              <w:rPr>
                <w:rFonts w:ascii="Arial" w:cs="Arial" w:eastAsia="Arial" w:hAnsi="Arial"/>
                <w:sz w:val="14"/>
                <w:szCs w:val="14"/>
                <w:color w:val="auto"/>
                <w:w w:val="76"/>
              </w:rPr>
              <w:t>0</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Maestro Investment Holdings Limited (3)</w:t>
            </w:r>
          </w:p>
        </w:tc>
        <w:tc>
          <w:tcPr>
            <w:tcW w:w="1480" w:type="dxa"/>
            <w:vAlign w:val="bottom"/>
            <w:gridSpan w:val="2"/>
          </w:tcPr>
          <w:p>
            <w:pPr>
              <w:jc w:val="right"/>
              <w:ind w:right="572"/>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340" w:type="dxa"/>
            <w:vAlign w:val="bottom"/>
          </w:tcPr>
          <w:p>
            <w:pPr>
              <w:jc w:val="right"/>
              <w:ind w:right="572"/>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6"/>
                <w:szCs w:val="16"/>
                <w:color w:val="auto"/>
              </w:rPr>
            </w:pPr>
          </w:p>
        </w:tc>
        <w:tc>
          <w:tcPr>
            <w:tcW w:w="1300" w:type="dxa"/>
            <w:vAlign w:val="bottom"/>
          </w:tcPr>
          <w:p>
            <w:pPr>
              <w:jc w:val="right"/>
              <w:ind w:right="532"/>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76"/>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46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69" w:lineRule="exact"/>
        <w:rPr>
          <w:sz w:val="20"/>
          <w:szCs w:val="20"/>
          <w:color w:val="auto"/>
        </w:rPr>
      </w:pPr>
    </w:p>
    <w:p>
      <w:pPr>
        <w:ind w:left="340" w:right="720" w:hanging="332"/>
        <w:spacing w:after="0" w:line="22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w:t>
      </w:r>
    </w:p>
    <w:p>
      <w:pPr>
        <w:spacing w:after="0" w:line="67"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1,703,446 Class A Ordinary Shares held by Mr. Jiping Liu.</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Jiping Liu is the sole director of Maestro Investment Holdings Limited.</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u w:val="single" w:color="auto"/>
          <w:color w:val="auto"/>
        </w:rPr>
        <w:t>Ownership of Five Percent or Less of a Class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96"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u w:val="single" w:color="auto"/>
          <w:color w:val="auto"/>
        </w:rPr>
        <w:t>Ownership of More than Five Percent on Behalf of Another Person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u w:val="single" w:color="auto"/>
          <w:color w:val="auto"/>
        </w:rPr>
        <w:t>Identification and Classification of the Subsidiary Which Acquired the Security Being Reported on By the Parent Holding Company or Control Person</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63"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u w:val="single" w:color="auto"/>
          <w:color w:val="auto"/>
        </w:rPr>
        <w:t>Identification and Classification of Members of the Group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96"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u w:val="single" w:color="auto"/>
          <w:color w:val="auto"/>
        </w:rPr>
        <w:t>Notice of Dissolution of Group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u w:val="single" w:color="auto"/>
          <w:color w:val="auto"/>
        </w:rPr>
        <w:t>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Dated: February 14, 2020</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23"/>
        </w:trPr>
        <w:tc>
          <w:tcPr>
            <w:tcW w:w="4020" w:type="dxa"/>
            <w:vAlign w:val="bottom"/>
          </w:tcPr>
          <w:p>
            <w:pPr>
              <w:spacing w:after="0"/>
              <w:rPr>
                <w:sz w:val="20"/>
                <w:szCs w:val="20"/>
                <w:color w:val="auto"/>
              </w:rPr>
            </w:pPr>
            <w:r>
              <w:rPr>
                <w:rFonts w:ascii="Arial" w:cs="Arial" w:eastAsia="Arial" w:hAnsi="Arial"/>
                <w:sz w:val="14"/>
                <w:szCs w:val="14"/>
                <w:color w:val="auto"/>
              </w:rPr>
              <w:t>Jiping Liu</w:t>
            </w:r>
          </w:p>
        </w:tc>
        <w:tc>
          <w:tcPr>
            <w:tcW w:w="1800" w:type="dxa"/>
            <w:vAlign w:val="bottom"/>
          </w:tcPr>
          <w:p>
            <w:pPr>
              <w:spacing w:after="0"/>
              <w:rPr>
                <w:sz w:val="24"/>
                <w:szCs w:val="24"/>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Jiping Liu</w:t>
            </w:r>
          </w:p>
        </w:tc>
        <w:tc>
          <w:tcPr>
            <w:tcW w:w="4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Arial" w:cs="Arial" w:eastAsia="Arial" w:hAnsi="Arial"/>
                <w:sz w:val="14"/>
                <w:szCs w:val="14"/>
                <w:color w:val="auto"/>
              </w:rPr>
              <w:t>Maestro Investment Holdings Limited</w:t>
            </w:r>
          </w:p>
        </w:tc>
        <w:tc>
          <w:tcPr>
            <w:tcW w:w="18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Jiping Liu</w:t>
            </w:r>
          </w:p>
        </w:tc>
        <w:tc>
          <w:tcPr>
            <w:tcW w:w="4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4820" w:type="dxa"/>
            <w:vAlign w:val="bottom"/>
          </w:tcPr>
          <w:p>
            <w:pPr>
              <w:spacing w:after="0"/>
              <w:rPr>
                <w:sz w:val="20"/>
                <w:szCs w:val="20"/>
                <w:color w:val="auto"/>
              </w:rPr>
            </w:pPr>
            <w:r>
              <w:rPr>
                <w:rFonts w:ascii="Arial" w:cs="Arial" w:eastAsia="Arial" w:hAnsi="Arial"/>
                <w:sz w:val="14"/>
                <w:szCs w:val="14"/>
                <w:color w:val="auto"/>
              </w:rPr>
              <w:t>Jiping Liu</w:t>
            </w:r>
          </w:p>
        </w:tc>
        <w:tc>
          <w:tcPr>
            <w:tcW w:w="40" w:type="dxa"/>
            <w:vAlign w:val="bottom"/>
          </w:tcPr>
          <w:p>
            <w:pPr>
              <w:spacing w:after="0"/>
              <w:rPr>
                <w:sz w:val="14"/>
                <w:szCs w:val="14"/>
                <w:color w:val="auto"/>
              </w:rPr>
            </w:pPr>
          </w:p>
        </w:tc>
      </w:tr>
      <w:tr>
        <w:trPr>
          <w:trHeight w:val="203"/>
        </w:trPr>
        <w:tc>
          <w:tcPr>
            <w:tcW w:w="40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4820" w:type="dxa"/>
            <w:vAlign w:val="bottom"/>
          </w:tcPr>
          <w:p>
            <w:pPr>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7"/>
                <w:szCs w:val="17"/>
                <w:color w:val="auto"/>
              </w:rPr>
            </w:pPr>
          </w:p>
        </w:tc>
      </w:tr>
      <w:tr>
        <w:trPr>
          <w:trHeight w:val="592"/>
        </w:trPr>
        <w:tc>
          <w:tcPr>
            <w:tcW w:w="40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7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40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6" w:name="page7"/>
    <w:bookmarkEnd w:id="6"/>
    <w:p>
      <w:pPr>
        <w:jc w:val="right"/>
        <w:ind w:right="3879"/>
        <w:spacing w:after="0"/>
        <w:rPr>
          <w:sz w:val="20"/>
          <w:szCs w:val="20"/>
          <w:color w:val="auto"/>
        </w:rPr>
      </w:pPr>
      <w:r>
        <w:rPr>
          <w:rFonts w:ascii="Arial" w:cs="Arial" w:eastAsia="Arial" w:hAnsi="Arial"/>
          <w:sz w:val="14"/>
          <w:szCs w:val="14"/>
          <w:b w:val="1"/>
          <w:bCs w:val="1"/>
          <w:color w:val="auto"/>
        </w:rPr>
        <w:t>LIST OF EXHIBITS</w:t>
      </w:r>
    </w:p>
    <w:p>
      <w:pPr>
        <w:spacing w:after="0" w:line="195"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Exhibit 99.1 — </w:t>
      </w:r>
      <w:hyperlink w:anchor="page8">
        <w:r>
          <w:rPr>
            <w:rFonts w:ascii="Arial" w:cs="Arial" w:eastAsia="Arial" w:hAnsi="Arial"/>
            <w:sz w:val="14"/>
            <w:szCs w:val="14"/>
            <w:u w:val="single" w:color="auto"/>
            <w:color w:val="0000EE"/>
          </w:rPr>
          <w:t>Joint Filing Agreement</w:t>
        </w:r>
      </w:hyperlink>
    </w:p>
    <w:p>
      <w:pPr>
        <w:spacing w:after="0" w:line="38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19"/>
          </w:cols>
          <w:pgMar w:left="240" w:top="356"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JOINT FILING AGREEMENT</w:t>
      </w:r>
    </w:p>
    <w:p>
      <w:pPr>
        <w:spacing w:after="0" w:line="189" w:lineRule="exact"/>
        <w:rPr>
          <w:sz w:val="20"/>
          <w:szCs w:val="20"/>
          <w:color w:val="auto"/>
        </w:rPr>
      </w:pPr>
    </w:p>
    <w:p>
      <w:pPr>
        <w:ind w:right="200"/>
        <w:spacing w:after="0" w:line="226" w:lineRule="auto"/>
        <w:rPr>
          <w:sz w:val="20"/>
          <w:szCs w:val="20"/>
          <w:color w:val="auto"/>
        </w:rPr>
      </w:pPr>
      <w:r>
        <w:rPr>
          <w:rFonts w:ascii="Arial" w:cs="Arial" w:eastAsia="Arial" w:hAnsi="Arial"/>
          <w:sz w:val="14"/>
          <w:szCs w:val="14"/>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hereby execute this Agreement as of February 14, 2020.</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Arial" w:cs="Arial" w:eastAsia="Arial" w:hAnsi="Arial"/>
                <w:sz w:val="14"/>
                <w:szCs w:val="14"/>
                <w:color w:val="auto"/>
              </w:rPr>
              <w:t>Jiping Liu</w:t>
            </w:r>
          </w:p>
        </w:tc>
        <w:tc>
          <w:tcPr>
            <w:tcW w:w="1400" w:type="dxa"/>
            <w:vAlign w:val="bottom"/>
          </w:tcPr>
          <w:p>
            <w:pPr>
              <w:spacing w:after="0"/>
              <w:rPr>
                <w:sz w:val="14"/>
                <w:szCs w:val="14"/>
                <w:color w:val="auto"/>
              </w:rPr>
            </w:pPr>
          </w:p>
        </w:tc>
        <w:tc>
          <w:tcPr>
            <w:tcW w:w="51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/s/ Jiping Liu</w:t>
            </w:r>
          </w:p>
        </w:tc>
      </w:tr>
      <w:tr>
        <w:trPr>
          <w:trHeight w:val="642"/>
        </w:trPr>
        <w:tc>
          <w:tcPr>
            <w:tcW w:w="3760" w:type="dxa"/>
            <w:vAlign w:val="bottom"/>
          </w:tcPr>
          <w:p>
            <w:pPr>
              <w:spacing w:after="0"/>
              <w:rPr>
                <w:sz w:val="20"/>
                <w:szCs w:val="20"/>
                <w:color w:val="auto"/>
              </w:rPr>
            </w:pPr>
            <w:r>
              <w:rPr>
                <w:rFonts w:ascii="Arial" w:cs="Arial" w:eastAsia="Arial" w:hAnsi="Arial"/>
                <w:sz w:val="14"/>
                <w:szCs w:val="14"/>
                <w:color w:val="auto"/>
              </w:rPr>
              <w:t>Maestro Investment Holdings Limited</w:t>
            </w:r>
          </w:p>
        </w:tc>
        <w:tc>
          <w:tcPr>
            <w:tcW w:w="1840" w:type="dxa"/>
            <w:vAlign w:val="bottom"/>
            <w:gridSpan w:val="2"/>
          </w:tcPr>
          <w:p>
            <w:pPr>
              <w:ind w:left="1380"/>
              <w:spacing w:after="0"/>
              <w:rPr>
                <w:sz w:val="20"/>
                <w:szCs w:val="20"/>
                <w:color w:val="auto"/>
              </w:rPr>
            </w:pPr>
            <w:r>
              <w:rPr>
                <w:rFonts w:ascii="Arial" w:cs="Arial" w:eastAsia="Arial" w:hAnsi="Arial"/>
                <w:sz w:val="14"/>
                <w:szCs w:val="14"/>
                <w:color w:val="auto"/>
              </w:rPr>
              <w:t>By:</w:t>
            </w:r>
          </w:p>
        </w:tc>
        <w:tc>
          <w:tcPr>
            <w:tcW w:w="60" w:type="dxa"/>
            <w:vAlign w:val="bottom"/>
          </w:tcPr>
          <w:p>
            <w:pPr>
              <w:spacing w:after="0"/>
              <w:rPr>
                <w:sz w:val="24"/>
                <w:szCs w:val="24"/>
                <w:color w:val="auto"/>
              </w:rPr>
            </w:pP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Jiping Liu</w:t>
            </w:r>
          </w:p>
        </w:tc>
      </w:tr>
      <w:tr>
        <w:trPr>
          <w:trHeight w:val="174"/>
        </w:trPr>
        <w:tc>
          <w:tcPr>
            <w:tcW w:w="3760" w:type="dxa"/>
            <w:vAlign w:val="bottom"/>
          </w:tcPr>
          <w:p>
            <w:pPr>
              <w:spacing w:after="0"/>
              <w:rPr>
                <w:sz w:val="15"/>
                <w:szCs w:val="15"/>
                <w:color w:val="auto"/>
              </w:rPr>
            </w:pPr>
          </w:p>
        </w:tc>
        <w:tc>
          <w:tcPr>
            <w:tcW w:w="1840" w:type="dxa"/>
            <w:vAlign w:val="bottom"/>
            <w:gridSpan w:val="2"/>
          </w:tcPr>
          <w:p>
            <w:pPr>
              <w:ind w:left="1380"/>
              <w:spacing w:after="0"/>
              <w:rPr>
                <w:sz w:val="20"/>
                <w:szCs w:val="20"/>
                <w:color w:val="auto"/>
              </w:rPr>
            </w:pPr>
            <w:r>
              <w:rPr>
                <w:rFonts w:ascii="Arial" w:cs="Arial" w:eastAsia="Arial" w:hAnsi="Arial"/>
                <w:sz w:val="14"/>
                <w:szCs w:val="14"/>
                <w:color w:val="auto"/>
              </w:rPr>
              <w:t>Name:</w:t>
            </w: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Jiping Liu</w:t>
            </w:r>
          </w:p>
        </w:tc>
      </w:tr>
      <w:tr>
        <w:trPr>
          <w:trHeight w:val="172"/>
        </w:trPr>
        <w:tc>
          <w:tcPr>
            <w:tcW w:w="3760" w:type="dxa"/>
            <w:vAlign w:val="bottom"/>
          </w:tcPr>
          <w:p>
            <w:pPr>
              <w:spacing w:after="0"/>
              <w:rPr>
                <w:sz w:val="14"/>
                <w:szCs w:val="14"/>
                <w:color w:val="auto"/>
              </w:rPr>
            </w:pPr>
          </w:p>
        </w:tc>
        <w:tc>
          <w:tcPr>
            <w:tcW w:w="1840" w:type="dxa"/>
            <w:vAlign w:val="bottom"/>
            <w:gridSpan w:val="2"/>
          </w:tcPr>
          <w:p>
            <w:pPr>
              <w:ind w:left="1380"/>
              <w:spacing w:after="0"/>
              <w:rPr>
                <w:sz w:val="20"/>
                <w:szCs w:val="20"/>
                <w:color w:val="auto"/>
              </w:rPr>
            </w:pPr>
            <w:r>
              <w:rPr>
                <w:rFonts w:ascii="Arial" w:cs="Arial" w:eastAsia="Arial" w:hAnsi="Arial"/>
                <w:sz w:val="14"/>
                <w:szCs w:val="14"/>
                <w:color w:val="auto"/>
              </w:rPr>
              <w:t>Title:</w:t>
            </w: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Director</w:t>
            </w:r>
          </w:p>
        </w:tc>
      </w:tr>
    </w:tbl>
    <w:p>
      <w:pPr>
        <w:spacing w:after="0" w:line="1" w:lineRule="exact"/>
        <w:rPr>
          <w:sz w:val="20"/>
          <w:szCs w:val="20"/>
          <w:color w:val="auto"/>
        </w:rPr>
      </w:pP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lvl w:ilvl="1">
      <w:lvlJc w:val="left"/>
      <w:lvlText w:val="(%2)"/>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8"/>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lvl w:ilvl="1">
      <w:lvlJc w:val="left"/>
      <w:lvlText w:val="(%2)"/>
      <w:numFmt w:val="lowerLetter"/>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9"/>
      <w:numFmt w:val="bullet"/>
      <w:start w:val="1"/>
    </w:lvl>
    <w:lvl w:ilvl="1">
      <w:lvlJc w:val="left"/>
      <w:lvlText w:val="%2."/>
      <w:numFmt w:val="decimal"/>
    </w:lvl>
  </w:abstractNum>
  <w:abstractNum w:abstractNumId="14">
    <w:nsid w:val="41A7C4C9"/>
    <w:multiLevelType w:val="hybridMultilevel"/>
    <w:lvl w:ilvl="0">
      <w:lvlJc w:val="left"/>
      <w:lvlText w:val="%1"/>
      <w:numFmt w:val="decimal"/>
      <w:start w:val="10"/>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2020-02-14T10:20:23Z</dcterms:created>
  <dcterms:modified xsi:type="dcterms:W3CDTF">2020-02-14T10:20:23Z</dcterms:modified>
</cp:coreProperties>
</file>