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September 18, 2017.</w:t>
      </w:r>
    </w:p>
    <w:p>
      <w:pPr>
        <w:spacing w:after="0" w:line="4" w:lineRule="exact"/>
        <w:rPr>
          <w:sz w:val="24"/>
          <w:szCs w:val="24"/>
          <w:color w:val="auto"/>
        </w:rPr>
      </w:pPr>
    </w:p>
    <w:p>
      <w:pPr>
        <w:ind w:left="8880"/>
        <w:spacing w:after="0"/>
        <w:rPr>
          <w:sz w:val="20"/>
          <w:szCs w:val="20"/>
          <w:color w:val="auto"/>
        </w:rPr>
      </w:pPr>
      <w:r>
        <w:rPr>
          <w:rFonts w:ascii="Arial" w:cs="Arial" w:eastAsia="Arial" w:hAnsi="Arial"/>
          <w:sz w:val="12"/>
          <w:szCs w:val="12"/>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F-1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p>
      <w:pPr>
        <w:spacing w:after="0" w:line="386" w:lineRule="exact"/>
        <w:rPr>
          <w:sz w:val="24"/>
          <w:szCs w:val="24"/>
          <w:color w:val="auto"/>
        </w:rPr>
      </w:pPr>
    </w:p>
    <w:p>
      <w:pPr>
        <w:ind w:left="138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7372</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Not Applicable</w:t>
      </w:r>
    </w:p>
    <w:p>
      <w:pPr>
        <w:spacing w:after="0" w:line="36" w:lineRule="exact"/>
        <w:rPr>
          <w:sz w:val="24"/>
          <w:szCs w:val="24"/>
          <w:color w:val="auto"/>
        </w:rPr>
      </w:pPr>
    </w:p>
    <w:p>
      <w:pPr>
        <w:sectPr>
          <w:pgSz w:w="11900" w:h="16838" w:orient="portrait"/>
          <w:cols w:equalWidth="0" w:num="3">
            <w:col w:w="4960" w:space="720"/>
            <w:col w:w="2680" w:space="720"/>
            <w:col w:w="2240"/>
          </w:cols>
          <w:pgMar w:left="240" w:top="230" w:right="3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5" w:lineRule="exact"/>
        <w:rPr>
          <w:sz w:val="24"/>
          <w:szCs w:val="24"/>
          <w:color w:val="auto"/>
        </w:rPr>
      </w:pPr>
    </w:p>
    <w:p>
      <w:pPr>
        <w:sectPr>
          <w:pgSz w:w="11900" w:h="16838" w:orient="portrait"/>
          <w:cols w:equalWidth="0" w:num="3">
            <w:col w:w="4200" w:space="720"/>
            <w:col w:w="3400" w:space="720"/>
            <w:col w:w="2280"/>
          </w:cols>
          <w:pgMar w:left="240" w:top="230" w:right="339" w:bottom="1440" w:gutter="0" w:footer="0" w:header="0"/>
          <w:type w:val="continuous"/>
        </w:sectPr>
      </w:pPr>
    </w:p>
    <w:p>
      <w:pPr>
        <w:ind w:left="5580"/>
        <w:spacing w:after="0"/>
        <w:rPr>
          <w:sz w:val="20"/>
          <w:szCs w:val="20"/>
          <w:color w:val="auto"/>
        </w:rPr>
      </w:pPr>
      <w:r>
        <w:rPr>
          <w:rFonts w:ascii="Arial" w:cs="Arial" w:eastAsia="Arial" w:hAnsi="Arial"/>
          <w:sz w:val="14"/>
          <w:szCs w:val="14"/>
          <w:b w:val="1"/>
          <w:bCs w:val="1"/>
          <w:color w:val="auto"/>
        </w:rPr>
        <w:t>15/F</w:t>
      </w:r>
    </w:p>
    <w:p>
      <w:pPr>
        <w:ind w:left="4900"/>
        <w:spacing w:after="0" w:line="226" w:lineRule="auto"/>
        <w:rPr>
          <w:sz w:val="20"/>
          <w:szCs w:val="20"/>
          <w:color w:val="auto"/>
        </w:rPr>
      </w:pPr>
      <w:r>
        <w:rPr>
          <w:rFonts w:ascii="Arial" w:cs="Arial" w:eastAsia="Arial" w:hAnsi="Arial"/>
          <w:sz w:val="14"/>
          <w:szCs w:val="14"/>
          <w:b w:val="1"/>
          <w:bCs w:val="1"/>
          <w:color w:val="auto"/>
        </w:rPr>
        <w:t>Prosperity Millennia Plaza</w:t>
      </w:r>
    </w:p>
    <w:p>
      <w:pPr>
        <w:ind w:left="4800"/>
        <w:spacing w:after="0" w:line="222" w:lineRule="auto"/>
        <w:rPr>
          <w:sz w:val="20"/>
          <w:szCs w:val="20"/>
          <w:color w:val="auto"/>
        </w:rPr>
      </w:pPr>
      <w:r>
        <w:rPr>
          <w:rFonts w:ascii="Arial" w:cs="Arial" w:eastAsia="Arial" w:hAnsi="Arial"/>
          <w:sz w:val="14"/>
          <w:szCs w:val="14"/>
          <w:b w:val="1"/>
          <w:bCs w:val="1"/>
          <w:color w:val="auto"/>
        </w:rPr>
        <w:t>663 King’s Road, Quarry Bay</w:t>
      </w:r>
    </w:p>
    <w:p>
      <w:pPr>
        <w:ind w:left="4280"/>
        <w:spacing w:after="0"/>
        <w:rPr>
          <w:sz w:val="20"/>
          <w:szCs w:val="20"/>
          <w:color w:val="auto"/>
        </w:rPr>
      </w:pPr>
      <w:r>
        <w:rPr>
          <w:rFonts w:ascii="Arial" w:cs="Arial" w:eastAsia="Arial" w:hAnsi="Arial"/>
          <w:sz w:val="13"/>
          <w:szCs w:val="13"/>
          <w:b w:val="1"/>
          <w:bCs w:val="1"/>
          <w:color w:val="auto"/>
        </w:rPr>
        <w:t>Hong Kong S.A.R., People’s Republic of China</w:t>
      </w:r>
    </w:p>
    <w:p>
      <w:pPr>
        <w:ind w:left="5100"/>
        <w:spacing w:after="0"/>
        <w:rPr>
          <w:sz w:val="20"/>
          <w:szCs w:val="20"/>
          <w:color w:val="auto"/>
        </w:rPr>
      </w:pPr>
      <w:r>
        <w:rPr>
          <w:rFonts w:ascii="Arial" w:cs="Arial" w:eastAsia="Arial" w:hAnsi="Arial"/>
          <w:sz w:val="14"/>
          <w:szCs w:val="14"/>
          <w:b w:val="1"/>
          <w:bCs w:val="1"/>
          <w:color w:val="auto"/>
        </w:rPr>
        <w:t>Tel: +852 3700 9000</w:t>
      </w:r>
    </w:p>
    <w:p>
      <w:pPr>
        <w:sectPr>
          <w:pgSz w:w="11900" w:h="16838" w:orient="portrait"/>
          <w:cols w:equalWidth="0" w:num="1">
            <w:col w:w="11320"/>
          </w:cols>
          <w:pgMar w:left="240" w:top="230" w:right="339" w:bottom="1440" w:gutter="0" w:footer="0" w:header="0"/>
          <w:type w:val="continuous"/>
        </w:sectPr>
      </w:pPr>
    </w:p>
    <w:p>
      <w:pPr>
        <w:jc w:val="center"/>
        <w:ind w:right="-99"/>
        <w:spacing w:after="0" w:line="235"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Law Debenture Corporate Services, Inc.</w:t>
      </w:r>
    </w:p>
    <w:p>
      <w:pPr>
        <w:jc w:val="center"/>
        <w:ind w:right="-99"/>
        <w:spacing w:after="0" w:line="226" w:lineRule="auto"/>
        <w:rPr>
          <w:sz w:val="20"/>
          <w:szCs w:val="20"/>
          <w:color w:val="auto"/>
        </w:rPr>
      </w:pPr>
      <w:r>
        <w:rPr>
          <w:rFonts w:ascii="Arial" w:cs="Arial" w:eastAsia="Arial" w:hAnsi="Arial"/>
          <w:sz w:val="14"/>
          <w:szCs w:val="14"/>
          <w:b w:val="1"/>
          <w:bCs w:val="1"/>
          <w:color w:val="auto"/>
        </w:rPr>
        <w:t>4th Floor, 400 Madison Avenue</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New York 10017</w:t>
      </w:r>
    </w:p>
    <w:p>
      <w:pPr>
        <w:jc w:val="center"/>
        <w:ind w:right="-99"/>
        <w:spacing w:after="0" w:line="221" w:lineRule="auto"/>
        <w:rPr>
          <w:sz w:val="20"/>
          <w:szCs w:val="20"/>
          <w:color w:val="auto"/>
        </w:rPr>
      </w:pPr>
      <w:r>
        <w:rPr>
          <w:rFonts w:ascii="Arial" w:cs="Arial" w:eastAsia="Arial" w:hAnsi="Arial"/>
          <w:sz w:val="14"/>
          <w:szCs w:val="14"/>
          <w:b w:val="1"/>
          <w:bCs w:val="1"/>
          <w:color w:val="auto"/>
        </w:rPr>
        <w:t>(212) 750-6474</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5020" w:type="dxa"/>
            <w:vAlign w:val="bottom"/>
          </w:tcPr>
          <w:p>
            <w:pPr>
              <w:ind w:left="540"/>
              <w:spacing w:after="0"/>
              <w:rPr>
                <w:sz w:val="20"/>
                <w:szCs w:val="20"/>
                <w:color w:val="auto"/>
              </w:rPr>
            </w:pPr>
            <w:r>
              <w:rPr>
                <w:rFonts w:ascii="Arial" w:cs="Arial" w:eastAsia="Arial" w:hAnsi="Arial"/>
                <w:sz w:val="14"/>
                <w:szCs w:val="14"/>
                <w:b w:val="1"/>
                <w:bCs w:val="1"/>
                <w:i w:val="1"/>
                <w:iCs w:val="1"/>
                <w:color w:val="auto"/>
              </w:rPr>
              <w:t>Copies to:</w:t>
            </w:r>
          </w:p>
        </w:tc>
      </w:tr>
      <w:tr>
        <w:trPr>
          <w:trHeight w:val="232"/>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Shuang Zhao, Esq.</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Arial" w:cs="Arial" w:eastAsia="Arial" w:hAnsi="Arial"/>
                <w:sz w:val="14"/>
                <w:szCs w:val="14"/>
                <w:b w:val="1"/>
                <w:bCs w:val="1"/>
                <w:color w:val="auto"/>
                <w:w w:val="90"/>
              </w:rPr>
              <w:t>c/o 37</w:t>
            </w:r>
            <w:r>
              <w:rPr>
                <w:rFonts w:ascii="Arial" w:cs="Arial" w:eastAsia="Arial" w:hAnsi="Arial"/>
                <w:sz w:val="12"/>
                <w:szCs w:val="12"/>
                <w:b w:val="1"/>
                <w:bCs w:val="1"/>
                <w:color w:val="auto"/>
                <w:w w:val="90"/>
              </w:rPr>
              <w:t>th</w:t>
            </w:r>
            <w:r>
              <w:rPr>
                <w:rFonts w:ascii="Arial" w:cs="Arial" w:eastAsia="Arial" w:hAnsi="Arial"/>
                <w:sz w:val="14"/>
                <w:szCs w:val="14"/>
                <w:b w:val="1"/>
                <w:bCs w:val="1"/>
                <w:color w:val="auto"/>
                <w:w w:val="90"/>
              </w:rPr>
              <w:t xml:space="preserve"> Floor, Hysan Place</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1"/>
              </w:rPr>
              <w:t>500 Hennessy Road, Causeway Bay, Hong Kong</w:t>
            </w:r>
          </w:p>
        </w:tc>
        <w:tc>
          <w:tcPr>
            <w:tcW w:w="5020" w:type="dxa"/>
            <w:vAlign w:val="bottom"/>
          </w:tcPr>
          <w:p>
            <w:pPr>
              <w:jc w:val="center"/>
              <w:ind w:left="2508"/>
              <w:spacing w:after="0" w:line="149" w:lineRule="exact"/>
              <w:rPr>
                <w:sz w:val="20"/>
                <w:szCs w:val="20"/>
                <w:color w:val="auto"/>
              </w:rPr>
            </w:pPr>
            <w:r>
              <w:rPr>
                <w:rFonts w:ascii="Arial" w:cs="Arial" w:eastAsia="Arial" w:hAnsi="Arial"/>
                <w:sz w:val="14"/>
                <w:szCs w:val="14"/>
                <w:b w:val="1"/>
                <w:bCs w:val="1"/>
                <w:color w:val="auto"/>
                <w:w w:val="94"/>
              </w:rPr>
              <w:t>3A Chater Road, Central, Hong Kong</w:t>
            </w:r>
          </w:p>
        </w:tc>
      </w:tr>
      <w:tr>
        <w:trPr>
          <w:trHeight w:val="186"/>
        </w:trPr>
        <w:tc>
          <w:tcPr>
            <w:tcW w:w="3480" w:type="dxa"/>
            <w:vAlign w:val="bottom"/>
          </w:tcPr>
          <w:p>
            <w:pPr>
              <w:jc w:val="center"/>
              <w:ind w:right="488"/>
              <w:spacing w:after="0"/>
              <w:rPr>
                <w:sz w:val="20"/>
                <w:szCs w:val="20"/>
                <w:color w:val="auto"/>
              </w:rPr>
            </w:pPr>
            <w:r>
              <w:rPr>
                <w:rFonts w:ascii="Arial" w:cs="Arial" w:eastAsia="Arial" w:hAnsi="Arial"/>
                <w:sz w:val="14"/>
                <w:szCs w:val="14"/>
                <w:b w:val="1"/>
                <w:bCs w:val="1"/>
                <w:color w:val="auto"/>
                <w:w w:val="93"/>
              </w:rPr>
              <w:t>(852) 2521 4122</w:t>
            </w:r>
          </w:p>
        </w:tc>
        <w:tc>
          <w:tcPr>
            <w:tcW w:w="5020" w:type="dxa"/>
            <w:vAlign w:val="bottom"/>
          </w:tcPr>
          <w:p>
            <w:pPr>
              <w:jc w:val="center"/>
              <w:ind w:left="2508"/>
              <w:spacing w:after="0"/>
              <w:rPr>
                <w:sz w:val="20"/>
                <w:szCs w:val="20"/>
                <w:color w:val="auto"/>
              </w:rPr>
            </w:pPr>
            <w:r>
              <w:rPr>
                <w:rFonts w:ascii="Arial" w:cs="Arial" w:eastAsia="Arial" w:hAnsi="Arial"/>
                <w:sz w:val="14"/>
                <w:szCs w:val="14"/>
                <w:b w:val="1"/>
                <w:bCs w:val="1"/>
                <w:color w:val="auto"/>
                <w:w w:val="93"/>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this Registration Statement becomes effective.</w:t>
      </w:r>
    </w:p>
    <w:p>
      <w:pPr>
        <w:spacing w:after="0" w:line="86"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right="3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20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right="180" w:firstLine="342"/>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ind w:firstLine="342"/>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320"/>
          </w:cols>
          <w:pgMar w:left="240" w:top="2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52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28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0"/>
              </w:rPr>
              <w:t>Proposed</w:t>
            </w:r>
          </w:p>
        </w:tc>
        <w:tc>
          <w:tcPr>
            <w:tcW w:w="5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8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5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80" w:type="dxa"/>
            <w:vAlign w:val="bottom"/>
            <w:tcBorders>
              <w:right w:val="single" w:sz="8" w:color="auto"/>
            </w:tcBorders>
          </w:tcPr>
          <w:p>
            <w:pPr>
              <w:jc w:val="center"/>
              <w:ind w:right="2483"/>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84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84"/>
              </w:rPr>
              <w:t>Aggregate</w:t>
            </w:r>
          </w:p>
        </w:tc>
        <w:tc>
          <w:tcPr>
            <w:tcW w:w="540" w:type="dxa"/>
            <w:vAlign w:val="bottom"/>
          </w:tcPr>
          <w:p>
            <w:pPr>
              <w:spacing w:after="0"/>
              <w:rPr>
                <w:sz w:val="10"/>
                <w:szCs w:val="10"/>
                <w:color w:val="auto"/>
              </w:rPr>
            </w:pPr>
          </w:p>
        </w:tc>
        <w:tc>
          <w:tcPr>
            <w:tcW w:w="1240" w:type="dxa"/>
            <w:vAlign w:val="bottom"/>
          </w:tcPr>
          <w:p>
            <w:pPr>
              <w:jc w:val="center"/>
              <w:ind w:right="401"/>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2"/>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5280" w:type="dxa"/>
            <w:vAlign w:val="bottom"/>
            <w:tcBorders>
              <w:bottom w:val="single" w:sz="8" w:color="auto"/>
              <w:right w:val="single" w:sz="8" w:color="auto"/>
            </w:tcBorders>
          </w:tcPr>
          <w:p>
            <w:pPr>
              <w:jc w:val="center"/>
              <w:ind w:right="2483"/>
              <w:spacing w:after="0"/>
              <w:rPr>
                <w:sz w:val="20"/>
                <w:szCs w:val="20"/>
                <w:color w:val="auto"/>
              </w:rPr>
            </w:pPr>
            <w:r>
              <w:rPr>
                <w:rFonts w:ascii="Arial" w:cs="Arial" w:eastAsia="Arial" w:hAnsi="Arial"/>
                <w:sz w:val="11"/>
                <w:szCs w:val="11"/>
                <w:b w:val="1"/>
                <w:bCs w:val="1"/>
                <w:color w:val="auto"/>
                <w:w w:val="85"/>
              </w:rPr>
              <w:t>Securities to Be Registered</w:t>
            </w:r>
          </w:p>
        </w:tc>
        <w:tc>
          <w:tcPr>
            <w:tcW w:w="184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92"/>
              </w:rPr>
              <w:t>Offering Price</w:t>
            </w:r>
            <w:r>
              <w:rPr>
                <w:rFonts w:ascii="Arial" w:cs="Arial" w:eastAsia="Arial" w:hAnsi="Arial"/>
                <w:sz w:val="9"/>
                <w:szCs w:val="9"/>
                <w:b w:val="1"/>
                <w:bCs w:val="1"/>
                <w:color w:val="auto"/>
                <w:w w:val="92"/>
              </w:rPr>
              <w:t>(2)(3)</w:t>
            </w:r>
          </w:p>
        </w:tc>
        <w:tc>
          <w:tcPr>
            <w:tcW w:w="5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421"/>
              <w:spacing w:after="0"/>
              <w:rPr>
                <w:sz w:val="20"/>
                <w:szCs w:val="20"/>
                <w:color w:val="auto"/>
              </w:rPr>
            </w:pPr>
            <w:r>
              <w:rPr>
                <w:rFonts w:ascii="Arial" w:cs="Arial" w:eastAsia="Arial" w:hAnsi="Arial"/>
                <w:sz w:val="11"/>
                <w:szCs w:val="11"/>
                <w:b w:val="1"/>
                <w:bCs w:val="1"/>
                <w:color w:val="auto"/>
                <w:w w:val="88"/>
              </w:rPr>
              <w:t>Registration Fee</w:t>
            </w:r>
          </w:p>
        </w:tc>
      </w:tr>
      <w:tr>
        <w:trPr>
          <w:trHeight w:val="135"/>
        </w:trPr>
        <w:tc>
          <w:tcPr>
            <w:tcW w:w="20" w:type="dxa"/>
            <w:vAlign w:val="bottom"/>
            <w:tcBorders>
              <w:bottom w:val="single" w:sz="8" w:color="auto"/>
            </w:tcBorders>
          </w:tcPr>
          <w:p>
            <w:pPr>
              <w:spacing w:after="0"/>
              <w:rPr>
                <w:sz w:val="11"/>
                <w:szCs w:val="11"/>
                <w:color w:val="auto"/>
              </w:rPr>
            </w:pPr>
          </w:p>
        </w:tc>
        <w:tc>
          <w:tcPr>
            <w:tcW w:w="7780" w:type="dxa"/>
            <w:vAlign w:val="bottom"/>
            <w:tcBorders>
              <w:bottom w:val="single" w:sz="8" w:color="auto"/>
              <w:right w:val="single" w:sz="8" w:color="auto"/>
            </w:tcBorders>
            <w:gridSpan w:val="3"/>
          </w:tcPr>
          <w:p>
            <w:pPr>
              <w:spacing w:after="0" w:line="135" w:lineRule="exact"/>
              <w:rPr>
                <w:sz w:val="20"/>
                <w:szCs w:val="20"/>
                <w:color w:val="auto"/>
              </w:rPr>
            </w:pPr>
            <w:r>
              <w:rPr>
                <w:rFonts w:ascii="Arial" w:cs="Arial" w:eastAsia="Arial" w:hAnsi="Arial"/>
                <w:sz w:val="13"/>
                <w:szCs w:val="13"/>
                <w:color w:val="auto"/>
              </w:rPr>
              <w:t>Class A Ordinary Shares, par value US$0.001 per share</w:t>
            </w:r>
            <w:r>
              <w:rPr>
                <w:rFonts w:ascii="Arial" w:cs="Arial" w:eastAsia="Arial" w:hAnsi="Arial"/>
                <w:sz w:val="10"/>
                <w:szCs w:val="10"/>
                <w:color w:val="auto"/>
              </w:rPr>
              <w:t>(1)</w:t>
            </w:r>
          </w:p>
        </w:tc>
        <w:tc>
          <w:tcPr>
            <w:tcW w:w="1840" w:type="dxa"/>
            <w:vAlign w:val="bottom"/>
            <w:tcBorders>
              <w:bottom w:val="single" w:sz="8" w:color="auto"/>
              <w:right w:val="single" w:sz="8" w:color="auto"/>
            </w:tcBorders>
          </w:tcPr>
          <w:p>
            <w:pPr>
              <w:ind w:left="660"/>
              <w:spacing w:after="0" w:line="135" w:lineRule="exact"/>
              <w:rPr>
                <w:sz w:val="20"/>
                <w:szCs w:val="20"/>
                <w:color w:val="auto"/>
              </w:rPr>
            </w:pPr>
            <w:r>
              <w:rPr>
                <w:rFonts w:ascii="Arial" w:cs="Arial" w:eastAsia="Arial" w:hAnsi="Arial"/>
                <w:sz w:val="13"/>
                <w:szCs w:val="13"/>
                <w:color w:val="auto"/>
              </w:rPr>
              <w:t>US$</w:t>
            </w:r>
          </w:p>
        </w:tc>
        <w:tc>
          <w:tcPr>
            <w:tcW w:w="5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3"/>
                <w:szCs w:val="13"/>
                <w:color w:val="auto"/>
              </w:rPr>
              <w:t>US$</w:t>
            </w:r>
          </w:p>
        </w:tc>
      </w:tr>
      <w:tr>
        <w:trPr>
          <w:trHeight w:val="20"/>
        </w:trPr>
        <w:tc>
          <w:tcPr>
            <w:tcW w:w="26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2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(1)</w:t>
            </w:r>
          </w:p>
        </w:tc>
        <w:tc>
          <w:tcPr>
            <w:tcW w:w="9920" w:type="dxa"/>
            <w:vAlign w:val="bottom"/>
            <w:tcBorders>
              <w:top w:val="single" w:sz="8" w:color="auto"/>
            </w:tcBorders>
            <w:gridSpan w:val="4"/>
          </w:tcPr>
          <w:p>
            <w:pPr>
              <w:ind w:left="80"/>
              <w:spacing w:after="0" w:line="115" w:lineRule="exact"/>
              <w:rPr>
                <w:sz w:val="20"/>
                <w:szCs w:val="20"/>
                <w:color w:val="auto"/>
              </w:rPr>
            </w:pPr>
            <w:r>
              <w:rPr>
                <w:rFonts w:ascii="Arial" w:cs="Arial" w:eastAsia="Arial" w:hAnsi="Arial"/>
                <w:sz w:val="13"/>
                <w:szCs w:val="13"/>
                <w:color w:val="auto"/>
                <w:w w:val="86"/>
              </w:rPr>
              <w:t>American depositary shares issuable upon deposit of the Class A ordinary shares registered hereby have been registered under a separate registration statement on Form F-6 (Registration No.333-</w:t>
            </w:r>
          </w:p>
        </w:tc>
        <w:tc>
          <w:tcPr>
            <w:tcW w:w="1240" w:type="dxa"/>
            <w:vAlign w:val="bottom"/>
            <w:tcBorders>
              <w:top w:val="single" w:sz="8" w:color="auto"/>
            </w:tcBorders>
          </w:tcPr>
          <w:p>
            <w:pPr>
              <w:ind w:left="480"/>
              <w:spacing w:after="0" w:line="115" w:lineRule="exact"/>
              <w:rPr>
                <w:sz w:val="20"/>
                <w:szCs w:val="20"/>
                <w:color w:val="auto"/>
              </w:rPr>
            </w:pPr>
            <w:r>
              <w:rPr>
                <w:rFonts w:ascii="Arial" w:cs="Arial" w:eastAsia="Arial" w:hAnsi="Arial"/>
                <w:sz w:val="13"/>
                <w:szCs w:val="13"/>
                <w:color w:val="auto"/>
              </w:rPr>
              <w:t>). Each</w:t>
            </w:r>
          </w:p>
        </w:tc>
      </w:tr>
      <w:tr>
        <w:trPr>
          <w:trHeight w:val="145"/>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ind w:left="80"/>
              <w:spacing w:after="0" w:line="145" w:lineRule="exact"/>
              <w:rPr>
                <w:sz w:val="20"/>
                <w:szCs w:val="20"/>
                <w:color w:val="auto"/>
              </w:rPr>
            </w:pPr>
            <w:r>
              <w:rPr>
                <w:rFonts w:ascii="Arial" w:cs="Arial" w:eastAsia="Arial" w:hAnsi="Arial"/>
                <w:sz w:val="13"/>
                <w:szCs w:val="13"/>
                <w:color w:val="auto"/>
                <w:w w:val="98"/>
              </w:rPr>
              <w:t>American depositary share represents</w:t>
            </w:r>
          </w:p>
        </w:tc>
        <w:tc>
          <w:tcPr>
            <w:tcW w:w="5280" w:type="dxa"/>
            <w:vAlign w:val="bottom"/>
          </w:tcPr>
          <w:p>
            <w:pPr>
              <w:ind w:left="280"/>
              <w:spacing w:after="0" w:line="145" w:lineRule="exact"/>
              <w:rPr>
                <w:sz w:val="20"/>
                <w:szCs w:val="20"/>
                <w:color w:val="auto"/>
              </w:rPr>
            </w:pPr>
            <w:r>
              <w:rPr>
                <w:rFonts w:ascii="Arial" w:cs="Arial" w:eastAsia="Arial" w:hAnsi="Arial"/>
                <w:sz w:val="13"/>
                <w:szCs w:val="13"/>
                <w:color w:val="auto"/>
              </w:rPr>
              <w:t>Class A ordinary shares.</w:t>
            </w: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r>
    </w:tbl>
    <w:p>
      <w:pPr>
        <w:ind w:left="340" w:right="80" w:hanging="332"/>
        <w:spacing w:after="0" w:line="216"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(i) Class A ordinary shares that may be purchased by the underwriters pursuant to an over-allotment option and (ii)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purposes of sales outside of the United States.</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6" w:lineRule="exact"/>
        <w:rPr>
          <w:sz w:val="20"/>
          <w:szCs w:val="20"/>
          <w:color w:val="auto"/>
        </w:rPr>
      </w:pPr>
    </w:p>
    <w:p>
      <w:pPr>
        <w:ind w:right="40" w:firstLine="342"/>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tbl>
      <w:tblPr>
        <w:tblLayout w:type="fixed"/>
        <w:tblInd w:w="348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EB0029"/>
              </w:rPr>
              <w:t>, 2017</w:t>
            </w:r>
          </w:p>
        </w:tc>
      </w:tr>
      <w:tr>
        <w:trPr>
          <w:trHeight w:val="234"/>
        </w:trPr>
        <w:tc>
          <w:tcPr>
            <w:tcW w:w="3760" w:type="dxa"/>
            <w:vAlign w:val="bottom"/>
          </w:tcPr>
          <w:p>
            <w:pPr>
              <w:ind w:left="960"/>
              <w:spacing w:after="0"/>
              <w:rPr>
                <w:sz w:val="20"/>
                <w:szCs w:val="20"/>
                <w:color w:val="auto"/>
              </w:rPr>
            </w:pPr>
            <w:r>
              <w:rPr>
                <w:rFonts w:ascii="Arial" w:cs="Arial" w:eastAsia="Arial" w:hAnsi="Arial"/>
                <w:sz w:val="18"/>
                <w:szCs w:val="18"/>
                <w:b w:val="1"/>
                <w:bCs w:val="1"/>
                <w:color w:val="EB0029"/>
              </w:rPr>
              <w:t>PRELIMINARY PROSPECTUS</w:t>
            </w:r>
          </w:p>
        </w:tc>
        <w:tc>
          <w:tcPr>
            <w:tcW w:w="700" w:type="dxa"/>
            <w:vAlign w:val="bottom"/>
          </w:tcPr>
          <w:p>
            <w:pPr>
              <w:spacing w:after="0"/>
              <w:rPr>
                <w:sz w:val="20"/>
                <w:szCs w:val="20"/>
                <w:color w:val="auto"/>
              </w:rPr>
            </w:pPr>
          </w:p>
        </w:tc>
      </w:tr>
    </w:tbl>
    <w:p>
      <w:pPr>
        <w:spacing w:after="0" w:line="391"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178435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5200" w:type="dxa"/>
            <w:vAlign w:val="bottom"/>
            <w:gridSpan w:val="2"/>
          </w:tcPr>
          <w:p>
            <w:pPr>
              <w:ind w:left="3220"/>
              <w:spacing w:after="0"/>
              <w:rPr>
                <w:sz w:val="20"/>
                <w:szCs w:val="20"/>
                <w:color w:val="auto"/>
              </w:rPr>
            </w:pPr>
            <w:r>
              <w:rPr>
                <w:rFonts w:ascii="Arial" w:cs="Arial" w:eastAsia="Arial" w:hAnsi="Arial"/>
                <w:sz w:val="25"/>
                <w:szCs w:val="25"/>
                <w:b w:val="1"/>
                <w:bCs w:val="1"/>
                <w:color w:val="auto"/>
              </w:rPr>
              <w:t>Representing</w:t>
            </w:r>
          </w:p>
        </w:tc>
        <w:tc>
          <w:tcPr>
            <w:tcW w:w="4320" w:type="dxa"/>
            <w:vAlign w:val="bottom"/>
            <w:gridSpan w:val="3"/>
          </w:tcPr>
          <w:p>
            <w:pPr>
              <w:ind w:left="320"/>
              <w:spacing w:after="0"/>
              <w:rPr>
                <w:sz w:val="20"/>
                <w:szCs w:val="20"/>
                <w:color w:val="auto"/>
              </w:rPr>
            </w:pPr>
            <w:r>
              <w:rPr>
                <w:rFonts w:ascii="Arial" w:cs="Arial" w:eastAsia="Arial" w:hAnsi="Arial"/>
                <w:sz w:val="25"/>
                <w:szCs w:val="25"/>
                <w:b w:val="1"/>
                <w:bCs w:val="1"/>
                <w:color w:val="auto"/>
              </w:rPr>
              <w:t>Class A Ordinary Shares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28"/>
        </w:trPr>
        <w:tc>
          <w:tcPr>
            <w:tcW w:w="45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411"/>
        </w:trPr>
        <w:tc>
          <w:tcPr>
            <w:tcW w:w="7620" w:type="dxa"/>
            <w:vAlign w:val="bottom"/>
            <w:gridSpan w:val="4"/>
          </w:tcPr>
          <w:p>
            <w:pPr>
              <w:ind w:left="460"/>
              <w:spacing w:after="0"/>
              <w:rPr>
                <w:sz w:val="20"/>
                <w:szCs w:val="20"/>
                <w:color w:val="auto"/>
              </w:rPr>
            </w:pPr>
            <w:r>
              <w:rPr>
                <w:rFonts w:ascii="Arial" w:cs="Arial" w:eastAsia="Arial" w:hAnsi="Arial"/>
                <w:sz w:val="18"/>
                <w:szCs w:val="18"/>
                <w:color w:val="auto"/>
                <w:w w:val="97"/>
              </w:rPr>
              <w:t>This is the initial public offering of our American Depositary Shares, or ADSs. We are selling</w:t>
            </w:r>
          </w:p>
        </w:tc>
        <w:tc>
          <w:tcPr>
            <w:tcW w:w="3100" w:type="dxa"/>
            <w:vAlign w:val="bottom"/>
            <w:gridSpan w:val="2"/>
          </w:tcPr>
          <w:p>
            <w:pPr>
              <w:ind w:left="420"/>
              <w:spacing w:after="0"/>
              <w:rPr>
                <w:sz w:val="20"/>
                <w:szCs w:val="20"/>
                <w:color w:val="auto"/>
              </w:rPr>
            </w:pPr>
            <w:r>
              <w:rPr>
                <w:rFonts w:ascii="Arial" w:cs="Arial" w:eastAsia="Arial" w:hAnsi="Arial"/>
                <w:sz w:val="18"/>
                <w:szCs w:val="18"/>
                <w:color w:val="auto"/>
              </w:rPr>
              <w:t>ADSs. Each ADS represents</w:t>
            </w:r>
          </w:p>
        </w:tc>
        <w:tc>
          <w:tcPr>
            <w:tcW w:w="620" w:type="dxa"/>
            <w:vAlign w:val="bottom"/>
          </w:tcPr>
          <w:p>
            <w:pPr>
              <w:ind w:left="180"/>
              <w:spacing w:after="0"/>
              <w:rPr>
                <w:sz w:val="20"/>
                <w:szCs w:val="20"/>
                <w:color w:val="auto"/>
              </w:rPr>
            </w:pPr>
            <w:r>
              <w:rPr>
                <w:rFonts w:ascii="Arial" w:cs="Arial" w:eastAsia="Arial" w:hAnsi="Arial"/>
                <w:sz w:val="18"/>
                <w:szCs w:val="18"/>
                <w:color w:val="auto"/>
                <w:w w:val="91"/>
              </w:rPr>
              <w:t>of our</w:t>
            </w:r>
          </w:p>
        </w:tc>
      </w:tr>
      <w:tr>
        <w:trPr>
          <w:trHeight w:val="216"/>
        </w:trPr>
        <w:tc>
          <w:tcPr>
            <w:tcW w:w="9520" w:type="dxa"/>
            <w:vAlign w:val="bottom"/>
            <w:gridSpan w:val="5"/>
          </w:tcPr>
          <w:p>
            <w:pPr>
              <w:spacing w:after="0"/>
              <w:rPr>
                <w:sz w:val="20"/>
                <w:szCs w:val="20"/>
                <w:color w:val="auto"/>
              </w:rPr>
            </w:pPr>
            <w:r>
              <w:rPr>
                <w:rFonts w:ascii="Arial" w:cs="Arial" w:eastAsia="Arial" w:hAnsi="Arial"/>
                <w:sz w:val="18"/>
                <w:szCs w:val="18"/>
                <w:color w:val="auto"/>
                <w:w w:val="94"/>
              </w:rPr>
              <w:t>Class A ordinary shares, par value US$0.001 per share. We currently expect the initial public offering price to be between US$</w:t>
            </w:r>
          </w:p>
        </w:tc>
        <w:tc>
          <w:tcPr>
            <w:tcW w:w="1200" w:type="dxa"/>
            <w:vAlign w:val="bottom"/>
          </w:tcPr>
          <w:p>
            <w:pPr>
              <w:ind w:left="380"/>
              <w:spacing w:after="0"/>
              <w:rPr>
                <w:sz w:val="20"/>
                <w:szCs w:val="20"/>
                <w:color w:val="auto"/>
              </w:rPr>
            </w:pPr>
            <w:r>
              <w:rPr>
                <w:rFonts w:ascii="Arial" w:cs="Arial" w:eastAsia="Arial" w:hAnsi="Arial"/>
                <w:sz w:val="18"/>
                <w:szCs w:val="18"/>
                <w:color w:val="auto"/>
              </w:rPr>
              <w:t>and US$</w:t>
            </w:r>
          </w:p>
        </w:tc>
        <w:tc>
          <w:tcPr>
            <w:tcW w:w="620" w:type="dxa"/>
            <w:vAlign w:val="bottom"/>
          </w:tcPr>
          <w:p>
            <w:pPr>
              <w:spacing w:after="0"/>
              <w:rPr>
                <w:sz w:val="18"/>
                <w:szCs w:val="18"/>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per ADS.</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5200" w:type="dxa"/>
            <w:vAlign w:val="bottom"/>
            <w:gridSpan w:val="2"/>
          </w:tcPr>
          <w:p>
            <w:pPr>
              <w:ind w:left="460"/>
              <w:spacing w:after="0"/>
              <w:rPr>
                <w:sz w:val="20"/>
                <w:szCs w:val="20"/>
                <w:color w:val="auto"/>
              </w:rPr>
            </w:pPr>
            <w:r>
              <w:rPr>
                <w:rFonts w:ascii="Arial" w:cs="Arial" w:eastAsia="Arial" w:hAnsi="Arial"/>
                <w:sz w:val="18"/>
                <w:szCs w:val="18"/>
                <w:color w:val="auto"/>
                <w:w w:val="95"/>
              </w:rPr>
              <w:t>We have granted the underwriters an option to purchase up to</w:t>
            </w:r>
          </w:p>
        </w:tc>
        <w:tc>
          <w:tcPr>
            <w:tcW w:w="4320" w:type="dxa"/>
            <w:vAlign w:val="bottom"/>
            <w:gridSpan w:val="3"/>
          </w:tcPr>
          <w:p>
            <w:pPr>
              <w:ind w:left="500"/>
              <w:spacing w:after="0"/>
              <w:rPr>
                <w:sz w:val="20"/>
                <w:szCs w:val="20"/>
                <w:color w:val="auto"/>
              </w:rPr>
            </w:pPr>
            <w:r>
              <w:rPr>
                <w:rFonts w:ascii="Arial" w:cs="Arial" w:eastAsia="Arial" w:hAnsi="Arial"/>
                <w:sz w:val="18"/>
                <w:szCs w:val="18"/>
                <w:color w:val="auto"/>
              </w:rPr>
              <w:t>additional ADSs to cover over-allotments.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ADSs or our ordinary shares. We will apply to have the ADSs listed on the NASDAQ Global Market under the symbol “ICLK”</w:t>
      </w:r>
    </w:p>
    <w:p>
      <w:pPr>
        <w:spacing w:after="0" w:line="17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w:t>
      </w:r>
    </w:p>
    <w:p>
      <w:pPr>
        <w:spacing w:after="0" w:line="15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ADSs involves risks. See “</w:t>
      </w:r>
      <w:hyperlink w:anchor="page2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18.</w:t>
      </w:r>
    </w:p>
    <w:p>
      <w:pPr>
        <w:spacing w:after="0" w:line="215"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Public</w:t>
            </w:r>
          </w:p>
        </w:tc>
        <w:tc>
          <w:tcPr>
            <w:tcW w:w="100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Underwriting</w:t>
            </w:r>
          </w:p>
        </w:tc>
        <w:tc>
          <w:tcPr>
            <w:tcW w:w="14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Proceeds</w:t>
            </w:r>
          </w:p>
        </w:tc>
      </w:tr>
      <w:tr>
        <w:trPr>
          <w:trHeight w:val="149"/>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2720" w:type="dxa"/>
            <w:vAlign w:val="bottom"/>
            <w:gridSpan w:val="3"/>
          </w:tcPr>
          <w:p>
            <w:pPr>
              <w:ind w:left="1000"/>
              <w:spacing w:after="0" w:line="149" w:lineRule="exact"/>
              <w:rPr>
                <w:sz w:val="20"/>
                <w:szCs w:val="20"/>
                <w:color w:val="auto"/>
              </w:rPr>
            </w:pPr>
            <w:r>
              <w:rPr>
                <w:rFonts w:ascii="Arial" w:cs="Arial" w:eastAsia="Arial" w:hAnsi="Arial"/>
                <w:sz w:val="14"/>
                <w:szCs w:val="14"/>
                <w:b w:val="1"/>
                <w:bCs w:val="1"/>
                <w:color w:val="auto"/>
              </w:rPr>
              <w:t>Discounts and</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before</w:t>
            </w:r>
          </w:p>
        </w:tc>
      </w:tr>
      <w:tr>
        <w:trPr>
          <w:trHeight w:val="171"/>
        </w:trPr>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Commissions</w:t>
            </w:r>
          </w:p>
        </w:tc>
        <w:tc>
          <w:tcPr>
            <w:tcW w:w="14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expenses</w:t>
            </w:r>
          </w:p>
        </w:tc>
      </w:tr>
      <w:tr>
        <w:trPr>
          <w:trHeight w:val="210"/>
        </w:trPr>
        <w:tc>
          <w:tcPr>
            <w:tcW w:w="92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1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ind w:left="1700"/>
              <w:spacing w:after="0"/>
              <w:rPr>
                <w:sz w:val="20"/>
                <w:szCs w:val="20"/>
                <w:color w:val="auto"/>
              </w:rPr>
            </w:pPr>
            <w:r>
              <w:rPr>
                <w:rFonts w:ascii="Arial" w:cs="Arial" w:eastAsia="Arial" w:hAnsi="Arial"/>
                <w:sz w:val="18"/>
                <w:szCs w:val="18"/>
                <w:color w:val="auto"/>
              </w:rPr>
              <w:t>US$</w:t>
            </w:r>
          </w:p>
        </w:tc>
        <w:tc>
          <w:tcPr>
            <w:tcW w:w="2720" w:type="dxa"/>
            <w:vAlign w:val="bottom"/>
            <w:gridSpan w:val="3"/>
          </w:tcPr>
          <w:p>
            <w:pPr>
              <w:ind w:left="980"/>
              <w:spacing w:after="0"/>
              <w:rPr>
                <w:sz w:val="20"/>
                <w:szCs w:val="20"/>
                <w:color w:val="auto"/>
              </w:rPr>
            </w:pPr>
            <w:r>
              <w:rPr>
                <w:rFonts w:ascii="Arial" w:cs="Arial" w:eastAsia="Arial" w:hAnsi="Arial"/>
                <w:sz w:val="18"/>
                <w:szCs w:val="18"/>
                <w:color w:val="auto"/>
              </w:rPr>
              <w:t>US$</w:t>
            </w:r>
          </w:p>
        </w:tc>
        <w:tc>
          <w:tcPr>
            <w:tcW w:w="1060" w:type="dxa"/>
            <w:vAlign w:val="bottom"/>
            <w:gridSpan w:val="3"/>
          </w:tcPr>
          <w:p>
            <w:pPr>
              <w:jc w:val="right"/>
              <w:ind w:right="600"/>
              <w:spacing w:after="0"/>
              <w:rPr>
                <w:sz w:val="20"/>
                <w:szCs w:val="20"/>
                <w:color w:val="auto"/>
              </w:rPr>
            </w:pPr>
            <w:r>
              <w:rPr>
                <w:rFonts w:ascii="Arial" w:cs="Arial" w:eastAsia="Arial" w:hAnsi="Arial"/>
                <w:sz w:val="18"/>
                <w:szCs w:val="18"/>
                <w:color w:val="auto"/>
              </w:rPr>
              <w:t>US$</w:t>
            </w:r>
          </w:p>
        </w:tc>
      </w:tr>
      <w:tr>
        <w:trPr>
          <w:trHeight w:val="418"/>
        </w:trPr>
        <w:tc>
          <w:tcPr>
            <w:tcW w:w="5820" w:type="dxa"/>
            <w:vAlign w:val="bottom"/>
            <w:gridSpan w:val="4"/>
          </w:tcPr>
          <w:p>
            <w:pPr>
              <w:spacing w:after="0"/>
              <w:rPr>
                <w:sz w:val="20"/>
                <w:szCs w:val="20"/>
                <w:color w:val="auto"/>
              </w:rPr>
            </w:pPr>
            <w:r>
              <w:rPr>
                <w:rFonts w:ascii="Arial" w:cs="Arial" w:eastAsia="Arial" w:hAnsi="Arial"/>
                <w:sz w:val="18"/>
                <w:szCs w:val="18"/>
                <w:color w:val="auto"/>
                <w:w w:val="97"/>
              </w:rPr>
              <w:t>We have granted the underwriters the right to purchase up to an additional</w:t>
            </w:r>
          </w:p>
        </w:tc>
        <w:tc>
          <w:tcPr>
            <w:tcW w:w="2720" w:type="dxa"/>
            <w:vAlign w:val="bottom"/>
            <w:gridSpan w:val="3"/>
          </w:tcPr>
          <w:p>
            <w:pPr>
              <w:ind w:left="320"/>
              <w:spacing w:after="0"/>
              <w:rPr>
                <w:sz w:val="20"/>
                <w:szCs w:val="20"/>
                <w:color w:val="auto"/>
              </w:rPr>
            </w:pPr>
            <w:r>
              <w:rPr>
                <w:rFonts w:ascii="Arial" w:cs="Arial" w:eastAsia="Arial" w:hAnsi="Arial"/>
                <w:sz w:val="18"/>
                <w:szCs w:val="18"/>
                <w:color w:val="auto"/>
                <w:w w:val="95"/>
              </w:rPr>
              <w:t>ADSs to cover over-allotments.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Subject to the approval of our existing shareholders, 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 beneficially own all of our issued Class B ordinary shares. These Class B ordinary shares will constitute</w:t>
      </w:r>
    </w:p>
    <w:p>
      <w:pPr>
        <w:spacing w:after="0" w:line="269" w:lineRule="auto"/>
        <w:rPr>
          <w:sz w:val="20"/>
          <w:szCs w:val="20"/>
          <w:color w:val="auto"/>
        </w:rPr>
      </w:pPr>
      <w:r>
        <w:rPr>
          <w:rFonts w:ascii="Arial" w:cs="Arial" w:eastAsia="Arial" w:hAnsi="Arial"/>
          <w:sz w:val="17"/>
          <w:szCs w:val="17"/>
          <w:color w:val="auto"/>
        </w:rPr>
        <w:t>approximately % of our total issued and outstanding share capital immediately after the completion of this offering and % of the aggregate voting power of our total issued and outstanding share capital immediately after the completion of this offering, assuming the underwriters do not exercise their over-allotment option.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7"/>
              </w:rPr>
              <w:t>The underwriters expect to deliver the ADSs to purchasers on or about</w:t>
            </w:r>
          </w:p>
        </w:tc>
        <w:tc>
          <w:tcPr>
            <w:tcW w:w="86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380"/>
        <w:spacing w:after="0"/>
        <w:tabs>
          <w:tab w:leader="none" w:pos="1012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245745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9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2017</w:t>
      </w:r>
    </w:p>
    <w:p>
      <w:pPr>
        <w:sectPr>
          <w:pgSz w:w="11900" w:h="16838" w:orient="portrait"/>
          <w:cols w:equalWidth="0" w:num="1">
            <w:col w:w="11420"/>
          </w:cols>
          <w:pgMar w:left="240" w:top="459" w:right="239" w:bottom="946"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6757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8585" cy="67576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520" w:type="dxa"/>
            <w:vAlign w:val="bottom"/>
            <w:gridSpan w:val="6"/>
            <w:vMerge w:val="restart"/>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3560" w:type="dxa"/>
            <w:vAlign w:val="bottom"/>
            <w:gridSpan w:val="8"/>
            <w:vMerge w:val="restart"/>
          </w:tcPr>
          <w:p>
            <w:pPr>
              <w:spacing w:after="0"/>
              <w:rPr>
                <w:sz w:val="14"/>
                <w:szCs w:val="14"/>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640" w:type="dxa"/>
            <w:vAlign w:val="bottom"/>
            <w:gridSpan w:val="3"/>
            <w:vMerge w:val="restart"/>
          </w:tcPr>
          <w:p>
            <w:pPr>
              <w:spacing w:after="0"/>
              <w:rPr>
                <w:rFonts w:ascii="Arial" w:cs="Arial" w:eastAsia="Arial" w:hAnsi="Arial"/>
                <w:sz w:val="18"/>
                <w:szCs w:val="18"/>
                <w:color w:val="0000EE"/>
                <w:w w:val="84"/>
              </w:rPr>
            </w:pPr>
            <w:hyperlink w:anchor="page132">
              <w:r>
                <w:rPr>
                  <w:rFonts w:ascii="Arial" w:cs="Arial" w:eastAsia="Arial" w:hAnsi="Arial"/>
                  <w:sz w:val="18"/>
                  <w:szCs w:val="18"/>
                  <w:color w:val="0000EE"/>
                  <w:w w:val="84"/>
                </w:rPr>
                <w:t>Business</w:t>
              </w:r>
            </w:hyperlink>
          </w:p>
        </w:tc>
        <w:tc>
          <w:tcPr>
            <w:tcW w:w="4440" w:type="dxa"/>
            <w:vAlign w:val="bottom"/>
            <w:gridSpan w:val="11"/>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6"/>
            <w:vMerge w:val="continue"/>
          </w:tcPr>
          <w:p>
            <w:pPr>
              <w:spacing w:after="0"/>
              <w:rPr>
                <w:sz w:val="14"/>
                <w:szCs w:val="14"/>
                <w:color w:val="auto"/>
              </w:rPr>
            </w:pPr>
          </w:p>
        </w:tc>
        <w:tc>
          <w:tcPr>
            <w:tcW w:w="356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4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4180" w:type="dxa"/>
            <w:vAlign w:val="bottom"/>
            <w:gridSpan w:val="11"/>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18</w:t>
            </w:r>
          </w:p>
        </w:tc>
        <w:tc>
          <w:tcPr>
            <w:tcW w:w="5080" w:type="dxa"/>
            <w:vAlign w:val="bottom"/>
            <w:gridSpan w:val="1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Regulation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Special Note Regarding Forward-Looking Statements and</w:t>
              </w:r>
            </w:hyperlink>
          </w:p>
        </w:tc>
        <w:tc>
          <w:tcPr>
            <w:tcW w:w="9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61">
              <w:r>
                <w:rPr>
                  <w:rFonts w:ascii="Arial" w:cs="Arial" w:eastAsia="Arial" w:hAnsi="Arial"/>
                  <w:sz w:val="18"/>
                  <w:szCs w:val="18"/>
                  <w:color w:val="0000EE"/>
                  <w:w w:val="87"/>
                </w:rPr>
                <w:t>Management</w:t>
              </w:r>
            </w:hyperlink>
          </w:p>
        </w:tc>
        <w:tc>
          <w:tcPr>
            <w:tcW w:w="4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Industry Data</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62</w:t>
            </w:r>
          </w:p>
        </w:tc>
        <w:tc>
          <w:tcPr>
            <w:tcW w:w="5080" w:type="dxa"/>
            <w:vAlign w:val="bottom"/>
            <w:gridSpan w:val="14"/>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Principal Shareholders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Use of Proceeds</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63</w:t>
            </w:r>
          </w:p>
        </w:tc>
        <w:tc>
          <w:tcPr>
            <w:tcW w:w="5080" w:type="dxa"/>
            <w:vAlign w:val="bottom"/>
            <w:gridSpan w:val="14"/>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Policy</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64</w:t>
            </w:r>
          </w:p>
        </w:tc>
        <w:tc>
          <w:tcPr>
            <w:tcW w:w="5080" w:type="dxa"/>
            <w:vAlign w:val="bottom"/>
            <w:gridSpan w:val="14"/>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Description of Share Capital</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Capitalization</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65</w:t>
            </w:r>
          </w:p>
        </w:tc>
        <w:tc>
          <w:tcPr>
            <w:tcW w:w="5080" w:type="dxa"/>
            <w:vAlign w:val="bottom"/>
            <w:gridSpan w:val="14"/>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Description of American Depositary Shares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4080" w:type="dxa"/>
            <w:vAlign w:val="bottom"/>
            <w:gridSpan w:val="10"/>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67</w:t>
            </w:r>
          </w:p>
        </w:tc>
        <w:tc>
          <w:tcPr>
            <w:tcW w:w="2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200">
              <w:r>
                <w:rPr>
                  <w:rFonts w:ascii="Arial" w:cs="Arial" w:eastAsia="Arial" w:hAnsi="Arial"/>
                  <w:sz w:val="18"/>
                  <w:szCs w:val="18"/>
                  <w:color w:val="0000EE"/>
                  <w:w w:val="90"/>
                </w:rPr>
                <w:t>Shares Eligible for Future Sale</w:t>
              </w:r>
            </w:hyperlink>
          </w:p>
        </w:tc>
        <w:tc>
          <w:tcPr>
            <w:tcW w:w="920" w:type="dxa"/>
            <w:vAlign w:val="bottom"/>
            <w:tcBorders>
              <w:top w:val="single" w:sz="8" w:color="0000EE"/>
            </w:tcBorders>
            <w:gridSpan w:val="2"/>
          </w:tcPr>
          <w:p>
            <w:pPr>
              <w:spacing w:after="0"/>
              <w:rPr>
                <w:sz w:val="17"/>
                <w:szCs w:val="17"/>
                <w:color w:val="auto"/>
              </w:rPr>
            </w:pPr>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Exchange Rate Information</w:t>
              </w:r>
            </w:hyperlink>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69</w:t>
            </w:r>
          </w:p>
        </w:tc>
        <w:tc>
          <w:tcPr>
            <w:tcW w:w="5080" w:type="dxa"/>
            <w:vAlign w:val="bottom"/>
            <w:gridSpan w:val="1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Taxation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Enforceability of Civil Liabilities</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70</w:t>
            </w:r>
          </w:p>
        </w:tc>
        <w:tc>
          <w:tcPr>
            <w:tcW w:w="5080" w:type="dxa"/>
            <w:vAlign w:val="bottom"/>
            <w:gridSpan w:val="14"/>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Corporate History and Structure</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72</w:t>
            </w:r>
          </w:p>
        </w:tc>
        <w:tc>
          <w:tcPr>
            <w:tcW w:w="5080" w:type="dxa"/>
            <w:vAlign w:val="bottom"/>
            <w:gridSpan w:val="14"/>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Expenses Relating to This Offering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Selected Consolidated Financial and Other Data</w:t>
              </w:r>
            </w:hyperlink>
          </w:p>
        </w:tc>
        <w:tc>
          <w:tcPr>
            <w:tcW w:w="1620" w:type="dxa"/>
            <w:vAlign w:val="bottom"/>
            <w:gridSpan w:val="3"/>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78</w:t>
            </w: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19">
              <w:r>
                <w:rPr>
                  <w:rFonts w:ascii="Arial" w:cs="Arial" w:eastAsia="Arial" w:hAnsi="Arial"/>
                  <w:sz w:val="18"/>
                  <w:szCs w:val="18"/>
                  <w:color w:val="0000EE"/>
                  <w:w w:val="89"/>
                </w:rPr>
                <w:t>Legal Matters</w:t>
              </w:r>
            </w:hyperlink>
          </w:p>
        </w:tc>
        <w:tc>
          <w:tcPr>
            <w:tcW w:w="40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4"/>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and Results of Operations</w:t>
              </w:r>
            </w:hyperlink>
          </w:p>
        </w:tc>
        <w:tc>
          <w:tcPr>
            <w:tcW w:w="25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80</w:t>
            </w:r>
          </w:p>
        </w:tc>
        <w:tc>
          <w:tcPr>
            <w:tcW w:w="32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21">
              <w:r>
                <w:rPr>
                  <w:rFonts w:ascii="Arial" w:cs="Arial" w:eastAsia="Arial" w:hAnsi="Arial"/>
                  <w:sz w:val="18"/>
                  <w:szCs w:val="18"/>
                  <w:color w:val="0000EE"/>
                  <w:w w:val="92"/>
                </w:rPr>
                <w:t>Where You Can Find Additional Information</w:t>
              </w:r>
            </w:hyperlink>
          </w:p>
        </w:tc>
        <w:tc>
          <w:tcPr>
            <w:tcW w:w="18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216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Industry</w:t>
              </w:r>
            </w:hyperlink>
          </w:p>
        </w:tc>
        <w:tc>
          <w:tcPr>
            <w:tcW w:w="4480" w:type="dxa"/>
            <w:vAlign w:val="bottom"/>
            <w:gridSpan w:val="12"/>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w w:val="99"/>
              </w:rPr>
              <w:t>121</w:t>
            </w:r>
          </w:p>
        </w:tc>
        <w:tc>
          <w:tcPr>
            <w:tcW w:w="31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Index to Consolidated Financial Statements</w:t>
              </w:r>
            </w:hyperlink>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6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41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dated August, 2017 entitled “China Online Marketing Market Independent Market Research” commissioned by us and prepared by Frost &amp; Sullivan, an independent market research firm, to provide information on the online marketing market in China.</w:t>
      </w: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continous basis, typically include information on a user’s attributes, such as his or her demographics, geographic location, device preference, spending history, personal interest and other online or offline behavioral pattern. In the 30 days leading up to August 31, 2017, we analyzed approximately 665.4 million active profiled users with 19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platform appeals to marketers by offering omni-channel reach to the Chinese audience. We provide our customers one-stop access to a wide variety of cross-channel content distribution opportunities, including those from leading online publishers in China. 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August 31, 2017, we covered approximately 74,000 mobile apps and 2.3 million websites. We work closely with our content distribution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60"/>
        <w:spacing w:after="0" w:line="264" w:lineRule="auto"/>
        <w:rPr>
          <w:sz w:val="20"/>
          <w:szCs w:val="20"/>
          <w:color w:val="auto"/>
        </w:rPr>
      </w:pPr>
      <w:r>
        <w:rPr>
          <w:rFonts w:ascii="Arial" w:cs="Arial" w:eastAsia="Arial" w:hAnsi="Arial"/>
          <w:sz w:val="18"/>
          <w:szCs w:val="18"/>
          <w:color w:val="auto"/>
        </w:rPr>
        <w:t>partners to facilitate innovative and effective audience engagement. In 2016, our gross billing from mobile audience solutions and other solutions amounted to US$112.4 million and US$123.9 million, respectively. In the six months ended June 30, 2017, our gross billing from mobile audience solutions and other solutions amounted to US$63.0 million and US$40.4 million, respectively.</w:t>
      </w:r>
    </w:p>
    <w:p>
      <w:pPr>
        <w:spacing w:after="0" w:line="18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take a flexible approach to the delivery model of our solutions in order to cater to the preferences, levels of internal resources and sophistication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7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and six months ended June 30, 2017, respectively, as well as small and medium-sized enterprises, and from different geographic regions in and outside China. We derived over 70% of our gross billing from direct marketer customers in 2015 and 2016 and over 60% of our gross billing from direct marketer customers in the six months ended June 30, 2017.</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generate revenues primarily from customers’ marketing spend through our platform as they utilize our solutions under our non-sales agency model, and to a lesser extent from incentives or rebates granted by certain publishers. Our gross billing grew by 32.5% from US$178.2 million in 2015 to US$236.3 million in 2016. Our gross billings decreased by 12.9% from US$118.7 million in the six months ended June 30, 2016 to US$103.4 million in the same period in 2017 due to a decrease in gross billing from other solutions as we terminated relationship with certain customers of other solutions in the first half of 2017 as part of our efforts to optimize the customer base for other solutions to focus on profitability and liquidity. Our net revenues grew by 46.2% from US$65.2 million in 2015 to US$95.4 million in 2016 and by 23.1% from US$45.3 million in the six months ended June 30, 2016 to US$55.7 million in the same period in 2017. Our net loss amounted to US$39.7 million, US$27.3 million and US$22.2 million in 2015, 2016 and the six months ended June 30, 2017,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6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78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have smaller marketing departments, thereby creating opportunities for independent online marketing technology companies like us to provide value added service.</w:t>
      </w:r>
    </w:p>
    <w:p>
      <w:pPr>
        <w:spacing w:after="0" w:line="170"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131" w:lineRule="exact"/>
        <w:rPr>
          <w:sz w:val="20"/>
          <w:szCs w:val="20"/>
          <w:color w:val="auto"/>
        </w:rPr>
      </w:pPr>
    </w:p>
    <w:p>
      <w:pPr>
        <w:ind w:left="1060" w:right="80" w:hanging="323"/>
        <w:spacing w:after="0" w:line="276"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independent online marketing technology platform in China with a highly scalable and flexible business model. </w:t>
      </w:r>
      <w:r>
        <w:rPr>
          <w:rFonts w:ascii="Arial" w:cs="Arial" w:eastAsia="Arial" w:hAnsi="Arial"/>
          <w:sz w:val="17"/>
          <w:szCs w:val="17"/>
          <w:color w:val="auto"/>
        </w:rPr>
        <w:t>We were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independent online marketing technology platform in China in terms of gross billing in 2016, according to Frost &amp; Sullivan. Our gross billing reached US$236.3 million and US$103.4 million in 2016 and the six months ended June 30, 2017, leading to net revenues of US$95.4 million and US$55.7 million during these periods. We are also one of the first independent online marketing technology platforms in China to apply a data-driven approach to address marketers’ needs.</w:t>
      </w:r>
    </w:p>
    <w:p>
      <w:pPr>
        <w:spacing w:after="0" w:line="77" w:lineRule="exact"/>
        <w:rPr>
          <w:rFonts w:ascii="Arial" w:cs="Arial" w:eastAsia="Arial" w:hAnsi="Arial"/>
          <w:sz w:val="17"/>
          <w:szCs w:val="17"/>
          <w:color w:val="auto"/>
        </w:rPr>
      </w:pPr>
    </w:p>
    <w:p>
      <w:pPr>
        <w:ind w:left="1060" w:right="120" w:hanging="323"/>
        <w:spacing w:after="0" w:line="30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Largest independent Chinese consumer data set with omni-channel, targeted audience reach. </w:t>
      </w:r>
      <w:r>
        <w:rPr>
          <w:rFonts w:ascii="Arial" w:cs="Arial" w:eastAsia="Arial" w:hAnsi="Arial"/>
          <w:sz w:val="16"/>
          <w:szCs w:val="16"/>
          <w:color w:val="auto"/>
        </w:rPr>
        <w:t>We had the largest Chinese consumer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 in terms of number of active profiled users in 2016 among independent online marketing technology companies in China, according to Frost &amp; Sullivan. In the 30 days leading up to August 31, 2017, we analyzed data of approximately 665.4 million active profiled users. The average daily volume of the data we collected reached 1.1 terabytes in the 30 days leading up to August 31, 2017.</w:t>
      </w:r>
    </w:p>
    <w:p>
      <w:pPr>
        <w:spacing w:after="0" w:line="59" w:lineRule="exact"/>
        <w:rPr>
          <w:rFonts w:ascii="Arial" w:cs="Arial" w:eastAsia="Arial" w:hAnsi="Arial"/>
          <w:sz w:val="16"/>
          <w:szCs w:val="16"/>
          <w:color w:val="auto"/>
        </w:rPr>
      </w:pPr>
    </w:p>
    <w:p>
      <w:pPr>
        <w:ind w:left="1060" w:right="20" w:hanging="323"/>
        <w:spacing w:after="0" w:line="297"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sophisticated and automated platform powered by proprietary, cutting-edge technologies. </w:t>
      </w:r>
      <w:r>
        <w:rPr>
          <w:rFonts w:ascii="Arial" w:cs="Arial" w:eastAsia="Arial" w:hAnsi="Arial"/>
          <w:sz w:val="16"/>
          <w:szCs w:val="16"/>
          <w:color w:val="auto"/>
        </w:rPr>
        <w:t>Our automated online marketing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63" w:lineRule="exact"/>
        <w:rPr>
          <w:rFonts w:ascii="Arial" w:cs="Arial" w:eastAsia="Arial" w:hAnsi="Arial"/>
          <w:sz w:val="16"/>
          <w:szCs w:val="16"/>
          <w:color w:val="auto"/>
        </w:rPr>
      </w:pPr>
    </w:p>
    <w:p>
      <w:pPr>
        <w:ind w:left="1060" w:hanging="323"/>
        <w:spacing w:after="0" w:line="273"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diverse and loyal customer base. </w:t>
      </w:r>
      <w:r>
        <w:rPr>
          <w:rFonts w:ascii="Arial" w:cs="Arial" w:eastAsia="Arial" w:hAnsi="Arial"/>
          <w:sz w:val="17"/>
          <w:szCs w:val="17"/>
          <w:color w:val="auto"/>
        </w:rPr>
        <w:t>We have a strong and diverse customer base from a broad range of industry verticals,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banking and finance, entertainment and media, and E-commerce. Our customers included over 150 multinational companies in 2016 and the six months ended June 30, 2017, respectively, making us the No.1 independent online marketing technology platform bridging the largest number of multinational companies to the Chinese market, according to Frost &amp; Sullivan. Our diverse customer base also includes small and medium-sized enterprises. We provide tailored and user-friendly solutions to cater to customers and marketers of different levels of sophistication and from different industry verticals.</w:t>
      </w:r>
    </w:p>
    <w:p>
      <w:pPr>
        <w:spacing w:after="0" w:line="83" w:lineRule="exact"/>
        <w:rPr>
          <w:rFonts w:ascii="Arial" w:cs="Arial" w:eastAsia="Arial" w:hAnsi="Arial"/>
          <w:sz w:val="17"/>
          <w:szCs w:val="17"/>
          <w:color w:val="auto"/>
        </w:rPr>
      </w:pPr>
    </w:p>
    <w:p>
      <w:pPr>
        <w:ind w:left="1060" w:right="160" w:hanging="323"/>
        <w:spacing w:after="0" w:line="31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Deep knowledge and familiarity with China’s online marketing industry. </w:t>
      </w:r>
      <w:r>
        <w:rPr>
          <w:rFonts w:ascii="Arial" w:cs="Arial" w:eastAsia="Arial" w:hAnsi="Arial"/>
          <w:sz w:val="16"/>
          <w:szCs w:val="16"/>
          <w:color w:val="auto"/>
        </w:rPr>
        <w:t>We provide marketers with one-stop access to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00"/>
        <w:spacing w:after="0" w:line="264" w:lineRule="auto"/>
        <w:rPr>
          <w:sz w:val="20"/>
          <w:szCs w:val="20"/>
          <w:color w:val="auto"/>
        </w:rPr>
      </w:pPr>
      <w:r>
        <w:rPr>
          <w:rFonts w:ascii="Arial" w:cs="Arial" w:eastAsia="Arial" w:hAnsi="Arial"/>
          <w:sz w:val="18"/>
          <w:szCs w:val="18"/>
          <w:color w:val="auto"/>
        </w:rPr>
        <w:t>cooperation with leading online channels covering approximately 74,000 mobile apps and 2.3 million websites in the 30 days leading up to August 31, 2017, to help marketers, especially multinational marketers, navigate through the fragmented landscapes to identify and reach their potential customers.</w:t>
      </w:r>
    </w:p>
    <w:p>
      <w:pPr>
        <w:spacing w:after="0" w:line="87" w:lineRule="exact"/>
        <w:rPr>
          <w:sz w:val="20"/>
          <w:szCs w:val="20"/>
          <w:color w:val="auto"/>
        </w:rPr>
      </w:pPr>
    </w:p>
    <w:p>
      <w:pPr>
        <w:ind w:left="1060" w:hanging="323"/>
        <w:spacing w:after="0" w:line="25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leadership with proven track record of organic growth and acquisition execution. </w:t>
      </w:r>
      <w:r>
        <w:rPr>
          <w:rFonts w:ascii="Arial" w:cs="Arial" w:eastAsia="Arial" w:hAnsi="Arial"/>
          <w:sz w:val="18"/>
          <w:szCs w:val="18"/>
          <w:color w:val="auto"/>
        </w:rPr>
        <w:t>Our success is attributable to the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131" w:lineRule="exact"/>
        <w:rPr>
          <w:sz w:val="20"/>
          <w:szCs w:val="20"/>
          <w:color w:val="auto"/>
        </w:rPr>
      </w:pPr>
    </w:p>
    <w:p>
      <w:pPr>
        <w:jc w:val="both"/>
        <w:ind w:left="1060" w:right="80" w:hanging="323"/>
        <w:spacing w:after="0" w:line="31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diversify our customer base. </w:t>
      </w:r>
      <w:r>
        <w:rPr>
          <w:rFonts w:ascii="Arial" w:cs="Arial" w:eastAsia="Arial" w:hAnsi="Arial"/>
          <w:sz w:val="16"/>
          <w:szCs w:val="16"/>
          <w:color w:val="auto"/>
        </w:rPr>
        <w:t>We plan to continue to optimize and diversify our customer base, including attracting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our self-service model and mobile audience solutions, and customers from additional industry verticals and geographic markets, through developing and offering more tailored and user-friendly solutions and services and targeted sales and marketing efforts.</w:t>
      </w:r>
    </w:p>
    <w:p>
      <w:pPr>
        <w:spacing w:after="0" w:line="52" w:lineRule="exact"/>
        <w:rPr>
          <w:rFonts w:ascii="Arial" w:cs="Arial" w:eastAsia="Arial" w:hAnsi="Arial"/>
          <w:sz w:val="16"/>
          <w:szCs w:val="16"/>
          <w:color w:val="auto"/>
        </w:rPr>
      </w:pPr>
    </w:p>
    <w:p>
      <w:pPr>
        <w:ind w:left="1060" w:right="100" w:hanging="323"/>
        <w:spacing w:after="0" w:line="25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customer marketing spend on our platform. </w:t>
      </w:r>
      <w:r>
        <w:rPr>
          <w:rFonts w:ascii="Arial" w:cs="Arial" w:eastAsia="Arial" w:hAnsi="Arial"/>
          <w:sz w:val="18"/>
          <w:szCs w:val="18"/>
          <w:color w:val="auto"/>
        </w:rPr>
        <w:t>We intend to offer new features and enhanced functionalities on our platform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more effective and comprehensive solutions, especially mobile audience solutions. In addition, we are working on new partnership initiatives, which would make third-party applications available to our customers through our platform directly, further enhancing customer experience and hence increasing the stickiness of our platform. We also intend to explore innovative audience engagement formats across multiple channels, in particular on mobile apps.</w:t>
      </w:r>
    </w:p>
    <w:p>
      <w:pPr>
        <w:spacing w:after="0" w:line="93" w:lineRule="exact"/>
        <w:rPr>
          <w:rFonts w:ascii="Arial" w:cs="Arial" w:eastAsia="Arial" w:hAnsi="Arial"/>
          <w:sz w:val="18"/>
          <w:szCs w:val="18"/>
          <w:color w:val="auto"/>
        </w:rPr>
      </w:pPr>
    </w:p>
    <w:p>
      <w:pPr>
        <w:ind w:left="1060" w:hanging="323"/>
        <w:spacing w:after="0" w:line="27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enlarge audience data set, strengthen data analytics capabilities and innovate technologies. </w:t>
      </w:r>
      <w:r>
        <w:rPr>
          <w:rFonts w:ascii="Arial" w:cs="Arial" w:eastAsia="Arial" w:hAnsi="Arial"/>
          <w:sz w:val="17"/>
          <w:szCs w:val="17"/>
          <w:color w:val="auto"/>
        </w:rPr>
        <w:t>We will continue to collaborate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customers, publishers and other third-party partners to increase the dimensions and varieties of our data assets. We also plan to continue investing in data science technologies, including refreshing and upgrading data modeling and segmentation technologies to meet customer demands in different market segments and industry verticals. In addition, we plan to upgrade our technical infrastructure to support our growing data set and data analytics capabilities as we continue to expand.</w:t>
      </w:r>
    </w:p>
    <w:p>
      <w:pPr>
        <w:spacing w:after="0" w:line="77" w:lineRule="exact"/>
        <w:rPr>
          <w:rFonts w:ascii="Arial" w:cs="Arial" w:eastAsia="Arial" w:hAnsi="Arial"/>
          <w:sz w:val="17"/>
          <w:szCs w:val="17"/>
          <w:color w:val="auto"/>
        </w:rPr>
      </w:pPr>
    </w:p>
    <w:p>
      <w:pPr>
        <w:jc w:val="both"/>
        <w:ind w:left="1060" w:right="18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Extend data application across more aspects in online marketing and beyond. </w:t>
      </w:r>
      <w:r>
        <w:rPr>
          <w:rFonts w:ascii="Arial" w:cs="Arial" w:eastAsia="Arial" w:hAnsi="Arial"/>
          <w:sz w:val="17"/>
          <w:szCs w:val="17"/>
          <w:color w:val="auto"/>
        </w:rPr>
        <w:t>We intend to broaden our solution offerings across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76" w:lineRule="exact"/>
        <w:rPr>
          <w:rFonts w:ascii="Arial" w:cs="Arial" w:eastAsia="Arial" w:hAnsi="Arial"/>
          <w:sz w:val="17"/>
          <w:szCs w:val="17"/>
          <w:color w:val="auto"/>
        </w:rPr>
      </w:pPr>
    </w:p>
    <w:p>
      <w:pPr>
        <w:ind w:left="106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alliance and acquisition opportunities. </w:t>
      </w:r>
      <w:r>
        <w:rPr>
          <w:rFonts w:ascii="Arial" w:cs="Arial" w:eastAsia="Arial" w:hAnsi="Arial"/>
          <w:sz w:val="18"/>
          <w:szCs w:val="18"/>
          <w:color w:val="auto"/>
        </w:rPr>
        <w:t>We plan to continue to explore investment, acquisition and business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and will consider opportunities that complement or enhance our existing operations and are strategically beneficial to our long-term goals.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 existing customers;</w:t>
      </w:r>
    </w:p>
    <w:p>
      <w:pPr>
        <w:spacing w:after="0" w:line="130" w:lineRule="exact"/>
        <w:rPr>
          <w:rFonts w:ascii="Arial" w:cs="Arial" w:eastAsia="Arial" w:hAnsi="Arial"/>
          <w:sz w:val="18"/>
          <w:szCs w:val="18"/>
          <w:color w:val="auto"/>
        </w:rPr>
      </w:pPr>
    </w:p>
    <w:p>
      <w:pPr>
        <w:ind w:left="1060" w:right="48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 new customers and further diversify our customer base, including more customers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95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30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51" w:lineRule="exact"/>
        <w:rPr>
          <w:rFonts w:ascii="Arial" w:cs="Arial" w:eastAsia="Arial" w:hAnsi="Arial"/>
          <w:sz w:val="17"/>
          <w:szCs w:val="17"/>
          <w:color w:val="auto"/>
        </w:rPr>
      </w:pPr>
    </w:p>
    <w:p>
      <w:pPr>
        <w:ind w:left="1060" w:right="50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we scale up;</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continue to rely on the contractual arrangements that establish the structure for certain of our operations in China;</w:t>
      </w:r>
    </w:p>
    <w:p>
      <w:pPr>
        <w:spacing w:after="0" w:line="130"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7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failure by our variable interest entity or its shareholders to perform their obligations under our contractual arrangements with them would have a material adverse effect on our business;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Uncertainties in the interpretation and enforcement of PRC laws and regulations could limit the legal protections available to us; and</w:t>
      </w:r>
    </w:p>
    <w:p>
      <w:pPr>
        <w:spacing w:after="0" w:line="142" w:lineRule="exact"/>
        <w:rPr>
          <w:rFonts w:ascii="Arial" w:cs="Arial" w:eastAsia="Arial" w:hAnsi="Arial"/>
          <w:sz w:val="17"/>
          <w:szCs w:val="17"/>
          <w:color w:val="auto"/>
        </w:rPr>
      </w:pPr>
    </w:p>
    <w:p>
      <w:pPr>
        <w:ind w:left="1060" w:right="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Please see “Risk Factors” and other information included in this prospectus for a detailed discussion of these challenges and other risks and uncertainties that we face.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190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190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right="400" w:hanging="324"/>
        <w:spacing w:after="0" w:line="253"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7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18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customers and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Bejing’s contractual arrangements with OptAim Network and its shareholders to conduct certain of our operations in China, including to transfer such operations to our VIE to the extent they are deemed foreign-related survey.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ATC Trustees (Cayman) Limited, Landmark Square, 3rd Floor, 64 Earth Close, Grand Cayman KY1-1203, Cayman Islands. Our agent for service of process in the United States, Law Debenture Corporate Services, Inc., is located at: 4th Floor, 400 Madison Avenue, New York, New York 10017.</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Investor should contact us for any inquiries through the address and telephone number of our principal executive offices. Our website 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www.i-click.com</w:t>
      </w:r>
      <w:r>
        <w:rPr>
          <w:rFonts w:ascii="Arial" w:cs="Arial" w:eastAsia="Arial" w:hAnsi="Arial"/>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6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7" w:lineRule="exact"/>
        <w:rPr>
          <w:sz w:val="20"/>
          <w:szCs w:val="20"/>
          <w:color w:val="auto"/>
        </w:rPr>
      </w:pPr>
    </w:p>
    <w:p>
      <w:pPr>
        <w:ind w:left="740"/>
        <w:spacing w:after="0"/>
        <w:tabs>
          <w:tab w:leader="none" w:pos="1040" w:val="left"/>
          <w:tab w:leader="none" w:pos="6700" w:val="left"/>
        </w:tabs>
        <w:rPr>
          <w:sz w:val="20"/>
          <w:szCs w:val="20"/>
          <w:color w:val="auto"/>
        </w:rPr>
      </w:pPr>
      <w:r>
        <w:rPr>
          <w:rFonts w:ascii="Arial" w:cs="Arial" w:eastAsia="Arial" w:hAnsi="Arial"/>
          <w:sz w:val="18"/>
          <w:szCs w:val="18"/>
          <w:color w:val="auto"/>
        </w:rPr>
        <w:t>•</w:t>
        <w:tab/>
        <w:t>“ADSs” refers to our American depositary shares, each of which represents</w:t>
      </w:r>
      <w:r>
        <w:rPr>
          <w:sz w:val="20"/>
          <w:szCs w:val="20"/>
          <w:color w:val="auto"/>
        </w:rPr>
        <w:tab/>
      </w:r>
      <w:r>
        <w:rPr>
          <w:rFonts w:ascii="Arial" w:cs="Arial" w:eastAsia="Arial" w:hAnsi="Arial"/>
          <w:sz w:val="16"/>
          <w:szCs w:val="16"/>
          <w:color w:val="auto"/>
        </w:rPr>
        <w:t>Class A ordinary shares;</w:t>
      </w:r>
    </w:p>
    <w:p>
      <w:pPr>
        <w:spacing w:after="0" w:line="131" w:lineRule="exact"/>
        <w:rPr>
          <w:sz w:val="20"/>
          <w:szCs w:val="20"/>
          <w:color w:val="auto"/>
        </w:rPr>
      </w:pPr>
    </w:p>
    <w:p>
      <w:pPr>
        <w:ind w:left="1060" w:right="34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marketer customers” refers to marketers that have direct contractual relationship with us;</w:t>
      </w:r>
    </w:p>
    <w:p>
      <w:pPr>
        <w:spacing w:after="0" w:line="130"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 marketers” refers to marketers that are represented by our marketing agency customers and have no direct contractual relationship with us;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060" w:right="62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142" w:lineRule="exact"/>
        <w:rPr>
          <w:rFonts w:ascii="Arial" w:cs="Arial" w:eastAsia="Arial" w:hAnsi="Arial"/>
          <w:sz w:val="17"/>
          <w:szCs w:val="17"/>
          <w:color w:val="auto"/>
        </w:rPr>
      </w:pPr>
    </w:p>
    <w:p>
      <w:pPr>
        <w:ind w:left="1060" w:right="36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634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634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“non-sales agency model” refers to cost-plus and specified action advertising campaigns;</w:t>
      </w:r>
    </w:p>
    <w:p>
      <w:pPr>
        <w:spacing w:after="0" w:line="130"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marketers” refers to both direct marketer customers, and end marketers;</w:t>
      </w:r>
    </w:p>
    <w:p>
      <w:pPr>
        <w:spacing w:after="0" w:line="130" w:lineRule="exact"/>
        <w:rPr>
          <w:rFonts w:ascii="Arial" w:cs="Arial" w:eastAsia="Arial" w:hAnsi="Arial"/>
          <w:sz w:val="18"/>
          <w:szCs w:val="18"/>
          <w:color w:val="auto"/>
        </w:rPr>
      </w:pPr>
    </w:p>
    <w:p>
      <w:pPr>
        <w:ind w:left="1060" w:right="42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customers” refers to entities which enter into marketing campaign contracts with us and incur marketing spend during the relevant period under either the sales agency model or non-sales agency model;</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060" w:right="2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agency model” refers to our business model where we derive revenue from incentives earned from the website publisher for which we act as sales agent for its content distribution opportunities;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4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RMB6.7793 to U.S$1.00 and all translations of Hong Kong dollars into U.S. dollars in this prospectus were made at the rate of HK$7.8055 to US$1.00, each being the noon buying rates on June 30, 2017 as set forth in the H.10 statistical release of the U.S. Federal Reserve Board. We make no representation that the Renminbi or Hong Kong dollars referred to in this prospectus could have been or could be converted into U.S. dollars at any particular rate or at all. On September 8, 2017, the noon buying rate for Renminbi was RMB6.4773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24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ind w:left="380"/>
              <w:spacing w:after="0"/>
              <w:rPr>
                <w:sz w:val="20"/>
                <w:szCs w:val="20"/>
                <w:color w:val="auto"/>
              </w:rPr>
            </w:pPr>
            <w:r>
              <w:rPr>
                <w:rFonts w:ascii="Arial" w:cs="Arial" w:eastAsia="Arial" w:hAnsi="Arial"/>
                <w:sz w:val="18"/>
                <w:szCs w:val="18"/>
                <w:b w:val="1"/>
                <w:bCs w:val="1"/>
                <w:color w:val="auto"/>
                <w:w w:val="93"/>
              </w:rPr>
              <w:t>The Offering</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The Offering</w:t>
            </w:r>
          </w:p>
        </w:tc>
        <w:tc>
          <w:tcPr>
            <w:tcW w:w="6040" w:type="dxa"/>
            <w:vAlign w:val="bottom"/>
            <w:gridSpan w:val="5"/>
          </w:tcPr>
          <w:p>
            <w:pPr>
              <w:ind w:left="260"/>
              <w:spacing w:after="0"/>
              <w:rPr>
                <w:sz w:val="20"/>
                <w:szCs w:val="20"/>
                <w:color w:val="auto"/>
              </w:rPr>
            </w:pPr>
            <w:r>
              <w:rPr>
                <w:rFonts w:ascii="Arial" w:cs="Arial" w:eastAsia="Arial" w:hAnsi="Arial"/>
                <w:sz w:val="18"/>
                <w:szCs w:val="18"/>
                <w:color w:val="auto"/>
                <w:w w:val="93"/>
              </w:rPr>
              <w:t>We currently estimate that the initial public offering price will be between US$</w:t>
            </w:r>
          </w:p>
        </w:tc>
        <w:tc>
          <w:tcPr>
            <w:tcW w:w="820" w:type="dxa"/>
            <w:vAlign w:val="bottom"/>
          </w:tcPr>
          <w:p>
            <w:pPr>
              <w:ind w:left="500"/>
              <w:spacing w:after="0"/>
              <w:rPr>
                <w:sz w:val="20"/>
                <w:szCs w:val="20"/>
                <w:color w:val="auto"/>
              </w:rPr>
            </w:pPr>
            <w:r>
              <w:rPr>
                <w:rFonts w:ascii="Arial" w:cs="Arial" w:eastAsia="Arial" w:hAnsi="Arial"/>
                <w:sz w:val="18"/>
                <w:szCs w:val="18"/>
                <w:color w:val="auto"/>
                <w:w w:val="99"/>
              </w:rPr>
              <w:t>and</w:t>
            </w:r>
          </w:p>
        </w:tc>
      </w:tr>
      <w:tr>
        <w:trPr>
          <w:trHeight w:val="230"/>
        </w:trPr>
        <w:tc>
          <w:tcPr>
            <w:tcW w:w="392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US$</w:t>
            </w:r>
          </w:p>
        </w:tc>
        <w:tc>
          <w:tcPr>
            <w:tcW w:w="1400" w:type="dxa"/>
            <w:vAlign w:val="bottom"/>
          </w:tcPr>
          <w:p>
            <w:pPr>
              <w:ind w:left="500"/>
              <w:spacing w:after="0"/>
              <w:rPr>
                <w:sz w:val="20"/>
                <w:szCs w:val="20"/>
                <w:color w:val="auto"/>
              </w:rPr>
            </w:pPr>
            <w:r>
              <w:rPr>
                <w:rFonts w:ascii="Arial" w:cs="Arial" w:eastAsia="Arial" w:hAnsi="Arial"/>
                <w:sz w:val="18"/>
                <w:szCs w:val="18"/>
                <w:color w:val="auto"/>
              </w:rPr>
              <w:t>per ADS.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ADSs offered by us</w:t>
            </w:r>
          </w:p>
        </w:tc>
        <w:tc>
          <w:tcPr>
            <w:tcW w:w="720" w:type="dxa"/>
            <w:vAlign w:val="bottom"/>
          </w:tcPr>
          <w:p>
            <w:pPr>
              <w:spacing w:after="0"/>
              <w:rPr>
                <w:sz w:val="24"/>
                <w:szCs w:val="24"/>
                <w:color w:val="auto"/>
              </w:rPr>
            </w:pPr>
          </w:p>
        </w:tc>
        <w:tc>
          <w:tcPr>
            <w:tcW w:w="1400" w:type="dxa"/>
            <w:vAlign w:val="bottom"/>
          </w:tcPr>
          <w:p>
            <w:pPr>
              <w:ind w:left="120"/>
              <w:spacing w:after="0"/>
              <w:rPr>
                <w:sz w:val="20"/>
                <w:szCs w:val="20"/>
                <w:color w:val="auto"/>
              </w:rPr>
            </w:pPr>
            <w:r>
              <w:rPr>
                <w:rFonts w:ascii="Arial" w:cs="Arial" w:eastAsia="Arial" w:hAnsi="Arial"/>
                <w:sz w:val="18"/>
                <w:szCs w:val="18"/>
                <w:color w:val="auto"/>
              </w:rPr>
              <w:t>ADSs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8"/>
        </w:trPr>
        <w:tc>
          <w:tcPr>
            <w:tcW w:w="3920" w:type="dxa"/>
            <w:vAlign w:val="bottom"/>
          </w:tcPr>
          <w:p>
            <w:pPr>
              <w:spacing w:after="0"/>
              <w:rPr>
                <w:sz w:val="20"/>
                <w:szCs w:val="20"/>
                <w:color w:val="auto"/>
              </w:rPr>
            </w:pPr>
            <w:r>
              <w:rPr>
                <w:rFonts w:ascii="Arial" w:cs="Arial" w:eastAsia="Arial" w:hAnsi="Arial"/>
                <w:sz w:val="18"/>
                <w:szCs w:val="18"/>
                <w:color w:val="auto"/>
              </w:rPr>
              <w:t>ADSs outstanding immediately after this offering</w:t>
            </w:r>
          </w:p>
        </w:tc>
        <w:tc>
          <w:tcPr>
            <w:tcW w:w="720" w:type="dxa"/>
            <w:vAlign w:val="bottom"/>
          </w:tcPr>
          <w:p>
            <w:pPr>
              <w:spacing w:after="0"/>
              <w:rPr>
                <w:sz w:val="24"/>
                <w:szCs w:val="24"/>
                <w:color w:val="auto"/>
              </w:rPr>
            </w:pPr>
          </w:p>
        </w:tc>
        <w:tc>
          <w:tcPr>
            <w:tcW w:w="1400" w:type="dxa"/>
            <w:vAlign w:val="bottom"/>
          </w:tcPr>
          <w:p>
            <w:pPr>
              <w:ind w:left="120"/>
              <w:spacing w:after="0"/>
              <w:rPr>
                <w:sz w:val="20"/>
                <w:szCs w:val="20"/>
                <w:color w:val="auto"/>
              </w:rPr>
            </w:pPr>
            <w:r>
              <w:rPr>
                <w:rFonts w:ascii="Arial" w:cs="Arial" w:eastAsia="Arial" w:hAnsi="Arial"/>
                <w:sz w:val="18"/>
                <w:szCs w:val="18"/>
                <w:color w:val="auto"/>
              </w:rPr>
              <w:t>ADSs (or</w:t>
            </w:r>
          </w:p>
        </w:tc>
        <w:tc>
          <w:tcPr>
            <w:tcW w:w="4740" w:type="dxa"/>
            <w:vAlign w:val="bottom"/>
            <w:gridSpan w:val="4"/>
          </w:tcPr>
          <w:p>
            <w:pPr>
              <w:ind w:left="40"/>
              <w:spacing w:after="0"/>
              <w:rPr>
                <w:sz w:val="20"/>
                <w:szCs w:val="20"/>
                <w:color w:val="auto"/>
              </w:rPr>
            </w:pPr>
            <w:r>
              <w:rPr>
                <w:rFonts w:ascii="Arial" w:cs="Arial" w:eastAsia="Arial" w:hAnsi="Arial"/>
                <w:sz w:val="18"/>
                <w:szCs w:val="18"/>
                <w:color w:val="auto"/>
              </w:rPr>
              <w:t>ADSs if the underwriters exercise their option to purchase</w:t>
            </w:r>
          </w:p>
        </w:tc>
      </w:tr>
      <w:tr>
        <w:trPr>
          <w:trHeight w:val="230"/>
        </w:trPr>
        <w:tc>
          <w:tcPr>
            <w:tcW w:w="3920" w:type="dxa"/>
            <w:vAlign w:val="bottom"/>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additional ADSs in full)</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w w:val="97"/>
              </w:rPr>
              <w:t>Ordinary shares outstanding immediately after this</w:t>
            </w:r>
          </w:p>
        </w:tc>
        <w:tc>
          <w:tcPr>
            <w:tcW w:w="720" w:type="dxa"/>
            <w:vAlign w:val="bottom"/>
          </w:tcPr>
          <w:p>
            <w:pPr>
              <w:spacing w:after="0"/>
              <w:rPr>
                <w:sz w:val="24"/>
                <w:szCs w:val="24"/>
                <w:color w:val="auto"/>
              </w:rPr>
            </w:pPr>
          </w:p>
        </w:tc>
        <w:tc>
          <w:tcPr>
            <w:tcW w:w="2740" w:type="dxa"/>
            <w:vAlign w:val="bottom"/>
            <w:gridSpan w:val="3"/>
          </w:tcPr>
          <w:p>
            <w:pPr>
              <w:ind w:left="120"/>
              <w:spacing w:after="0"/>
              <w:rPr>
                <w:sz w:val="20"/>
                <w:szCs w:val="20"/>
                <w:color w:val="auto"/>
              </w:rPr>
            </w:pPr>
            <w:r>
              <w:rPr>
                <w:rFonts w:ascii="Arial" w:cs="Arial" w:eastAsia="Arial" w:hAnsi="Arial"/>
                <w:sz w:val="18"/>
                <w:szCs w:val="18"/>
                <w:color w:val="auto"/>
              </w:rPr>
              <w:t>ordinary shares, comprised of</w:t>
            </w:r>
          </w:p>
        </w:tc>
        <w:tc>
          <w:tcPr>
            <w:tcW w:w="2580" w:type="dxa"/>
            <w:vAlign w:val="bottom"/>
          </w:tcPr>
          <w:p>
            <w:pPr>
              <w:ind w:left="120"/>
              <w:spacing w:after="0"/>
              <w:rPr>
                <w:sz w:val="20"/>
                <w:szCs w:val="20"/>
                <w:color w:val="auto"/>
              </w:rPr>
            </w:pPr>
            <w:r>
              <w:rPr>
                <w:rFonts w:ascii="Arial" w:cs="Arial" w:eastAsia="Arial" w:hAnsi="Arial"/>
                <w:sz w:val="18"/>
                <w:szCs w:val="18"/>
                <w:color w:val="auto"/>
              </w:rPr>
              <w:t>Class A ordinary shares and</w:t>
            </w:r>
          </w:p>
        </w:tc>
        <w:tc>
          <w:tcPr>
            <w:tcW w:w="820" w:type="dxa"/>
            <w:vAlign w:val="bottom"/>
          </w:tcPr>
          <w:p>
            <w:pPr>
              <w:ind w:left="140"/>
              <w:spacing w:after="0"/>
              <w:rPr>
                <w:sz w:val="20"/>
                <w:szCs w:val="20"/>
                <w:color w:val="auto"/>
              </w:rPr>
            </w:pPr>
            <w:r>
              <w:rPr>
                <w:rFonts w:ascii="Arial" w:cs="Arial" w:eastAsia="Arial" w:hAnsi="Arial"/>
                <w:sz w:val="18"/>
                <w:szCs w:val="18"/>
                <w:color w:val="auto"/>
              </w:rPr>
              <w:t>Class B</w:t>
            </w:r>
          </w:p>
        </w:tc>
      </w:tr>
      <w:tr>
        <w:trPr>
          <w:trHeight w:val="216"/>
        </w:trPr>
        <w:tc>
          <w:tcPr>
            <w:tcW w:w="3920" w:type="dxa"/>
            <w:vAlign w:val="bottom"/>
          </w:tcPr>
          <w:p>
            <w:pPr>
              <w:ind w:left="80"/>
              <w:spacing w:after="0"/>
              <w:rPr>
                <w:sz w:val="20"/>
                <w:szCs w:val="20"/>
                <w:color w:val="auto"/>
              </w:rPr>
            </w:pPr>
            <w:r>
              <w:rPr>
                <w:rFonts w:ascii="Arial" w:cs="Arial" w:eastAsia="Arial" w:hAnsi="Arial"/>
                <w:sz w:val="18"/>
                <w:szCs w:val="18"/>
                <w:color w:val="auto"/>
              </w:rPr>
              <w:t>offering</w:t>
            </w: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ordinary shares (or</w:t>
            </w:r>
          </w:p>
        </w:tc>
        <w:tc>
          <w:tcPr>
            <w:tcW w:w="4740" w:type="dxa"/>
            <w:vAlign w:val="bottom"/>
            <w:gridSpan w:val="4"/>
          </w:tcPr>
          <w:p>
            <w:pPr>
              <w:ind w:left="140"/>
              <w:spacing w:after="0"/>
              <w:rPr>
                <w:sz w:val="20"/>
                <w:szCs w:val="20"/>
                <w:color w:val="auto"/>
              </w:rPr>
            </w:pPr>
            <w:r>
              <w:rPr>
                <w:rFonts w:ascii="Arial" w:cs="Arial" w:eastAsia="Arial" w:hAnsi="Arial"/>
                <w:sz w:val="18"/>
                <w:szCs w:val="18"/>
                <w:color w:val="auto"/>
                <w:w w:val="99"/>
              </w:rPr>
              <w:t>ordinary shares if the underwriters exercise their option to</w:t>
            </w:r>
          </w:p>
        </w:tc>
      </w:tr>
      <w:tr>
        <w:trPr>
          <w:trHeight w:val="216"/>
        </w:trPr>
        <w:tc>
          <w:tcPr>
            <w:tcW w:w="3920" w:type="dxa"/>
            <w:vAlign w:val="bottom"/>
          </w:tcPr>
          <w:p>
            <w:pPr>
              <w:spacing w:after="0"/>
              <w:rPr>
                <w:sz w:val="18"/>
                <w:szCs w:val="18"/>
                <w:color w:val="auto"/>
              </w:rPr>
            </w:pPr>
          </w:p>
        </w:tc>
        <w:tc>
          <w:tcPr>
            <w:tcW w:w="6040" w:type="dxa"/>
            <w:vAlign w:val="bottom"/>
            <w:gridSpan w:val="5"/>
          </w:tcPr>
          <w:p>
            <w:pPr>
              <w:ind w:left="260"/>
              <w:spacing w:after="0"/>
              <w:rPr>
                <w:sz w:val="20"/>
                <w:szCs w:val="20"/>
                <w:color w:val="auto"/>
              </w:rPr>
            </w:pPr>
            <w:r>
              <w:rPr>
                <w:rFonts w:ascii="Arial" w:cs="Arial" w:eastAsia="Arial" w:hAnsi="Arial"/>
                <w:sz w:val="18"/>
                <w:szCs w:val="18"/>
                <w:color w:val="auto"/>
                <w:w w:val="99"/>
              </w:rPr>
              <w:t>purchase additional ADSs representing ordinary shares in full, comprised</w:t>
            </w:r>
          </w:p>
        </w:tc>
        <w:tc>
          <w:tcPr>
            <w:tcW w:w="820" w:type="dxa"/>
            <w:vAlign w:val="bottom"/>
          </w:tcPr>
          <w:p>
            <w:pPr>
              <w:ind w:left="100"/>
              <w:spacing w:after="0"/>
              <w:rPr>
                <w:sz w:val="20"/>
                <w:szCs w:val="20"/>
                <w:color w:val="auto"/>
              </w:rPr>
            </w:pPr>
            <w:r>
              <w:rPr>
                <w:rFonts w:ascii="Arial" w:cs="Arial" w:eastAsia="Arial" w:hAnsi="Arial"/>
                <w:sz w:val="18"/>
                <w:szCs w:val="18"/>
                <w:color w:val="auto"/>
              </w:rPr>
              <w:t>of</w:t>
            </w:r>
          </w:p>
        </w:tc>
      </w:tr>
      <w:tr>
        <w:trPr>
          <w:trHeight w:val="230"/>
        </w:trPr>
        <w:tc>
          <w:tcPr>
            <w:tcW w:w="3920" w:type="dxa"/>
            <w:vAlign w:val="bottom"/>
          </w:tcPr>
          <w:p>
            <w:pPr>
              <w:spacing w:after="0"/>
              <w:rPr>
                <w:sz w:val="20"/>
                <w:szCs w:val="20"/>
                <w:color w:val="auto"/>
              </w:rPr>
            </w:pPr>
          </w:p>
        </w:tc>
        <w:tc>
          <w:tcPr>
            <w:tcW w:w="2320" w:type="dxa"/>
            <w:vAlign w:val="bottom"/>
            <w:gridSpan w:val="3"/>
          </w:tcPr>
          <w:p>
            <w:pPr>
              <w:ind w:left="260"/>
              <w:spacing w:after="0"/>
              <w:rPr>
                <w:sz w:val="20"/>
                <w:szCs w:val="20"/>
                <w:color w:val="auto"/>
              </w:rPr>
            </w:pPr>
            <w:r>
              <w:rPr>
                <w:rFonts w:ascii="Arial" w:cs="Arial" w:eastAsia="Arial" w:hAnsi="Arial"/>
                <w:sz w:val="18"/>
                <w:szCs w:val="18"/>
                <w:color w:val="auto"/>
                <w:w w:val="90"/>
              </w:rPr>
              <w:t>Class A ordinary shares and</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Class B ordinary shares)</w:t>
            </w:r>
          </w:p>
        </w:tc>
        <w:tc>
          <w:tcPr>
            <w:tcW w:w="820" w:type="dxa"/>
            <w:vAlign w:val="bottom"/>
          </w:tcPr>
          <w:p>
            <w:pPr>
              <w:spacing w:after="0"/>
              <w:rPr>
                <w:sz w:val="20"/>
                <w:szCs w:val="20"/>
                <w:color w:val="auto"/>
              </w:rPr>
            </w:pPr>
          </w:p>
        </w:tc>
      </w:tr>
      <w:tr>
        <w:trPr>
          <w:trHeight w:val="445"/>
        </w:trPr>
        <w:tc>
          <w:tcPr>
            <w:tcW w:w="392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6860" w:type="dxa"/>
            <w:vAlign w:val="bottom"/>
            <w:gridSpan w:val="6"/>
          </w:tcPr>
          <w:p>
            <w:pPr>
              <w:ind w:left="260"/>
              <w:spacing w:after="0"/>
              <w:rPr>
                <w:sz w:val="20"/>
                <w:szCs w:val="20"/>
                <w:color w:val="auto"/>
              </w:rPr>
            </w:pPr>
            <w:r>
              <w:rPr>
                <w:rFonts w:ascii="Arial" w:cs="Arial" w:eastAsia="Arial" w:hAnsi="Arial"/>
                <w:sz w:val="18"/>
                <w:szCs w:val="18"/>
                <w:color w:val="auto"/>
                <w:w w:val="90"/>
              </w:rPr>
              <w:t>We have granted to the underwriters an option, exercisable for 30 days from the date of this</w:t>
            </w:r>
          </w:p>
        </w:tc>
      </w:tr>
      <w:tr>
        <w:trPr>
          <w:trHeight w:val="230"/>
        </w:trPr>
        <w:tc>
          <w:tcPr>
            <w:tcW w:w="3920" w:type="dxa"/>
            <w:vAlign w:val="bottom"/>
          </w:tcPr>
          <w:p>
            <w:pPr>
              <w:spacing w:after="0"/>
              <w:rPr>
                <w:sz w:val="20"/>
                <w:szCs w:val="20"/>
                <w:color w:val="auto"/>
              </w:rPr>
            </w:pPr>
          </w:p>
        </w:tc>
        <w:tc>
          <w:tcPr>
            <w:tcW w:w="3460" w:type="dxa"/>
            <w:vAlign w:val="bottom"/>
            <w:gridSpan w:val="4"/>
          </w:tcPr>
          <w:p>
            <w:pPr>
              <w:ind w:left="260"/>
              <w:spacing w:after="0"/>
              <w:rPr>
                <w:sz w:val="20"/>
                <w:szCs w:val="20"/>
                <w:color w:val="auto"/>
              </w:rPr>
            </w:pPr>
            <w:r>
              <w:rPr>
                <w:rFonts w:ascii="Arial" w:cs="Arial" w:eastAsia="Arial" w:hAnsi="Arial"/>
                <w:sz w:val="18"/>
                <w:szCs w:val="18"/>
                <w:color w:val="auto"/>
                <w:w w:val="92"/>
              </w:rPr>
              <w:t>prospectus, to purchase up to an additional</w:t>
            </w:r>
          </w:p>
        </w:tc>
        <w:tc>
          <w:tcPr>
            <w:tcW w:w="2580" w:type="dxa"/>
            <w:vAlign w:val="bottom"/>
          </w:tcPr>
          <w:p>
            <w:pPr>
              <w:ind w:left="500"/>
              <w:spacing w:after="0"/>
              <w:rPr>
                <w:sz w:val="20"/>
                <w:szCs w:val="20"/>
                <w:color w:val="auto"/>
              </w:rPr>
            </w:pPr>
            <w:r>
              <w:rPr>
                <w:rFonts w:ascii="Arial" w:cs="Arial" w:eastAsia="Arial" w:hAnsi="Arial"/>
                <w:sz w:val="18"/>
                <w:szCs w:val="18"/>
                <w:color w:val="auto"/>
              </w:rPr>
              <w:t>ADSs from us.</w:t>
            </w:r>
          </w:p>
        </w:tc>
        <w:tc>
          <w:tcPr>
            <w:tcW w:w="8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Arial" w:cs="Arial" w:eastAsia="Arial" w:hAnsi="Arial"/>
                <w:sz w:val="18"/>
                <w:szCs w:val="18"/>
                <w:color w:val="auto"/>
              </w:rPr>
              <w:t>The ADSs</w:t>
            </w: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Each ADS represents</w:t>
            </w:r>
          </w:p>
        </w:tc>
        <w:tc>
          <w:tcPr>
            <w:tcW w:w="200" w:type="dxa"/>
            <w:vAlign w:val="bottom"/>
          </w:tcPr>
          <w:p>
            <w:pPr>
              <w:spacing w:after="0"/>
              <w:rPr>
                <w:sz w:val="24"/>
                <w:szCs w:val="24"/>
                <w:color w:val="auto"/>
              </w:rPr>
            </w:pPr>
          </w:p>
        </w:tc>
        <w:tc>
          <w:tcPr>
            <w:tcW w:w="4540" w:type="dxa"/>
            <w:vAlign w:val="bottom"/>
            <w:gridSpan w:val="3"/>
          </w:tcPr>
          <w:p>
            <w:pPr>
              <w:ind w:left="60"/>
              <w:spacing w:after="0"/>
              <w:rPr>
                <w:sz w:val="20"/>
                <w:szCs w:val="20"/>
                <w:color w:val="auto"/>
              </w:rPr>
            </w:pPr>
            <w:r>
              <w:rPr>
                <w:rFonts w:ascii="Arial" w:cs="Arial" w:eastAsia="Arial" w:hAnsi="Arial"/>
                <w:sz w:val="18"/>
                <w:szCs w:val="18"/>
                <w:color w:val="auto"/>
                <w:w w:val="99"/>
              </w:rPr>
              <w:t>Class A ordinary shares, par value US$0.001 per share.</w:t>
            </w:r>
          </w:p>
        </w:tc>
      </w:tr>
    </w:tbl>
    <w:p>
      <w:pPr>
        <w:spacing w:after="0" w:line="215" w:lineRule="exact"/>
        <w:rPr>
          <w:sz w:val="20"/>
          <w:szCs w:val="20"/>
          <w:color w:val="auto"/>
        </w:rPr>
      </w:pPr>
    </w:p>
    <w:p>
      <w:pPr>
        <w:ind w:left="4380" w:right="320"/>
        <w:spacing w:after="0" w:line="286" w:lineRule="auto"/>
        <w:rPr>
          <w:sz w:val="20"/>
          <w:szCs w:val="20"/>
          <w:color w:val="auto"/>
        </w:rPr>
      </w:pPr>
      <w:r>
        <w:rPr>
          <w:rFonts w:ascii="Arial" w:cs="Arial" w:eastAsia="Arial" w:hAnsi="Arial"/>
          <w:sz w:val="17"/>
          <w:szCs w:val="17"/>
          <w:color w:val="auto"/>
        </w:rPr>
        <w:t>The depositary will be the holder of the ordinary shares underlying the ADSs and you will have the rights of an ADS holder as provided in the deposit agreement among us, the depositary and holders and beneficial owners of ADSs from time to time.</w:t>
      </w:r>
    </w:p>
    <w:p>
      <w:pPr>
        <w:spacing w:after="0" w:line="193" w:lineRule="exact"/>
        <w:rPr>
          <w:sz w:val="20"/>
          <w:szCs w:val="20"/>
          <w:color w:val="auto"/>
        </w:rPr>
      </w:pPr>
    </w:p>
    <w:p>
      <w:pPr>
        <w:ind w:left="4380" w:right="440"/>
        <w:spacing w:after="0" w:line="342" w:lineRule="auto"/>
        <w:rPr>
          <w:sz w:val="20"/>
          <w:szCs w:val="20"/>
          <w:color w:val="auto"/>
        </w:rPr>
      </w:pPr>
      <w:r>
        <w:rPr>
          <w:rFonts w:ascii="Arial" w:cs="Arial" w:eastAsia="Arial" w:hAnsi="Arial"/>
          <w:sz w:val="16"/>
          <w:szCs w:val="16"/>
          <w:color w:val="auto"/>
        </w:rPr>
        <w:t>You may surrender your ADSs to the depositary to withdraw the Class A ordinary shares underlying your ADSs. The depositary will charge you a fee for such an exchange.</w:t>
      </w:r>
    </w:p>
    <w:p>
      <w:pPr>
        <w:spacing w:after="0" w:line="151" w:lineRule="exact"/>
        <w:rPr>
          <w:sz w:val="20"/>
          <w:szCs w:val="20"/>
          <w:color w:val="auto"/>
        </w:rPr>
      </w:pPr>
    </w:p>
    <w:p>
      <w:pPr>
        <w:ind w:left="4380" w:right="40"/>
        <w:spacing w:after="0" w:line="255" w:lineRule="auto"/>
        <w:rPr>
          <w:sz w:val="20"/>
          <w:szCs w:val="20"/>
          <w:color w:val="auto"/>
        </w:rPr>
      </w:pPr>
      <w:r>
        <w:rPr>
          <w:rFonts w:ascii="Arial" w:cs="Arial" w:eastAsia="Arial" w:hAnsi="Arial"/>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93" w:lineRule="exact"/>
        <w:rPr>
          <w:sz w:val="20"/>
          <w:szCs w:val="20"/>
          <w:color w:val="auto"/>
        </w:rPr>
      </w:pPr>
    </w:p>
    <w:p>
      <w:pPr>
        <w:ind w:left="4380" w:right="260"/>
        <w:spacing w:after="0" w:line="259" w:lineRule="auto"/>
        <w:rPr>
          <w:sz w:val="20"/>
          <w:szCs w:val="20"/>
          <w:color w:val="auto"/>
        </w:rPr>
      </w:pPr>
      <w:r>
        <w:rPr>
          <w:rFonts w:ascii="Arial" w:cs="Arial" w:eastAsia="Arial" w:hAnsi="Arial"/>
          <w:sz w:val="18"/>
          <w:szCs w:val="18"/>
          <w:color w:val="auto"/>
        </w:rPr>
        <w:t>To better understand the terms of the ADSs, you should carefully read the section in this prospectus entitled “Description of American Depositary Shares.” You should also read the deposit agreement, which is an exhibit to the registration statement that includes this prospectus.</w:t>
      </w:r>
    </w:p>
    <w:p>
      <w:pPr>
        <w:sectPr>
          <w:pgSz w:w="11900" w:h="16838" w:orient="portrait"/>
          <w:cols w:equalWidth="0" w:num="1">
            <w:col w:w="11220"/>
          </w:cols>
          <w:pgMar w:left="240" w:top="459" w:right="439" w:bottom="1440" w:gutter="0" w:footer="0" w:header="0"/>
        </w:sect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[Reserved ADSs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our request, the underwriters have reserved for sale, at the initial public offering price, up to an aggregate of ADSs offered in this offering to some of our directors, officers, employees, business associates and related persons through a directed share program.]</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892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892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6600" w:type="dxa"/>
            <w:vAlign w:val="bottom"/>
            <w:gridSpan w:val="4"/>
          </w:tcPr>
          <w:p>
            <w:pPr>
              <w:ind w:left="1500"/>
              <w:spacing w:after="0"/>
              <w:rPr>
                <w:sz w:val="20"/>
                <w:szCs w:val="20"/>
                <w:color w:val="auto"/>
              </w:rPr>
            </w:pPr>
            <w:r>
              <w:rPr>
                <w:rFonts w:ascii="Arial" w:cs="Arial" w:eastAsia="Arial" w:hAnsi="Arial"/>
                <w:sz w:val="18"/>
                <w:szCs w:val="18"/>
                <w:color w:val="auto"/>
                <w:w w:val="96"/>
              </w:rPr>
              <w:t>We expect that we will receive net proceeds of approximately US$</w:t>
            </w:r>
          </w:p>
        </w:tc>
        <w:tc>
          <w:tcPr>
            <w:tcW w:w="1680" w:type="dxa"/>
            <w:vAlign w:val="bottom"/>
          </w:tcPr>
          <w:p>
            <w:pPr>
              <w:ind w:left="300"/>
              <w:spacing w:after="0"/>
              <w:rPr>
                <w:sz w:val="20"/>
                <w:szCs w:val="20"/>
                <w:color w:val="auto"/>
              </w:rPr>
            </w:pPr>
            <w:r>
              <w:rPr>
                <w:rFonts w:ascii="Arial" w:cs="Arial" w:eastAsia="Arial" w:hAnsi="Arial"/>
                <w:sz w:val="18"/>
                <w:szCs w:val="18"/>
                <w:color w:val="auto"/>
              </w:rPr>
              <w:t>million from this</w:t>
            </w:r>
          </w:p>
        </w:tc>
      </w:tr>
      <w:tr>
        <w:trPr>
          <w:trHeight w:val="216"/>
        </w:trPr>
        <w:tc>
          <w:tcPr>
            <w:tcW w:w="2680" w:type="dxa"/>
            <w:vAlign w:val="bottom"/>
          </w:tcPr>
          <w:p>
            <w:pPr>
              <w:spacing w:after="0"/>
              <w:rPr>
                <w:sz w:val="18"/>
                <w:szCs w:val="18"/>
                <w:color w:val="auto"/>
              </w:rPr>
            </w:pPr>
          </w:p>
        </w:tc>
        <w:tc>
          <w:tcPr>
            <w:tcW w:w="5900" w:type="dxa"/>
            <w:vAlign w:val="bottom"/>
            <w:gridSpan w:val="3"/>
          </w:tcPr>
          <w:p>
            <w:pPr>
              <w:ind w:left="1500"/>
              <w:spacing w:after="0"/>
              <w:rPr>
                <w:sz w:val="20"/>
                <w:szCs w:val="20"/>
                <w:color w:val="auto"/>
              </w:rPr>
            </w:pPr>
            <w:r>
              <w:rPr>
                <w:rFonts w:ascii="Arial" w:cs="Arial" w:eastAsia="Arial" w:hAnsi="Arial"/>
                <w:sz w:val="18"/>
                <w:szCs w:val="18"/>
                <w:color w:val="auto"/>
                <w:w w:val="99"/>
              </w:rPr>
              <w:t>offering, assuming an initial public offering price of US$</w:t>
            </w:r>
          </w:p>
        </w:tc>
        <w:tc>
          <w:tcPr>
            <w:tcW w:w="2380" w:type="dxa"/>
            <w:vAlign w:val="bottom"/>
            <w:gridSpan w:val="2"/>
          </w:tcPr>
          <w:p>
            <w:pPr>
              <w:ind w:left="300"/>
              <w:spacing w:after="0"/>
              <w:rPr>
                <w:sz w:val="20"/>
                <w:szCs w:val="20"/>
                <w:color w:val="auto"/>
              </w:rPr>
            </w:pPr>
            <w:r>
              <w:rPr>
                <w:rFonts w:ascii="Arial" w:cs="Arial" w:eastAsia="Arial" w:hAnsi="Arial"/>
                <w:sz w:val="18"/>
                <w:szCs w:val="18"/>
                <w:color w:val="auto"/>
              </w:rPr>
              <w:t>per ADS, which is the</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rPr>
              <w:t>midpoint of the estimated range of the initial public offering price, after deducting</w:t>
            </w:r>
          </w:p>
        </w:tc>
      </w:tr>
      <w:tr>
        <w:trPr>
          <w:trHeight w:val="230"/>
        </w:trPr>
        <w:tc>
          <w:tcPr>
            <w:tcW w:w="2680" w:type="dxa"/>
            <w:vAlign w:val="bottom"/>
          </w:tcPr>
          <w:p>
            <w:pPr>
              <w:spacing w:after="0"/>
              <w:rPr>
                <w:sz w:val="20"/>
                <w:szCs w:val="20"/>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5"/>
              </w:rPr>
              <w:t>underwriting discounts and commissions and estimated offering expenses payable by us.</w:t>
            </w:r>
          </w:p>
        </w:tc>
      </w:tr>
      <w:tr>
        <w:trPr>
          <w:trHeight w:val="445"/>
        </w:trPr>
        <w:tc>
          <w:tcPr>
            <w:tcW w:w="2680" w:type="dxa"/>
            <w:vAlign w:val="bottom"/>
          </w:tcPr>
          <w:p>
            <w:pPr>
              <w:spacing w:after="0"/>
              <w:rPr>
                <w:sz w:val="24"/>
                <w:szCs w:val="24"/>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8"/>
              </w:rPr>
              <w:t>We plan to use the net proceeds from this offering primarily for the following purposes:</w:t>
            </w:r>
          </w:p>
        </w:tc>
      </w:tr>
      <w:tr>
        <w:trPr>
          <w:trHeight w:val="216"/>
        </w:trPr>
        <w:tc>
          <w:tcPr>
            <w:tcW w:w="2680" w:type="dxa"/>
            <w:vAlign w:val="bottom"/>
          </w:tcPr>
          <w:p>
            <w:pPr>
              <w:spacing w:after="0"/>
              <w:rPr>
                <w:sz w:val="18"/>
                <w:szCs w:val="18"/>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US$</w:t>
            </w:r>
          </w:p>
        </w:tc>
        <w:tc>
          <w:tcPr>
            <w:tcW w:w="6160" w:type="dxa"/>
            <w:vAlign w:val="bottom"/>
            <w:gridSpan w:val="4"/>
          </w:tcPr>
          <w:p>
            <w:pPr>
              <w:ind w:left="280"/>
              <w:spacing w:after="0"/>
              <w:rPr>
                <w:sz w:val="20"/>
                <w:szCs w:val="20"/>
                <w:color w:val="auto"/>
              </w:rPr>
            </w:pPr>
            <w:r>
              <w:rPr>
                <w:rFonts w:ascii="Arial" w:cs="Arial" w:eastAsia="Arial" w:hAnsi="Arial"/>
                <w:sz w:val="18"/>
                <w:szCs w:val="18"/>
                <w:color w:val="auto"/>
              </w:rPr>
              <w:t>in research and development and big data deep learning capabilities and</w:t>
            </w:r>
          </w:p>
        </w:tc>
      </w:tr>
      <w:tr>
        <w:trPr>
          <w:trHeight w:val="216"/>
        </w:trPr>
        <w:tc>
          <w:tcPr>
            <w:tcW w:w="2680" w:type="dxa"/>
            <w:vAlign w:val="bottom"/>
          </w:tcPr>
          <w:p>
            <w:pPr>
              <w:spacing w:after="0"/>
              <w:rPr>
                <w:sz w:val="18"/>
                <w:szCs w:val="18"/>
                <w:color w:val="auto"/>
              </w:rPr>
            </w:pPr>
          </w:p>
        </w:tc>
        <w:tc>
          <w:tcPr>
            <w:tcW w:w="3040" w:type="dxa"/>
            <w:vAlign w:val="bottom"/>
            <w:gridSpan w:val="2"/>
          </w:tcPr>
          <w:p>
            <w:pPr>
              <w:ind w:left="1500"/>
              <w:spacing w:after="0"/>
              <w:rPr>
                <w:sz w:val="20"/>
                <w:szCs w:val="20"/>
                <w:color w:val="auto"/>
              </w:rPr>
            </w:pPr>
            <w:r>
              <w:rPr>
                <w:rFonts w:ascii="Arial" w:cs="Arial" w:eastAsia="Arial" w:hAnsi="Arial"/>
                <w:sz w:val="18"/>
                <w:szCs w:val="18"/>
                <w:color w:val="auto"/>
              </w:rPr>
              <w:t>capacities; US$</w:t>
            </w: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w w:val="89"/>
              </w:rPr>
              <w:t>in the development and expansion of our suite of solutions and service</w:t>
            </w:r>
          </w:p>
        </w:tc>
      </w:tr>
      <w:tr>
        <w:trPr>
          <w:trHeight w:val="216"/>
        </w:trPr>
        <w:tc>
          <w:tcPr>
            <w:tcW w:w="2680" w:type="dxa"/>
            <w:vAlign w:val="bottom"/>
          </w:tcPr>
          <w:p>
            <w:pPr>
              <w:spacing w:after="0"/>
              <w:rPr>
                <w:sz w:val="18"/>
                <w:szCs w:val="18"/>
                <w:color w:val="auto"/>
              </w:rPr>
            </w:pPr>
          </w:p>
        </w:tc>
        <w:tc>
          <w:tcPr>
            <w:tcW w:w="3040" w:type="dxa"/>
            <w:vAlign w:val="bottom"/>
            <w:gridSpan w:val="2"/>
          </w:tcPr>
          <w:p>
            <w:pPr>
              <w:ind w:left="1500"/>
              <w:spacing w:after="0"/>
              <w:rPr>
                <w:sz w:val="20"/>
                <w:szCs w:val="20"/>
                <w:color w:val="auto"/>
              </w:rPr>
            </w:pPr>
            <w:r>
              <w:rPr>
                <w:rFonts w:ascii="Arial" w:cs="Arial" w:eastAsia="Arial" w:hAnsi="Arial"/>
                <w:sz w:val="18"/>
                <w:szCs w:val="18"/>
                <w:color w:val="auto"/>
              </w:rPr>
              <w:t>offerings; and US$</w:t>
            </w:r>
          </w:p>
        </w:tc>
        <w:tc>
          <w:tcPr>
            <w:tcW w:w="5240" w:type="dxa"/>
            <w:vAlign w:val="bottom"/>
            <w:gridSpan w:val="3"/>
          </w:tcPr>
          <w:p>
            <w:pPr>
              <w:ind w:left="420"/>
              <w:spacing w:after="0"/>
              <w:rPr>
                <w:sz w:val="20"/>
                <w:szCs w:val="20"/>
                <w:color w:val="auto"/>
              </w:rPr>
            </w:pPr>
            <w:r>
              <w:rPr>
                <w:rFonts w:ascii="Arial" w:cs="Arial" w:eastAsia="Arial" w:hAnsi="Arial"/>
                <w:sz w:val="18"/>
                <w:szCs w:val="18"/>
                <w:color w:val="auto"/>
                <w:w w:val="99"/>
              </w:rPr>
              <w:t>in sales and marketing activities to attract, in particular, more</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2"/>
              </w:rPr>
              <w:t>customers to use our solutions on a self-serve basis, and customers from additional industry</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8"/>
              </w:rPr>
              <w:t>verticals and geographic markets. We also plan to use the remaining portion of the net</w:t>
            </w:r>
          </w:p>
        </w:tc>
      </w:tr>
      <w:tr>
        <w:trPr>
          <w:trHeight w:val="230"/>
        </w:trPr>
        <w:tc>
          <w:tcPr>
            <w:tcW w:w="2680" w:type="dxa"/>
            <w:vAlign w:val="bottom"/>
          </w:tcPr>
          <w:p>
            <w:pPr>
              <w:spacing w:after="0"/>
              <w:rPr>
                <w:sz w:val="20"/>
                <w:szCs w:val="20"/>
                <w:color w:val="auto"/>
              </w:rPr>
            </w:pPr>
          </w:p>
        </w:tc>
        <w:tc>
          <w:tcPr>
            <w:tcW w:w="8280" w:type="dxa"/>
            <w:vAlign w:val="bottom"/>
            <w:gridSpan w:val="5"/>
          </w:tcPr>
          <w:p>
            <w:pPr>
              <w:ind w:left="1500"/>
              <w:spacing w:after="0"/>
              <w:rPr>
                <w:sz w:val="20"/>
                <w:szCs w:val="20"/>
                <w:color w:val="auto"/>
              </w:rPr>
            </w:pPr>
            <w:r>
              <w:rPr>
                <w:rFonts w:ascii="Arial" w:cs="Arial" w:eastAsia="Arial" w:hAnsi="Arial"/>
                <w:sz w:val="18"/>
                <w:szCs w:val="18"/>
                <w:color w:val="auto"/>
                <w:w w:val="95"/>
              </w:rPr>
              <w:t>proceeds we receive from this offering for general corporate purposes and in investment,</w:t>
            </w:r>
          </w:p>
        </w:tc>
      </w:tr>
    </w:tbl>
    <w:p>
      <w:pPr>
        <w:ind w:left="4380"/>
        <w:spacing w:after="0" w:line="254" w:lineRule="auto"/>
        <w:rPr>
          <w:sz w:val="20"/>
          <w:szCs w:val="20"/>
          <w:color w:val="auto"/>
        </w:rPr>
      </w:pPr>
      <w:r>
        <w:rPr>
          <w:rFonts w:ascii="Arial" w:cs="Arial" w:eastAsia="Arial" w:hAnsi="Arial"/>
          <w:sz w:val="18"/>
          <w:szCs w:val="18"/>
          <w:color w:val="auto"/>
        </w:rPr>
        <w:t>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2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See “Use of Proceeds” for more information.</w:t>
      </w:r>
    </w:p>
    <w:p>
      <w:pPr>
        <w:sectPr>
          <w:pgSz w:w="11900" w:h="16838" w:orient="portrait"/>
          <w:cols w:equalWidth="0" w:num="1">
            <w:col w:w="11180"/>
          </w:cols>
          <w:pgMar w:left="240" w:top="459" w:right="47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“Risk Factors” and other information included in this prospectus for a discussion of risks you should carefully consider before investing in the ADSs.</w:t>
      </w:r>
    </w:p>
    <w:p>
      <w:pPr>
        <w:spacing w:after="0" w:line="197"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We intend to apply to have the ADSs listed on the NASDAQ Global Market under the symbol “ICLK.” Our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Lock-up</w:t>
      </w:r>
    </w:p>
    <w:p>
      <w:pPr>
        <w:spacing w:after="0" w:line="20" w:lineRule="exact"/>
        <w:rPr>
          <w:sz w:val="20"/>
          <w:szCs w:val="20"/>
          <w:color w:val="auto"/>
        </w:rPr>
      </w:pPr>
      <w:r>
        <w:rPr>
          <w:sz w:val="20"/>
          <w:szCs w:val="20"/>
          <w:color w:val="auto"/>
        </w:rPr>
        <w:br w:type="column"/>
      </w:r>
    </w:p>
    <w:p>
      <w:pPr>
        <w:ind w:right="220"/>
        <w:spacing w:after="0" w:line="302" w:lineRule="auto"/>
        <w:rPr>
          <w:sz w:val="20"/>
          <w:szCs w:val="20"/>
          <w:color w:val="auto"/>
        </w:rPr>
      </w:pPr>
      <w:r>
        <w:rPr>
          <w:rFonts w:ascii="Arial" w:cs="Arial" w:eastAsia="Arial" w:hAnsi="Arial"/>
          <w:sz w:val="16"/>
          <w:szCs w:val="16"/>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181"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ectPr>
          <w:pgSz w:w="11900" w:h="16838" w:orient="portrait"/>
          <w:cols w:equalWidth="0" w:num="2">
            <w:col w:w="3660" w:space="720"/>
            <w:col w:w="680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80"/>
          </w:cols>
          <w:pgMar w:left="240" w:top="459"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722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six months ended June 30, 2016 and 2017 and as of June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24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06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presents our summary consolidated statement of comprehensive income for the years ended December 31, 2015 and 2016 and for the six months ended June 30, 2016 and 2017.</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6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4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5100" w:type="dxa"/>
            <w:vAlign w:val="bottom"/>
            <w:gridSpan w:val="9"/>
          </w:tcPr>
          <w:p>
            <w:pPr>
              <w:jc w:val="right"/>
              <w:ind w:right="920"/>
              <w:spacing w:after="0"/>
              <w:rPr>
                <w:sz w:val="20"/>
                <w:szCs w:val="20"/>
                <w:color w:val="auto"/>
              </w:rPr>
            </w:pPr>
            <w:r>
              <w:rPr>
                <w:rFonts w:ascii="Arial" w:cs="Arial" w:eastAsia="Arial" w:hAnsi="Arial"/>
                <w:sz w:val="14"/>
                <w:szCs w:val="14"/>
                <w:b w:val="1"/>
                <w:bCs w:val="1"/>
                <w:color w:val="auto"/>
              </w:rPr>
              <w:t>(US$ in thousands, except for per share and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Statements of Comprehensive Loss: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revenues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95,357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45,269</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(34,531)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(61,048)</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(28,003)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(42,431)</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17,266</w:t>
            </w:r>
          </w:p>
        </w:tc>
        <w:tc>
          <w:tcPr>
            <w:tcW w:w="3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(8,106)</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(8,584)</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(4,426)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(31,385)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(28,266)</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(14,083)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(12,745)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(26,767)</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(4,936)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(52,236)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(63,617)</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980" w:type="dxa"/>
            <w:vAlign w:val="bottom"/>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(1,082)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(27,330)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(6,586)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(1,556)</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iClick Interactive Asia Group Limited’s ordinary</w:t>
            </w: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(41,797)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(29,659)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(0.59)</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9"/>
              </w:rPr>
              <w:t>Weighted average number of ordinary shares used in per share calculation</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13,130,027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13,151,063</w:t>
            </w:r>
          </w:p>
        </w:tc>
        <w:tc>
          <w:tcPr>
            <w:tcW w:w="3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13,130,027</w:t>
            </w:r>
          </w:p>
        </w:tc>
        <w:tc>
          <w:tcPr>
            <w:tcW w:w="3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13,618,905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554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554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summary consolidated balance sheet data as of December 31, 2015, 2016 and June 30,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As of June 30,</w:t>
            </w: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(US$ in thousands)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Consolidated Balance Sheet Data:</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27,280</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6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US$1,693</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520"/>
              <w:spacing w:after="0"/>
              <w:rPr>
                <w:sz w:val="20"/>
                <w:szCs w:val="20"/>
                <w:color w:val="auto"/>
              </w:rPr>
            </w:pPr>
            <w:r>
              <w:rPr>
                <w:rFonts w:ascii="Arial" w:cs="Arial" w:eastAsia="Arial" w:hAnsi="Arial"/>
                <w:sz w:val="18"/>
                <w:szCs w:val="18"/>
                <w:color w:val="auto"/>
              </w:rPr>
              <w:t>and US$678 as of December 31, 2015, 2016 and June 30, 2017, respectively</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28,423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30,694</w:t>
            </w: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28,197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24,793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34,409</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19,095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14,804</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assets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146,110</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169,640</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149,395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115,124</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126,572</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125,825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20" w:type="dxa"/>
            <w:vAlign w:val="bottom"/>
            <w:shd w:val="clear" w:color="auto" w:fill="CCEEFF"/>
          </w:tcPr>
          <w:p>
            <w:pPr>
              <w:spacing w:after="0"/>
              <w:rPr>
                <w:sz w:val="18"/>
                <w:szCs w:val="18"/>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118,829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129,569</w:t>
            </w:r>
          </w:p>
        </w:tc>
        <w:tc>
          <w:tcPr>
            <w:tcW w:w="6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129,770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(55,929)</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(64,312)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(86,001)</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146,110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169,640</w:t>
            </w:r>
          </w:p>
        </w:tc>
        <w:tc>
          <w:tcPr>
            <w:tcW w:w="64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09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w w:val="99"/>
              </w:rPr>
              <w:t>Six Months Ended 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86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9" w:lineRule="exact"/>
              <w:rPr>
                <w:sz w:val="20"/>
                <w:szCs w:val="20"/>
                <w:color w:val="auto"/>
              </w:rPr>
            </w:pPr>
            <w:r>
              <w:rPr>
                <w:rFonts w:ascii="Arial" w:cs="Arial" w:eastAsia="Arial" w:hAnsi="Arial"/>
                <w:sz w:val="13"/>
                <w:szCs w:val="13"/>
                <w:b w:val="1"/>
                <w:bCs w:val="1"/>
                <w:color w:val="auto"/>
              </w:rPr>
              <w:t>(US$ in</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thousands)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980" w:type="dxa"/>
            <w:vAlign w:val="bottom"/>
          </w:tcPr>
          <w:p>
            <w:pPr>
              <w:jc w:val="right"/>
              <w:ind w:right="235"/>
              <w:spacing w:after="0"/>
              <w:rPr>
                <w:sz w:val="20"/>
                <w:szCs w:val="20"/>
                <w:color w:val="auto"/>
              </w:rPr>
            </w:pPr>
            <w:r>
              <w:rPr>
                <w:rFonts w:ascii="Arial" w:cs="Arial" w:eastAsia="Arial" w:hAnsi="Arial"/>
                <w:sz w:val="14"/>
                <w:szCs w:val="14"/>
                <w:b w:val="1"/>
                <w:bCs w:val="1"/>
                <w:color w:val="auto"/>
                <w:w w:val="84"/>
              </w:rPr>
              <w:t>thousands)</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Gross billing</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178,239</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236,253</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118,674</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Arial" w:cs="Arial" w:eastAsia="Arial" w:hAnsi="Arial"/>
                <w:sz w:val="18"/>
                <w:szCs w:val="18"/>
                <w:color w:val="auto"/>
                <w:w w:val="98"/>
              </w:rPr>
              <w:t>103,420</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41,323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8"/>
              </w:rPr>
              <w:t>112,403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50,371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63,031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136,916</w:t>
            </w:r>
          </w:p>
        </w:tc>
        <w:tc>
          <w:tcPr>
            <w:tcW w:w="820" w:type="dxa"/>
            <w:vAlign w:val="bottom"/>
          </w:tcPr>
          <w:p>
            <w:pPr>
              <w:jc w:val="right"/>
              <w:spacing w:after="0"/>
              <w:rPr>
                <w:sz w:val="20"/>
                <w:szCs w:val="20"/>
                <w:color w:val="auto"/>
              </w:rPr>
            </w:pPr>
            <w:r>
              <w:rPr>
                <w:rFonts w:ascii="Arial" w:cs="Arial" w:eastAsia="Arial" w:hAnsi="Arial"/>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123,850</w:t>
            </w: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20"/>
                <w:szCs w:val="20"/>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68,303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57.6</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40,389</w:t>
            </w:r>
          </w:p>
        </w:tc>
        <w:tc>
          <w:tcPr>
            <w:tcW w:w="70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revenues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65,242</w:t>
            </w:r>
          </w:p>
        </w:tc>
        <w:tc>
          <w:tcPr>
            <w:tcW w:w="82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95,357</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30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45,269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55,741</w:t>
            </w: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11,908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57,761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24,517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42,262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53,334</w:t>
            </w:r>
          </w:p>
        </w:tc>
        <w:tc>
          <w:tcPr>
            <w:tcW w:w="82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37,596</w:t>
            </w:r>
          </w:p>
        </w:tc>
        <w:tc>
          <w:tcPr>
            <w:tcW w:w="8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20,752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13,479</w:t>
            </w:r>
          </w:p>
        </w:tc>
        <w:tc>
          <w:tcPr>
            <w:tcW w:w="7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(1,414)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Adjusted net loss</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(11,583)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(8,999)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(4,477)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(5,602)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right="80" w:hanging="324"/>
        <w:spacing w:after="0" w:line="253"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7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166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5166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5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Year Ended December 31,</w:t>
            </w:r>
          </w:p>
        </w:tc>
        <w:tc>
          <w:tcPr>
            <w:tcW w:w="21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5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(US$ in 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(39,714)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(27,330)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(6,586)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Add / (less):</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EBITDA</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(36,981)</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(20,571)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5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120" w:type="dxa"/>
            <w:vAlign w:val="bottom"/>
          </w:tcPr>
          <w:p>
            <w:pPr>
              <w:spacing w:after="0"/>
              <w:rPr>
                <w:sz w:val="19"/>
                <w:szCs w:val="19"/>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6,494</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21,244</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1,863</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(791)</w:t>
            </w:r>
          </w:p>
        </w:tc>
        <w:tc>
          <w:tcPr>
            <w:tcW w:w="620" w:type="dxa"/>
            <w:vAlign w:val="bottom"/>
          </w:tcPr>
          <w:p>
            <w:pPr>
              <w:jc w:val="right"/>
              <w:spacing w:after="0"/>
              <w:rPr>
                <w:sz w:val="20"/>
                <w:szCs w:val="20"/>
                <w:color w:val="auto"/>
              </w:rPr>
            </w:pPr>
            <w:r>
              <w:rPr>
                <w:rFonts w:ascii="Arial" w:cs="Arial" w:eastAsia="Arial" w:hAnsi="Arial"/>
                <w:sz w:val="18"/>
                <w:szCs w:val="18"/>
                <w:color w:val="auto"/>
              </w:rPr>
              <w:t>1,082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7"/>
        </w:trPr>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(2,240)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(1,414)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(1,881)</w:t>
            </w:r>
          </w:p>
        </w:tc>
      </w:tr>
      <w:tr>
        <w:trPr>
          <w:trHeight w:val="20"/>
        </w:trPr>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13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13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3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Year Ended December 31,</w:t>
            </w:r>
          </w:p>
        </w:tc>
        <w:tc>
          <w:tcPr>
            <w:tcW w:w="21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5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(US$ in 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(39,714)</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(27,330)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(6,586)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(22,245)</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Add:</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19,390</w:t>
            </w:r>
          </w:p>
        </w:tc>
        <w:tc>
          <w:tcPr>
            <w:tcW w:w="5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(3,995)</w:t>
            </w: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14,727</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5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(11,583</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5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 in growth in recent periods, and our historical growth rates may not be indicative of our future growth.</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six months ended June 30, 2017 compared to the same period in 2016 due to a decrease in gross billing from other solutions as we optimized our customer base for other solutions to focus on profitability and liquidity. In future periods, our gross billing and net revenues could further decline or grow more slowly than we expect and the customer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 existing customers while continuing to optimize our customer base;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new customer and further diversify our customer base, including more customers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US$42.3 million in 2015, 2016 and the six months ended June 30, 2017, respectively, gross margins for our mobile audience solutions remained relatively low and decreased during these periods, which contributed to the decrease in our overall gross profit margin from 47.1% in 2015 to 36.0% in 2016 and further to 23.9% in the six months ended June 30, 2017. As we continue to prioritize the execution of our mobile strategy and face increasing competition and pricing pressure for our mobile audience solutions, our profit margin could be materially and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generated net losses of US$39.7 million in 2015, US$27.3 million in 2016, US$6.6 million in the six months ended June 30, 2016 and US$22.2 million in the six months ended June 30, 2017. As of June 30, 2017, we had an accumulated deficit of US$146.6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prospectus, and unforeseen expenses, difficulties, complications and delays and other unknown events. If we are unable to achieve or sustain profitability, the market price of our ADSs may significantly decrease.</w:t>
      </w:r>
    </w:p>
    <w:p>
      <w:pPr>
        <w:spacing w:after="0" w:line="2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margin and the comparability of our financial results may be affected by the relative percentage of gross billing recognized as net revenues under the gross and net models.</w:t>
      </w:r>
    </w:p>
    <w:p>
      <w:pPr>
        <w:spacing w:after="0" w:line="62"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derive revenue under two models. Our revenue from incentives earned from certain website publishers for which we act as sales agent for its content distribution opportunities, or the sales agency model, and our revenue from performing cost-plus advertisement campaigns are reported under the net model. Our revenue from performing specified actions (i.e., a cost-per-mille, or CPM, cost-per-click, or CPC, cost-per-action, or CPA, cost-per-sale, or CPS, cost-per-lead, or CPL, and return-on-investment, or ROI, basis) is reported under the gross model. Please see “Management’s Discussion and Analysis of Financial Condition and Results of Operations —Key Operating and Financial Metrics — Net Revenues” for more details. The gross profit margin under our net model is higher than the gross model as cost of revenues under the net model does not include media cost. Consequently, an increase in the percentage of gross billing recognized as net revenues under our gross model will have a positive impact on our net revenues and a negative impact on gross profit margin. As the relative percentage of gross billing from incentives earned from the website publisher under our sales agency model and from performing cost-plus advertisement campaigns, on the one hand, and from performing specified actions, on the other hand, changes from time to time, the relative percentage of gross billing recognized as net revenues under the two models also fluctuates, which would consequently impact our net revenues and gross margin. Our mobile audience solutions on one hand, and other solutions, on the other hand, each represents a mixture of revenue recognized on gross basis and on net basis and the proportion of each fluctuates from period to period.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Therefore our net revenues, net revenues as a percentage of gross billing, gross margin and the comparability of our financial results in one period to another may be affected by the relative percentage of gross billing recognized as net revenues under the gross model and net model. The relative percentage of gross billing recognized as net revenues under the gross model and net model is in turn, affected by a variety of factors, in particular, the terms of our arrangement with our customers, including whether to conduct their marketing campaigns on a specified-action (i.e., gross) or cost-plus (i.e., net) basis in a particular period, which depends on customers’ needs and goals.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customers or attract new ones could adversely impact our business and results of operations.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do not have long-term customer contracts, and a majority of our customer contracts are for a term of one year or shorter. Our customers, referring to entities which enter into marketing campaign contracts with us and incur marketing spend during the relevant period under either the sales agency model or non-sales agency model and which include direct marketer customers and marketing agencies, are not obligated to use our platform on an exclusive basis and they generally use multiple providers to manage their marketing spend. Accordingly, we must convince our customers to use our platform, increase their usage and spend a larger share of their online marketing budgets with us, and do so on an on-going basis.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ability to achieve customer contract renewals and new customer sales depends on many factors, some of which are out of our control, including:</w:t>
      </w:r>
    </w:p>
    <w:p>
      <w:pPr>
        <w:spacing w:after="0" w:line="15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competitiveness of our pricing and credit terms for our customers, which may, in turn, be constrained by our capital and financial resources,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customers and end marketers,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our customers and end marketers,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our customers and end marketers generally.</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Therefore, we cannot assure you that customers that have generated marketing spend on our platform in the past will continue to spend at similar levels or that they will continue to use our platform at all. We may not be able to replace customers which decrease or cease their usage of our platform with new customers that spend similarly on our platform. We have relied on a limited number of customers to generate a significant portion of our revenues. For example, in 2016, we had two customers that each contributed to more than 10% of our net revenues, including a marketer in the entertainment industry which contributed to 18% of our net revenues and a marketer in the e-commerce industry which contributed to 11% of our net revenues. In the six months ended June 30, 2017, we had one customer that contributed to more than 10% of our net revenues, which was a marketer in the entertainment industry and contributed to 14% of our net revenues.</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addition, we started a comprehensive review of the customer base for other solutions in 2016 to focus on profitability and liquidity. For example, we terminated relationship with certain customers for our other solutions as they had relatively long account receivable cycles and yielded relatively low operating profit margins. Some of these customers were large marketers and had individually accounted for more than 5% of our annual gross billing historically. As a result, gross billing from our other solutions decreased by 9.5% from US$136.9 million in 2015 to US$123.9 million in 2016 and by 40.8% from US$68.3 million in the six months ended June 30, 2016</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US$40.4 million in the same period in 2017. In addition, the total number of our customers decreased by 10.1% from 2,644 in 2015 to 2,376 in 2016 notwithstanding our full year consolidation of OptAim’s results of operations in 2016 compared to our consolidation of OptAim’s results of operations only for the period from July 24 to December 31 in 2015, and by 32.9% from 2,075 in the six months ended June 30, 2016 to 1,392 in the same period in 2017.</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our existing customers do not continue to use or increase their use of our platform, or if we are unable to attract sufficient marketing spend on our platform from new customers, our business and results of operations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customer may materially and adversely affect our business and results of operations.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engage third-party marketing agencies to help source and serve some of our marketers. In 2016, we had over 2,000 customers, including over 1,800 direct marketer customers and over 500 marketing agency customers, which represented over 1,100 end marketers and a significant portion of our gross billing and net revenues. In the six months ended June 30, 2017, we had approximately 1,400 customers, including approximately 1,000 direct marketer customers and approximately 380 agency customers, which represented approximately 900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customers could materially and adversely affect our business and results of operations.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Furthermore, our contractual arrangements with marketing agency customers do not provide us with control or oversight over their day-to-day business activities. If any of our marketing agency customers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 87.7% of our media costs in 2015, 2016 and the six months ended June 30, 2017, respectively. Media costs for content distribution opportunities on our largest channel partner in each of 2015, 2016 and the six months ended June 30, 2017 accounted for 55.0%, 42.2% and 58.8% of our media costs, respectively, during the relevant periods, and media costs for content distribution opportunities on our second largest channel partner in each of 2015, 2016 and the six months ended June 30, 2017 accounted for 22.6%, 36.1% and 11.8%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6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customers on these channels. Under some of our contracts, content distribution channels may terminate the contracts during their terms if we do not meet the minimum marketing spend requirements in the contracts.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we may not be able to negotiate favorable or acceptable terms once the contracts expire. For example, the contract with the content distribution channel under our sales agency model recently expired and as of the date of this prospectus, we are negotiating a new contract with this content distribution channel. The new contract may require us to pay a significant deposit, which will be forfeited in whole or in part depending on the extent to which we meet the minimum marketing spend threshold set out in the contract. Based on our historical marketing spend level on this distribution channel, we expect we will not meet the proposed minimum marketing spend threshold and therefore we expect some of our deposit with this content distribution channel will be forfeited if we enter into this new contract, which will have a material adverse impact on our financial conditions and results of operations.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7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 to us depending on the amount of spend we achieve during the period. See “Management’s Discussion and Analysis of Financial Condition and Results of Operations — Key Operating and Financial Metrics — Net Revenues,” “— Critical Accounting Policies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Revenue recognition — Sales Agent” and “— Critical Accounting Policies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it may affect our overall relationship with the content distribution partner. If these or any other content distribution channel were to change their rebate or incentive programs or to cease doing business with us for any reason, our financial results would be materially adversely affected.</w:t>
      </w:r>
    </w:p>
    <w:p>
      <w:pPr>
        <w:spacing w:after="0" w:line="19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287"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customer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model may be slower among marketers with heightened data security concerns or general demand for highly customizable application software. The acceptance of our solutions delivered as SaaS offerings will depend to a substantial extent on the education of our customers on the SaaS offerings and the widespread adoption of SaaS solutions in general, and we cannot be certain that the trend of adoption of such solutions will continue in the future. Therefore, it is difficult to predict customer demand for our platform or the future growth rate and size of the market for online marketing technology solutions.</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customers.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customer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900" w:right="7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grow customer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customer departure and reputation damages, and materially and adversely affect our business and results of operations.</w:t>
      </w:r>
    </w:p>
    <w:p>
      <w:pPr>
        <w:spacing w:after="0" w:line="26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7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customers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customers is authentic or complete, or that we are able to identify and rectify all non-compliances in a timely manner.</w:t>
      </w:r>
    </w:p>
    <w:p>
      <w:pPr>
        <w:spacing w:after="0" w:line="16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contracts with customers contain a back-to-back representation and warranty as to the truthfulness of the advertising content or an indemnity provision where the customers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customers’ increasing needs, our operating results could be harmed.</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customer departure, which could harm our reputation and adversely affect our business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customer base depends on our ability to maintain a consistently high level of customer services, customer education and technical support, which requires that our account servicing personnel have specific marketing domain knowledge and expertise. If we are unable to hire and train a sufficient number of support staff to provide effective and timely support to our customers, our customers’ appreciation of, or satisfaction with, our solutions may be adversely affected, resulting in reduced customer spending or departure and adversely affect our reputation and materially and adversely affect our business and results of operations.</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6" w:lineRule="exact"/>
        <w:rPr>
          <w:sz w:val="20"/>
          <w:szCs w:val="20"/>
          <w:color w:val="auto"/>
        </w:rPr>
      </w:pPr>
    </w:p>
    <w:p>
      <w:pPr>
        <w:ind w:right="70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future acquisitions, strategic investments, partnerships or alliances could be difficult to integrate, divert the attention of key management personnel, disrupt our business, dilute shareholder value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70" w:lineRule="exact"/>
        <w:rPr>
          <w:sz w:val="20"/>
          <w:szCs w:val="20"/>
          <w:color w:val="auto"/>
        </w:rPr>
      </w:pPr>
    </w:p>
    <w:p>
      <w:pPr>
        <w:ind w:left="900" w:right="5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153" w:lineRule="exact"/>
        <w:rPr>
          <w:rFonts w:ascii="Arial" w:cs="Arial" w:eastAsia="Arial" w:hAnsi="Arial"/>
          <w:sz w:val="16"/>
          <w:szCs w:val="16"/>
          <w:color w:val="auto"/>
        </w:rPr>
      </w:pPr>
    </w:p>
    <w:p>
      <w:pPr>
        <w:jc w:val="both"/>
        <w:ind w:left="900" w:right="20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June 30, 2017, we had US$48.5 million of goodwill, which represented approximately 32.5%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Prior to this offering, we were a private company with limited accounting personnel and other resources with which to address our internal controls and procedures. Our management has not completed an assessment of 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7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 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Upon completion of this offering, we will become a public company in the United States subject to the Sarbanes-Oxley Act of 2002. Section 404 of the Sarbanes-Oxley Act of 2002, or Section 404, will require that we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9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7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customers.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customers.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customers, and our business and results of operations may be harmed.</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customer confidence in, and the use of, our solutions. Harm to our reputation and customer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customers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customers or retain our existing customers and our business and results of operations can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customers, inability to attract future customers, reputational damage, regulatory intervention and financial harm, which could negatively impact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this offering, to respond to business challenges, including to better support and serve our customers and provide better terms for our customers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Sammy Hsieh,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9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6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 However, we cannot assure you that such transition will be completed in a timely manner or at all as some of our customers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six months ended June 30, 2017, OptAim contributed 60.1% to our gross billing and 74.1% of our net revenues.</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our customers and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Bejing’s contractual arrangements with OptAim Network and its shareholders to conduct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operations in China, including to transfer such operations to our VIE to the extent they are deemed foreign-related survey.</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customer contracts of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2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7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6"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2"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5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5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Any funds we transfer to our PRC subsidiaries, either as a shareholder loan or as an increase in registered capital, are subject to approval by or registration with relevant governmental authorities in China. According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this offering and to capitalize our PRC operations may be negatively affected, which could adversely affect our liquidity and our ability to fund and expand our business.</w:t>
      </w:r>
    </w:p>
    <w:p>
      <w:pPr>
        <w:spacing w:after="0" w:line="182"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140"/>
        <w:spacing w:after="0" w:line="269"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system prevents us from obtaining sufficient foreign currencies to satisfy our foreign currency demands, we may not be able to pay dividends in foreign currencies to our shareholders, including holders of our ADSs.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beneficiary owners of our shares who are PRC residents, including Jiping Liu,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 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2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American Depositary Shares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expect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factors, the price and trading volume of our ADSs may be highly volatile due to multiple other factors, including the following:</w:t>
      </w:r>
    </w:p>
    <w:p>
      <w:pPr>
        <w:spacing w:after="0" w:line="154"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affecting us, our customers and end marketers,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62"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We plan to use the net proceeds from this offering primarily for the following purposes: US$ in research and development and big data deep learning capabilities and capacities; US$ in the development and expansion of our suite of solutions and service offerings; and US$ in sales and</w:t>
      </w:r>
    </w:p>
    <w:p>
      <w:pPr>
        <w:spacing w:after="0"/>
        <w:rPr>
          <w:sz w:val="20"/>
          <w:szCs w:val="20"/>
          <w:color w:val="auto"/>
        </w:rPr>
      </w:pPr>
      <w:r>
        <w:rPr>
          <w:rFonts w:ascii="Arial" w:cs="Arial" w:eastAsia="Arial" w:hAnsi="Arial"/>
          <w:sz w:val="16"/>
          <w:szCs w:val="16"/>
          <w:color w:val="auto"/>
        </w:rPr>
        <w:t>marketing activities to attract, in particular, more customers to use our solutions on a self-serve basis, and customers from additional industry verticals and</w:t>
      </w:r>
    </w:p>
    <w:p>
      <w:pPr>
        <w:spacing w:after="0" w:line="3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geographic markets. We also plan to use US$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89"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Immediately prior to the completion of this offering and subject to the approval of our existing shareholders, we expect to create a dual-class share structure such that our ordinary shares will consist of Class A ordinary shares and Class B ordinary shares.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Immediately prior to the completion of this offering and subject to the approval of our existing shareholders, all of the then outstanding ordinary shares held by Mr. Sammy Hsieh and Mr. Jian Tang will be re-designated as Class B ordinary shares. Mr. Hsieh and Mr. Tang, who beneficially own 21.8% of the</w:t>
      </w:r>
    </w:p>
    <w:p>
      <w:pPr>
        <w:ind w:right="60"/>
        <w:spacing w:after="0" w:line="268" w:lineRule="auto"/>
        <w:rPr>
          <w:sz w:val="20"/>
          <w:szCs w:val="20"/>
          <w:color w:val="auto"/>
        </w:rPr>
      </w:pPr>
      <w:r>
        <w:rPr>
          <w:rFonts w:ascii="Arial" w:cs="Arial" w:eastAsia="Arial" w:hAnsi="Arial"/>
          <w:sz w:val="17"/>
          <w:szCs w:val="17"/>
          <w:color w:val="auto"/>
        </w:rPr>
        <w:t>aggregate voting power of our company as of the date of this prospectus, will beneficially own approximately % of the aggregate voting power of our company immediately after the completion of this offering due to the disparate voting powers associated with our dual-class share structure, assuming the underwriters do not exercise their over-allotment option. See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Our directors and officers will collectively own an aggregate of % of the total voting power of our outstanding ordinary shares immediately upon completion of this offering, assuming the underwriters do not exercise their over-allotment option. As a result, they have substantial influence over our business, including significant corporate actions such as change of directors, mergers, change of control transactions and other significant corporate actions.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adopted our stock option plan in 2010, or the 2010 plan, and plan to adopt another share incentive plan prior to the completion of this offering, or the 2017 plan, subject to the approval of our shareholders for the purpose of granting share 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account for compensation costs for all share incentives using a fair-value based method and recognize expenses in our consolidated statements of comprehensive income in accordance with U.S. GAAP. Under our 2010 Plan, the maximum aggregate number of ordinary shares which may be issued pursuant to all awards under the plan is 2,398,137. As of the date of this prospectus, options to purchase 2,064,026 ordinary shares have been granted 757,933 of which are not vested, 1,033,338 are fully vested but not exercised, and 272,755 have been exercised. Under the 2017 Plan that we plan to adopt subject to the approval of our shareholders, the maximum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w:t>
      </w:r>
    </w:p>
    <w:p>
      <w:pPr>
        <w:ind w:right="80"/>
        <w:spacing w:after="0" w:line="253" w:lineRule="auto"/>
        <w:rPr>
          <w:sz w:val="20"/>
          <w:szCs w:val="20"/>
          <w:color w:val="auto"/>
        </w:rPr>
      </w:pPr>
      <w:r>
        <w:rPr>
          <w:rFonts w:ascii="Arial" w:cs="Arial" w:eastAsia="Arial" w:hAnsi="Arial"/>
          <w:sz w:val="18"/>
          <w:szCs w:val="18"/>
          <w:color w:val="auto"/>
        </w:rPr>
        <w:t>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9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w:t>
      </w:r>
    </w:p>
    <w:p>
      <w:pPr>
        <w:spacing w:after="0" w:line="2" w:lineRule="exact"/>
        <w:rPr>
          <w:sz w:val="20"/>
          <w:szCs w:val="20"/>
          <w:color w:val="auto"/>
        </w:rPr>
      </w:pPr>
    </w:p>
    <w:p>
      <w:pPr>
        <w:ind w:right="1260"/>
        <w:spacing w:after="0" w:line="261" w:lineRule="auto"/>
        <w:rPr>
          <w:sz w:val="20"/>
          <w:szCs w:val="20"/>
          <w:color w:val="auto"/>
        </w:rPr>
      </w:pPr>
      <w:r>
        <w:rPr>
          <w:rFonts w:ascii="Arial" w:cs="Arial" w:eastAsia="Arial" w:hAnsi="Arial"/>
          <w:sz w:val="18"/>
          <w:szCs w:val="18"/>
          <w:color w:val="auto"/>
        </w:rPr>
        <w:t>There will be ADSs (representing Class A ordinary shares) outstanding immediately after this offering, or ADSs (representing Class A ordinary shares) if the underwriters exercise their over-allotment option in full.</w:t>
      </w:r>
    </w:p>
    <w:p>
      <w:pPr>
        <w:spacing w:after="0" w:line="184"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52" w:lineRule="exact"/>
        <w:rPr>
          <w:sz w:val="20"/>
          <w:szCs w:val="20"/>
          <w:color w:val="auto"/>
        </w:rPr>
      </w:pPr>
    </w:p>
    <w:p>
      <w:pPr>
        <w:ind w:left="900" w:right="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CSRC currently has not issued any definitive rule or interpretation concerning whether offerings like ours under this prospectus are subject to this regulation;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post-offering amended and restated memorandum and articles of association that we expect to adopt and to become effective immediately prior to the completion of this offering will contain anti-takeover provisions that could discourage a third party from acquiring us and adversely affect the rights of holders of our Class A ordinary shares and ADSs.</w:t>
      </w:r>
    </w:p>
    <w:p>
      <w:pPr>
        <w:spacing w:after="0" w:line="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expect to adopt, subject to the approval by our shareholders,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3"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the completion of this offering, we will follow our home country practices and rely on certain exemptions provided by the Nasdaq Stock Market Rules to a foreign private issuer, including exemptions from the requirements to have:</w:t>
      </w:r>
    </w:p>
    <w:p>
      <w:pPr>
        <w:spacing w:after="0" w:line="78"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or to obtain copies of lists of shareholders of these companies. Our directors will have discretion under the post-offering amended and restated memorandum and articles of association we expect to adopt,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5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Under the deposit agreement for our ADSs, the depositary will give us (or our nominee) a discretionary proxy to vote our Class A ordinary shares underlying your ADSs at shareholders’ meetings if you do not give voting instructions to the depositary as to how to vote the Class A ordinary shares underlying your ADSs at any particular shareholders’ meeting, unless:</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our notice of meeting and related voting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purchase ADSs in this offering, you will pay more for your ADSs than the amount paid by our existing shareholders for their ordinary shares on</w:t>
      </w:r>
    </w:p>
    <w:p>
      <w:pPr>
        <w:spacing w:after="0" w:line="46"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a per ADS basis. As a result, you will experience immediate and substantial dilution of US$ per ADS, representing the difference between the assumed initial public offering price of US$ per ADS, the midpoint of the estimated range of the initial public offering price, and our net tangible book value per ADS of US$ as of June 30, 2017, after giving effect to the net proceeds to us from this offering. In addition, you may experience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further dilution to the extent that our ordinary shares are issued upon the exercise of any share options. See “Dilution” for a more complete description of how the value of your investment in our ADSs will be diluted upon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 particularly after we cease to qualify as an emerging growth company.</w:t>
      </w:r>
    </w:p>
    <w:p>
      <w:pPr>
        <w:spacing w:after="0" w:line="129" w:lineRule="exact"/>
        <w:rPr>
          <w:sz w:val="20"/>
          <w:szCs w:val="20"/>
          <w:color w:val="auto"/>
        </w:rPr>
      </w:pPr>
    </w:p>
    <w:p>
      <w:pPr>
        <w:ind w:right="440" w:firstLine="456"/>
        <w:spacing w:after="0" w:line="291" w:lineRule="auto"/>
        <w:rPr>
          <w:sz w:val="20"/>
          <w:szCs w:val="20"/>
          <w:color w:val="auto"/>
        </w:rPr>
      </w:pPr>
      <w:r>
        <w:rPr>
          <w:rFonts w:ascii="Arial" w:cs="Arial" w:eastAsia="Arial" w:hAnsi="Arial"/>
          <w:sz w:val="16"/>
          <w:szCs w:val="16"/>
          <w:color w:val="auto"/>
        </w:rPr>
        <w:t>We will incur additional legal, accounting and other expenses as a public reporting company, particularly after we cease to qualify as an emerging growth company, which occurs on the earliest of (a) the last day of the fiscal year during which we have total annual gross revenues of at least</w:t>
      </w:r>
    </w:p>
    <w:p>
      <w:pPr>
        <w:ind w:right="40"/>
        <w:spacing w:after="0" w:line="268" w:lineRule="auto"/>
        <w:rPr>
          <w:sz w:val="20"/>
          <w:szCs w:val="20"/>
          <w:color w:val="auto"/>
        </w:rPr>
      </w:pPr>
      <w:r>
        <w:rPr>
          <w:rFonts w:ascii="Arial" w:cs="Arial" w:eastAsia="Arial" w:hAnsi="Arial"/>
          <w:sz w:val="17"/>
          <w:szCs w:val="17"/>
          <w:color w:val="auto"/>
        </w:rPr>
        <w:t>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305"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5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regarding our customers and end marketers;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estimate that we will receive net proceeds from this offering of approximately US$ million, or approximately US$ million if the underwriters exercise their option to purchase additional ADSs in full, after deducting underwriting discounts and commissions and the estimated offering expenses</w:t>
      </w:r>
    </w:p>
    <w:p>
      <w:pPr>
        <w:ind w:right="80"/>
        <w:spacing w:after="0" w:line="271" w:lineRule="auto"/>
        <w:rPr>
          <w:sz w:val="20"/>
          <w:szCs w:val="20"/>
          <w:color w:val="auto"/>
        </w:rPr>
      </w:pPr>
      <w:r>
        <w:rPr>
          <w:rFonts w:ascii="Arial" w:cs="Arial" w:eastAsia="Arial" w:hAnsi="Arial"/>
          <w:sz w:val="17"/>
          <w:szCs w:val="17"/>
          <w:color w:val="auto"/>
        </w:rPr>
        <w:t>payable by us. These estimates are based upon an assumed initial offering price of US$ per ADS, the midpoint of the range shown on the front cover page of this prospectus. A US$1.00 change in the assumed initial public offering price of US$ per ADS would, in the case of an increase, increase and, in the case of a decrease, decrease the net proceeds of this offering by US$ million, or approximately US$ million if the underwriters exercise their option to purchase additional ADSs in full, assuming the sale of ADSs at US$ per ADS, the midpoint of the range shown on the front cover page of this prospectus and after deducting underwriting discounts and commissions and the estimated offering expenses payable by us.</w:t>
      </w:r>
    </w:p>
    <w:p>
      <w:pPr>
        <w:spacing w:after="0" w:line="17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research and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the development and expansion of our suite of solutions and service offerings;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w:t>
      </w:r>
      <w:r>
        <w:rPr>
          <w:rFonts w:ascii="Arial" w:cs="Arial" w:eastAsia="Arial" w:hAnsi="Arial"/>
          <w:sz w:val="16"/>
          <w:szCs w:val="16"/>
          <w:color w:val="auto"/>
        </w:rPr>
        <w:t>in sales and marketing.</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2017:</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our preferred shares into 9,525,757 Class A ordinary shares on a one-for-one basis upon the completion of the offering;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 pro forma as adjusted basis to reflect (1) the automatic conversion of all of our outstanding preferred shares into 9,525,757 Class A ordinary</w:t>
      </w:r>
    </w:p>
    <w:p>
      <w:pPr>
        <w:spacing w:after="0" w:line="46" w:lineRule="exact"/>
        <w:rPr>
          <w:sz w:val="20"/>
          <w:szCs w:val="20"/>
          <w:color w:val="auto"/>
        </w:rPr>
      </w:pPr>
    </w:p>
    <w:p>
      <w:pPr>
        <w:ind w:left="900"/>
        <w:spacing w:after="0" w:line="273" w:lineRule="auto"/>
        <w:rPr>
          <w:sz w:val="20"/>
          <w:szCs w:val="20"/>
          <w:color w:val="auto"/>
        </w:rPr>
      </w:pPr>
      <w:r>
        <w:rPr>
          <w:rFonts w:ascii="Arial" w:cs="Arial" w:eastAsia="Arial" w:hAnsi="Arial"/>
          <w:sz w:val="17"/>
          <w:szCs w:val="17"/>
          <w:color w:val="auto"/>
        </w:rPr>
        <w:t>shares on a one-for-one basis immediately upon the completion of this offering; and (2) the sale of Class A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7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2"/>
              </w:rPr>
              <w:t>As of June 30, 2017</w:t>
            </w: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340" w:type="dxa"/>
            <w:vAlign w:val="bottom"/>
          </w:tcPr>
          <w:p>
            <w:pPr>
              <w:spacing w:after="0"/>
              <w:rPr>
                <w:sz w:val="10"/>
                <w:szCs w:val="10"/>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Actual</w:t>
            </w:r>
          </w:p>
        </w:tc>
        <w:tc>
          <w:tcPr>
            <w:tcW w:w="14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Pro Forma</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left="77"/>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4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A convertible redeemable preferred shares (US$0.001 par value; 2,500,000 shares authorized as</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of December 31, 2016 and June 30, 2017; 2,476,190 shares issued and outstanding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June 30, 2017; redemption amount of US$6,737 and US$7,290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June 30, 2017, respectively)</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5,654</w:t>
            </w:r>
          </w:p>
        </w:tc>
        <w:tc>
          <w:tcPr>
            <w:tcW w:w="1400" w:type="dxa"/>
            <w:vAlign w:val="bottom"/>
          </w:tcPr>
          <w:p>
            <w:pPr>
              <w:jc w:val="center"/>
              <w:ind w:left="97"/>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B convertible redeemable preferred shares (US$0.001 par value; 3,000,000 shares authorized as</w:t>
            </w: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December 31, 2016 and June 30, 2017; 1,889,249 shares issued and outstanding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June 30, 2017; redemption amount of US$14,625 and US$14,962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June 30, 2017, respectively)</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10,151</w:t>
            </w:r>
          </w:p>
        </w:tc>
        <w:tc>
          <w:tcPr>
            <w:tcW w:w="140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C convertible redeemable preferred shares (US$0.001 par value; 1,650,000 shares authorized as</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of December 31, 2016 and June 30, 2017; 1,599,186 shares issued and outstanding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June 30, 2017; redemption amount of US$22,288 and US$23,163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June 30, 2017, respectively)</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w w:val="98"/>
              </w:rPr>
              <w:t>10,733</w:t>
            </w:r>
          </w:p>
        </w:tc>
        <w:tc>
          <w:tcPr>
            <w:tcW w:w="1400" w:type="dxa"/>
            <w:vAlign w:val="bottom"/>
          </w:tcPr>
          <w:p>
            <w:pPr>
              <w:jc w:val="center"/>
              <w:ind w:left="97"/>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Series D convertible redeemable preferred shares (US$0.001 par value; 4,500,000 shares authorized as</w:t>
            </w: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December 31, 2016 and June 30, 2017; 2,493,018 shares issued and outstanding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June 30, 2017; redemption amount of US$58,874 and US$63,466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June 30, 2017, respectively)</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43,956</w:t>
            </w:r>
          </w:p>
        </w:tc>
        <w:tc>
          <w:tcPr>
            <w:tcW w:w="140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tcPr>
          <w:p>
            <w:pPr>
              <w:ind w:left="360"/>
              <w:spacing w:after="0" w:line="201" w:lineRule="exact"/>
              <w:rPr>
                <w:sz w:val="20"/>
                <w:szCs w:val="20"/>
                <w:color w:val="auto"/>
              </w:rPr>
            </w:pPr>
            <w:r>
              <w:rPr>
                <w:rFonts w:ascii="Arial" w:cs="Arial" w:eastAsia="Arial" w:hAnsi="Arial"/>
                <w:sz w:val="18"/>
                <w:szCs w:val="18"/>
                <w:color w:val="auto"/>
                <w:w w:val="95"/>
              </w:rPr>
              <w:t>Series E convertible redeemable preferred shares (US$0.001 par value; 1,200,000 shares authorized as</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of December 31, 2016 and June 30, 2017; 1,068,114 shares issued and outstanding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June 30, 2017; redemption amount of US$20,000 and US$27,547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40"/>
              <w:spacing w:after="0"/>
              <w:rPr>
                <w:sz w:val="20"/>
                <w:szCs w:val="20"/>
                <w:color w:val="auto"/>
              </w:rPr>
            </w:pPr>
            <w:r>
              <w:rPr>
                <w:rFonts w:ascii="Arial" w:cs="Arial" w:eastAsia="Arial" w:hAnsi="Arial"/>
                <w:sz w:val="18"/>
                <w:szCs w:val="18"/>
                <w:color w:val="auto"/>
              </w:rPr>
              <w:t>December 31, 2016 and June 30, 2017, respectively)</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w w:val="98"/>
              </w:rPr>
              <w:t>18,845</w:t>
            </w:r>
          </w:p>
        </w:tc>
        <w:tc>
          <w:tcPr>
            <w:tcW w:w="1400" w:type="dxa"/>
            <w:vAlign w:val="bottom"/>
          </w:tcPr>
          <w:p>
            <w:pPr>
              <w:jc w:val="center"/>
              <w:ind w:left="97"/>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5620"/>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As of June 30, 2017</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6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Pro Forma</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(US$ in thousands)</w:t>
            </w: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Redeemable ordinary shares (US$0.001 par value; 742,320 shares issued and outstanding as of</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June 30, 2017, respectively)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Shareholders’ deficit: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Ordinary shares (US$0.001 par value; 37,150,000 shares authorized as of December 31, 2016 and</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June 30, 2017; 13,609,208 and 13,629,344 shares issued and outstanding as of December 31,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2016 and June 30, 2017, respectively)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60" w:type="dxa"/>
            <w:vAlign w:val="bottom"/>
          </w:tcPr>
          <w:p>
            <w:pPr>
              <w:ind w:left="360"/>
              <w:spacing w:after="0" w:line="201" w:lineRule="exact"/>
              <w:rPr>
                <w:sz w:val="20"/>
                <w:szCs w:val="20"/>
                <w:color w:val="auto"/>
              </w:rPr>
            </w:pPr>
            <w:r>
              <w:rPr>
                <w:rFonts w:ascii="Arial" w:cs="Arial" w:eastAsia="Arial" w:hAnsi="Arial"/>
                <w:sz w:val="18"/>
                <w:szCs w:val="18"/>
                <w:color w:val="auto"/>
              </w:rPr>
              <w:t>Treasury shares (2,149,280 and 2,129,144 shares as of December 31, 2016 and June 30, 2017,</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(2,176)</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(2,176)</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247,349</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(3,412)</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(3,412)</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(146,630)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(146,630)</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(86,001)</w:t>
            </w:r>
          </w:p>
        </w:tc>
        <w:tc>
          <w:tcPr>
            <w:tcW w:w="15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95,236</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Total mezzanine equity and shareholders’ (deficit)/equity</w:t>
            </w:r>
          </w:p>
        </w:tc>
        <w:tc>
          <w:tcPr>
            <w:tcW w:w="700" w:type="dxa"/>
            <w:vAlign w:val="bottom"/>
          </w:tcPr>
          <w:p>
            <w:pPr>
              <w:jc w:val="right"/>
              <w:spacing w:after="0"/>
              <w:rPr>
                <w:sz w:val="20"/>
                <w:szCs w:val="20"/>
                <w:color w:val="auto"/>
              </w:rPr>
            </w:pPr>
            <w:r>
              <w:rPr>
                <w:rFonts w:ascii="Arial" w:cs="Arial" w:eastAsia="Arial" w:hAnsi="Arial"/>
                <w:sz w:val="18"/>
                <w:szCs w:val="18"/>
                <w:color w:val="auto"/>
              </w:rPr>
              <w:t>19,625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95,236</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24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460" w:right="30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US$</w:t>
      </w:r>
      <w:r>
        <w:rPr>
          <w:rFonts w:ascii="Arial" w:cs="Arial" w:eastAsia="Arial" w:hAnsi="Arial"/>
          <w:sz w:val="16"/>
          <w:szCs w:val="16"/>
          <w:color w:val="auto"/>
        </w:rPr>
        <w:t>per ADS would, in the case of an increase, increase and, in the case of a decrease, decrease each of additional paid-in capital, total</w:t>
      </w:r>
    </w:p>
    <w:p>
      <w:pPr>
        <w:spacing w:after="0" w:line="9" w:lineRule="exact"/>
        <w:rPr>
          <w:sz w:val="20"/>
          <w:szCs w:val="20"/>
          <w:color w:val="auto"/>
        </w:rPr>
      </w:pPr>
    </w:p>
    <w:p>
      <w:pPr>
        <w:ind w:left="460"/>
        <w:spacing w:after="0"/>
        <w:tabs>
          <w:tab w:leader="none" w:pos="6840" w:val="left"/>
        </w:tabs>
        <w:rPr>
          <w:sz w:val="20"/>
          <w:szCs w:val="20"/>
          <w:color w:val="auto"/>
        </w:rPr>
      </w:pPr>
      <w:r>
        <w:rPr>
          <w:rFonts w:ascii="Arial" w:cs="Arial" w:eastAsia="Arial" w:hAnsi="Arial"/>
          <w:sz w:val="18"/>
          <w:szCs w:val="18"/>
          <w:color w:val="auto"/>
        </w:rPr>
        <w:t>shareholders’ deficit and total mezzanine equity and shareholders’ deficit by US$</w:t>
      </w:r>
      <w:r>
        <w:rPr>
          <w:sz w:val="20"/>
          <w:szCs w:val="20"/>
          <w:color w:val="auto"/>
        </w:rPr>
        <w:tab/>
      </w: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net tangible book value as of June 30, 2017 was approximately US$(41.6) million, or US$(2.9) per ordinary share as of that date, and US$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Pro forma as adjusted net tangible book value per ordinary share is calculated after giving effect to the automatic conversion of all our issued and outstanding convertible preferred shares and the issuance of Class A ordinary shares in the form of ADS by us in this offering. Dilution is determined by subtracting pro forma as adjusted net tangible book value per ordinary share from the public offering price per ordinary share.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Without taking into account any other changes in net tangible book value after June 30, 2017, other than to give effect to (i) the automatic conversion of all of our issued and outstanding convertible preferred shares into 9,525,757 Class A ordinary shares concurrently with the completion of this offering and</w:t>
      </w:r>
    </w:p>
    <w:p>
      <w:pPr>
        <w:ind w:right="80"/>
        <w:spacing w:after="0" w:line="281" w:lineRule="auto"/>
        <w:rPr>
          <w:sz w:val="20"/>
          <w:szCs w:val="20"/>
          <w:color w:val="auto"/>
        </w:rPr>
      </w:pPr>
      <w:r>
        <w:rPr>
          <w:rFonts w:ascii="Arial" w:cs="Arial" w:eastAsia="Arial" w:hAnsi="Arial"/>
          <w:sz w:val="16"/>
          <w:szCs w:val="16"/>
          <w:color w:val="auto"/>
        </w:rPr>
        <w:t>(ii) the issuance and sale by us of Class A ordinary shares in the form of ADSs in this offering at an assumed initial public offering price of US$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w:t>
      </w:r>
    </w:p>
    <w:tbl>
      <w:tblPr>
        <w:tblLayout w:type="fixed"/>
        <w:tblInd w:w="0" w:type="dxa"/>
        <w:tblCellMar>
          <w:top w:w="0" w:type="dxa"/>
          <w:left w:w="0" w:type="dxa"/>
          <w:bottom w:w="0" w:type="dxa"/>
          <w:right w:w="0" w:type="dxa"/>
        </w:tblCellMar>
      </w:tblPr>
      <w:tr>
        <w:trPr>
          <w:trHeight w:val="204"/>
        </w:trPr>
        <w:tc>
          <w:tcPr>
            <w:tcW w:w="7580" w:type="dxa"/>
            <w:vAlign w:val="bottom"/>
            <w:gridSpan w:val="2"/>
          </w:tcPr>
          <w:p>
            <w:pPr>
              <w:spacing w:after="0" w:line="204" w:lineRule="exact"/>
              <w:rPr>
                <w:sz w:val="20"/>
                <w:szCs w:val="20"/>
                <w:color w:val="auto"/>
              </w:rPr>
            </w:pPr>
            <w:r>
              <w:rPr>
                <w:rFonts w:ascii="Arial" w:cs="Arial" w:eastAsia="Arial" w:hAnsi="Arial"/>
                <w:sz w:val="18"/>
                <w:szCs w:val="18"/>
                <w:color w:val="auto"/>
                <w:w w:val="93"/>
              </w:rPr>
              <w:t>forma as adjusted net tangible book value as of June 30, 2017 would have been US$   million, or US$</w:t>
            </w:r>
          </w:p>
        </w:tc>
        <w:tc>
          <w:tcPr>
            <w:tcW w:w="32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per outstanding ordinary share and US$</w:t>
            </w:r>
          </w:p>
        </w:tc>
        <w:tc>
          <w:tcPr>
            <w:tcW w:w="580" w:type="dxa"/>
            <w:vAlign w:val="bottom"/>
            <w:gridSpan w:val="2"/>
          </w:tcPr>
          <w:p>
            <w:pPr>
              <w:jc w:val="center"/>
              <w:spacing w:after="0" w:line="204" w:lineRule="exact"/>
              <w:rPr>
                <w:sz w:val="20"/>
                <w:szCs w:val="20"/>
                <w:color w:val="auto"/>
              </w:rPr>
            </w:pPr>
            <w:r>
              <w:rPr>
                <w:rFonts w:ascii="Arial" w:cs="Arial" w:eastAsia="Arial" w:hAnsi="Arial"/>
                <w:sz w:val="18"/>
                <w:szCs w:val="18"/>
                <w:color w:val="auto"/>
                <w:w w:val="84"/>
              </w:rPr>
              <w:t>per</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w w:val="91"/>
              </w:rPr>
              <w:t>ADS. This represents an immediate increase in pro forma net tangible book value of US$</w:t>
            </w:r>
          </w:p>
        </w:tc>
        <w:tc>
          <w:tcPr>
            <w:tcW w:w="4320" w:type="dxa"/>
            <w:vAlign w:val="bottom"/>
            <w:gridSpan w:val="3"/>
          </w:tcPr>
          <w:p>
            <w:pPr>
              <w:jc w:val="right"/>
              <w:ind w:right="288"/>
              <w:spacing w:after="0"/>
              <w:rPr>
                <w:sz w:val="20"/>
                <w:szCs w:val="20"/>
                <w:color w:val="auto"/>
              </w:rPr>
            </w:pPr>
            <w:r>
              <w:rPr>
                <w:rFonts w:ascii="Arial" w:cs="Arial" w:eastAsia="Arial" w:hAnsi="Arial"/>
                <w:sz w:val="18"/>
                <w:szCs w:val="18"/>
                <w:color w:val="auto"/>
                <w:w w:val="94"/>
              </w:rPr>
              <w:t>per ordinary share and US$  per ADS to the existing</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w w:val="92"/>
              </w:rPr>
              <w:t>shareholders and an immediate dilution in net tangible book value of US$  per ordinary share and US$</w:t>
            </w:r>
          </w:p>
        </w:tc>
        <w:tc>
          <w:tcPr>
            <w:tcW w:w="3840" w:type="dxa"/>
            <w:vAlign w:val="bottom"/>
            <w:gridSpan w:val="4"/>
          </w:tcPr>
          <w:p>
            <w:pPr>
              <w:ind w:left="80"/>
              <w:spacing w:after="0"/>
              <w:rPr>
                <w:sz w:val="20"/>
                <w:szCs w:val="20"/>
                <w:color w:val="auto"/>
              </w:rPr>
            </w:pPr>
            <w:r>
              <w:rPr>
                <w:rFonts w:ascii="Arial" w:cs="Arial" w:eastAsia="Arial" w:hAnsi="Arial"/>
                <w:sz w:val="18"/>
                <w:szCs w:val="18"/>
                <w:color w:val="auto"/>
              </w:rPr>
              <w:t>per ADS to investors purchasing ADSs in this</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offering. The following table illustrates such dilution:</w:t>
            </w: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jc w:val="center"/>
              <w:ind w:right="848"/>
              <w:spacing w:after="0"/>
              <w:rPr>
                <w:sz w:val="20"/>
                <w:szCs w:val="20"/>
                <w:color w:val="auto"/>
              </w:rPr>
            </w:pPr>
            <w:r>
              <w:rPr>
                <w:rFonts w:ascii="Arial" w:cs="Arial" w:eastAsia="Arial" w:hAnsi="Arial"/>
                <w:sz w:val="14"/>
                <w:szCs w:val="14"/>
                <w:b w:val="1"/>
                <w:bCs w:val="1"/>
                <w:color w:val="auto"/>
                <w:w w:val="96"/>
              </w:rPr>
              <w:t>Per ordinary</w:t>
            </w: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Per ADS</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center"/>
              <w:ind w:right="848"/>
              <w:spacing w:after="0"/>
              <w:rPr>
                <w:sz w:val="20"/>
                <w:szCs w:val="20"/>
                <w:color w:val="auto"/>
              </w:rPr>
            </w:pPr>
            <w:r>
              <w:rPr>
                <w:rFonts w:ascii="Arial" w:cs="Arial" w:eastAsia="Arial" w:hAnsi="Arial"/>
                <w:sz w:val="14"/>
                <w:szCs w:val="14"/>
                <w:b w:val="1"/>
                <w:bCs w:val="1"/>
                <w:color w:val="auto"/>
                <w:w w:val="85"/>
              </w:rPr>
              <w:t>share</w:t>
            </w: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Borders>
              <w:top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US$</w:t>
            </w: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Actual net tangible book value per ordinary share as of June 30, 2017</w:t>
            </w:r>
          </w:p>
        </w:tc>
        <w:tc>
          <w:tcPr>
            <w:tcW w:w="1060" w:type="dxa"/>
            <w:vAlign w:val="bottom"/>
          </w:tcPr>
          <w:p>
            <w:pPr>
              <w:spacing w:after="0"/>
              <w:rPr>
                <w:sz w:val="18"/>
                <w:szCs w:val="18"/>
                <w:color w:val="auto"/>
              </w:rPr>
            </w:pPr>
          </w:p>
        </w:tc>
        <w:tc>
          <w:tcPr>
            <w:tcW w:w="3260" w:type="dxa"/>
            <w:vAlign w:val="bottom"/>
            <w:gridSpan w:val="2"/>
          </w:tcPr>
          <w:p>
            <w:pPr>
              <w:jc w:val="right"/>
              <w:ind w:right="788"/>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per ordinary share after giving effect to the automatic conversion of all of our</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convertible preferred shares into ordinary shares</w:t>
            </w: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40" w:type="dxa"/>
            <w:vAlign w:val="bottom"/>
            <w:gridSpan w:val="4"/>
          </w:tcPr>
          <w:p>
            <w:pPr>
              <w:spacing w:after="0" w:line="201" w:lineRule="exact"/>
              <w:rPr>
                <w:sz w:val="20"/>
                <w:szCs w:val="20"/>
                <w:color w:val="auto"/>
              </w:rPr>
            </w:pPr>
            <w:r>
              <w:rPr>
                <w:rFonts w:ascii="Arial" w:cs="Arial" w:eastAsia="Arial" w:hAnsi="Arial"/>
                <w:sz w:val="18"/>
                <w:szCs w:val="18"/>
                <w:color w:val="auto"/>
              </w:rPr>
              <w:t>Pro forma as adjusted net tangible book value per ordinary share after giving effect to (i) the automatic conversion</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40" w:type="dxa"/>
            <w:vAlign w:val="bottom"/>
            <w:gridSpan w:val="4"/>
          </w:tcPr>
          <w:p>
            <w:pPr>
              <w:ind w:left="180"/>
              <w:spacing w:after="0"/>
              <w:rPr>
                <w:sz w:val="20"/>
                <w:szCs w:val="20"/>
                <w:color w:val="auto"/>
              </w:rPr>
            </w:pPr>
            <w:r>
              <w:rPr>
                <w:rFonts w:ascii="Arial" w:cs="Arial" w:eastAsia="Arial" w:hAnsi="Arial"/>
                <w:sz w:val="18"/>
                <w:szCs w:val="18"/>
                <w:color w:val="auto"/>
              </w:rPr>
              <w:t>of all of our issued and outstanding convertible preferred shares into ordinary shares and (ii) the issuance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of  ordinary shares in the form of ADSs in this offering</w:t>
            </w: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Dilution in net tangible book value per ordinary share to new investors in the offering</w:t>
            </w: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tcPr>
          <w:p>
            <w:pPr>
              <w:ind w:left="460"/>
              <w:spacing w:after="0"/>
              <w:rPr>
                <w:sz w:val="20"/>
                <w:szCs w:val="20"/>
                <w:color w:val="auto"/>
              </w:rPr>
            </w:pPr>
            <w:r>
              <w:rPr>
                <w:rFonts w:ascii="Arial" w:cs="Arial" w:eastAsia="Arial" w:hAnsi="Arial"/>
                <w:sz w:val="18"/>
                <w:szCs w:val="18"/>
                <w:color w:val="auto"/>
                <w:w w:val="93"/>
              </w:rPr>
              <w:t>A US$1.00 increase (decrease) in the assumed initial public offering price of US$</w:t>
            </w:r>
          </w:p>
        </w:tc>
        <w:tc>
          <w:tcPr>
            <w:tcW w:w="4900" w:type="dxa"/>
            <w:vAlign w:val="bottom"/>
            <w:gridSpan w:val="5"/>
          </w:tcPr>
          <w:p>
            <w:pPr>
              <w:ind w:left="60"/>
              <w:spacing w:after="0"/>
              <w:rPr>
                <w:sz w:val="20"/>
                <w:szCs w:val="20"/>
                <w:color w:val="auto"/>
              </w:rPr>
            </w:pPr>
            <w:r>
              <w:rPr>
                <w:rFonts w:ascii="Arial" w:cs="Arial" w:eastAsia="Arial" w:hAnsi="Arial"/>
                <w:sz w:val="18"/>
                <w:szCs w:val="18"/>
                <w:color w:val="auto"/>
              </w:rPr>
              <w:t>per ADS (the mid-point of the estimated initial public offering</w:t>
            </w:r>
          </w:p>
        </w:tc>
        <w:tc>
          <w:tcPr>
            <w:tcW w:w="0" w:type="dxa"/>
            <w:vAlign w:val="bottom"/>
          </w:tcPr>
          <w:p>
            <w:pPr>
              <w:spacing w:after="0"/>
              <w:rPr>
                <w:sz w:val="1"/>
                <w:szCs w:val="1"/>
                <w:color w:val="auto"/>
              </w:rPr>
            </w:pPr>
          </w:p>
        </w:tc>
      </w:tr>
    </w:tbl>
    <w:p>
      <w:pPr>
        <w:ind w:right="80"/>
        <w:spacing w:after="0" w:line="254" w:lineRule="auto"/>
        <w:rPr>
          <w:sz w:val="20"/>
          <w:szCs w:val="20"/>
          <w:color w:val="auto"/>
        </w:rPr>
      </w:pPr>
      <w:r>
        <w:rPr>
          <w:rFonts w:ascii="Arial" w:cs="Arial" w:eastAsia="Arial" w:hAnsi="Arial"/>
          <w:sz w:val="18"/>
          <w:szCs w:val="18"/>
          <w:color w:val="auto"/>
        </w:rPr>
        <w:t>price range shown on the cover page of this prospectus) would increase (decrease) our pro forma net tangible book value after giving effect to the offering by US$ million, the pro forma net tangible book value per ordinary share and per ADS after giving effect to the automatic conversion of our convertible preferred shares and this offering by US$ per ordinary share and US$ per ADS and the dilution in pro forma net tangible book value per ordinary share and per ADS to new investors in this offering by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 per ordinary share and US$ per ADS, assuming no change to the number of ADSs offered by us as set forth on the cover page of this prospectus, and after deducting the estimated underwriting discounts and commissions and estimated offering expenses payable by us.</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following table summarizes, on a pro forma basis as adjusted basis as of June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900" w:type="dxa"/>
            <w:vAlign w:val="bottom"/>
            <w:gridSpan w:val="4"/>
          </w:tcPr>
          <w:p>
            <w:pPr>
              <w:jc w:val="center"/>
              <w:ind w:right="448"/>
              <w:spacing w:after="0"/>
              <w:rPr>
                <w:sz w:val="20"/>
                <w:szCs w:val="20"/>
                <w:color w:val="auto"/>
              </w:rPr>
            </w:pPr>
            <w:r>
              <w:rPr>
                <w:rFonts w:ascii="Arial" w:cs="Arial" w:eastAsia="Arial" w:hAnsi="Arial"/>
                <w:sz w:val="14"/>
                <w:szCs w:val="14"/>
                <w:b w:val="1"/>
                <w:bCs w:val="1"/>
                <w:color w:val="auto"/>
                <w:w w:val="93"/>
              </w:rPr>
              <w:t>Ordinary Shares</w:t>
            </w:r>
          </w:p>
        </w:tc>
        <w:tc>
          <w:tcPr>
            <w:tcW w:w="14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vMerge w:val="restart"/>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Average Price per</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20" w:type="dxa"/>
            <w:vAlign w:val="bottom"/>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Ordinary Share</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ADS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70"/>
              </w:rPr>
              <w:t>thousands</w:t>
            </w:r>
          </w:p>
        </w:tc>
        <w:tc>
          <w:tcPr>
            <w:tcW w:w="5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70"/>
              </w:rPr>
              <w:t>, except</w:t>
            </w:r>
          </w:p>
        </w:tc>
        <w:tc>
          <w:tcPr>
            <w:tcW w:w="5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Percent</w:t>
            </w:r>
          </w:p>
        </w:tc>
        <w:tc>
          <w:tcPr>
            <w:tcW w:w="2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of shares and percentages)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jc w:val="center"/>
              <w:ind w:left="159"/>
              <w:spacing w:after="0" w:line="129" w:lineRule="exact"/>
              <w:rPr>
                <w:sz w:val="20"/>
                <w:szCs w:val="20"/>
                <w:color w:val="auto"/>
              </w:rPr>
            </w:pPr>
            <w:r>
              <w:rPr>
                <w:rFonts w:ascii="Arial" w:cs="Arial" w:eastAsia="Arial" w:hAnsi="Arial"/>
                <w:sz w:val="14"/>
                <w:szCs w:val="14"/>
                <w:b w:val="1"/>
                <w:bCs w:val="1"/>
                <w:color w:val="auto"/>
                <w:w w:val="93"/>
              </w:rPr>
              <w:t>(in</w:t>
            </w:r>
          </w:p>
        </w:tc>
        <w:tc>
          <w:tcPr>
            <w:tcW w:w="520" w:type="dxa"/>
            <w:vAlign w:val="bottom"/>
            <w:vMerge w:val="continue"/>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90"/>
              </w:rPr>
              <w:t>of US$</w:t>
            </w:r>
          </w:p>
        </w:tc>
        <w:tc>
          <w:tcPr>
            <w:tcW w:w="360" w:type="dxa"/>
            <w:vAlign w:val="bottom"/>
            <w:vMerge w:val="continue"/>
          </w:tcPr>
          <w:p>
            <w:pPr>
              <w:spacing w:after="0"/>
              <w:rPr>
                <w:sz w:val="11"/>
                <w:szCs w:val="11"/>
                <w:color w:val="auto"/>
              </w:rPr>
            </w:pPr>
          </w:p>
        </w:tc>
        <w:tc>
          <w:tcPr>
            <w:tcW w:w="54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77"/>
              </w:rPr>
              <w:t>number</w:t>
            </w:r>
          </w:p>
        </w:tc>
        <w:tc>
          <w:tcPr>
            <w:tcW w:w="2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100.0%</w:t>
            </w: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3"/>
          </w:tcPr>
          <w:p>
            <w:pPr>
              <w:ind w:left="460"/>
              <w:spacing w:after="0"/>
              <w:rPr>
                <w:sz w:val="20"/>
                <w:szCs w:val="20"/>
                <w:color w:val="auto"/>
              </w:rPr>
            </w:pPr>
            <w:r>
              <w:rPr>
                <w:rFonts w:ascii="Arial" w:cs="Arial" w:eastAsia="Arial" w:hAnsi="Arial"/>
                <w:sz w:val="18"/>
                <w:szCs w:val="18"/>
                <w:color w:val="auto"/>
                <w:w w:val="92"/>
              </w:rPr>
              <w:t>A US$1.00 increase (decrease) in the assumed public offering price of US$</w:t>
            </w:r>
          </w:p>
        </w:tc>
        <w:tc>
          <w:tcPr>
            <w:tcW w:w="5400" w:type="dxa"/>
            <w:vAlign w:val="bottom"/>
            <w:gridSpan w:val="10"/>
          </w:tcPr>
          <w:p>
            <w:pPr>
              <w:ind w:left="100"/>
              <w:spacing w:after="0"/>
              <w:rPr>
                <w:sz w:val="20"/>
                <w:szCs w:val="20"/>
                <w:color w:val="auto"/>
              </w:rPr>
            </w:pPr>
            <w:r>
              <w:rPr>
                <w:rFonts w:ascii="Arial" w:cs="Arial" w:eastAsia="Arial" w:hAnsi="Arial"/>
                <w:sz w:val="18"/>
                <w:szCs w:val="18"/>
                <w:color w:val="auto"/>
              </w:rPr>
              <w:t>per ADS (the mid-point of the estimated initial public offering price</w:t>
            </w:r>
          </w:p>
        </w:tc>
        <w:tc>
          <w:tcPr>
            <w:tcW w:w="0" w:type="dxa"/>
            <w:vAlign w:val="bottom"/>
          </w:tcPr>
          <w:p>
            <w:pPr>
              <w:spacing w:after="0"/>
              <w:rPr>
                <w:sz w:val="1"/>
                <w:szCs w:val="1"/>
                <w:color w:val="auto"/>
              </w:rPr>
            </w:pPr>
          </w:p>
        </w:tc>
      </w:tr>
    </w:tbl>
    <w:p>
      <w:pPr>
        <w:ind w:right="240"/>
        <w:spacing w:after="0" w:line="261" w:lineRule="auto"/>
        <w:rPr>
          <w:sz w:val="20"/>
          <w:szCs w:val="20"/>
          <w:color w:val="auto"/>
        </w:rPr>
      </w:pPr>
      <w:r>
        <w:rPr>
          <w:rFonts w:ascii="Arial" w:cs="Arial" w:eastAsia="Arial" w:hAnsi="Arial"/>
          <w:sz w:val="18"/>
          <w:szCs w:val="18"/>
          <w:color w:val="auto"/>
        </w:rPr>
        <w:t>range shown on the cover page of this prospectus) would increase (decrease) total consideration paid by new investors by US$ million, assuming that the number of shares offered by us, as set forth on the cover page of this prospectus, remains the same.</w:t>
      </w:r>
    </w:p>
    <w:p>
      <w:pPr>
        <w:spacing w:after="0" w:line="18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As of the date of this prospectus, there are 1,791,271 ordinary shares issuable upon the exercise of outstanding options to purchase ordinary shares and an additional 334,111 ordinary shares reserved for future issuance under the share option incentive scheme we adopted in 2010, or the 2010 Plan. To the extent that any of the unvested options later vest are exercised to purchase ordinary shares, there will be further dilution to new investors.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2010 Plan, the maximum number of ordinary shares that may be issued to the beneficiaries is 2,398,137, which have been issued to Arda Holdings Limited, or Arda, as trustee to the beneficiaries of the 2010 Plan. As of the date of this prospectus, options to purchase 2,064,026 ordinary shares were granted under the 2010 Plan, 757,933 of which are not vested, 1,033,338 are fully vested but not exercised, and 272,755 have been exercised.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7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plan to adopt a share incentive plan prior to the completion of this offering,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2"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RMB6.7793 to US$1.00 and all translations of Hong Kong dollars into U.S. dollars in this prospectus were made at the rate of HK$7.8055 to US$1.00, each being the noon buying rates on June 30, 2017 as set forth in the H.10 statistical release of the U.S. Federal Reserve Board. We make no representation that the Renminbi referred to in this prospectus could have been or could be converted into U.S. dollars at any particular rate or at all. On September 8, 2017, the noon buying rate for Renminbi was RMB6.4773 to US$1.00 as set forth in the H.10 statistical release of the U.S. Federal Reserve Board.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9"/>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gridSpan w:val="2"/>
            <w:vMerge w:val="continue"/>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Period-End</w:t>
            </w:r>
          </w:p>
        </w:tc>
        <w:tc>
          <w:tcPr>
            <w:tcW w:w="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6.0537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6.1478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6.0537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6.4778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6.2827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6.1870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6.8940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6.8687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6.9132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April</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6.8900</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6.8876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6.8778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6.8988</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6.8098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6.8843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6.9060</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June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6.7793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6.8066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6.7793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6.7679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August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6.5888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6.6670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6.5888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 (through September 8, 2017)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6.5144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Source: Federal Reserve Statistical Release</w:t>
      </w:r>
    </w:p>
    <w:p>
      <w:pPr>
        <w:spacing w:after="0" w:line="23" w:lineRule="exact"/>
        <w:rPr>
          <w:sz w:val="20"/>
          <w:szCs w:val="20"/>
          <w:color w:val="auto"/>
        </w:rPr>
      </w:pPr>
    </w:p>
    <w:p>
      <w:pPr>
        <w:ind w:left="460" w:right="20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6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customers in Southeast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5850" cy="53943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6585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right="100" w:hanging="452"/>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4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customers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customers and its business are gradually being transferred to iClick Interactive Asia Limited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 Media Group Limited: primarily focusing on providing mobile audience solutions and other solutions to Hong Kong customers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certain publisher</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customers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customers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customers through our VIE and the VIE’s subsidiary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customers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in the process of transferring the business operated by our VIE, OptAim Network, to our wholly owned subsidiaries. We expect that by the end of 2018, OptAim (Beijing) Information Technology Co., Ltd.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customers and marketers in and outside China fall within the scope of “foreign-related survey”under the Foreign-related Survey Measures. However, there 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300" w:lineRule="exact"/>
        <w:rPr>
          <w:sz w:val="20"/>
          <w:szCs w:val="20"/>
          <w:color w:val="auto"/>
        </w:rPr>
      </w:pPr>
    </w:p>
    <w:p>
      <w:pPr>
        <w:ind w:right="430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six months ended June 30, 2016 and 2017 and the selected consolidated balance sheet data as of June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6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340" w:type="dxa"/>
            <w:vAlign w:val="bottom"/>
            <w:gridSpan w:val="7"/>
          </w:tcPr>
          <w:p>
            <w:pPr>
              <w:ind w:left="840"/>
              <w:spacing w:after="0" w:line="155" w:lineRule="exact"/>
              <w:rPr>
                <w:sz w:val="20"/>
                <w:szCs w:val="20"/>
                <w:color w:val="auto"/>
              </w:rPr>
            </w:pPr>
            <w:r>
              <w:rPr>
                <w:rFonts w:ascii="Arial" w:cs="Arial" w:eastAsia="Arial" w:hAnsi="Arial"/>
                <w:sz w:val="14"/>
                <w:szCs w:val="14"/>
                <w:b w:val="1"/>
                <w:bCs w:val="1"/>
                <w:color w:val="auto"/>
                <w:w w:val="93"/>
              </w:rPr>
              <w:t>(US$ in thousands, except for per share and share data)</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revenues</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color w:val="auto"/>
              </w:rPr>
              <w:t>65,242</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95,357</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45,269</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(34,531)</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(61,048)</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(28,003)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(42,431)</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3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17,266</w:t>
            </w:r>
          </w:p>
        </w:tc>
        <w:tc>
          <w:tcPr>
            <w:tcW w:w="3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2000" w:type="dxa"/>
            <w:vAlign w:val="bottom"/>
            <w:gridSpan w:val="3"/>
          </w:tcPr>
          <w:p>
            <w:pPr>
              <w:jc w:val="right"/>
              <w:ind w:right="320"/>
              <w:spacing w:after="0"/>
              <w:rPr>
                <w:sz w:val="20"/>
                <w:szCs w:val="20"/>
                <w:color w:val="auto"/>
              </w:rPr>
            </w:pPr>
            <w:r>
              <w:rPr>
                <w:rFonts w:ascii="Arial" w:cs="Arial" w:eastAsia="Arial" w:hAnsi="Arial"/>
                <w:sz w:val="18"/>
                <w:szCs w:val="18"/>
                <w:color w:val="auto"/>
              </w:rPr>
              <w:t>(8,106)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(8,584)</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(4,426)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(31,385)</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(28,266)</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(14,083)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(12,745)</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(26,767)</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(4,936)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(52,236)</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(63,617)</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(23,445)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(21,525)</w:t>
            </w:r>
          </w:p>
        </w:tc>
        <w:tc>
          <w:tcPr>
            <w:tcW w:w="3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(29,308)</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Other gains/(losses), net</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color w:val="auto"/>
              </w:rPr>
              <w:t>791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(1,082)</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(19,390)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7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3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benefit/(expenses)</w:t>
            </w:r>
          </w:p>
        </w:tc>
        <w:tc>
          <w:tcPr>
            <w:tcW w:w="2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555</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Share of losses from an equity investee</w:t>
            </w:r>
          </w:p>
        </w:tc>
        <w:tc>
          <w:tcPr>
            <w:tcW w:w="7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(39,714)</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(27,330)</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w w:val="95"/>
              </w:rPr>
              <w:t>Accretion to convertible redeemable preferred shares redemption value</w:t>
            </w:r>
          </w:p>
        </w:tc>
        <w:tc>
          <w:tcPr>
            <w:tcW w:w="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(1,982)</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(1,556)</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color w:val="auto"/>
              </w:rPr>
              <w:t>2,591</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(41,797)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(29,659)</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(7,724)</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2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w w:val="95"/>
              </w:rPr>
              <w:t>Comprehensive loss attributable to iClick Interactive Asia Group Limited</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Arial" w:cs="Arial" w:eastAsia="Arial" w:hAnsi="Arial"/>
                <w:sz w:val="18"/>
                <w:szCs w:val="18"/>
                <w:color w:val="auto"/>
              </w:rPr>
              <w:t>78</w:t>
            </w: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2320" w:type="dxa"/>
            <w:vAlign w:val="bottom"/>
            <w:gridSpan w:val="9"/>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60" w:type="dxa"/>
            <w:vAlign w:val="bottom"/>
            <w:gridSpan w:val="12"/>
          </w:tcPr>
          <w:p>
            <w:pPr>
              <w:ind w:left="820"/>
              <w:spacing w:after="0" w:line="155" w:lineRule="exact"/>
              <w:rPr>
                <w:sz w:val="20"/>
                <w:szCs w:val="20"/>
                <w:color w:val="auto"/>
              </w:rPr>
            </w:pPr>
            <w:r>
              <w:rPr>
                <w:rFonts w:ascii="Arial" w:cs="Arial" w:eastAsia="Arial" w:hAnsi="Arial"/>
                <w:sz w:val="14"/>
                <w:szCs w:val="14"/>
                <w:b w:val="1"/>
                <w:bCs w:val="1"/>
                <w:color w:val="auto"/>
                <w:w w:val="91"/>
              </w:rPr>
              <w:t>(US$ in thousands, except for per share and share data)</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per share attributable to iClick Interactive Asia Group Limited</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Basic</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(3.58)</w:t>
            </w:r>
          </w:p>
        </w:tc>
        <w:tc>
          <w:tcPr>
            <w:tcW w:w="1740" w:type="dxa"/>
            <w:vAlign w:val="bottom"/>
            <w:gridSpan w:val="4"/>
          </w:tcPr>
          <w:p>
            <w:pPr>
              <w:jc w:val="right"/>
              <w:ind w:right="328"/>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1740" w:type="dxa"/>
            <w:vAlign w:val="bottom"/>
            <w:tcBorders>
              <w:right w:val="single" w:sz="8" w:color="CCEEFF"/>
            </w:tcBorders>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1"/>
              </w:rPr>
              <w:t>Weighted average number of ordinary shares used in per share calculation</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1740" w:type="dxa"/>
            <w:vAlign w:val="bottom"/>
            <w:tcBorders>
              <w:right w:val="single" w:sz="8" w:color="CCEEFF"/>
            </w:tcBorders>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13,151,063</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13,130,027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90"/>
              </w:rPr>
              <w:t>13,618,905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13,151,063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13,130,027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13,618,905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20" w:type="dxa"/>
            <w:vAlign w:val="bottom"/>
            <w:gridSpan w:val="14"/>
          </w:tcPr>
          <w:p>
            <w:pPr>
              <w:ind w:left="440"/>
              <w:spacing w:after="0"/>
              <w:rPr>
                <w:sz w:val="20"/>
                <w:szCs w:val="20"/>
                <w:color w:val="auto"/>
              </w:rPr>
            </w:pPr>
            <w:r>
              <w:rPr>
                <w:rFonts w:ascii="Arial" w:cs="Arial" w:eastAsia="Arial" w:hAnsi="Arial"/>
                <w:sz w:val="18"/>
                <w:szCs w:val="18"/>
                <w:color w:val="auto"/>
                <w:w w:val="99"/>
              </w:rPr>
              <w:t>The following table presents our selected consolidated balance sheet data as of December 31, 2015, 2016 and June 30, 2017.</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(US$ in thousands)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10,395</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27,280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gridSpan w:val="9"/>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receivables of US$1,733, US$1,693 and US$678 as of</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520"/>
              <w:spacing w:after="0"/>
              <w:rPr>
                <w:sz w:val="20"/>
                <w:szCs w:val="20"/>
                <w:color w:val="auto"/>
              </w:rPr>
            </w:pPr>
            <w:r>
              <w:rPr>
                <w:rFonts w:ascii="Arial" w:cs="Arial" w:eastAsia="Arial" w:hAnsi="Arial"/>
                <w:sz w:val="18"/>
                <w:szCs w:val="18"/>
                <w:color w:val="auto"/>
              </w:rPr>
              <w:t>December 31, 2015, 2016 and June 30, 2017, respectively</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8"/>
                <w:szCs w:val="18"/>
                <w:color w:val="auto"/>
              </w:rPr>
              <w:t>28,423</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30,694</w:t>
            </w:r>
          </w:p>
        </w:tc>
        <w:tc>
          <w:tcPr>
            <w:tcW w:w="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28,197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Prepaid media cost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8"/>
                <w:szCs w:val="18"/>
                <w:color w:val="auto"/>
              </w:rPr>
              <w:t>24,793</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34,409</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20,939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8"/>
                <w:szCs w:val="18"/>
                <w:color w:val="auto"/>
              </w:rPr>
              <w:t>19,095</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14,804</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12,689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48,496</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8"/>
                <w:szCs w:val="18"/>
                <w:color w:val="auto"/>
              </w:rPr>
              <w:t>146,110</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169,640</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149,395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Arial" w:cs="Arial" w:eastAsia="Arial" w:hAnsi="Arial"/>
                <w:sz w:val="18"/>
                <w:szCs w:val="18"/>
                <w:color w:val="auto"/>
              </w:rPr>
              <w:t>115,124</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126,572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125,825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3,705</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2,997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118,829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129,569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129,770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83,210</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104,383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(55,929)</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(64,312)</w:t>
            </w:r>
          </w:p>
        </w:tc>
        <w:tc>
          <w:tcPr>
            <w:tcW w:w="1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(86,001)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146,110</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169,640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vMerge w:val="restart"/>
          </w:tcPr>
          <w:p>
            <w:pPr>
              <w:jc w:val="right"/>
              <w:ind w:right="390"/>
              <w:spacing w:after="0"/>
              <w:rPr>
                <w:sz w:val="20"/>
                <w:szCs w:val="20"/>
                <w:color w:val="auto"/>
              </w:rPr>
            </w:pPr>
            <w:r>
              <w:rPr>
                <w:rFonts w:ascii="Arial" w:cs="Arial" w:eastAsia="Arial" w:hAnsi="Arial"/>
                <w:sz w:val="18"/>
                <w:szCs w:val="18"/>
                <w:color w:val="auto"/>
              </w:rPr>
              <w:t>79</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US$12.6 million, or 25.1%, from US$50.4 million in the six months ended June 30, 2016 to US$63.0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60.9% of our total gross billing in the six months ended June 30, 2017, compared to 42.4% in the same period in 2016. Our net revenues from mobile audience solutions represented 60.6% of our net revenues in 2016, compared to 18.3% in 2015 and 75.8% of our net revenues in the six months ended June 30, 2017, compared to 54.2% in the same period in 2016. In addition to mobile audience solutions, we have other online marketing solutions that are primarily focused on non-mobile app channels and search engine marketing.</w:t>
      </w:r>
    </w:p>
    <w:p>
      <w:pPr>
        <w:spacing w:after="0" w:line="17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take a flexible approach to the delivery model of our solutions in order to cater to the preferences and levels of internal resources and sophistication of customers. Customers may choose to access our solutions either through (i) a self-service model, under which they have the flexibility to utilize our solutions “a la carte” to complement their existing marketing resources, and (ii) a managed service model, where our account management team provides in-depth services that suit customers’ specific marketing objectives and budgets utilizing our solutions. We seamlessly address marketers’ needs and deliver a highly integrated customer experience throughout their marketing cycle.</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customers refer to entities which enter into marketing campaign contracts with us and incur marketing spend during the relevant period under either the sales agency model or non-sales agency model. They include direct marketer customers and marketing agencies. We derived over 70% of our gross billing from direct marketer customers in 2015 and 2016 and over 60% of our gross billing from direct marketer customers in the six months ended June 30,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We generate revenues primarily from customers’ marketing spend through our platform as they utilize our solutions under our non-sales agency model, and to a lesser extent from incentives or rebates from certain publishers. Our gross billing grew by 32.5% from US$178.2 million in 2015 to</w:t>
      </w:r>
    </w:p>
    <w:p>
      <w:pPr>
        <w:ind w:right="80"/>
        <w:spacing w:after="0" w:line="252" w:lineRule="auto"/>
        <w:rPr>
          <w:sz w:val="20"/>
          <w:szCs w:val="20"/>
          <w:color w:val="auto"/>
        </w:rPr>
      </w:pPr>
      <w:r>
        <w:rPr>
          <w:rFonts w:ascii="Arial" w:cs="Arial" w:eastAsia="Arial" w:hAnsi="Arial"/>
          <w:sz w:val="18"/>
          <w:szCs w:val="18"/>
          <w:color w:val="auto"/>
        </w:rPr>
        <w:t>US$236.3 million in 2016. Our gross billings decreased by 12.9% from US$118.7 million in the six months ended June 30, 2016 to US$103.4 million in the same period in 2017 due to a decrease in gross billing from other solutions as we terminated relationship with certain customers of other solutions in the first half of 2017 as part of our efforts to optimize the customer base for other solutions to focus on profitability and liquidity. Our net revenues grew by 46.2% from US$65.2 million in 2015 to US$95.4 million in 2016 and by 23.1% from US$45.3 million in the six months ended June 30, 2016 to US$55.7 million in the same period in 2017. Our net loss amounted to US$39.7 million, US$27.3 million and US$22.2 million in 2015, 2016 and the six months ended June 30, 2017,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Since our acquisition of OptAim on July 24, 2015, OptAim has been our wholly owned subsidiary and has been consolidated into our results of operations. Please refer to note 4(b) of our consolidated financial statements as of and for the years ended December 31, 2015 and 2016 included elsewhere in this prospectus. OptAim contributed US$41.1 million to our gross billing and US$11.7 million to our net revenues from July 24, 2015, when we acquired OptAim, to December 31, 2015, contributed US$105.7 million to our gross billing and US$51.1 million to our net revenues in 2016 and contributed US$62.1 million to our gross billing and US$41.3 million to our net revenues in the six months ended June 30, 2017. Intangible assets identified in connection with our acquisition of OptAim are amortized. Amortization expenses of US$1.8 million, US$4.0 million and US$2.0 million were recognized under our cost of revenues in 2015, 2016 and the six months ended June 30, 2017, respectively. In addition, as of June 30, 2017, we had US$48.5 million of goodwill, which represented approximately 32.5% of our total assets, primarily related to our acquisition of OptAim. Goodwill is recorded at fair value and is not amortized, but is reviewed for impairment at least annually or more frequently if impairment indicators arise. Impairment charges could substantially affect our results of operations in the periods of such charges. In addition, impairment charges would negatively impact our financial ratios and could limit our ability to obtain financing in the future. See “Risk Factors — Risks Related to Our Business and Industry — We may be required to record significant impairment charges as a result of our acquisition of OptAim.”</w:t>
      </w:r>
    </w:p>
    <w:p>
      <w:pPr>
        <w:spacing w:after="0" w:line="18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51.8% in the six months ended June 30, 2016 to 35.8% in the same period in 2017 in part due to our streamlining of sales and marketing and general and administrative functions as we further integrated OptAim’s operations, which had been completed by the end of June 30, 2017.</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00" w:type="dxa"/>
            <w:vAlign w:val="bottom"/>
          </w:tcPr>
          <w:p>
            <w:pPr>
              <w:ind w:left="100"/>
              <w:spacing w:after="0" w:line="119" w:lineRule="exact"/>
              <w:rPr>
                <w:sz w:val="20"/>
                <w:szCs w:val="20"/>
                <w:color w:val="auto"/>
              </w:rPr>
            </w:pPr>
            <w:r>
              <w:rPr>
                <w:rFonts w:ascii="Arial" w:cs="Arial" w:eastAsia="Arial" w:hAnsi="Arial"/>
                <w:sz w:val="13"/>
                <w:szCs w:val="13"/>
                <w:b w:val="1"/>
                <w:bCs w:val="1"/>
                <w:color w:val="auto"/>
                <w:w w:val="95"/>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(US$ in</w:t>
            </w: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4"/>
                <w:szCs w:val="14"/>
                <w:b w:val="1"/>
                <w:bCs w:val="1"/>
                <w:color w:val="auto"/>
                <w:w w:val="87"/>
              </w:rPr>
              <w:t>thousands)</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w w:val="84"/>
              </w:rPr>
              <w:t>thousands)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Gross billing</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178,239</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236,253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118,674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w w:val="98"/>
              </w:rPr>
              <w:t>103,420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50,371</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63,031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136,916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123,850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68,303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57.6</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40,389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65,242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95,357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45,269</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55,741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24,517</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42.262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Net revenues from other solutions</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53,334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840" w:type="dxa"/>
            <w:vAlign w:val="bottom"/>
          </w:tcPr>
          <w:p>
            <w:pPr>
              <w:jc w:val="right"/>
              <w:ind w:right="75"/>
              <w:spacing w:after="0"/>
              <w:rPr>
                <w:sz w:val="20"/>
                <w:szCs w:val="20"/>
                <w:color w:val="auto"/>
              </w:rPr>
            </w:pPr>
            <w:r>
              <w:rPr>
                <w:rFonts w:ascii="Arial" w:cs="Arial" w:eastAsia="Arial" w:hAnsi="Arial"/>
                <w:sz w:val="18"/>
                <w:szCs w:val="18"/>
                <w:color w:val="auto"/>
              </w:rPr>
              <w:t>37,596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20,752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13,479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(1,414)</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Adjusted net loss</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(11,583)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(8,999)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(4,477)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(5,602)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340" w:right="280" w:hanging="332"/>
        <w:spacing w:after="0" w:line="253"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Billing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Gross billing from our mobile audience solutions increased, both in absolute amount and as a percentage of total gross billing, from 2015 to 2016 and from the six months ended June 30, 2016 to the same period in 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six months ended June 30, 2016 to the same period in 2017 and from the six months ended June 30, 2016 to the same period in 2017 as we optimized the customer base for other solutions to focus on profitability and liquidity. For example, we terminated relationship with certain customers for our other solutions, as they had relatively long account receivable cycles and yielded relatively low operating profit margins. Some of these customers were large marketers and had individually accounted for more than 5% of our annual gross billing historically.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Our gross billing per customer increased by US$32,020, or 47.5%, from US$67,413 in 2015 to US$99,433 in 2016, while the total number of our customers decreased by 10.1% from 2,644 in 2015 to 2,376 in 2016. Our gross billing per customer increased by US$17,104, or 29.9%, from US$57,192 in the six months ended June 30, 2016 to US$74,296 in the same period in 2017, while the total number of our customers decreased by 32.9% from 2,075 in the six months ended June 30, 2016 to 1,392 in the same period in 2017. This was due to our efforts in optimizing the customer base for other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derive and report our revenue under two models. Our revenue from incentives earned from the website publisher for which we act as sales agent for its content distribution opportunities, or the sales agency model, and our revenue from performing cost-plus marketing campaigns are reported under the net model. Our revenue from performing specified actions advertising campaigns (i.e., a CPM, CPC, CPA, CPS, CPL or ROI basis) is reported under the gross model.</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With respect to the sales agency model, we record incentives from the publisher for which we act as sales agent for its content distribution opportunities as net revenues. The amount of such incentives is determined based on a variety of factors, including yearly market spending at the publisher’s platforms. We do not receive any rebate from the publisher under our sales agency model.</w:t>
      </w:r>
    </w:p>
    <w:p>
      <w:pPr>
        <w:spacing w:after="0" w:line="18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With respect to cost-plus advertising campaigns, we record service fees, net of media costs and, rebates and discounts to customers, as net revenues. Service fees are generally calculated as a percentage of media cost. Such percentage is negotiated on a customer-by-customer, and campaign-by-campaign basis. Rebates received from the publishers for cost-plus advertising campaigns are recorded as net revenues.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With respect to specified action advertising campaigns, we record the aggregate gross dollar amount that our customers spend through our platform, which includes media cost, as net revenues. We charge our customers for specified actions, such as when a user clicks on their marketing messages, or a CPC pricing model, or when their marketing messages are displayed, or a CPM pricing model. Rebates received from publishers are recorded as deduction of cost of revenues under this model.</w:t>
      </w:r>
    </w:p>
    <w:p>
      <w:pPr>
        <w:spacing w:after="0" w:line="18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grant rebates under the sales agency model, cost-plus and specified action advertising campaigns to incentivize and encourage marketers and marketing agencies to use our marketing solutions. These rebates and discounts are calculated based on certain factors, including yearly market spending of the marketers and marketing agencies that we reasonably estimate that they are able to achieve based on the historical spending patterns of similar customers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model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our customers, including whether to conduct their marketing campaigns on a specified-action (i.e., gross) or cost-plus (i.e., net) basis in a particular period, which in turn depends on customers’ needs and goals. Please refer to “— Key Factors Affecting Our Results of Operations — Our Revenue Models” on the impact of our revenue recognition models on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Net revenues as a percentage of gross billing for mobile audience solutions increased from 28.8% in 2015 to 51.4% in 2016, and from 48.7% in the six months ended June 30, 2016 to 67.0% in the same period in 2017 as a larger percentage of marketing campaigns involving mobile audience solutions were conducted on specified-action (i.e., gross) basis in 2016 compared to 2015 and in the six months ended June 30, 2017 compared to the same period in 2016. US$54.2 million, or 48.2%, of gross billing from mobile audience solutions was recognized as net revenues on a gross basis in 2016, compared to US$7.9 million, or 19.1%, in 2015, and US$41.5 million, or 65.9%, of gross billing from mobile audience solutions was recognized as net revenues on a gross basis in the six months ended June 30, 2017, compared to US$21.6 million, or 43.0%, in the same period in 2016. This was a result of the implementation of our go-to-market strategy for mobile audience solutions to capture a larger share of customers’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69"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67" w:lineRule="auto"/>
        <w:rPr>
          <w:sz w:val="20"/>
          <w:szCs w:val="20"/>
          <w:color w:val="auto"/>
        </w:rPr>
      </w:pPr>
      <w:r>
        <w:rPr>
          <w:rFonts w:ascii="Arial" w:cs="Arial" w:eastAsia="Arial" w:hAnsi="Arial"/>
          <w:sz w:val="17"/>
          <w:szCs w:val="17"/>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customers of other solutions, most of which conducted their marketing campaigns on a cost-plus (i.e., net) basis as we started a comprehensive review of our customer base for other solutions in 2016 to focus on profitability and liquidity. Net revenues as a percentage of gross billing for other solutions increased slightly from 30.4% in the six months ended June 30, 2016 to 33.4% in the same period in 2017 as we terminated relationship with certain customers of other solutions with low profitability in the first half of 2017 as part of our efforts to optimize our customer base for other solutions. Such positive impact on net revenues as a percentage of gross billing for other solutions was partially offset by the fact that a larger percentage of marketing campaigns involving other solutions were conducted on a cost-plus (i.e., net) basis in the six months ended June 30, 2017 compared to the same period in 2016. US$35.0 million, or 86.7%, of gross billing from other solutions was recognized as net revenues on a net basis in the six months ended June 30, 2017, compared to US$57.9 million, or 84.8%,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use adjusted EBITDA and adjusted net loss, each a non-GAAP financial measure, in evaluating our operating results and for financial and operational decision making purposes.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Adjusted EBITDA and adjusted net loss should not be considered in isolation or construed as an alternative to net loss or any other measure of performance or as an indicator of our operating performance. Investors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EBITDA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3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7"/>
              </w:rPr>
              <w:t>Year Ended December 31,</w:t>
            </w:r>
          </w:p>
        </w:tc>
        <w:tc>
          <w:tcPr>
            <w:tcW w:w="218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56"/>
        </w:trPr>
        <w:tc>
          <w:tcPr>
            <w:tcW w:w="6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2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(US$ 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(39,714)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(27,330)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(6,586)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(22,245)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Add / (less):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3,181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5,824</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713</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290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222</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EBITDA</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(36,981)</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(20,571)</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tcPr>
          <w:p>
            <w:pPr>
              <w:spacing w:after="0"/>
              <w:rPr>
                <w:sz w:val="19"/>
                <w:szCs w:val="19"/>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6,494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21,244</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1,863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19,390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(3,995)</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14,727</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3,000</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1,082</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7"/>
        </w:trPr>
        <w:tc>
          <w:tcPr>
            <w:tcW w:w="6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(8,850)</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(1,881)</w:t>
            </w:r>
          </w:p>
        </w:tc>
      </w:tr>
      <w:tr>
        <w:trPr>
          <w:trHeight w:val="20"/>
        </w:trPr>
        <w:tc>
          <w:tcPr>
            <w:tcW w:w="6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reconciliation of our net loss to adjusted net loss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3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7"/>
              </w:rPr>
              <w:t>Year Ended December 31,</w:t>
            </w:r>
          </w:p>
        </w:tc>
        <w:tc>
          <w:tcPr>
            <w:tcW w:w="218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9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56"/>
        </w:trPr>
        <w:tc>
          <w:tcPr>
            <w:tcW w:w="6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2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(US$ 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(39,714)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(27,330)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(6,586)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(22,245)</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6,494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21,244</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19,390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(3,995)</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14,727</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3,000</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(791)</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(11,583</w:t>
            </w:r>
          </w:p>
        </w:tc>
        <w:tc>
          <w:tcPr>
            <w:tcW w:w="540" w:type="dxa"/>
            <w:vAlign w:val="bottom"/>
          </w:tcPr>
          <w:p>
            <w:pPr>
              <w:jc w:val="right"/>
              <w:ind w:right="460"/>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optimize customer base and increase customer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66"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 involving our other solutions were conducted on a cost-plus (i.e., net) basis in 2016 compared to 2015 and in the six months ended June 30, 2017 compared to the same period in 2016. See “— Key Operating and Financial Metrics — Net Revenues” and “— Key Factors Affecting Our Results — Net Revenues”.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customers on these channels, especially mobile app channels. We also intend to strengthen our relationships with content distribution channel partners through technology collaboration to faciliate innovative and effective user engagement.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derive revenue under two models. Our revenue from incentives earned from the website publisher for which we act as sales agent for its content distribution opportunities, or the sales agency model, and our revenue from performing cost-plus advertising campaigns are reported under the net model. Our revenue from performing specified actions advertising campaigns (i.e., a CPM, CPC, CPA, CPS, CPL or ROI basis) is reported under the gross model. Please see “— Key Operating and Financial Metrics — Net Revenues” above for more details. The gross profit margin under our net model is higher than the gross model as cost of revenues under the net model does not include media cost. As a result, an increase in the percentage of gross billing recognized as net revenues under our gross model will have a positive impact on our net revenues and a negative impact on gross profit margin. Our mobile audience solutions, on one hand and other solutions, on the other hand, each represents a mixture of revenue recognized on gross basis and on net basis and the proportion of each fluctuates from period to period. Therefore our net revenues, net revenues as a percentage of gross billing, gross margin and the comparability of our financial results in one period to another may be affected by the relative percentage of gross billing recognized as net revenues under the gross model and net model. The relative percentage of gross billing recognized as net revenues under the gross model and net model is in turn, affected by a variety of factors, in particular, the terms of our arrangement with our customers, including whether to conduct their marketing campaigns on a specified-action (i.e., gross) or cost-plus (i.e., net) basis in a particular period, which in turn depends on customers’ needs and goals.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Customer Base and Increase Customer Spending</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growth and profitability are dependent upon our ability to optimize customer base and increase customer’s marketing spend on our platform. We started a comprehensive review of our customer base for other solutions in 2016 to focus on profitability and liquidity. For example, we terminated relationship with certain customers for our other solutions, which had relatively long account receivable cycles and yielded relatively low operating profit margins in 2016 and the first half of 2017. We have also been focused, and expect to continue our focus, on sales to direct marketer customers, which tend to command higher gross profit margin compared to agency customers. Furthermore, our growth and profitability also depend on our ability to attract more customers to our self-service model, and to further diversify our customers base to capture the growth in additional industry verticals and geographic markets.</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ability to increase customer’s marketing spend on our platform depends on whether our solutions can effectively address customers’ evolving and diverse needs in a cost-efficient manner. To that end, we plan to develop and offer more tailored, innovative and user-friendly solutions and services and enhance our sales, marketing and account servicing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performance is significantly dependent on our ability to enlarge audience data set, strengthen data analytics capabilities and innovate technologies. This helps customers achieve more precise audience targeting and enables us to retain customers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customers’ minimum key performance indicator, or KPI requirements without having to purchase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customers’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73"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plan to continue collaborating with customers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580" w:firstLine="456"/>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7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services are the provisions of online marketing services. We utilize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CPM, CPC, CPA, CPS, CPL or ROI) and related campaign budgets, depending on the customers’ preferences and their campaigns launched.</w:t>
      </w:r>
    </w:p>
    <w:p>
      <w:pPr>
        <w:spacing w:after="0" w:line="18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60" w:firstLine="8"/>
        <w:spacing w:after="0" w:line="255"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by having marketing customers market with this publisher. In return, we earn incentives from this publisher based on contractually stipulated amounts once certain spending thresholds are achieved and record such incentives as net revenues. Incentives from this publisher are calculated on both a quarterly and an annual basis in accordance with the terms as listed in the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cost-plus advertisement campaigns, sales are valued at the fair value of the amount received. Discounts granted to clients under cost-plus marketing campaigns, along with free or extended advertising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Throughout the various services delivered to our customers, we earn rebates from our publishers and grant rebates to customers. Rebates we grant under our sales agency arrangement are recorded as costs of revenue while rebates we grant under cost-plus/specified actions arrangement are recorded as deduction from revenue. The corresponding rebates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With respect to rebates received from our publishers, they are recorded as reduction of cost of revenue under the specified actions arrangement while under the cost-plus arrangement, they are recorded as revenue. The corresponding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determining fair value of our preferred shares, we, with the assistance of independent appraisers, adopted a two-step method as follows: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with the assistance of an independent appraiser, mainly performed retrospective valuations instead of contemporaneous valuations because, at the time of valuation, our financial resources and limited human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December 28, 2016, March 31, 2017 and June 30, 2017,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5500" w:type="dxa"/>
            <w:vAlign w:val="bottom"/>
          </w:tcPr>
          <w:p>
            <w:pPr>
              <w:jc w:val="right"/>
              <w:spacing w:after="0"/>
              <w:rPr>
                <w:sz w:val="20"/>
                <w:szCs w:val="20"/>
                <w:color w:val="auto"/>
              </w:rPr>
            </w:pPr>
            <w:r>
              <w:rPr>
                <w:rFonts w:ascii="Arial" w:cs="Arial" w:eastAsia="Arial" w:hAnsi="Arial"/>
                <w:sz w:val="14"/>
                <w:szCs w:val="14"/>
                <w:b w:val="1"/>
                <w:bCs w:val="1"/>
                <w:color w:val="auto"/>
              </w:rPr>
              <w:t>US$ in millions</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August 1, 2015</w:t>
            </w:r>
          </w:p>
        </w:tc>
        <w:tc>
          <w:tcPr>
            <w:tcW w:w="55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December 28, 2016</w:t>
            </w:r>
          </w:p>
        </w:tc>
        <w:tc>
          <w:tcPr>
            <w:tcW w:w="55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June 30, 2017</w:t>
            </w:r>
          </w:p>
        </w:tc>
        <w:tc>
          <w:tcPr>
            <w:tcW w:w="5500" w:type="dxa"/>
            <w:vAlign w:val="bottom"/>
          </w:tcPr>
          <w:p>
            <w:pPr>
              <w:jc w:val="right"/>
              <w:spacing w:after="0"/>
              <w:rPr>
                <w:sz w:val="20"/>
                <w:szCs w:val="20"/>
                <w:color w:val="auto"/>
              </w:rPr>
            </w:pPr>
            <w:r>
              <w:rPr>
                <w:rFonts w:ascii="Arial" w:cs="Arial" w:eastAsia="Arial" w:hAnsi="Arial"/>
                <w:sz w:val="18"/>
                <w:szCs w:val="18"/>
                <w:color w:val="auto"/>
              </w:rPr>
              <w:t>566</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 xml:space="preserve">Weighted average cost of capital, or WACC. </w:t>
      </w:r>
      <w:r>
        <w:rPr>
          <w:rFonts w:ascii="Arial" w:cs="Arial" w:eastAsia="Arial" w:hAnsi="Arial"/>
          <w:sz w:val="16"/>
          <w:szCs w:val="16"/>
          <w:color w:val="auto"/>
        </w:rPr>
        <w:t>Our cash flows were discounted to present value using discount rates that reflect the risks the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and 17.8% for January 1, 2015, August 1, 2015, December 31, 2015, December 28, 2016, March 31, 2017 and June 30, 2017, respectively.</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were selected for reference as our guideline companies.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and 5.7% for January 1, 2015, August 1, 2015, December 31, 2015, December 28, 2016, March 31, 2017 and June 30, 2017 respectively.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US$440.8 million as of December 31, 2016, and increase to US$513.5 million as of March 31, 2017 and further to US$566.2 million as of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change in the fair value of our total equity was primarily attributable to the following factors:</w:t>
      </w:r>
    </w:p>
    <w:p>
      <w:pPr>
        <w:spacing w:after="0" w:line="10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and June 30, 2017, respectively: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8"/>
              </w:rPr>
              <w:t>Liquidation</w:t>
            </w:r>
          </w:p>
        </w:tc>
        <w:tc>
          <w:tcPr>
            <w:tcW w:w="16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352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3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August 1, 2015</w:t>
            </w:r>
          </w:p>
        </w:tc>
        <w:tc>
          <w:tcPr>
            <w:tcW w:w="536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December 28, 2016</w:t>
            </w:r>
          </w:p>
        </w:tc>
        <w:tc>
          <w:tcPr>
            <w:tcW w:w="5360" w:type="dxa"/>
            <w:vAlign w:val="bottom"/>
            <w:gridSpan w:val="3"/>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June 30, 2017</w:t>
            </w:r>
          </w:p>
        </w:tc>
        <w:tc>
          <w:tcPr>
            <w:tcW w:w="5360" w:type="dxa"/>
            <w:vAlign w:val="bottom"/>
            <w:gridSpan w:val="3"/>
          </w:tcPr>
          <w:p>
            <w:pPr>
              <w:jc w:val="right"/>
              <w:ind w:right="720"/>
              <w:spacing w:after="0"/>
              <w:rPr>
                <w:sz w:val="20"/>
                <w:szCs w:val="20"/>
                <w:color w:val="auto"/>
              </w:rPr>
            </w:pPr>
            <w:r>
              <w:rPr>
                <w:rFonts w:ascii="Arial" w:cs="Arial" w:eastAsia="Arial" w:hAnsi="Arial"/>
                <w:sz w:val="18"/>
                <w:szCs w:val="18"/>
                <w:color w:val="auto"/>
              </w:rPr>
              <w:t>5.0%</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350"/>
        </w:trPr>
        <w:tc>
          <w:tcPr>
            <w:tcW w:w="3520" w:type="dxa"/>
            <w:vAlign w:val="bottom"/>
          </w:tcPr>
          <w:p>
            <w:pPr>
              <w:spacing w:after="0"/>
              <w:rPr>
                <w:sz w:val="24"/>
                <w:szCs w:val="24"/>
                <w:color w:val="auto"/>
              </w:rPr>
            </w:pPr>
          </w:p>
        </w:tc>
        <w:tc>
          <w:tcPr>
            <w:tcW w:w="3760" w:type="dxa"/>
            <w:vAlign w:val="bottom"/>
          </w:tcPr>
          <w:p>
            <w:pPr>
              <w:jc w:val="right"/>
              <w:ind w:right="1390"/>
              <w:spacing w:after="0"/>
              <w:rPr>
                <w:sz w:val="20"/>
                <w:szCs w:val="20"/>
                <w:color w:val="auto"/>
              </w:rPr>
            </w:pPr>
            <w:r>
              <w:rPr>
                <w:rFonts w:ascii="Arial" w:cs="Arial" w:eastAsia="Arial" w:hAnsi="Arial"/>
                <w:sz w:val="18"/>
                <w:szCs w:val="18"/>
                <w:color w:val="auto"/>
              </w:rPr>
              <w:t>93</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and June 30, 2017, respectively.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jc w:val="right"/>
              <w:ind w:right="1154"/>
              <w:spacing w:after="0"/>
              <w:rPr>
                <w:sz w:val="20"/>
                <w:szCs w:val="20"/>
                <w:color w:val="auto"/>
              </w:rPr>
            </w:pPr>
            <w:r>
              <w:rPr>
                <w:rFonts w:ascii="Arial" w:cs="Arial" w:eastAsia="Arial" w:hAnsi="Arial"/>
                <w:sz w:val="14"/>
                <w:szCs w:val="14"/>
                <w:b w:val="1"/>
                <w:bCs w:val="1"/>
                <w:color w:val="auto"/>
              </w:rPr>
              <w:t>Preferred Shares</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Ordinary Shares</w:t>
            </w:r>
          </w:p>
        </w:tc>
      </w:tr>
      <w:tr>
        <w:trPr>
          <w:trHeight w:val="142"/>
        </w:trPr>
        <w:tc>
          <w:tcPr>
            <w:tcW w:w="4460" w:type="dxa"/>
            <w:vAlign w:val="bottom"/>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6"/>
              </w:rPr>
              <w:t>Series - A</w:t>
            </w:r>
          </w:p>
        </w:tc>
        <w:tc>
          <w:tcPr>
            <w:tcW w:w="10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Series - B</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C</w:t>
            </w:r>
          </w:p>
        </w:tc>
        <w:tc>
          <w:tcPr>
            <w:tcW w:w="14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Series - D</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w w:val="91"/>
              </w:rPr>
              <w:t>(US$ 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August 1, 2015</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48</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December 28, 2016</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June 30, 2017</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54</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 Stock Compensation.</w:t>
      </w:r>
    </w:p>
    <w:p>
      <w:pPr>
        <w:spacing w:after="0" w:line="17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binomial option pricing model is used to determine the fair value of the share options granted to employees and non-employees. The fair values of share options granted during the years ended December 31, 2015 and 2016 and six months ended June 30, 2017 were estimated using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3560" w:type="dxa"/>
            <w:vAlign w:val="bottom"/>
            <w:vMerge w:val="restart"/>
          </w:tcPr>
          <w:p>
            <w:pPr>
              <w:spacing w:after="0"/>
              <w:rPr>
                <w:sz w:val="14"/>
                <w:szCs w:val="14"/>
                <w:color w:val="auto"/>
              </w:rPr>
            </w:pPr>
          </w:p>
        </w:tc>
        <w:tc>
          <w:tcPr>
            <w:tcW w:w="20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Risk-free interest</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Dividend yield</w:t>
            </w:r>
            <w:r>
              <w:rPr>
                <w:rFonts w:ascii="Arial" w:cs="Arial" w:eastAsia="Arial" w:hAnsi="Arial"/>
                <w:sz w:val="12"/>
                <w:szCs w:val="12"/>
                <w:b w:val="1"/>
                <w:bCs w:val="1"/>
                <w:color w:val="auto"/>
                <w:w w:val="93"/>
              </w:rPr>
              <w:t>(2)</w:t>
            </w:r>
          </w:p>
        </w:tc>
        <w:tc>
          <w:tcPr>
            <w:tcW w:w="960" w:type="dxa"/>
            <w:vAlign w:val="bottom"/>
            <w:vMerge w:val="restart"/>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5"/>
              </w:rPr>
              <w:t>Volatility rate</w:t>
            </w:r>
            <w:r>
              <w:rPr>
                <w:rFonts w:ascii="Arial" w:cs="Arial" w:eastAsia="Arial" w:hAnsi="Arial"/>
                <w:sz w:val="12"/>
                <w:szCs w:val="12"/>
                <w:b w:val="1"/>
                <w:bCs w:val="1"/>
                <w:color w:val="auto"/>
                <w:w w:val="95"/>
              </w:rPr>
              <w:t>(3)</w:t>
            </w:r>
          </w:p>
        </w:tc>
        <w:tc>
          <w:tcPr>
            <w:tcW w:w="960" w:type="dxa"/>
            <w:vAlign w:val="bottom"/>
            <w:vMerge w:val="restart"/>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 (in</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rate</w:t>
            </w:r>
            <w:r>
              <w:rPr>
                <w:rFonts w:ascii="Arial" w:cs="Arial" w:eastAsia="Arial" w:hAnsi="Arial"/>
                <w:sz w:val="12"/>
                <w:szCs w:val="12"/>
                <w:b w:val="1"/>
                <w:bCs w:val="1"/>
                <w:color w:val="auto"/>
                <w:w w:val="94"/>
              </w:rPr>
              <w:t>(1)</w:t>
            </w:r>
          </w:p>
        </w:tc>
        <w:tc>
          <w:tcPr>
            <w:tcW w:w="9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2"/>
                <w:szCs w:val="12"/>
                <w:b w:val="1"/>
                <w:bCs w:val="1"/>
                <w:color w:val="auto"/>
              </w:rPr>
              <w:t>(4)</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2.37%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53.47%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June 30,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2.57%</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2.58%</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52.64%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55.54%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1.62%</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50.52%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2020" w:type="dxa"/>
            <w:vAlign w:val="bottom"/>
            <w:gridSpan w:val="2"/>
          </w:tcPr>
          <w:p>
            <w:pPr>
              <w:jc w:val="right"/>
              <w:ind w:right="800"/>
              <w:spacing w:after="0"/>
              <w:rPr>
                <w:sz w:val="20"/>
                <w:szCs w:val="20"/>
                <w:color w:val="auto"/>
              </w:rPr>
            </w:pPr>
            <w:r>
              <w:rPr>
                <w:rFonts w:ascii="Arial" w:cs="Arial" w:eastAsia="Arial" w:hAnsi="Arial"/>
                <w:sz w:val="18"/>
                <w:szCs w:val="18"/>
                <w:color w:val="auto"/>
              </w:rPr>
              <w:t>2.59%</w:t>
            </w:r>
          </w:p>
        </w:tc>
        <w:tc>
          <w:tcPr>
            <w:tcW w:w="2000" w:type="dxa"/>
            <w:vAlign w:val="bottom"/>
            <w:gridSpan w:val="2"/>
          </w:tcPr>
          <w:p>
            <w:pPr>
              <w:jc w:val="right"/>
              <w:ind w:right="800"/>
              <w:spacing w:after="0"/>
              <w:rPr>
                <w:sz w:val="20"/>
                <w:szCs w:val="20"/>
                <w:color w:val="auto"/>
              </w:rPr>
            </w:pPr>
            <w:r>
              <w:rPr>
                <w:rFonts w:ascii="Arial" w:cs="Arial" w:eastAsia="Arial" w:hAnsi="Arial"/>
                <w:sz w:val="18"/>
                <w:szCs w:val="18"/>
                <w:color w:val="auto"/>
              </w:rPr>
              <w:t>0%</w:t>
            </w: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50.79%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5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5"/>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87"/>
              </w:rPr>
              <w:t>thousands)</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45,269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55,741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(34,531)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(61,048)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(28,003)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(61.9)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(42,431)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17,266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(4,426)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(31,385)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(14,083)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(12,205)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(4,936)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(23,445)</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(19,948)</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(6,179)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(107)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(290)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(19,390)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88"/>
              <w:spacing w:after="0"/>
              <w:rPr>
                <w:sz w:val="20"/>
                <w:szCs w:val="20"/>
                <w:color w:val="auto"/>
              </w:rPr>
            </w:pPr>
            <w:r>
              <w:rPr>
                <w:rFonts w:ascii="Arial" w:cs="Arial" w:eastAsia="Arial" w:hAnsi="Arial"/>
                <w:sz w:val="18"/>
                <w:szCs w:val="18"/>
                <w:color w:val="auto"/>
              </w:rPr>
              <w:t>(177)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(14,727)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(6,715)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555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129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680" w:type="dxa"/>
            <w:vAlign w:val="bottom"/>
          </w:tcPr>
          <w:p>
            <w:pPr>
              <w:jc w:val="right"/>
              <w:spacing w:after="0"/>
              <w:rPr>
                <w:sz w:val="20"/>
                <w:szCs w:val="20"/>
                <w:color w:val="auto"/>
              </w:rPr>
            </w:pPr>
            <w:r>
              <w:rPr>
                <w:rFonts w:ascii="Arial" w:cs="Arial" w:eastAsia="Arial" w:hAnsi="Arial"/>
                <w:sz w:val="18"/>
                <w:szCs w:val="18"/>
                <w:color w:val="auto"/>
              </w:rPr>
              <w:t>(6,586)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(22,245)</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generate revenue primarily from customers’ marketing spend through our platform as they utilize our solutions under our non-sales agency model, and to a less extent from incentives or rebates granted by certain publishers.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680" w:type="dxa"/>
            <w:vAlign w:val="bottom"/>
          </w:tcPr>
          <w:p>
            <w:pPr>
              <w:jc w:val="right"/>
              <w:ind w:right="38"/>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revenues)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thousands)</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24,517</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53,334</w:t>
            </w:r>
          </w:p>
        </w:tc>
        <w:tc>
          <w:tcPr>
            <w:tcW w:w="3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37,596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20,752</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45.8</w:t>
            </w:r>
          </w:p>
        </w:tc>
        <w:tc>
          <w:tcPr>
            <w:tcW w:w="680" w:type="dxa"/>
            <w:vAlign w:val="bottom"/>
          </w:tcPr>
          <w:p>
            <w:pPr>
              <w:jc w:val="right"/>
              <w:spacing w:after="0"/>
              <w:rPr>
                <w:sz w:val="20"/>
                <w:szCs w:val="20"/>
                <w:color w:val="auto"/>
              </w:rPr>
            </w:pPr>
            <w:r>
              <w:rPr>
                <w:rFonts w:ascii="Arial" w:cs="Arial" w:eastAsia="Arial" w:hAnsi="Arial"/>
                <w:sz w:val="18"/>
                <w:szCs w:val="18"/>
                <w:color w:val="auto"/>
              </w:rPr>
              <w:t>13,479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45,269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8"/>
              </w:rPr>
              <w:t>Six Months Ended 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8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(US$ in</w:t>
            </w:r>
          </w:p>
        </w:tc>
        <w:tc>
          <w:tcPr>
            <w:tcW w:w="140" w:type="dxa"/>
            <w:vAlign w:val="bottom"/>
          </w:tcPr>
          <w:p>
            <w:pPr>
              <w:spacing w:after="0"/>
              <w:rPr>
                <w:sz w:val="10"/>
                <w:szCs w:val="10"/>
                <w:color w:val="auto"/>
              </w:rPr>
            </w:pPr>
          </w:p>
        </w:tc>
        <w:tc>
          <w:tcPr>
            <w:tcW w:w="60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 net</w:t>
            </w:r>
          </w:p>
        </w:tc>
        <w:tc>
          <w:tcPr>
            <w:tcW w:w="240" w:type="dxa"/>
            <w:vAlign w:val="bottom"/>
          </w:tcPr>
          <w:p>
            <w:pPr>
              <w:spacing w:after="0"/>
              <w:rPr>
                <w:sz w:val="10"/>
                <w:szCs w:val="10"/>
                <w:color w:val="auto"/>
              </w:rPr>
            </w:pPr>
          </w:p>
        </w:tc>
        <w:tc>
          <w:tcPr>
            <w:tcW w:w="9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28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Rebates received from publishers for mobile audience</w:t>
            </w: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3,931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Rebates received from publishers for other solutions</w:t>
            </w:r>
            <w:r>
              <w:rPr>
                <w:rFonts w:ascii="Arial" w:cs="Arial" w:eastAsia="Arial" w:hAnsi="Arial"/>
                <w:sz w:val="15"/>
                <w:szCs w:val="15"/>
                <w:color w:val="auto"/>
              </w:rPr>
              <w:t>(1)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14,001</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21.4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7,345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920" w:type="dxa"/>
            <w:vAlign w:val="bottom"/>
            <w:gridSpan w:val="2"/>
          </w:tcPr>
          <w:p>
            <w:pPr>
              <w:jc w:val="right"/>
              <w:ind w:right="168"/>
              <w:spacing w:after="0"/>
              <w:rPr>
                <w:sz w:val="20"/>
                <w:szCs w:val="20"/>
                <w:color w:val="auto"/>
              </w:rPr>
            </w:pPr>
            <w:r>
              <w:rPr>
                <w:rFonts w:ascii="Arial" w:cs="Arial" w:eastAsia="Arial" w:hAnsi="Arial"/>
                <w:sz w:val="18"/>
                <w:szCs w:val="18"/>
                <w:color w:val="auto"/>
              </w:rPr>
              <w:t>3,928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660" w:type="dxa"/>
            <w:vAlign w:val="bottom"/>
          </w:tcPr>
          <w:p>
            <w:pPr>
              <w:jc w:val="right"/>
              <w:spacing w:after="0"/>
              <w:rPr>
                <w:sz w:val="20"/>
                <w:szCs w:val="20"/>
                <w:color w:val="auto"/>
              </w:rPr>
            </w:pPr>
            <w:r>
              <w:rPr>
                <w:rFonts w:ascii="Arial" w:cs="Arial" w:eastAsia="Arial" w:hAnsi="Arial"/>
                <w:sz w:val="18"/>
                <w:szCs w:val="18"/>
                <w:color w:val="auto"/>
              </w:rPr>
              <w:t>1,278</w:t>
            </w:r>
          </w:p>
        </w:tc>
        <w:tc>
          <w:tcPr>
            <w:tcW w:w="2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24,430</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15,285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7,859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80" w:hanging="332"/>
        <w:spacing w:after="0" w:line="25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of which US$4,138 thousand, US$974 thousand, US$783 thousand and US$253 thousand in 2015, 2016, six months ended June 30, 2016 and six months ended June 30, 2017 were received under cost-plus marketing campaigns from the publisher for which we acted as its sales agent under our sales agency model.</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model,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Six Months Ended 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458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(US$ in</w:t>
            </w: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7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1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45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revenues)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thousands)</w:t>
            </w:r>
          </w:p>
        </w:tc>
        <w:tc>
          <w:tcPr>
            <w:tcW w:w="1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revenues)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Incentive revenues received from the publisher for our</w:t>
            </w: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mobile audience solutions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w w:val="95"/>
              </w:rPr>
              <w:t>Incentive revenues received from the publisher for our other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4,708</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660" w:type="dxa"/>
            <w:vAlign w:val="bottom"/>
          </w:tcPr>
          <w:p>
            <w:pPr>
              <w:jc w:val="right"/>
              <w:spacing w:after="0"/>
              <w:rPr>
                <w:sz w:val="20"/>
                <w:szCs w:val="20"/>
                <w:color w:val="auto"/>
              </w:rPr>
            </w:pPr>
            <w:r>
              <w:rPr>
                <w:rFonts w:ascii="Arial" w:cs="Arial" w:eastAsia="Arial" w:hAnsi="Arial"/>
                <w:sz w:val="18"/>
                <w:szCs w:val="18"/>
                <w:color w:val="auto"/>
              </w:rPr>
              <w:t>3,941</w:t>
            </w:r>
          </w:p>
        </w:tc>
        <w:tc>
          <w:tcPr>
            <w:tcW w:w="2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Incentive revenues received from the publisher</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7,924</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4,708</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Exclude rebates in the amount of US$4,138 thousand, US$974 thousand, US$783 thousand and US$253 thousand in 2015, 2016, six months ended June 30, 2016 and six months ended June 30, 2017 received under cost-plus marketing campaigns from the publisher for which we acted as its sales agent under our sales agency model.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table below shows our rebates and discounts we granted to marketers and marketing agencies under our non-sales agency model for our mobile audience solutions and other solutions for the periods presented. These rebates and discounts are recognized as reduction of net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960" w:type="dxa"/>
            <w:vAlign w:val="bottom"/>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center"/>
              <w:ind w:right="24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84"/>
              </w:rPr>
              <w:t>thousands)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thousands)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(17,765)</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(18,125)</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7"/>
              </w:rPr>
              <w:t>(7,447)</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6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7"/>
              </w:rPr>
              <w:t>(9,225)</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w w:val="95"/>
              </w:rPr>
              <w:t>Rebates and discounts we granted for mobile audience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solutions</w:t>
            </w:r>
            <w:r>
              <w:rPr>
                <w:rFonts w:ascii="Arial" w:cs="Arial" w:eastAsia="Arial" w:hAnsi="Arial"/>
                <w:sz w:val="15"/>
                <w:szCs w:val="15"/>
                <w:color w:val="auto"/>
              </w:rPr>
              <w:t>(1)</w:t>
            </w: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(6,820)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(10,675)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(3,724)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(7,912)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Rebates and discounts we granted for other solutions</w:t>
            </w:r>
            <w:r>
              <w:rPr>
                <w:rFonts w:ascii="Arial" w:cs="Arial" w:eastAsia="Arial" w:hAnsi="Arial"/>
                <w:sz w:val="15"/>
                <w:szCs w:val="15"/>
                <w:color w:val="auto"/>
                <w:w w:val="94"/>
              </w:rPr>
              <w:t>(2)</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(10,945)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(3,723)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(1,313)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line="227"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Of which US$(412) thousand, US$(6,347) thousand, US$(1,764) thousand and US$(5,598) thousand were in connection with our specified action (i.e., gross) model, and US$(6,408) thousand, US$(4,328) thousand, US$(1,961) thousand and US$(2,314) thousand were in connection with our cost-plus (i.e., net) model in 2015, 2016 and the six months ended June 30, 2016 and 2017, respectively.</w:t>
      </w:r>
    </w:p>
    <w:p>
      <w:pPr>
        <w:ind w:left="340" w:hanging="332"/>
        <w:spacing w:after="0" w:line="232"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Of which US$(3,620) thousand, US$(2,047) thousand, US$(1,120) thousand and US$(554) thousand were in connection with our specified action (i.e., gross) model, and US$(7,325) thousand, US$(5,402) thousand, US$(2,604) thousand and US$(759) thousand were in connection with our cost-plus (i.e., net) model in 2015, 2016 and the six months ended June 30, 2016 and 2017, respectively.</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diverse customer base in terms of the geographic location of our customers’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customers which are based in China. Our Singapore subsidiary generally is our signing entity for marketing campaign contracts with customers based in Southeast Asia. Our Hong Kong subsidiaries generally are our signing entities for the other customers. In 2015, 2016 and the six months ended June 30, 2016 and 2017, we derived 53.2%, 25.3%, 27.0% and 18.0% of our net revenues from outside China, respectively. Our net revenues from customers in China increased significantly from 2015 to 2016 and from the six months ended June 30, 2016 compared to the same period in 2017 as a result of our acquisition of OptAim, which used its consolidated subsidiaries in China to execute marketing campaign contracts, and as we continued to prioritize the execution of our mobile strategy. Customers for our mobile audience solutions are primarily based in China. Our net revenues from customers outside China decreased from 2015 to 2016 and from the six months ended June 30, 2016 compared to the same period in 2017 as we continued to optimize the customer base for other solutions to focus on profitability and liquidity. Customers outside of China primarily use our other solutions. The table below shows our net revenues breakdown by geographic region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98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68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(US$ in</w:t>
            </w:r>
          </w:p>
        </w:tc>
        <w:tc>
          <w:tcPr>
            <w:tcW w:w="3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6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revenues)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thousands)</w:t>
            </w:r>
          </w:p>
        </w:tc>
        <w:tc>
          <w:tcPr>
            <w:tcW w:w="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3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33,030</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45,695</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34,442</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52.8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23.9</w:t>
            </w: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11,800</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26.0</w:t>
            </w:r>
          </w:p>
        </w:tc>
        <w:tc>
          <w:tcPr>
            <w:tcW w:w="680" w:type="dxa"/>
            <w:vAlign w:val="bottom"/>
          </w:tcPr>
          <w:p>
            <w:pPr>
              <w:jc w:val="right"/>
              <w:spacing w:after="0"/>
              <w:rPr>
                <w:sz w:val="20"/>
                <w:szCs w:val="20"/>
                <w:color w:val="auto"/>
              </w:rPr>
            </w:pPr>
            <w:r>
              <w:rPr>
                <w:rFonts w:ascii="Arial" w:cs="Arial" w:eastAsia="Arial" w:hAnsi="Arial"/>
                <w:sz w:val="18"/>
                <w:szCs w:val="18"/>
                <w:color w:val="auto"/>
              </w:rPr>
              <w:t>9,179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3"/>
              </w:rPr>
              <w:t>45,269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55,741</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ind w:left="900" w:right="28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Media cost in connection with specified-action marketing campaigns</w:t>
      </w:r>
      <w:r>
        <w:rPr>
          <w:rFonts w:ascii="Arial" w:cs="Arial" w:eastAsia="Arial" w:hAnsi="Arial"/>
          <w:sz w:val="18"/>
          <w:szCs w:val="18"/>
          <w:color w:val="auto"/>
        </w:rPr>
        <w:t>. Media cost refers to cost we pay to publishers for acquisition of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opportunities, which is partially offset by rebates we receive from publishers in specified-action marketing campaigns. Media cost represented 81.8%, 88.2%, 86.8% and 91.9% of our cost of revenues in 2015, 2016 and the six months ended June 30, 2016 and 2017, respectively.</w:t>
      </w:r>
    </w:p>
    <w:p>
      <w:pPr>
        <w:spacing w:after="0" w:line="92"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Rebates we grant under our sales agency model</w:t>
      </w:r>
      <w:r>
        <w:rPr>
          <w:rFonts w:ascii="Arial" w:cs="Arial" w:eastAsia="Arial" w:hAnsi="Arial"/>
          <w:sz w:val="16"/>
          <w:szCs w:val="16"/>
          <w:color w:val="auto"/>
        </w:rPr>
        <w:t>. Rebates we grant under our sales agency model are recognized as cost of revenues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9.5%, 4.2%, 5.0% and 2.8% of our cost of revenues in 2015, 2016 and the six months ended June 30, 2016 and 2017, respectively. The decrease from 2015 to 2016 was mainly due to the decrease in rebate rates for rebates we granted under our sales agency model as a result of our increased bargaining power as we solidified our market position as the largest independent online marketing technology platform in China in terms of gross billing, partially offset by the increase in gross billing under our sales agency model from US$46.4 million in 2015 to US$56.8 million in 2016. The decrease the six months ended June 30, 2016 to the same period in 2017 was mainly due to a decrease in gross billing under our sales agency model from US$30.9 million in the six months ended June 30, 2016 to US$23.8 million in the same period in 2017, and the decrease in rebate rates for rebates to we granted under our sales agency model as a result of our increased bargaining power as we solidified our market position as the largest independent online marketing technology platform in China in terms of gross billing.</w:t>
      </w:r>
    </w:p>
    <w:p>
      <w:pPr>
        <w:spacing w:after="0" w:line="5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model for our mobile audience solutions and other solutions for the periods presented. These rebates are recognized as cost of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(US$ in</w:t>
            </w:r>
          </w:p>
        </w:tc>
        <w:tc>
          <w:tcPr>
            <w:tcW w:w="1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(US$ in</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(US$ in</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Rebates we granted</w:t>
            </w: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7"/>
              </w:rPr>
              <w:t>(3,291)</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0"/>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Rebates we granted for mobile audience solutions</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 for other solutions</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(1,389)</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(1,196)</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2015</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3460" w:type="dxa"/>
            <w:vAlign w:val="bottom"/>
          </w:tcPr>
          <w:p>
            <w:pPr>
              <w:spacing w:after="0"/>
              <w:rPr>
                <w:sz w:val="10"/>
                <w:szCs w:val="10"/>
                <w:color w:val="auto"/>
              </w:rPr>
            </w:pPr>
          </w:p>
        </w:tc>
        <w:tc>
          <w:tcPr>
            <w:tcW w:w="6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(US$ in</w:t>
            </w:r>
          </w:p>
        </w:tc>
        <w:tc>
          <w:tcPr>
            <w:tcW w:w="4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400" w:type="dxa"/>
            <w:vAlign w:val="bottom"/>
          </w:tcPr>
          <w:p>
            <w:pPr>
              <w:spacing w:after="0"/>
              <w:rPr>
                <w:sz w:val="10"/>
                <w:szCs w:val="10"/>
                <w:color w:val="auto"/>
              </w:rPr>
            </w:pPr>
          </w:p>
        </w:tc>
        <w:tc>
          <w:tcPr>
            <w:tcW w:w="7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(US$ in</w:t>
            </w:r>
          </w:p>
        </w:tc>
        <w:tc>
          <w:tcPr>
            <w:tcW w:w="360" w:type="dxa"/>
            <w:vAlign w:val="bottom"/>
          </w:tcPr>
          <w:p>
            <w:pPr>
              <w:spacing w:after="0"/>
              <w:rPr>
                <w:sz w:val="10"/>
                <w:szCs w:val="10"/>
                <w:color w:val="auto"/>
              </w:rPr>
            </w:pPr>
          </w:p>
        </w:tc>
        <w:tc>
          <w:tcPr>
            <w:tcW w:w="68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(US$ in</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8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80" w:type="dxa"/>
            <w:vAlign w:val="bottom"/>
          </w:tcPr>
          <w:p>
            <w:pPr>
              <w:spacing w:after="0"/>
              <w:rPr>
                <w:sz w:val="10"/>
                <w:szCs w:val="10"/>
                <w:color w:val="auto"/>
              </w:rPr>
            </w:pPr>
          </w:p>
        </w:tc>
        <w:tc>
          <w:tcPr>
            <w:tcW w:w="68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(US$ in</w:t>
            </w:r>
          </w:p>
        </w:tc>
        <w:tc>
          <w:tcPr>
            <w:tcW w:w="40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3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4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4"/>
              </w:rPr>
              <w:t>revenues)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3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thousands)</w:t>
            </w: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4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mobile audience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5,875</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1,931</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4.3</w:t>
            </w:r>
          </w:p>
        </w:tc>
        <w:tc>
          <w:tcPr>
            <w:tcW w:w="680" w:type="dxa"/>
            <w:vAlign w:val="bottom"/>
          </w:tcPr>
          <w:p>
            <w:pPr>
              <w:jc w:val="right"/>
              <w:spacing w:after="0"/>
              <w:rPr>
                <w:sz w:val="20"/>
                <w:szCs w:val="20"/>
                <w:color w:val="auto"/>
              </w:rPr>
            </w:pPr>
            <w:r>
              <w:rPr>
                <w:rFonts w:ascii="Arial" w:cs="Arial" w:eastAsia="Arial" w:hAnsi="Arial"/>
                <w:sz w:val="18"/>
                <w:szCs w:val="18"/>
                <w:color w:val="auto"/>
              </w:rPr>
              <w:t>6,807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12.2</w:t>
            </w: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608"/>
        </w:trPr>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Amortization of expenses</w:t>
      </w:r>
      <w:r>
        <w:rPr>
          <w:rFonts w:ascii="Arial" w:cs="Arial" w:eastAsia="Arial" w:hAnsi="Arial"/>
          <w:sz w:val="16"/>
          <w:szCs w:val="16"/>
          <w:color w:val="auto"/>
        </w:rPr>
        <w:t>. This relates to amortization of computer software acquired in the acquisitions of Buzzinate and OptAim,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5.4%, 6.8%, 7.4% and 4.9% of our cost of revenues in 2015, 2016 and the six months ended June 30, 2016 and 2017, respectively.</w:t>
      </w:r>
    </w:p>
    <w:p>
      <w:pPr>
        <w:spacing w:after="0" w:line="124"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9"/>
              </w:rPr>
              <w:t>Six Months Ended 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mobile</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20" w:type="dxa"/>
            <w:vAlign w:val="bottom"/>
            <w:gridSpan w:val="2"/>
            <w:vMerge w:val="restart"/>
          </w:tcPr>
          <w:p>
            <w:pPr>
              <w:jc w:val="center"/>
              <w:ind w:right="188"/>
              <w:spacing w:after="0"/>
              <w:rPr>
                <w:sz w:val="20"/>
                <w:szCs w:val="20"/>
                <w:color w:val="auto"/>
              </w:rPr>
            </w:pPr>
            <w:r>
              <w:rPr>
                <w:rFonts w:ascii="Arial" w:cs="Arial" w:eastAsia="Arial" w:hAnsi="Arial"/>
                <w:sz w:val="14"/>
                <w:szCs w:val="14"/>
                <w:b w:val="1"/>
                <w:bCs w:val="1"/>
                <w:color w:val="auto"/>
                <w:w w:val="95"/>
              </w:rPr>
              <w:t>(US$ in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mobile</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audience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3,397</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28.5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9,549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680" w:type="dxa"/>
            <w:vAlign w:val="bottom"/>
          </w:tcPr>
          <w:p>
            <w:pPr>
              <w:jc w:val="right"/>
              <w:spacing w:after="0"/>
              <w:rPr>
                <w:sz w:val="20"/>
                <w:szCs w:val="20"/>
                <w:color w:val="auto"/>
              </w:rPr>
            </w:pPr>
            <w:r>
              <w:rPr>
                <w:rFonts w:ascii="Arial" w:cs="Arial" w:eastAsia="Arial" w:hAnsi="Arial"/>
                <w:sz w:val="18"/>
                <w:szCs w:val="18"/>
                <w:color w:val="auto"/>
              </w:rPr>
              <w:t>3,800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3,540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 June 30,</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 in</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(US$ in</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revenues</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(US$ in</w:t>
            </w:r>
          </w:p>
        </w:tc>
        <w:tc>
          <w:tcPr>
            <w:tcW w:w="1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other</w:t>
            </w: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other</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for other</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thousands)</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solutions)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solutions)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3"/>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5"/>
              </w:rPr>
              <w:t>34.1</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27,314</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51.2</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rPr>
              <w:t>24,760</w:t>
            </w: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65.9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13,466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64.9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9,770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six months ended June 30, 2016 and 2017, which was 48.2%, 43.0% and 65.9% respectively, compared to that for our other solutions in the same period, which was 14.4%, 15.2% and 13.3%, respectively. As a result, gross profit margins for our mobile audience solutions in 2015, 2016 and the six months ended June 30, 2016 and 2017, which were 28.5%, 16.5%, 15.5% and 8.4%, respectively, were significantly lower than those for our other solutions, which were 51.2%, 65.9%, 64.9% and 72.5%, respectively, for the same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960" w:type="dxa"/>
            <w:vAlign w:val="bottom"/>
            <w:gridSpan w:val="2"/>
          </w:tcPr>
          <w:p>
            <w:pPr>
              <w:jc w:val="right"/>
              <w:ind w:right="328"/>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right"/>
              <w:ind w:right="348"/>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84"/>
              </w:rPr>
              <w:t>thousands)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(8,106)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(8,584)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rPr>
              <w:t>(4,426)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(3,234)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(31,385)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(28,266)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w:t>
            </w: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(14,083)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(12,205)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(12,745)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(26,767)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rPr>
              <w:t>(4,936)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(4,509)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(52,236)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(63,617)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(23,445)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(19,948)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18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 (ii)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for sales and marketing personnel.</w:t>
      </w:r>
    </w:p>
    <w:p>
      <w:pPr>
        <w:spacing w:after="0" w:line="75" w:lineRule="exact"/>
        <w:rPr>
          <w:rFonts w:ascii="Arial" w:cs="Arial" w:eastAsia="Arial" w:hAnsi="Arial"/>
          <w:sz w:val="18"/>
          <w:szCs w:val="18"/>
          <w:color w:val="auto"/>
        </w:rPr>
      </w:pPr>
    </w:p>
    <w:p>
      <w:pPr>
        <w:ind w:left="900" w:hanging="325"/>
        <w:spacing w:after="0" w:line="271"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(i) salary and welfare for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customers was US$1.7 million, US$0.1 million, US$0.0 million and US$0.0 million in 2015, 2016 and the six months ended June 30, 2016 and 2017, respectively. Professional service fees primarily related to legal and audit service in connection with our private placements and OptAim acquisition and preparation for this offering.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84" w:lineRule="exact"/>
        <w:rPr>
          <w:rFonts w:ascii="Arial" w:cs="Arial" w:eastAsia="Arial" w:hAnsi="Arial"/>
          <w:sz w:val="17"/>
          <w:szCs w:val="17"/>
          <w:color w:val="auto"/>
        </w:rPr>
      </w:pPr>
    </w:p>
    <w:p>
      <w:pPr>
        <w:ind w:left="900" w:right="66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subsidiaries incorporated in Hong Kong are subject to 16.5% Hong Kong profit tax on their taxable income generated from operations in Hong Kong under the current Hong Kong Inland Revenue Ordinance.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Hong Kong tax laws, we are exempted from the Hong Kong income tax on our foreign-derived income. In addition, payments of dividends from our Hong Kong subsidiary to us are not subject to any Hong Kong withholding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91" w:lineRule="exact"/>
        <w:rPr>
          <w:sz w:val="20"/>
          <w:szCs w:val="20"/>
          <w:color w:val="auto"/>
        </w:rPr>
      </w:pPr>
    </w:p>
    <w:p>
      <w:pPr>
        <w:ind w:right="5260"/>
        <w:spacing w:after="0" w:line="378" w:lineRule="auto"/>
        <w:rPr>
          <w:sz w:val="20"/>
          <w:szCs w:val="20"/>
          <w:color w:val="auto"/>
        </w:rPr>
      </w:pPr>
      <w:r>
        <w:rPr>
          <w:rFonts w:ascii="Arial" w:cs="Arial" w:eastAsia="Arial" w:hAnsi="Arial"/>
          <w:sz w:val="18"/>
          <w:szCs w:val="18"/>
          <w:b w:val="1"/>
          <w:bCs w:val="1"/>
          <w:color w:val="auto"/>
        </w:rPr>
        <w:t xml:space="preserve">Six Months Ended June 30, 2017 Compared to Six Months Ended June 30, 2016 </w:t>
      </w:r>
      <w:r>
        <w:rPr>
          <w:rFonts w:ascii="Arial" w:cs="Arial" w:eastAsia="Arial" w:hAnsi="Arial"/>
          <w:sz w:val="18"/>
          <w:szCs w:val="18"/>
          <w:b w:val="1"/>
          <w:bCs w:val="1"/>
          <w:i w:val="1"/>
          <w:iCs w:val="1"/>
          <w:color w:val="auto"/>
        </w:rPr>
        <w:t>Net Revenues</w:t>
      </w:r>
    </w:p>
    <w:p>
      <w:pPr>
        <w:ind w:right="180" w:firstLine="456"/>
        <w:spacing w:after="0" w:line="264" w:lineRule="auto"/>
        <w:rPr>
          <w:sz w:val="20"/>
          <w:szCs w:val="20"/>
          <w:color w:val="auto"/>
        </w:rPr>
      </w:pPr>
      <w:r>
        <w:rPr>
          <w:rFonts w:ascii="Arial" w:cs="Arial" w:eastAsia="Arial" w:hAnsi="Arial"/>
          <w:sz w:val="18"/>
          <w:szCs w:val="18"/>
          <w:color w:val="auto"/>
        </w:rPr>
        <w:t>Our net revenues increased by US$10.4 million, or 23.1%, from US$45.3 million in the six months ended June 30, 2016 to US$55.7 million in the same period in 2017, primarily as a result of an increase in our net revenues from our mobile audience solutions and partially offset by a decrease in our net revenues from our other solutions.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Net revenues from our mobile audience solutions increased by US$17.8 million, or 72.4% from US$24.5 million in the six months ended June 30, 2016 to US$42.3 million in the same period in 2017 as a result of an increase in gross billing from mobile audience solutions and a larger percentage of our gross billing from mobile audience solutions being recognized as net revenues on a gross basis in the six months ended June 30, 2017 compared to the same period in 2016. US$21.6 million, or 43.0%, of gross billing from mobile audience solutions was recognized as net revenues on a gross basis in the six months ended June 30, 2016, compared to US$41.5 million, or 65.9%, in the same period in 2017. Rebates received from publishers and recognized as net revenues decreased by US$1.0 million or 25.6% from US$3.9 million in the six months ended June 30, 2016 to US$2.9 million in the six months ended June 30, 2017 for our mobile audience solutions as gross billing from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mobile audience solutions that was recognized on a net basis decreased. We did not receive any incentives from the publisher under our sales agency model in the six months ended June 30, 2016 and the same period in 2017 for our mobile audience solutions. Rebates and discounts granted to our customers and recognized as deduction of revenues increased by US$4.2 million, or 113.5% from US$3.7 million in the six months ended June 30, 2016 to US$7.9 million in the same period in 2017 for our mobile solutions as gross billing from mobile audience solutions increased.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revenues from our other solutions decreased by US$7.3 million or 35.0% from US$20.8 million in the six months ended June 30, 2016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US$13.5 million in the same period in 2017 primarily as a result of a decrease in gross billing from other solutions and smaller percentage of our gross billing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other solutions being recognized as net revenues on a gross basis. US$5.3 million, or 13.3%, of gross billing from other solutions was recognized as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on a gross basis in the six months ended June 30, 2017, compared to US$10.4 million, or 15.2%, in the same period in 2016. Rebates received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publishers and recognized as net revenues decreased by US$2.6 million or 66.7% from US$3.9 million in the six months ended June 30, 2016 to US$1.3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same period in 2017 for our other solutions as gross billing from other solutions that were conducted on a cost-plus basis decreased. Incentives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from the publisher under our sales agency model, which were recognized as net revenues decreased by US$0.8 million, or 17.0% from US$4.7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six months ended June 30, 2016 to US$3.9 million in the same period in 2017 for our other solutions due to a decrease in gross billing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agency model. Rebates granted to our customers and recognized as deduction of revenues decreased by US$2.4 million, or 64.7% from US$3.7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six months ended June 30, 2017 to US$1.3 million in the same period in 2017 for our other solutions as gross billing from other solutions decreased.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6350</wp:posOffset>
            </wp:positionV>
            <wp:extent cx="14579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Arial" w:cs="Arial" w:eastAsia="Arial" w:hAnsi="Arial"/>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(28,003)</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(42,431)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490"/>
              <w:spacing w:after="0"/>
              <w:rPr>
                <w:sz w:val="20"/>
                <w:szCs w:val="20"/>
                <w:color w:val="auto"/>
              </w:rPr>
            </w:pPr>
            <w:r>
              <w:rPr>
                <w:rFonts w:ascii="Arial" w:cs="Arial" w:eastAsia="Arial" w:hAnsi="Arial"/>
                <w:sz w:val="18"/>
                <w:szCs w:val="18"/>
                <w:color w:val="auto"/>
              </w:rPr>
              <w:t>17,266</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13,310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bl>
    <w:p>
      <w:pPr>
        <w:spacing w:after="0" w:line="20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cost of revenues increased by US$14.4 million, or 51.4%, from US$28.0 million in the six months ended June 30, 2016 to US$42.4 million in the same period in 2017, primarily as a result of an increase in media cost, which increased by US$14.7 million, or 60.4%, from US$24.3 million in the six months ended June 30, 2016 to US$39.0 million in the same period in 2017 as a result of a larger percentage of gross billing being recognized as net revenues on a gross basis. 45.4% of our gross billing in the six months ended June 30, 2017 was recognized as net revenues on a gross basis, compared to 27.0% in the same period in 2016. Cost of revenues for our mobile audience solutions increased by US$18.0 million, or 86.9%, from US$20.7 million to US$38.7 million, while cost of revenues for our other solutions decreased by US$3.6 million, or 49.1%, from US$7.3 million to US$3.7 million.</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US$41.5 million, or 65.9%, of gross billing from mobile audience solutions was recognized as net revenues on a gross basis in the six months ended June 30, 2017, compared to US$21.6 million, or 43.0%, in the same period in 2016. No rebate or discount we granted was recognized as cost of revenues for our mobile audience solutions in the six months ended June 30, 2016 or 2017. Rebates received from website publishers recognized as deduction of cost of revenues increased by US$4.9 million, or 252.5% from US$1.9 million in the six months ended June 30, 2016 to US$6.8 million in the same period in 2017 for our mobile audience solutions as gross billing from mobile audience solutions that was recognized as net revenues on a gross basis increased.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US$5.3 million, or 13.3%, of gross billing from other solutions was recognized as net revenues on a gross basis in the six months ended June 30, 2017, compared to US$10.4 million or 15.2% in the same period in 2016. Rebates we granted and recognized as cost of revenues decreased by US$0.2 million, or 13.9%, from US$1.4 million in the six months ended</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June 30, 2016 to US$1.2 million in the same period in 2017 for other solutions in line with the decrease of gross billing from our sales agency model. Rebates received from website publishers recognized as deduction of cost of revenues decreased by US$55,000, or 57.9%, from US$95,000 in the six months ended June 30, 2016 to US$40,000 in the same period in 2017 for our other solutions as gross billing from other solutions that was recognized on a gross basis decreased.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above, our gross profit decreased from US$17.3 million in the six months ended June 30, 2016 to US$13.3 million in the same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2017. Specifically, gross profit for our mobile audience solutions decreased by US$0.3 million, or 6.8%, from US$3.8 million in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30, 2016 to US$3.5 million in the same period in 2017, and gross profit for our other solutions decreased by US$3.7 million, or 27.4%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US$13.5 million in the six months ended June 30, 2016 to US$9.8 million in the same period in 2017. Our gross profit margin decreased from 38.1% in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23.9% in 2017 primarily due to the expansion in our mobile audience solutions. Gross profit margin for our mobile audience solutions decreased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15.5% in the six months ended June 30, 2016 to 8.4% in the same period in 2017 as a result of competitive pressure and a larger percentage of gross billing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our mobile audience solutions being recognized as net revenues on a gross basis in the six months ended June 30, 2017 compared to the same period in</w:t>
      </w:r>
    </w:p>
    <w:p>
      <w:pPr>
        <w:spacing w:after="0" w:line="3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2016. Gross margin for our other solutions increased from 64.9% in the six months ended June 30, 2016 to 72.5% in the six months ended June 30, 2017 as we continued to optimize the customer base for other solutions to focus on profitability and liquidity and as a result of a smaller percentage of gross billing for our other solutions being recognized as net revenues on a gross basis in the six months ended June 30, 2017 compared to the same period in 2016.</w:t>
      </w:r>
    </w:p>
    <w:p>
      <w:pPr>
        <w:spacing w:after="0" w:line="15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 percentage of gross billing from our mobile audience solutions was recognized as net revenues on a gross basis in the six months ended June 30, 2017, which was 65.9%, compared to that for our other solutions in the same period, which was 13.3%. As a result, gross profit margins for our mobile audience solutions in the six months ended June 30, 2016 and 2017 were significantly lower than those for our other solutions for the same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Our operating expenses decreased by US$3.5 million, or 14.9%, during the six months ended June 30, 2017 compared to the same period in 2016, primarily due to decreases in research and development expenses, sales and marketing expenses and general and administrative expenses. Our operating expenses as a percentage of net revenues decreased from 51.8% in the six months ended June 30, 2016 to 35.8% in the same period in 2017.</w:t>
      </w:r>
    </w:p>
    <w:p>
      <w:pPr>
        <w:spacing w:after="0" w:line="52" w:lineRule="exact"/>
        <w:rPr>
          <w:sz w:val="20"/>
          <w:szCs w:val="20"/>
          <w:color w:val="auto"/>
        </w:rPr>
      </w:pPr>
    </w:p>
    <w:p>
      <w:pPr>
        <w:ind w:left="900" w:right="180" w:hanging="325"/>
        <w:spacing w:after="0" w:line="285"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US$1.9 million, or 13.5%, from US$14.1 million in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2016 to US$12.2 million in the same period in 2017. The decrease was primarily due to a decrease in staff costs as we continued to optimize the customer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31.1% in the</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six months ended June 30, 2016 to 21.9% in the same period in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decreased by US$0.4 million, or 8.2%, from US$4.9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2016 to US$4.5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10.9% in the six months ended June 30, 2016 to 8.1% in the same period in 2017.</w:t>
      </w:r>
    </w:p>
    <w:p>
      <w:pPr>
        <w:spacing w:after="0" w:line="93"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decreased by US$1.2 million, or 27.3%, from US$4.4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2016 to US$3.2 million in the same period in 2017, primarily due to a decrease in staff costs, as we continued to benefit from the synergies from the integration of the complementary research and development capabilities of OptAim and economies of scale. As a result, research and development expenses as a percentage of our net revenues decreased from 9.8% in the six months ended June 30, 2016 to 5.8% in the same period in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expense was flat at US$0.3 million for the six months ended June 30, 2016 and the same period in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other losses, net was US$69,166 in the six months ended June 30, 2016, compared to other gains, net of US$7,290 in the same period in 2017. The change was primarily due to an decrease by 83.9%, or US$105,922, from US$126,238 in the six months ended June 30, 2016 to US$20,316 in the same period in 2017 in net exchange loss mainly due to the depreciation of Renminbi against the US dollars.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440" w:firstLine="456"/>
        <w:spacing w:after="0" w:line="276" w:lineRule="auto"/>
        <w:rPr>
          <w:sz w:val="20"/>
          <w:szCs w:val="20"/>
          <w:color w:val="auto"/>
        </w:rPr>
      </w:pPr>
      <w:r>
        <w:rPr>
          <w:rFonts w:ascii="Arial" w:cs="Arial" w:eastAsia="Arial" w:hAnsi="Arial"/>
          <w:sz w:val="17"/>
          <w:szCs w:val="17"/>
          <w:color w:val="auto"/>
        </w:rPr>
        <w:t>Our fair value loss on derivative liabilities was US$0.2 million in the six months ended June 30, 2016, compared to a fair value loss on derivative liabilities of US$14.7 million in the same period in 2017. The fair value loss on derivative liabilities related to our preferred shares, the conversion and redemption features of which are required to be bifurcated and accounted for as derivative liabilities. The increase in the fair value loss on derivative liabilities from the six months ended June 30, 2016 to the same period in 2017 was primarily due to an increase in our enterprise value as a result of a decrease in lack of marketability discount as we are approaching an initial public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recorded an income tax benefit of US$0.1 million in the six months ended June 30, 2016 and an income tax expense of US$0.6 million in the same period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As a result of the foregoing, our net loss increased by 236.4% from US$6.6 million in the six months ended June 30, 2016 to US$22.2 million in the same period in 2017.</w:t>
      </w:r>
    </w:p>
    <w:p>
      <w:pPr>
        <w:spacing w:after="0" w:line="275" w:lineRule="exact"/>
        <w:rPr>
          <w:sz w:val="20"/>
          <w:szCs w:val="20"/>
          <w:color w:val="auto"/>
        </w:rPr>
      </w:pPr>
    </w:p>
    <w:p>
      <w:pPr>
        <w:ind w:right="546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520" w:firstLine="456"/>
        <w:spacing w:after="0" w:line="342" w:lineRule="auto"/>
        <w:rPr>
          <w:sz w:val="20"/>
          <w:szCs w:val="20"/>
          <w:color w:val="auto"/>
        </w:rPr>
      </w:pPr>
      <w:r>
        <w:rPr>
          <w:rFonts w:ascii="Arial" w:cs="Arial" w:eastAsia="Arial" w:hAnsi="Arial"/>
          <w:sz w:val="16"/>
          <w:szCs w:val="16"/>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 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model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47.9% from US$14.0 million in 2015 to US$7.3 million in 2016 for our other solutions as gross billing from other solutions that were conducted on a cost-plus basis decreased. Incentives received from the publisher under our sales agency model, which were recognized as net revenues increased by US$0.8 million, or 11.3% from US$7.1 million in 2015 to US$7.9 million in 2016 for our other solutions as a result of the increase in marketing spend by our customers. Rebates and discounts we granted and recognized as deduction of revenues decreased by US$3.5 million, or 31.9% from US$11.0 million in 2015 to US$7.5 million in 2016 for our other solutions.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6350</wp:posOffset>
            </wp:positionV>
            <wp:extent cx="14579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Arial" w:cs="Arial" w:eastAsia="Arial" w:hAnsi="Arial"/>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(34,531)</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(61,048)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4980" w:type="dxa"/>
            <w:vAlign w:val="bottom"/>
          </w:tcPr>
          <w:p>
            <w:pPr>
              <w:jc w:val="right"/>
              <w:ind w:right="490"/>
              <w:spacing w:after="0"/>
              <w:rPr>
                <w:sz w:val="20"/>
                <w:szCs w:val="20"/>
                <w:color w:val="auto"/>
              </w:rPr>
            </w:pPr>
            <w:r>
              <w:rPr>
                <w:rFonts w:ascii="Arial" w:cs="Arial" w:eastAsia="Arial" w:hAnsi="Arial"/>
                <w:sz w:val="18"/>
                <w:szCs w:val="18"/>
                <w:color w:val="auto"/>
              </w:rPr>
              <w:t>30,711</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34,309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47.1%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ind w:right="220"/>
        <w:spacing w:after="0" w:line="255" w:lineRule="auto"/>
        <w:rPr>
          <w:sz w:val="20"/>
          <w:szCs w:val="20"/>
          <w:color w:val="auto"/>
        </w:rPr>
      </w:pPr>
      <w:r>
        <w:rPr>
          <w:rFonts w:ascii="Arial" w:cs="Arial" w:eastAsia="Arial" w:hAnsi="Arial"/>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90"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ind w:right="620"/>
        <w:spacing w:after="0" w:line="261" w:lineRule="auto"/>
        <w:rPr>
          <w:sz w:val="20"/>
          <w:szCs w:val="20"/>
          <w:color w:val="auto"/>
        </w:rPr>
      </w:pPr>
      <w:r>
        <w:rPr>
          <w:rFonts w:ascii="Arial" w:cs="Arial" w:eastAsia="Arial" w:hAnsi="Arial"/>
          <w:sz w:val="18"/>
          <w:szCs w:val="18"/>
          <w:color w:val="auto"/>
        </w:rPr>
        <w:t>OptAim contributed US$47.0 million to our cost of revenues in 2016, compared to US$8.5 million from July 24, 2015, when we acquired OptAim, to December 31, 2015. All such cost of revenues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margin for our other solutions increased from 51.2% in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900" w:right="420" w:hanging="325"/>
        <w:spacing w:after="0" w:line="279"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decreased by US$3.1 million, or 9.9%, from US$31.4 million in 2015 to</w:t>
      </w:r>
      <w:r>
        <w:rPr>
          <w:rFonts w:ascii="Arial" w:cs="Arial" w:eastAsia="Arial" w:hAnsi="Arial"/>
          <w:sz w:val="17"/>
          <w:szCs w:val="17"/>
          <w:i w:val="1"/>
          <w:iCs w:val="1"/>
          <w:color w:val="auto"/>
        </w:rPr>
        <w:t xml:space="preserve"> </w:t>
      </w:r>
      <w:r>
        <w:rPr>
          <w:rFonts w:ascii="Arial" w:cs="Arial" w:eastAsia="Arial" w:hAnsi="Arial"/>
          <w:sz w:val="17"/>
          <w:szCs w:val="17"/>
          <w:color w:val="auto"/>
        </w:rPr>
        <w:t>US$28.3 million in 2016. Sales and marketing expenses as a percentage of net revenues also decreased significantly from 48.1% in 2015 to 29.6% in 2016, as a result of synergies from the integration of complementary sales and marketing capabilities of OptAim and economies of scale, and as we optimized our sales and marketing efforts to focus on profitability and liquidity.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72"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US$14.1 million, or 111.0%, from US$12.7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to US$26.8 million in 2016, primarily due to an increase in personnel costs of US$18.2 million related to share based compensation of US$17.6 million to one of our founders and certain other employees in the fourth quarter of 2016, and an 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83" w:lineRule="exact"/>
        <w:rPr>
          <w:rFonts w:ascii="Arial" w:cs="Arial" w:eastAsia="Arial" w:hAnsi="Arial"/>
          <w:sz w:val="17"/>
          <w:szCs w:val="17"/>
          <w:color w:val="auto"/>
        </w:rPr>
      </w:pPr>
    </w:p>
    <w:p>
      <w:pPr>
        <w:ind w:left="900" w:right="60" w:hanging="325"/>
        <w:spacing w:after="0" w:line="31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Our research and development expenses increased by US$0.5 million, or 5.9%, from US$8.1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9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June 30,</w:t>
            </w:r>
          </w:p>
        </w:tc>
        <w:tc>
          <w:tcPr>
            <w:tcW w:w="12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1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9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(US$ in thousands)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24,048</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24,704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25,384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25,884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(12,177)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(15,826)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(16,844)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(16,201)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(19,527)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9,183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(2,178)</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(7,068)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(7,015)</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(7,533)</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(6,617)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(19,602)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(12,052)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(11,393)</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(10,933)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(29,239)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(10,762)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(3,171)</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(20,056)</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gains/(losses), net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640" w:type="dxa"/>
            <w:vAlign w:val="bottom"/>
          </w:tcPr>
          <w:p>
            <w:pPr>
              <w:jc w:val="right"/>
              <w:spacing w:after="0"/>
              <w:rPr>
                <w:sz w:val="20"/>
                <w:szCs w:val="20"/>
                <w:color w:val="auto"/>
              </w:rPr>
            </w:pPr>
            <w:r>
              <w:rPr>
                <w:rFonts w:ascii="Arial" w:cs="Arial" w:eastAsia="Arial" w:hAnsi="Arial"/>
                <w:sz w:val="18"/>
                <w:szCs w:val="18"/>
                <w:color w:val="auto"/>
              </w:rPr>
              <w:t>4,366</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(4,543)</w:t>
            </w:r>
          </w:p>
        </w:tc>
        <w:tc>
          <w:tcPr>
            <w:tcW w:w="880" w:type="dxa"/>
            <w:vAlign w:val="bottom"/>
          </w:tcPr>
          <w:p>
            <w:pPr>
              <w:jc w:val="right"/>
              <w:spacing w:after="0"/>
              <w:rPr>
                <w:sz w:val="20"/>
                <w:szCs w:val="20"/>
                <w:color w:val="auto"/>
              </w:rPr>
            </w:pPr>
            <w:r>
              <w:rPr>
                <w:rFonts w:ascii="Arial" w:cs="Arial" w:eastAsia="Arial" w:hAnsi="Arial"/>
                <w:sz w:val="18"/>
                <w:szCs w:val="18"/>
                <w:color w:val="auto"/>
              </w:rPr>
              <w:t>1,674</w:t>
            </w: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(7,430)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(8,019)</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(12,013)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Income tax benefit/(expenses)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(7,972)</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(12,004)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key operating and financial metrics for each of the quarters for the period between January 1, 2016 to June 30, 2017.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160" w:type="dxa"/>
            <w:vAlign w:val="bottom"/>
          </w:tcPr>
          <w:p>
            <w:pPr>
              <w:spacing w:after="0"/>
              <w:rPr>
                <w:sz w:val="12"/>
                <w:szCs w:val="12"/>
                <w:color w:val="auto"/>
              </w:rPr>
            </w:pPr>
          </w:p>
        </w:tc>
        <w:tc>
          <w:tcPr>
            <w:tcW w:w="15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March 31, 2016</w:t>
            </w:r>
          </w:p>
        </w:tc>
        <w:tc>
          <w:tcPr>
            <w:tcW w:w="156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June 30, 2016</w:t>
            </w:r>
          </w:p>
        </w:tc>
        <w:tc>
          <w:tcPr>
            <w:tcW w:w="158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3"/>
              </w:rPr>
              <w:t>September 30, 2016</w:t>
            </w:r>
          </w:p>
        </w:tc>
        <w:tc>
          <w:tcPr>
            <w:tcW w:w="156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w w:val="93"/>
              </w:rPr>
              <w:t>December 31, 2016</w:t>
            </w:r>
          </w:p>
        </w:tc>
        <w:tc>
          <w:tcPr>
            <w:tcW w:w="1560" w:type="dxa"/>
            <w:vAlign w:val="bottom"/>
            <w:gridSpan w:val="4"/>
          </w:tcPr>
          <w:p>
            <w:pPr>
              <w:jc w:val="right"/>
              <w:ind w:right="440"/>
              <w:spacing w:after="0" w:line="142" w:lineRule="exact"/>
              <w:rPr>
                <w:sz w:val="20"/>
                <w:szCs w:val="20"/>
                <w:color w:val="auto"/>
              </w:rPr>
            </w:pPr>
            <w:r>
              <w:rPr>
                <w:rFonts w:ascii="Arial" w:cs="Arial" w:eastAsia="Arial" w:hAnsi="Arial"/>
                <w:sz w:val="14"/>
                <w:szCs w:val="14"/>
                <w:b w:val="1"/>
                <w:bCs w:val="1"/>
                <w:color w:val="auto"/>
              </w:rPr>
              <w:t>March 31, 2017</w:t>
            </w:r>
          </w:p>
        </w:tc>
        <w:tc>
          <w:tcPr>
            <w:tcW w:w="1340" w:type="dxa"/>
            <w:vAlign w:val="bottom"/>
            <w:gridSpan w:val="3"/>
          </w:tcPr>
          <w:p>
            <w:pPr>
              <w:jc w:val="right"/>
              <w:ind w:right="209"/>
              <w:spacing w:after="0" w:line="142" w:lineRule="exact"/>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12"/>
                <w:szCs w:val="12"/>
                <w:color w:val="auto"/>
              </w:rPr>
            </w:pPr>
          </w:p>
        </w:tc>
      </w:tr>
      <w:tr>
        <w:trPr>
          <w:trHeight w:val="129"/>
        </w:trPr>
        <w:tc>
          <w:tcPr>
            <w:tcW w:w="21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(US$</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24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(US$</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 of</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(US$</w:t>
            </w: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 of</w:t>
            </w:r>
          </w:p>
        </w:tc>
        <w:tc>
          <w:tcPr>
            <w:tcW w:w="100" w:type="dxa"/>
            <w:vAlign w:val="bottom"/>
          </w:tcPr>
          <w:p>
            <w:pPr>
              <w:spacing w:after="0"/>
              <w:rPr>
                <w:sz w:val="11"/>
                <w:szCs w:val="11"/>
                <w:color w:val="auto"/>
              </w:rPr>
            </w:pPr>
          </w:p>
        </w:tc>
      </w:tr>
      <w:tr>
        <w:trPr>
          <w:trHeight w:val="149"/>
        </w:trPr>
        <w:tc>
          <w:tcPr>
            <w:tcW w:w="2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in</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gross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gross</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in</w:t>
            </w: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8"/>
              </w:rPr>
              <w:t>gross</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gross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in</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gross</w:t>
            </w:r>
          </w:p>
        </w:tc>
      </w:tr>
      <w:tr>
        <w:trPr>
          <w:trHeight w:val="161"/>
        </w:trPr>
        <w:tc>
          <w:tcPr>
            <w:tcW w:w="2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thousands)</w:t>
            </w: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billing</w:t>
            </w:r>
            <w:r>
              <w:rPr>
                <w:rFonts w:ascii="Arial" w:cs="Arial" w:eastAsia="Arial" w:hAnsi="Arial"/>
                <w:sz w:val="11"/>
                <w:szCs w:val="11"/>
                <w:b w:val="1"/>
                <w:bCs w:val="1"/>
                <w:color w:val="auto"/>
                <w:w w:val="88"/>
              </w:rPr>
              <w:t>1</w:t>
            </w:r>
            <w:r>
              <w:rPr>
                <w:rFonts w:ascii="Arial" w:cs="Arial" w:eastAsia="Arial" w:hAnsi="Arial"/>
                <w:sz w:val="14"/>
                <w:szCs w:val="14"/>
                <w:b w:val="1"/>
                <w:bCs w:val="1"/>
                <w:color w:val="auto"/>
                <w:w w:val="88"/>
              </w:rPr>
              <w:t>)</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billing</w:t>
            </w:r>
            <w:r>
              <w:rPr>
                <w:rFonts w:ascii="Arial" w:cs="Arial" w:eastAsia="Arial" w:hAnsi="Arial"/>
                <w:sz w:val="11"/>
                <w:szCs w:val="11"/>
                <w:b w:val="1"/>
                <w:bCs w:val="1"/>
                <w:color w:val="auto"/>
                <w:w w:val="92"/>
              </w:rPr>
              <w:t>1</w:t>
            </w:r>
            <w:r>
              <w:rPr>
                <w:rFonts w:ascii="Arial" w:cs="Arial" w:eastAsia="Arial" w:hAnsi="Arial"/>
                <w:sz w:val="14"/>
                <w:szCs w:val="14"/>
                <w:b w:val="1"/>
                <w:bCs w:val="1"/>
                <w:color w:val="auto"/>
                <w:w w:val="92"/>
              </w:rPr>
              <w: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thousands)</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billing</w:t>
            </w:r>
            <w:r>
              <w:rPr>
                <w:rFonts w:ascii="Arial" w:cs="Arial" w:eastAsia="Arial" w:hAnsi="Arial"/>
                <w:sz w:val="11"/>
                <w:szCs w:val="11"/>
                <w:b w:val="1"/>
                <w:bCs w:val="1"/>
                <w:color w:val="auto"/>
                <w:w w:val="88"/>
              </w:rPr>
              <w:t>1</w:t>
            </w:r>
            <w:r>
              <w:rPr>
                <w:rFonts w:ascii="Arial" w:cs="Arial" w:eastAsia="Arial" w:hAnsi="Arial"/>
                <w:sz w:val="14"/>
                <w:szCs w:val="14"/>
                <w:b w:val="1"/>
                <w:bCs w:val="1"/>
                <w:color w:val="auto"/>
                <w:w w:val="88"/>
              </w:rPr>
              <w:t>)</w:t>
            </w:r>
          </w:p>
        </w:tc>
      </w:tr>
      <w:tr>
        <w:trPr>
          <w:trHeight w:val="129"/>
        </w:trPr>
        <w:tc>
          <w:tcPr>
            <w:tcW w:w="21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Operating Metrics:</w:t>
            </w: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Gross billing</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58,315</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60,359</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61,138</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56,441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46,879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56,541</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r>
      <w:tr>
        <w:trPr>
          <w:trHeight w:val="130"/>
        </w:trPr>
        <w:tc>
          <w:tcPr>
            <w:tcW w:w="21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Gross billing from mobile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audience solutions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23,825</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26,546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33,585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28,447</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24,993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38,038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67.3</w:t>
            </w:r>
          </w:p>
        </w:tc>
      </w:tr>
      <w:tr>
        <w:trPr>
          <w:trHeight w:val="130"/>
        </w:trPr>
        <w:tc>
          <w:tcPr>
            <w:tcW w:w="2160" w:type="dxa"/>
            <w:vAlign w:val="bottom"/>
          </w:tcPr>
          <w:p>
            <w:pPr>
              <w:ind w:left="300"/>
              <w:spacing w:after="0" w:line="130" w:lineRule="exact"/>
              <w:rPr>
                <w:sz w:val="20"/>
                <w:szCs w:val="20"/>
                <w:color w:val="auto"/>
              </w:rPr>
            </w:pPr>
            <w:r>
              <w:rPr>
                <w:rFonts w:ascii="Arial" w:cs="Arial" w:eastAsia="Arial" w:hAnsi="Arial"/>
                <w:sz w:val="14"/>
                <w:szCs w:val="14"/>
                <w:color w:val="auto"/>
              </w:rPr>
              <w:t>Gross billing from other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60" w:type="dxa"/>
            <w:vAlign w:val="bottom"/>
          </w:tcPr>
          <w:p>
            <w:pPr>
              <w:ind w:left="440"/>
              <w:spacing w:after="0"/>
              <w:rPr>
                <w:sz w:val="20"/>
                <w:szCs w:val="20"/>
                <w:color w:val="auto"/>
              </w:rPr>
            </w:pPr>
            <w:r>
              <w:rPr>
                <w:rFonts w:ascii="Arial" w:cs="Arial" w:eastAsia="Arial" w:hAnsi="Arial"/>
                <w:sz w:val="14"/>
                <w:szCs w:val="14"/>
                <w:color w:val="auto"/>
              </w:rPr>
              <w:t>solutions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34,489</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59.1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33,813</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56.0</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27,553</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45.1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27,994</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49.6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21,886</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46.7</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18,503</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Metrics: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Net revenues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21,221</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24,048</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39.8</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24,704</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25,384</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25,884</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55.2</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29,857</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52.8</w:t>
            </w:r>
          </w:p>
        </w:tc>
      </w:tr>
      <w:tr>
        <w:trPr>
          <w:trHeight w:val="130"/>
        </w:trPr>
        <w:tc>
          <w:tcPr>
            <w:tcW w:w="21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Net revenues from mobile</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1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audience solutions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13,688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17,501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15,743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18,170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24,092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63.3</w:t>
            </w:r>
          </w:p>
        </w:tc>
      </w:tr>
      <w:tr>
        <w:trPr>
          <w:trHeight w:val="130"/>
        </w:trPr>
        <w:tc>
          <w:tcPr>
            <w:tcW w:w="2160" w:type="dxa"/>
            <w:vAlign w:val="bottom"/>
          </w:tcPr>
          <w:p>
            <w:pPr>
              <w:ind w:left="300"/>
              <w:spacing w:after="0" w:line="130" w:lineRule="exact"/>
              <w:rPr>
                <w:sz w:val="20"/>
                <w:szCs w:val="20"/>
                <w:color w:val="auto"/>
              </w:rPr>
            </w:pPr>
            <w:r>
              <w:rPr>
                <w:rFonts w:ascii="Arial" w:cs="Arial" w:eastAsia="Arial" w:hAnsi="Arial"/>
                <w:sz w:val="14"/>
                <w:szCs w:val="14"/>
                <w:color w:val="auto"/>
              </w:rPr>
              <w:t>Net revenues from other</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160" w:type="dxa"/>
            <w:vAlign w:val="bottom"/>
          </w:tcPr>
          <w:p>
            <w:pPr>
              <w:ind w:left="440"/>
              <w:spacing w:after="0"/>
              <w:rPr>
                <w:sz w:val="20"/>
                <w:szCs w:val="20"/>
                <w:color w:val="auto"/>
              </w:rPr>
            </w:pPr>
            <w:r>
              <w:rPr>
                <w:rFonts w:ascii="Arial" w:cs="Arial" w:eastAsia="Arial" w:hAnsi="Arial"/>
                <w:sz w:val="14"/>
                <w:szCs w:val="14"/>
                <w:color w:val="auto"/>
              </w:rPr>
              <w:t>solutions</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10,393</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30.1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10,360</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30.6</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7,203</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26.1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9,641</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34.4</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7,714</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35.2</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5,765</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31.2</w:t>
            </w: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(616)</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(798)</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(744)</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(1,911)</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w:t>
            </w:r>
          </w:p>
        </w:tc>
      </w:tr>
      <w:tr>
        <w:trPr>
          <w:trHeight w:val="182"/>
        </w:trPr>
        <w:tc>
          <w:tcPr>
            <w:tcW w:w="2160" w:type="dxa"/>
            <w:vAlign w:val="bottom"/>
          </w:tcPr>
          <w:p>
            <w:pPr>
              <w:spacing w:after="0"/>
              <w:rPr>
                <w:sz w:val="20"/>
                <w:szCs w:val="20"/>
                <w:color w:val="auto"/>
              </w:rPr>
            </w:pPr>
            <w:r>
              <w:rPr>
                <w:rFonts w:ascii="Arial" w:cs="Arial" w:eastAsia="Arial" w:hAnsi="Arial"/>
                <w:sz w:val="14"/>
                <w:szCs w:val="14"/>
                <w:color w:val="auto"/>
              </w:rPr>
              <w:t>Adjusted net loss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(2,135)</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(2,342)</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(3.9)</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(2,238)</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(2,284)</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(3,479)</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(7.4)</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(2,123)</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280" w:hanging="332"/>
        <w:spacing w:after="0" w:line="253" w:lineRule="auto"/>
        <w:tabs>
          <w:tab w:leader="none" w:pos="340" w:val="left"/>
        </w:tabs>
        <w:numPr>
          <w:ilvl w:val="0"/>
          <w:numId w:val="55"/>
        </w:numPr>
        <w:rPr>
          <w:rFonts w:ascii="Arial" w:cs="Arial" w:eastAsia="Arial" w:hAnsi="Arial"/>
          <w:sz w:val="12"/>
          <w:szCs w:val="12"/>
          <w:color w:val="auto"/>
        </w:rPr>
      </w:pPr>
      <w:r>
        <w:rPr>
          <w:rFonts w:ascii="Arial" w:cs="Arial" w:eastAsia="Arial" w:hAnsi="Arial"/>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a reconciliation of our net loss to adjusted EBITDA for each of the quarters for the period between January 1, 2016 to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740" w:type="dxa"/>
            <w:vAlign w:val="bottom"/>
          </w:tcPr>
          <w:p>
            <w:pPr>
              <w:spacing w:after="0"/>
              <w:rPr>
                <w:sz w:val="10"/>
                <w:szCs w:val="10"/>
                <w:color w:val="auto"/>
              </w:rPr>
            </w:pPr>
          </w:p>
        </w:tc>
        <w:tc>
          <w:tcPr>
            <w:tcW w:w="9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March 31,</w:t>
            </w:r>
          </w:p>
        </w:tc>
        <w:tc>
          <w:tcPr>
            <w:tcW w:w="8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June 30,</w:t>
            </w:r>
          </w:p>
        </w:tc>
        <w:tc>
          <w:tcPr>
            <w:tcW w:w="12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1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9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r>
      <w:tr>
        <w:trPr>
          <w:trHeight w:val="171"/>
        </w:trPr>
        <w:tc>
          <w:tcPr>
            <w:tcW w:w="5740" w:type="dxa"/>
            <w:vAlign w:val="bottom"/>
          </w:tcPr>
          <w:p>
            <w:pPr>
              <w:spacing w:after="0"/>
              <w:rPr>
                <w:sz w:val="14"/>
                <w:szCs w:val="14"/>
                <w:color w:val="auto"/>
              </w:rPr>
            </w:pP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(US$ in thousands)</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57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(7,972)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(1,795)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(18,949)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(12,004)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(10,241)</w:t>
            </w:r>
          </w:p>
        </w:tc>
      </w:tr>
      <w:tr>
        <w:trPr>
          <w:trHeight w:val="203"/>
        </w:trPr>
        <w:tc>
          <w:tcPr>
            <w:tcW w:w="5740" w:type="dxa"/>
            <w:vAlign w:val="bottom"/>
          </w:tcPr>
          <w:p>
            <w:pPr>
              <w:spacing w:after="0"/>
              <w:rPr>
                <w:sz w:val="20"/>
                <w:szCs w:val="20"/>
                <w:color w:val="auto"/>
              </w:rPr>
            </w:pPr>
            <w:r>
              <w:rPr>
                <w:rFonts w:ascii="Arial" w:cs="Arial" w:eastAsia="Arial" w:hAnsi="Arial"/>
                <w:sz w:val="16"/>
                <w:szCs w:val="16"/>
                <w:color w:val="auto"/>
              </w:rPr>
              <w:t>Add/(less):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1,432</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7"/>
                <w:szCs w:val="17"/>
                <w:color w:val="auto"/>
              </w:rPr>
            </w:pPr>
          </w:p>
        </w:tc>
      </w:tr>
      <w:tr>
        <w:trPr>
          <w:trHeight w:val="203"/>
        </w:trPr>
        <w:tc>
          <w:tcPr>
            <w:tcW w:w="57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620" w:type="dxa"/>
            <w:vAlign w:val="bottom"/>
          </w:tcPr>
          <w:p>
            <w:pPr>
              <w:jc w:val="right"/>
              <w:spacing w:after="0"/>
              <w:rPr>
                <w:sz w:val="20"/>
                <w:szCs w:val="20"/>
                <w:color w:val="auto"/>
              </w:rPr>
            </w:pPr>
            <w:r>
              <w:rPr>
                <w:rFonts w:ascii="Arial" w:cs="Arial" w:eastAsia="Arial" w:hAnsi="Arial"/>
                <w:sz w:val="16"/>
                <w:szCs w:val="16"/>
                <w:color w:val="auto"/>
              </w:rPr>
              <w:t>150</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c>
          <w:tcPr>
            <w:tcW w:w="3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145</w:t>
            </w:r>
          </w:p>
        </w:tc>
        <w:tc>
          <w:tcPr>
            <w:tcW w:w="5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(benefit)/expense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8"/>
                <w:szCs w:val="18"/>
                <w:color w:val="auto"/>
              </w:rPr>
            </w:pPr>
          </w:p>
        </w:tc>
      </w:tr>
      <w:tr>
        <w:trPr>
          <w:trHeight w:val="203"/>
        </w:trPr>
        <w:tc>
          <w:tcPr>
            <w:tcW w:w="5740" w:type="dxa"/>
            <w:vAlign w:val="bottom"/>
          </w:tcPr>
          <w:p>
            <w:pPr>
              <w:ind w:left="340"/>
              <w:spacing w:after="0"/>
              <w:rPr>
                <w:sz w:val="20"/>
                <w:szCs w:val="20"/>
                <w:color w:val="auto"/>
              </w:rPr>
            </w:pPr>
            <w:r>
              <w:rPr>
                <w:rFonts w:ascii="Arial" w:cs="Arial" w:eastAsia="Arial" w:hAnsi="Arial"/>
                <w:sz w:val="16"/>
                <w:szCs w:val="16"/>
                <w:color w:val="auto"/>
              </w:rPr>
              <w:t>EBITDA</w:t>
            </w:r>
          </w:p>
        </w:tc>
        <w:tc>
          <w:tcPr>
            <w:tcW w:w="620" w:type="dxa"/>
            <w:vAlign w:val="bottom"/>
          </w:tcPr>
          <w:p>
            <w:pPr>
              <w:jc w:val="right"/>
              <w:spacing w:after="0"/>
              <w:rPr>
                <w:sz w:val="20"/>
                <w:szCs w:val="20"/>
                <w:color w:val="auto"/>
              </w:rPr>
            </w:pPr>
            <w:r>
              <w:rPr>
                <w:rFonts w:ascii="Arial" w:cs="Arial" w:eastAsia="Arial" w:hAnsi="Arial"/>
                <w:sz w:val="16"/>
                <w:szCs w:val="16"/>
                <w:color w:val="auto"/>
              </w:rPr>
              <w:t>2,905</w:t>
            </w:r>
          </w:p>
        </w:tc>
        <w:tc>
          <w:tcPr>
            <w:tcW w:w="3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(6,428)</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(301)</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(16,747)</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(10,436)</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(8,088)</w:t>
            </w:r>
          </w:p>
        </w:tc>
      </w:tr>
      <w:tr>
        <w:trPr>
          <w:trHeight w:val="20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74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620" w:type="dxa"/>
            <w:vAlign w:val="bottom"/>
          </w:tcPr>
          <w:p>
            <w:pPr>
              <w:jc w:val="right"/>
              <w:spacing w:after="0"/>
              <w:rPr>
                <w:sz w:val="20"/>
                <w:szCs w:val="20"/>
                <w:color w:val="auto"/>
              </w:rPr>
            </w:pPr>
            <w:r>
              <w:rPr>
                <w:rFonts w:ascii="Arial" w:cs="Arial" w:eastAsia="Arial" w:hAnsi="Arial"/>
                <w:sz w:val="16"/>
                <w:szCs w:val="16"/>
                <w:color w:val="auto"/>
              </w:rPr>
              <w:t>941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18,458</w:t>
            </w:r>
          </w:p>
        </w:tc>
        <w:tc>
          <w:tcPr>
            <w:tcW w:w="3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1,062</w:t>
            </w:r>
          </w:p>
        </w:tc>
        <w:tc>
          <w:tcPr>
            <w:tcW w:w="54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loss/(gain) on derivative liabilities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(4,366)</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(1,674)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(2,498)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7,430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100" w:type="dxa"/>
            <w:vAlign w:val="bottom"/>
            <w:shd w:val="clear" w:color="auto" w:fill="CCEEFF"/>
          </w:tcPr>
          <w:p>
            <w:pPr>
              <w:spacing w:after="0"/>
              <w:rPr>
                <w:sz w:val="19"/>
                <w:szCs w:val="19"/>
                <w:color w:val="auto"/>
              </w:rPr>
            </w:pPr>
          </w:p>
        </w:tc>
      </w:tr>
      <w:tr>
        <w:trPr>
          <w:trHeight w:val="203"/>
        </w:trPr>
        <w:tc>
          <w:tcPr>
            <w:tcW w:w="5740" w:type="dxa"/>
            <w:vAlign w:val="bottom"/>
          </w:tcPr>
          <w:p>
            <w:pPr>
              <w:ind w:left="340"/>
              <w:spacing w:after="0"/>
              <w:rPr>
                <w:sz w:val="20"/>
                <w:szCs w:val="20"/>
                <w:color w:val="auto"/>
              </w:rPr>
            </w:pPr>
            <w:r>
              <w:rPr>
                <w:rFonts w:ascii="Arial" w:cs="Arial" w:eastAsia="Arial" w:hAnsi="Arial"/>
                <w:sz w:val="16"/>
                <w:szCs w:val="16"/>
                <w:color w:val="auto"/>
              </w:rPr>
              <w:t>Share of loss from an equity investee</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in relation to the acquisition of OptAim</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5740" w:type="dxa"/>
            <w:vAlign w:val="bottom"/>
          </w:tcPr>
          <w:p>
            <w:pPr>
              <w:ind w:left="340"/>
              <w:spacing w:after="0"/>
              <w:rPr>
                <w:sz w:val="20"/>
                <w:szCs w:val="20"/>
                <w:color w:val="auto"/>
              </w:rPr>
            </w:pPr>
            <w:r>
              <w:rPr>
                <w:rFonts w:ascii="Arial" w:cs="Arial" w:eastAsia="Arial" w:hAnsi="Arial"/>
                <w:sz w:val="16"/>
                <w:szCs w:val="16"/>
                <w:color w:val="auto"/>
              </w:rPr>
              <w:t>Other gains/(losses), net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(96)</w:t>
            </w:r>
          </w:p>
        </w:tc>
        <w:tc>
          <w:tcPr>
            <w:tcW w:w="520" w:type="dxa"/>
            <w:vAlign w:val="bottom"/>
          </w:tcPr>
          <w:p>
            <w:pPr>
              <w:jc w:val="right"/>
              <w:spacing w:after="0"/>
              <w:rPr>
                <w:sz w:val="20"/>
                <w:szCs w:val="20"/>
                <w:color w:val="auto"/>
              </w:rPr>
            </w:pPr>
            <w:r>
              <w:rPr>
                <w:rFonts w:ascii="Arial" w:cs="Arial" w:eastAsia="Arial" w:hAnsi="Arial"/>
                <w:sz w:val="16"/>
                <w:szCs w:val="16"/>
                <w:color w:val="auto"/>
              </w:rPr>
              <w:t>165</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705</w:t>
            </w:r>
          </w:p>
        </w:tc>
        <w:tc>
          <w:tcPr>
            <w:tcW w:w="3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33</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r>
      <w:tr>
        <w:trPr>
          <w:trHeight w:val="27"/>
        </w:trPr>
        <w:tc>
          <w:tcPr>
            <w:tcW w:w="5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(616)</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(798)</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(744)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(1,911)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a reconciliation of our net loss to adjusted net loss for each of the quarters for the period between January 1, 2016 to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460" w:type="dxa"/>
            <w:vAlign w:val="bottom"/>
          </w:tcPr>
          <w:p>
            <w:pPr>
              <w:spacing w:after="0"/>
              <w:rPr>
                <w:sz w:val="10"/>
                <w:szCs w:val="10"/>
                <w:color w:val="auto"/>
              </w:rPr>
            </w:pPr>
          </w:p>
        </w:tc>
        <w:tc>
          <w:tcPr>
            <w:tcW w:w="9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8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June 30,</w:t>
            </w:r>
          </w:p>
        </w:tc>
        <w:tc>
          <w:tcPr>
            <w:tcW w:w="12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1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5460" w:type="dxa"/>
            <w:vAlign w:val="bottom"/>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(US$ in thousands)</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(7,972)</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(10,241)</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Add: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(4,366)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4,543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(1,674)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(2,498)</w:t>
            </w:r>
          </w:p>
        </w:tc>
        <w:tc>
          <w:tcPr>
            <w:tcW w:w="660" w:type="dxa"/>
            <w:vAlign w:val="bottom"/>
          </w:tcPr>
          <w:p>
            <w:pPr>
              <w:jc w:val="right"/>
              <w:spacing w:after="0"/>
              <w:rPr>
                <w:sz w:val="20"/>
                <w:szCs w:val="20"/>
                <w:color w:val="auto"/>
              </w:rPr>
            </w:pPr>
            <w:r>
              <w:rPr>
                <w:rFonts w:ascii="Arial" w:cs="Arial" w:eastAsia="Arial" w:hAnsi="Arial"/>
                <w:sz w:val="18"/>
                <w:szCs w:val="18"/>
                <w:color w:val="auto"/>
              </w:rPr>
              <w:t>7,430</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7,297</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 from an equity investee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Compensation in relation to the acquisition of OptAim</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gains/(losses),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(2,342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as we continued to optimize the customer base for our other solutions to focus on sales profitability and liquidity, we may experience decrease in gross billing for a particular period. Furthermore, our ability to retain and attract customers may be affected by the competitiveness of our pricing and credit terms for our customers,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customers or attract new ones could adversely impact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To date, we have financed our operations primarily through the issuance of shares in private placements and bank financing. As of June 30, 2017, we had US$28.2 million in cash and cash equivalents, and borrowing capacity of US$11.9 million under our revolving credit facilities and term loan facilities of a total principal amount of US$21.6 million. As of June 30, 2017, our cash and cash equivalents primarily consisted of cash on hand, cash held at bank, and time deposits placed with banks or other financial institutions, which have original maturities of three months or less. As of June 30,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increased fixed obligations and could result in operating and financial covenants that might restrict our operations. We cannot assure you that financing will be available in amounts or on terms acceptable to us, if at all.</w:t>
      </w:r>
    </w:p>
    <w:p>
      <w:pPr>
        <w:spacing w:after="0" w:line="17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5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2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7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gridSpan w:val="3"/>
          </w:tcPr>
          <w:p>
            <w:pPr>
              <w:jc w:val="right"/>
              <w:ind w:right="754"/>
              <w:spacing w:after="0" w:line="142" w:lineRule="exact"/>
              <w:rPr>
                <w:sz w:val="20"/>
                <w:szCs w:val="20"/>
                <w:color w:val="auto"/>
              </w:rPr>
            </w:pPr>
            <w:r>
              <w:rPr>
                <w:rFonts w:ascii="Arial" w:cs="Arial" w:eastAsia="Arial" w:hAnsi="Arial"/>
                <w:sz w:val="14"/>
                <w:szCs w:val="14"/>
                <w:b w:val="1"/>
                <w:bCs w:val="1"/>
                <w:color w:val="auto"/>
              </w:rPr>
              <w:t>(US$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cash from/(used in) operating activities</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(9,797)</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(3,907)</w:t>
            </w:r>
          </w:p>
        </w:tc>
        <w:tc>
          <w:tcPr>
            <w:tcW w:w="1180" w:type="dxa"/>
            <w:vAlign w:val="bottom"/>
          </w:tcPr>
          <w:p>
            <w:pPr>
              <w:jc w:val="right"/>
              <w:ind w:right="314"/>
              <w:spacing w:after="0"/>
              <w:rPr>
                <w:sz w:val="20"/>
                <w:szCs w:val="20"/>
                <w:color w:val="auto"/>
              </w:rPr>
            </w:pPr>
            <w:r>
              <w:rPr>
                <w:rFonts w:ascii="Arial" w:cs="Arial" w:eastAsia="Arial" w:hAnsi="Arial"/>
                <w:sz w:val="18"/>
                <w:szCs w:val="18"/>
                <w:color w:val="auto"/>
              </w:rPr>
              <w:t>(2,219)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cash from/(used in) investing activities</w:t>
            </w:r>
          </w:p>
        </w:tc>
        <w:tc>
          <w:tcPr>
            <w:tcW w:w="11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(18,095)</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(3,710)</w:t>
            </w:r>
          </w:p>
        </w:tc>
        <w:tc>
          <w:tcPr>
            <w:tcW w:w="11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(2,612)</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24,564</w:t>
            </w: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2,140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(3,339)</w:t>
            </w: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1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(232)</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w:t>
            </w:r>
          </w:p>
        </w:tc>
        <w:tc>
          <w:tcPr>
            <w:tcW w:w="11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1140" w:type="dxa"/>
            <w:vAlign w:val="bottom"/>
          </w:tcPr>
          <w:p>
            <w:pPr>
              <w:jc w:val="right"/>
              <w:ind w:right="274"/>
              <w:spacing w:after="0"/>
              <w:rPr>
                <w:sz w:val="20"/>
                <w:szCs w:val="20"/>
                <w:color w:val="auto"/>
              </w:rPr>
            </w:pPr>
            <w:r>
              <w:rPr>
                <w:rFonts w:ascii="Arial" w:cs="Arial" w:eastAsia="Arial" w:hAnsi="Arial"/>
                <w:sz w:val="18"/>
                <w:szCs w:val="18"/>
                <w:color w:val="auto"/>
              </w:rPr>
              <w:t>(30,504)</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16,947</w:t>
            </w: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498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11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41,131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10,395</w:t>
            </w:r>
          </w:p>
        </w:tc>
        <w:tc>
          <w:tcPr>
            <w:tcW w:w="11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10,395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1140" w:type="dxa"/>
            <w:vAlign w:val="bottom"/>
          </w:tcPr>
          <w:p>
            <w:pPr>
              <w:jc w:val="right"/>
              <w:ind w:right="334"/>
              <w:spacing w:after="0"/>
              <w:rPr>
                <w:sz w:val="20"/>
                <w:szCs w:val="20"/>
                <w:color w:val="auto"/>
              </w:rPr>
            </w:pPr>
            <w:r>
              <w:rPr>
                <w:rFonts w:ascii="Arial" w:cs="Arial" w:eastAsia="Arial" w:hAnsi="Arial"/>
                <w:sz w:val="18"/>
                <w:szCs w:val="18"/>
                <w:color w:val="auto"/>
              </w:rPr>
              <w:t>10,395</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27,280</w:t>
            </w:r>
          </w:p>
        </w:tc>
        <w:tc>
          <w:tcPr>
            <w:tcW w:w="1180" w:type="dxa"/>
            <w:vAlign w:val="bottom"/>
          </w:tcPr>
          <w:p>
            <w:pPr>
              <w:jc w:val="right"/>
              <w:ind w:right="374"/>
              <w:spacing w:after="0"/>
              <w:rPr>
                <w:sz w:val="20"/>
                <w:szCs w:val="20"/>
                <w:color w:val="auto"/>
              </w:rPr>
            </w:pPr>
            <w:r>
              <w:rPr>
                <w:rFonts w:ascii="Arial" w:cs="Arial" w:eastAsia="Arial" w:hAnsi="Arial"/>
                <w:sz w:val="18"/>
                <w:szCs w:val="18"/>
                <w:color w:val="auto"/>
              </w:rPr>
              <w:t>10,829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28,223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Net cash provided by operating activities amounted to US$2.5 million in the six months ended June 30, 2017, which was mainly attributable to a net loss of US$22.2 million, partially offset by a net increase in working capital of US$5.5 million and non-cash items of US$19.3 million. The net increase in working capital of US$5.5 million was primarily attributable to a decrease in prepaid media costs of US$13.5 million and a decrease in accounts receivable of US$2.5 million, partially offset by a decrease in accounts payable of US$5.6 million, a decrease in accrued liabilities and other current liabilities of US$3.9 million and a decrease in deferred revenue of US$2.4 million. The decrease in prepaid media costs of US$13.5 million was primarily driven by a decrease in prepaid media cost under our sales agency model. We prepaid more media cost to the publisher under our sales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agency model towards the end of 2016 to secure favorable rates for our incentive revenue as we had additional liquidity following our issuance of series E convertible redeemable shares in December 2016. The non-cash items of US$19.3 million were primarily attributable to fair value loss on derivative liabilities of US$14.7 million due to an increase in our enterprise value as a result of a decrease in lack of marketability discount as we are approaching an initial public offering, amortization of intangible assets of US$2.1 million relating to intangible asset and share-based compensation of US$1.9 million.</w:t>
      </w:r>
    </w:p>
    <w:p>
      <w:pPr>
        <w:spacing w:after="0" w:line="17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US$2.3 million. The increase in deferred revenue of US$10.8 million was primarily driven by an increase in receipt in advance from customers. The increase in prepaid media cost of US$9.6 million was primarily driven by an increase in prepaid media cost under our sales agency model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operating activities was US$9.8 million in 2015, which was mainly attributable to a net loss of $39.7 million, partially offset by a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increase in working capital of US$1.6 million and non-cash items of US$28.4 million. The net increase in working capital of US$1.6 million was primarily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an increase in accrued liabilities and other current liabilities of US$9.3 million and a decrease in prepaid media costs of US$8.1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primarily by an increase in accounts receivable of US$13.7 million. The increase in accrued liabilities and other current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US$9.3 million was primarily driven by an increase in rebate provision to customers and accrued expenses. The increase in accounts receivable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US$13.7 million was commensurate with the growth of our gross billing. The non-cash items of US$28.4 million were mainly attributable to fair value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derivative financial instruments of US$19.4 million, share-based compensation of US$6.5 million and amortization of intangible assets of US$2.0 million.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Net cash provided by investing activities in the six months ended June 30, 2017 was US$1.9 million, due to a decrease in restricted cash of US$3.2 million, partially offset by an increase in short-term investments of US$1.2 million.</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2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Net cash used in financing activities in the six months ended June 30, 2017 was US$3.3 million, which was primarily attributable to repayments from bank borrowings of US$3.4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made capital expenditures of US$2.7 million, US$0.9 million, US$0.4 million and US$0.1 million in 2015, 2016 and the six months ended June 30, 2016 and 2017, respectively. In these periods, our capital expenditures were mainly used for the purchase of property and equipment and purchase of software. Our capital expenditures for the second half of 2017 are expected to be approximately US$1.0 million, consisting primarily of expenditures related to the purchase of property and equipment and purchase of software. We will continue to make capital expenditures to support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Payment Due by Period</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1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Less than 1 year</w:t>
            </w:r>
          </w:p>
        </w:tc>
        <w:tc>
          <w:tcPr>
            <w:tcW w:w="1020" w:type="dxa"/>
            <w:vAlign w:val="bottom"/>
            <w:gridSpan w:val="2"/>
          </w:tcPr>
          <w:p>
            <w:pPr>
              <w:jc w:val="center"/>
              <w:ind w:left="500"/>
              <w:spacing w:after="0" w:line="119" w:lineRule="exact"/>
              <w:rPr>
                <w:sz w:val="20"/>
                <w:szCs w:val="20"/>
                <w:color w:val="auto"/>
              </w:rPr>
            </w:pPr>
            <w:r>
              <w:rPr>
                <w:rFonts w:ascii="Arial" w:cs="Arial" w:eastAsia="Arial" w:hAnsi="Arial"/>
                <w:sz w:val="13"/>
                <w:szCs w:val="13"/>
                <w:b w:val="1"/>
                <w:bCs w:val="1"/>
                <w:color w:val="auto"/>
              </w:rPr>
              <w:t>1-</w:t>
            </w:r>
          </w:p>
        </w:tc>
        <w:tc>
          <w:tcPr>
            <w:tcW w:w="640" w:type="dxa"/>
            <w:vAlign w:val="bottom"/>
          </w:tcPr>
          <w:p>
            <w:pPr>
              <w:spacing w:after="0"/>
              <w:rPr>
                <w:sz w:val="10"/>
                <w:szCs w:val="10"/>
                <w:color w:val="auto"/>
              </w:rPr>
            </w:pPr>
          </w:p>
        </w:tc>
        <w:tc>
          <w:tcPr>
            <w:tcW w:w="46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3-</w:t>
            </w:r>
          </w:p>
        </w:tc>
        <w:tc>
          <w:tcPr>
            <w:tcW w:w="62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3 years</w:t>
            </w:r>
          </w:p>
        </w:tc>
        <w:tc>
          <w:tcPr>
            <w:tcW w:w="460" w:type="dxa"/>
            <w:vAlign w:val="bottom"/>
          </w:tcPr>
          <w:p>
            <w:pPr>
              <w:spacing w:after="0"/>
              <w:rPr>
                <w:sz w:val="20"/>
                <w:szCs w:val="20"/>
                <w:color w:val="auto"/>
              </w:rPr>
            </w:pPr>
            <w:r>
              <w:rPr>
                <w:rFonts w:ascii="Arial" w:cs="Arial" w:eastAsia="Arial" w:hAnsi="Arial"/>
                <w:sz w:val="14"/>
                <w:szCs w:val="14"/>
                <w:b w:val="1"/>
                <w:bCs w:val="1"/>
                <w:color w:val="auto"/>
                <w:w w:val="91"/>
              </w:rPr>
              <w:t>5 years</w:t>
            </w:r>
          </w:p>
        </w:tc>
        <w:tc>
          <w:tcPr>
            <w:tcW w:w="6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1,435</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13,555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13,471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6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17,055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15,536</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1,519</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Our operating lease obligations relate to our leases of office premises. We lease our office premises under a non-cancelable operating lease arrangement. Rental expenses under operating leases for 2016 and the six months ended June 30, 2017 were US$3.0 million and US$1.3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August 2017. Pursuant to the agreement as amended, we were granted a one-year revolving line of credit up to the lesser of (a) RMB50 million (US$7.4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(US$8.9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2018, when the loan matures and the principal is due and payable. We are allowed to voluntarily prepay the loan without prepayment charges. As of June 30, 2017, the total outstanding amount of the revolving loan was RMB30 million (US$4.4 million) and RMB20 million (US$3.0 million) was available to be drawn under this facility.</w:t>
      </w:r>
    </w:p>
    <w:p>
      <w:pPr>
        <w:spacing w:after="0" w:line="1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firstLine="8"/>
        <w:spacing w:after="0" w:line="267" w:lineRule="auto"/>
        <w:tabs>
          <w:tab w:leader="none" w:pos="2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June 30, 2017, the total outstanding amount of the term loan was approximately US$0.6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June 30, 2017, the total outstanding amount under the revolving loan was US$2,950,000 and US$50,000 was available to be drawn under this facility. This loan also contains certain repayable on demand clause.</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six months granted by financial institutions times 115% per annum. We are required to make monthly interest payments through May 2018, when the loan matures and the principal is due and payable. We will be charged a prepayment fee if we prepay the loan before the maturity date. As of June 30, 2017, we had no outstanding balance under this revolving loan.</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In July 2016, we entered into a facility agreement for working capital loans with SPD Silicon Valley Bank, which provides for a RMB12 million</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As of June 30, 2017, the total outstanding amount of the non-revolving loan was RMB12 million (US$1.8 million) and no further amounts were available to be drawn under that facility.</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March 2017, we entered into a facility agreement for working capital loans with Eastwest Bank, which provides for a RMB30 million (US$4.4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June 30, 2017, we had not drawn down under this revolving loan.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GAPP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June 30, 2017, we had Renminbi-denominated cash and cash equivalents, accounts receivable, prepaid cost and deferred revenue of RMB49.8 million, RMB164.2 million, RMB145.1 million and RMB151.8 million, respectively. We estimate that a 10% depreciation of Renminbi against the U.S. dollar based on the foreign exchange rate on June 30, 2017 would result in a change of our holding U.S. dollar equivalents of US$(0.7) million, US$(2.1) million, US$(1.9) million and US$2.0 million for cash and cash equivalents, accounts receivable, prepaid cost and deferred revenue, respectively.</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June 30, 2017 would result in a decrease of US$3.3 million and US$2.6 million in our net revenues and cost of revenues in the six months ended June 30, 2016, respectively, and a 10% depreciation of Renminbi against the U.S. dollar based on the foreign exchange rate on June 30, 2017 would result in a decrease of US$4.6 million and US$4.1 million in our net revenues and cost of revenues in the six months ended June 30, 2017, respectively.</w:t>
      </w:r>
    </w:p>
    <w:p>
      <w:pPr>
        <w:spacing w:after="0" w:line="16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June 30, 2017 was at floating rates.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June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30, 2017, if interest rates increased/decreased by 1%, with all other variables having remained constant, and assuming the amount of bank borrowings outstanding at the end of the year was outstanding for the entire year, our net loss would have been US$95,950 higher/lower, respectively. These were mainly as a result of higher/lower interest expense for our bank borrowings at floating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7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All the information and data presented in this section have been derived from Frost &amp; Sullivan’s industry report dated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Driven by continuous innovations in internet and mobile technologies and the increasing amount of time consumers spend on digital devices as well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data-driven potential of online marketing, marketers are increasingly shifting their marketing spend from offline channels, such as television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print advertising and radio advertising, to online channels in order to achieve wider but more targeted audience reach and provide more tailored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RMB343.4 billion in 2016, representing a CAGR of 22.5%, which outpaced the growth of the overall marketing market. Online marketing spend in China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37.2% of total marketing spend in China, surging from 21.9% in 2012. This percentage is expected to continue to increase in the coming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reaching approximately 52.3% in 2020, when online marketing surpasses offline marketing as the primary segment in China’s marketing industry.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6"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below illustrates the historical and projected breakdown of the online marketing market in China by online and offline segments for each of the periods presented.</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172085</wp:posOffset>
            </wp:positionV>
            <wp:extent cx="4373880" cy="13976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Online marketing is divided into the following four segments:</w:t>
      </w:r>
    </w:p>
    <w:p>
      <w:pPr>
        <w:spacing w:after="0" w:line="131"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Create</w:t>
      </w:r>
      <w:r>
        <w:rPr>
          <w:rFonts w:ascii="Arial" w:cs="Arial" w:eastAsia="Arial" w:hAnsi="Arial"/>
          <w:sz w:val="18"/>
          <w:szCs w:val="18"/>
          <w:color w:val="auto"/>
        </w:rPr>
        <w:t>: the creation, personalization curation and management of marketing content to be delivered to targeted audience;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the delivery of marketing content to targeted audience through marketing channels and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Manage</w:t>
      </w:r>
      <w:r>
        <w:rPr>
          <w:rFonts w:ascii="Arial" w:cs="Arial" w:eastAsia="Arial" w:hAnsi="Arial"/>
          <w:sz w:val="18"/>
          <w:szCs w:val="18"/>
          <w:color w:val="auto"/>
        </w:rPr>
        <w:t>: the planning and management strategies to accomplish marketing objectives utilizing available resources;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Measure</w:t>
      </w:r>
      <w:r>
        <w:rPr>
          <w:rFonts w:ascii="Arial" w:cs="Arial" w:eastAsia="Arial" w:hAnsi="Arial"/>
          <w:sz w:val="17"/>
          <w:szCs w:val="17"/>
          <w:color w:val="auto"/>
        </w:rPr>
        <w:t>: the gathering of valuable audience insights through monitoring and analyzing campaign performance and other data traffic.</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trends shaping China’s online marketing market include:</w:t>
      </w:r>
    </w:p>
    <w:p>
      <w:pPr>
        <w:spacing w:after="0" w:line="131" w:lineRule="exact"/>
        <w:rPr>
          <w:sz w:val="20"/>
          <w:szCs w:val="20"/>
          <w:color w:val="auto"/>
        </w:rPr>
      </w:pPr>
    </w:p>
    <w:p>
      <w:pPr>
        <w:jc w:val="both"/>
        <w:ind w:left="900" w:right="380" w:hanging="325"/>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Integration of media resources</w:t>
      </w:r>
      <w:r>
        <w:rPr>
          <w:rFonts w:ascii="Arial" w:cs="Arial" w:eastAsia="Arial" w:hAnsi="Arial"/>
          <w:sz w:val="18"/>
          <w:szCs w:val="18"/>
          <w:color w:val="auto"/>
        </w:rPr>
        <w:t>. Marketers tend to promote their products and services through the most efficient channels. Companies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86"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Enrichment, diversification and personalization of marketing content. </w:t>
      </w:r>
      <w:r>
        <w:rPr>
          <w:rFonts w:ascii="Arial" w:cs="Arial" w:eastAsia="Arial" w:hAnsi="Arial"/>
          <w:sz w:val="16"/>
          <w:szCs w:val="16"/>
          <w:color w:val="auto"/>
        </w:rPr>
        <w:t>Content marketing is a strategic marketing approach focusing on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52"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Rise of mobile marketing. </w:t>
      </w:r>
      <w:r>
        <w:rPr>
          <w:rFonts w:ascii="Arial" w:cs="Arial" w:eastAsia="Arial" w:hAnsi="Arial"/>
          <w:sz w:val="16"/>
          <w:szCs w:val="16"/>
          <w:color w:val="auto"/>
        </w:rPr>
        <w:t>Mobile marketing market has demonstrated tremendous growth potential with significant advantages in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52" w:lineRule="exact"/>
        <w:rPr>
          <w:rFonts w:ascii="Arial" w:cs="Arial" w:eastAsia="Arial" w:hAnsi="Arial"/>
          <w:sz w:val="16"/>
          <w:szCs w:val="16"/>
          <w:color w:val="auto"/>
        </w:rPr>
      </w:pPr>
    </w:p>
    <w:p>
      <w:pPr>
        <w:ind w:left="900" w:right="80" w:hanging="325"/>
        <w:spacing w:after="0" w:line="30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Development of advanced online marketing technologies. </w:t>
      </w:r>
      <w:r>
        <w:rPr>
          <w:rFonts w:ascii="Arial" w:cs="Arial" w:eastAsia="Arial" w:hAnsi="Arial"/>
          <w:sz w:val="16"/>
          <w:szCs w:val="16"/>
          <w:color w:val="auto"/>
        </w:rPr>
        <w:t>Advanced technologies have proven to boost the efficiency and capability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80"/>
          </w:cols>
          <w:pgMar w:left="240" w:top="459" w:right="3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Rising significance of audience data management. </w:t>
      </w:r>
      <w:r>
        <w:rPr>
          <w:rFonts w:ascii="Arial" w:cs="Arial" w:eastAsia="Arial" w:hAnsi="Arial"/>
          <w:sz w:val="18"/>
          <w:szCs w:val="18"/>
          <w:color w:val="auto"/>
        </w:rPr>
        <w:t>Audience data management can help marketers gather valuable insights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differences between China’s online marketing market and US’s online marketing market include:</w:t>
      </w:r>
    </w:p>
    <w:p>
      <w:pPr>
        <w:spacing w:after="0" w:line="131" w:lineRule="exact"/>
        <w:rPr>
          <w:sz w:val="20"/>
          <w:szCs w:val="20"/>
          <w:color w:val="auto"/>
        </w:rPr>
      </w:pPr>
    </w:p>
    <w:p>
      <w:pPr>
        <w:ind w:left="900" w:right="40" w:hanging="325"/>
        <w:spacing w:after="0" w:line="289"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Diverse marketing technology market in China compared to concentrated online marketing market in the US. </w:t>
      </w:r>
      <w:r>
        <w:rPr>
          <w:rFonts w:ascii="Arial" w:cs="Arial" w:eastAsia="Arial" w:hAnsi="Arial"/>
          <w:sz w:val="16"/>
          <w:szCs w:val="16"/>
          <w:color w:val="auto"/>
        </w:rPr>
        <w:t>In the US, the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72" w:lineRule="exact"/>
        <w:rPr>
          <w:rFonts w:ascii="Arial" w:cs="Arial" w:eastAsia="Arial" w:hAnsi="Arial"/>
          <w:sz w:val="16"/>
          <w:szCs w:val="16"/>
          <w:color w:val="auto"/>
        </w:rPr>
      </w:pPr>
    </w:p>
    <w:p>
      <w:pPr>
        <w:ind w:left="900" w:right="20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Growth of real time bidding, or RTB-based display in China</w:t>
      </w:r>
      <w:r>
        <w:rPr>
          <w:rFonts w:ascii="Arial" w:cs="Arial" w:eastAsia="Arial" w:hAnsi="Arial"/>
          <w:sz w:val="18"/>
          <w:szCs w:val="18"/>
          <w:color w:val="auto"/>
        </w:rPr>
        <w:t>. Driven by the rapid development of marketing technology in China, RTB-based</w:t>
      </w:r>
      <w:r>
        <w:rPr>
          <w:rFonts w:ascii="Arial" w:cs="Arial" w:eastAsia="Arial" w:hAnsi="Arial"/>
          <w:sz w:val="18"/>
          <w:szCs w:val="18"/>
          <w:i w:val="1"/>
          <w:iCs w:val="1"/>
          <w:color w:val="auto"/>
        </w:rPr>
        <w:t xml:space="preserve"> </w:t>
      </w:r>
      <w:r>
        <w:rPr>
          <w:rFonts w:ascii="Arial" w:cs="Arial" w:eastAsia="Arial" w:hAnsi="Arial"/>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76" w:lineRule="exact"/>
        <w:rPr>
          <w:sz w:val="20"/>
          <w:szCs w:val="20"/>
          <w:color w:val="auto"/>
        </w:rPr>
      </w:pPr>
    </w:p>
    <w:p>
      <w:pPr>
        <w:ind w:left="900" w:right="6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Create: </w:t>
      </w:r>
      <w:r>
        <w:rPr>
          <w:rFonts w:ascii="Arial" w:cs="Arial" w:eastAsia="Arial" w:hAnsi="Arial"/>
          <w:sz w:val="18"/>
          <w:szCs w:val="18"/>
          <w:color w:val="auto"/>
        </w:rPr>
        <w:t>technologies that assist marketers in designing marketing content, and include content creation tools, graphic creation tools, webinar and</w:t>
      </w:r>
      <w:r>
        <w:rPr>
          <w:rFonts w:ascii="Arial" w:cs="Arial" w:eastAsia="Arial" w:hAnsi="Arial"/>
          <w:sz w:val="18"/>
          <w:szCs w:val="18"/>
          <w:i w:val="1"/>
          <w:iCs w:val="1"/>
          <w:color w:val="auto"/>
        </w:rPr>
        <w:t xml:space="preserve"> </w:t>
      </w:r>
      <w:r>
        <w:rPr>
          <w:rFonts w:ascii="Arial" w:cs="Arial" w:eastAsia="Arial" w:hAnsi="Arial"/>
          <w:sz w:val="18"/>
          <w:szCs w:val="18"/>
          <w:color w:val="auto"/>
        </w:rPr>
        <w:t>event creation tools.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Connect: </w:t>
      </w:r>
      <w:r>
        <w:rPr>
          <w:rFonts w:ascii="Arial" w:cs="Arial" w:eastAsia="Arial" w:hAnsi="Arial"/>
          <w:sz w:val="18"/>
          <w:szCs w:val="18"/>
          <w:color w:val="auto"/>
        </w:rPr>
        <w:t>technologies that assist marketers in the delivery of marketing content to targeted audience, and include mobile apps design tools,</w:t>
      </w:r>
      <w:r>
        <w:rPr>
          <w:rFonts w:ascii="Arial" w:cs="Arial" w:eastAsia="Arial" w:hAnsi="Arial"/>
          <w:sz w:val="18"/>
          <w:szCs w:val="18"/>
          <w:i w:val="1"/>
          <w:iCs w:val="1"/>
          <w:color w:val="auto"/>
        </w:rPr>
        <w:t xml:space="preserve"> </w:t>
      </w:r>
      <w:r>
        <w:rPr>
          <w:rFonts w:ascii="Arial" w:cs="Arial" w:eastAsia="Arial" w:hAnsi="Arial"/>
          <w:sz w:val="18"/>
          <w:szCs w:val="18"/>
          <w:color w:val="auto"/>
        </w:rPr>
        <w:t>search engine tools, email tools, video and display processing, analyzing and compressing technologies.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325"/>
        <w:spacing w:after="0" w:line="308"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Manage</w:t>
      </w:r>
      <w:r>
        <w:rPr>
          <w:rFonts w:ascii="Arial" w:cs="Arial" w:eastAsia="Arial" w:hAnsi="Arial"/>
          <w:sz w:val="17"/>
          <w:szCs w:val="17"/>
          <w:color w:val="auto"/>
        </w:rPr>
        <w:t>: technologies that assist marketers in accomplishing marketing objectives, and include customer relationship management system, or</w:t>
      </w:r>
      <w:r>
        <w:rPr>
          <w:rFonts w:ascii="Arial" w:cs="Arial" w:eastAsia="Arial" w:hAnsi="Arial"/>
          <w:sz w:val="17"/>
          <w:szCs w:val="17"/>
          <w:i w:val="1"/>
          <w:iCs w:val="1"/>
          <w:color w:val="auto"/>
        </w:rPr>
        <w:t xml:space="preserve"> </w:t>
      </w:r>
      <w:r>
        <w:rPr>
          <w:rFonts w:ascii="Arial" w:cs="Arial" w:eastAsia="Arial" w:hAnsi="Arial"/>
          <w:sz w:val="17"/>
          <w:szCs w:val="17"/>
          <w:color w:val="auto"/>
        </w:rPr>
        <w:t>CRM system, marketing automation, account-based marketing, or ABM, project and product management tools.</w:t>
      </w:r>
    </w:p>
    <w:p>
      <w:pPr>
        <w:spacing w:after="0" w:line="51"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Measure: </w:t>
      </w:r>
      <w:r>
        <w:rPr>
          <w:rFonts w:ascii="Arial" w:cs="Arial" w:eastAsia="Arial" w:hAnsi="Arial"/>
          <w:sz w:val="18"/>
          <w:szCs w:val="18"/>
          <w:color w:val="auto"/>
        </w:rPr>
        <w:t>technologies that assist marketers in monitoring and analyzing data to derive valuable insights, and include mobile and web analytic</w:t>
      </w:r>
      <w:r>
        <w:rPr>
          <w:rFonts w:ascii="Arial" w:cs="Arial" w:eastAsia="Arial" w:hAnsi="Arial"/>
          <w:sz w:val="18"/>
          <w:szCs w:val="18"/>
          <w:i w:val="1"/>
          <w:iCs w:val="1"/>
          <w:color w:val="auto"/>
        </w:rPr>
        <w:t xml:space="preserve"> </w:t>
      </w:r>
      <w:r>
        <w:rPr>
          <w:rFonts w:ascii="Arial" w:cs="Arial" w:eastAsia="Arial" w:hAnsi="Arial"/>
          <w:sz w:val="18"/>
          <w:szCs w:val="18"/>
          <w:color w:val="auto"/>
        </w:rPr>
        <w:t>tools, cloud computing and data integration tools.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16205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76" w:lineRule="exact"/>
        <w:rPr>
          <w:sz w:val="20"/>
          <w:szCs w:val="20"/>
          <w:color w:val="auto"/>
        </w:rPr>
      </w:pPr>
    </w:p>
    <w:p>
      <w:pPr>
        <w:ind w:left="900" w:right="100" w:hanging="325"/>
        <w:spacing w:after="0" w:line="279"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Big data era. </w:t>
      </w:r>
      <w:r>
        <w:rPr>
          <w:rFonts w:ascii="Arial" w:cs="Arial" w:eastAsia="Arial" w:hAnsi="Arial"/>
          <w:sz w:val="17"/>
          <w:szCs w:val="17"/>
          <w:color w:val="auto"/>
        </w:rPr>
        <w:t>The emergence and use of big data have transformed the planning and execution of marketing campaigns. Marketers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76" w:lineRule="exact"/>
        <w:rPr>
          <w:rFonts w:ascii="Arial" w:cs="Arial" w:eastAsia="Arial" w:hAnsi="Arial"/>
          <w:sz w:val="17"/>
          <w:szCs w:val="17"/>
          <w:color w:val="auto"/>
        </w:rPr>
      </w:pPr>
    </w:p>
    <w:p>
      <w:pPr>
        <w:ind w:left="900" w:right="22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Rising demand from small and medium-sized enterprises</w:t>
      </w:r>
      <w:r>
        <w:rPr>
          <w:rFonts w:ascii="Arial" w:cs="Arial" w:eastAsia="Arial" w:hAnsi="Arial"/>
          <w:sz w:val="18"/>
          <w:szCs w:val="18"/>
          <w:color w:val="auto"/>
        </w:rPr>
        <w:t>. With the help of online marketing technologies, small and medium-sized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92" w:lineRule="exact"/>
        <w:rPr>
          <w:rFonts w:ascii="Arial" w:cs="Arial" w:eastAsia="Arial" w:hAnsi="Arial"/>
          <w:sz w:val="18"/>
          <w:szCs w:val="18"/>
          <w:color w:val="auto"/>
        </w:rPr>
      </w:pPr>
    </w:p>
    <w:p>
      <w:pPr>
        <w:ind w:left="900" w:right="100" w:hanging="325"/>
        <w:spacing w:after="0" w:line="25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Rising Demand from Multinational Companies. </w:t>
      </w:r>
      <w:r>
        <w:rPr>
          <w:rFonts w:ascii="Arial" w:cs="Arial" w:eastAsia="Arial" w:hAnsi="Arial"/>
          <w:sz w:val="18"/>
          <w:szCs w:val="18"/>
          <w:color w:val="auto"/>
        </w:rPr>
        <w:t>With rapid economic growth and increasing consumer spending power in China, multinational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resources to bridge multinational companies to the China market are expected to benefit from this trend.</w:t>
      </w:r>
    </w:p>
    <w:p>
      <w:pPr>
        <w:spacing w:after="0" w:line="131" w:lineRule="exact"/>
        <w:rPr>
          <w:sz w:val="20"/>
          <w:szCs w:val="20"/>
          <w:color w:val="auto"/>
        </w:rPr>
      </w:pPr>
    </w:p>
    <w:p>
      <w:pPr>
        <w:ind w:left="900" w:hanging="325"/>
        <w:spacing w:after="0" w:line="297"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Rising demand from and outsourcing of certain services by publishers</w:t>
      </w:r>
      <w:r>
        <w:rPr>
          <w:rFonts w:ascii="Arial" w:cs="Arial" w:eastAsia="Arial" w:hAnsi="Arial"/>
          <w:sz w:val="16"/>
          <w:szCs w:val="16"/>
          <w:color w:val="auto"/>
        </w:rPr>
        <w:t>. Publishers are increasingly looking to online marketing technologies to</w:t>
      </w:r>
      <w:r>
        <w:rPr>
          <w:rFonts w:ascii="Arial" w:cs="Arial" w:eastAsia="Arial" w:hAnsi="Arial"/>
          <w:sz w:val="16"/>
          <w:szCs w:val="16"/>
          <w:i w:val="1"/>
          <w:iCs w:val="1"/>
          <w:color w:val="auto"/>
        </w:rPr>
        <w:t xml:space="preserve"> </w:t>
      </w:r>
      <w:r>
        <w:rPr>
          <w:rFonts w:ascii="Arial" w:cs="Arial" w:eastAsia="Arial" w:hAnsi="Arial"/>
          <w:sz w:val="16"/>
          <w:szCs w:val="16"/>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63" w:lineRule="exact"/>
        <w:rPr>
          <w:rFonts w:ascii="Arial" w:cs="Arial" w:eastAsia="Arial" w:hAnsi="Arial"/>
          <w:sz w:val="16"/>
          <w:szCs w:val="16"/>
          <w:color w:val="auto"/>
        </w:rPr>
      </w:pPr>
    </w:p>
    <w:p>
      <w:pPr>
        <w:ind w:left="900" w:right="100" w:hanging="325"/>
        <w:spacing w:after="0" w:line="308"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Market consolidation. </w:t>
      </w:r>
      <w:r>
        <w:rPr>
          <w:rFonts w:ascii="Arial" w:cs="Arial" w:eastAsia="Arial" w:hAnsi="Arial"/>
          <w:sz w:val="17"/>
          <w:szCs w:val="17"/>
          <w:color w:val="auto"/>
        </w:rPr>
        <w:t>The trend of horizontal integration among small and medium-sized enterprises in the online marketing technology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is expected to continue as these enterprises look to diversify their product portfolios and enhance technology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52" w:lineRule="exact"/>
        <w:rPr>
          <w:sz w:val="20"/>
          <w:szCs w:val="20"/>
          <w:color w:val="auto"/>
        </w:rPr>
      </w:pPr>
    </w:p>
    <w:p>
      <w:pPr>
        <w:ind w:left="900" w:right="380" w:hanging="325"/>
        <w:spacing w:after="0" w:line="34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Access to more diverse sources of data and wider range of content distribution opportunities. </w:t>
      </w:r>
      <w:r>
        <w:rPr>
          <w:rFonts w:ascii="Arial" w:cs="Arial" w:eastAsia="Arial" w:hAnsi="Arial"/>
          <w:sz w:val="16"/>
          <w:szCs w:val="16"/>
          <w:color w:val="auto"/>
        </w:rPr>
        <w:t>Non-independent online marketing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may be limited in their access to audience data and content distribution opportunities from their competing publishers.</w:t>
      </w:r>
    </w:p>
    <w:p>
      <w:pPr>
        <w:spacing w:after="0" w:line="29" w:lineRule="exact"/>
        <w:rPr>
          <w:rFonts w:ascii="Arial" w:cs="Arial" w:eastAsia="Arial" w:hAnsi="Arial"/>
          <w:sz w:val="16"/>
          <w:szCs w:val="16"/>
          <w:color w:val="auto"/>
        </w:rPr>
      </w:pPr>
    </w:p>
    <w:p>
      <w:pPr>
        <w:jc w:val="both"/>
        <w:ind w:left="900" w:right="640" w:hanging="325"/>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Neutrality. </w:t>
      </w:r>
      <w:r>
        <w:rPr>
          <w:rFonts w:ascii="Arial" w:cs="Arial" w:eastAsia="Arial" w:hAnsi="Arial"/>
          <w:sz w:val="18"/>
          <w:szCs w:val="18"/>
          <w:color w:val="auto"/>
        </w:rPr>
        <w:t>Independent online marketing technology companies are perceived to provide more neutral and unbiased value proposition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marketers as its selection of channels to deliver marketing content is solely driven by the evaluation as to which channels would achieve maximum results with minimal costs for marketers.</w:t>
      </w:r>
    </w:p>
    <w:p>
      <w:pPr>
        <w:spacing w:after="0" w:line="86" w:lineRule="exact"/>
        <w:rPr>
          <w:rFonts w:ascii="Arial" w:cs="Arial" w:eastAsia="Arial" w:hAnsi="Arial"/>
          <w:sz w:val="18"/>
          <w:szCs w:val="18"/>
          <w:color w:val="auto"/>
        </w:rPr>
      </w:pPr>
    </w:p>
    <w:p>
      <w:pPr>
        <w:ind w:left="900" w:hanging="325"/>
        <w:spacing w:after="0" w:line="31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More focused business model</w:t>
      </w:r>
      <w:r>
        <w:rPr>
          <w:rFonts w:ascii="Arial" w:cs="Arial" w:eastAsia="Arial" w:hAnsi="Arial"/>
          <w:sz w:val="16"/>
          <w:szCs w:val="16"/>
          <w:color w:val="auto"/>
        </w:rPr>
        <w:t>. The primary business focus and business models of large internet companies with extensive resources of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data, including Baidu, Alibaba, and Tecent, are not marketing technology-oriented or to provide tailored marketing services to advertisers. Independent marketing technology companies focus on marketing technology and provide customized solutions and services to advertisers.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205740</wp:posOffset>
            </wp:positionV>
            <wp:extent cx="4699635" cy="22383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184150</wp:posOffset>
            </wp:positionV>
            <wp:extent cx="4399280" cy="14751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219"/>
          </w:cols>
          <w:pgMar w:left="240" w:top="459" w:right="1440"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August 31, 2017, we analyzed approximately 665.4 million active profiled users with 19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platform appeals to marketers by offering omni-channel reach to the Chinese audience. We provide our customers one-stop access to a wide variety of cross-channel content distribution opportunities, including those from the leading online publishers in China. We offer both mobile audience solutions and other solutions based on channels desired by our customers. In the 30 days leading up to August 31, 2017, we covered approximately 74,000 mobile apps and 2.3 million websites. We work closely with our content distribution partners to facilitate innovative and effective audience engagement. In the six months ended June 30, 2017, our gross billing from mobile audience solutions and other solutions amounted to US$63.0 million and US$40.4 million, respectively.</w:t>
      </w:r>
    </w:p>
    <w:p>
      <w:pPr>
        <w:spacing w:after="0" w:line="15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take a flexible approach to the delivery model of our solutions in order to cater to the preferences and levels of internal resources and expertise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and six months ended June 30, 2017, respectively, as well as small and medium-sized enterprises, and from different geographic regions in and outside China. We derived over 70% of our gross billing from direct marketer customers in 2015 and 2016 and over 60% of our gross billing from direct marketer customers in the six months ended June 30, 2017.</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generate revenue primarily from customers’ marketing spend through our platform as they utilize our solutions under our non-sales agency model, and to a less extent from incentives or rebates granted by certain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publishers. Our gross billing grew by 32.5% from US$178.2 million in 2015 to US$236.3 million in 2016. Our gross billings decreased by 12.9% from US$118.7 million in the six months ended June 30, 2016 to US$103.4 million in the same period in 2017 due to a decrease in gross billing from other solutions as we terminated relationship with certain customers of other solutions in the first half of 2017 as part of our efforts to optimize our customer base for other solutions to focus on profitability and liquidity. Our net revenues grew by 46.2% from US$65.2 million in 2015 to US$95.4 million in 2016 and grew by 23.1% from US$45.3 million in the six months ended June 30, 2016 to US$55.7 million in the same period in 2017. Our net loss was</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US$39.7 million and US$27.3 million in 2015 and 2016, respectively, and US$6.6 million and US$22.2 million in the six months ended June 30, 2016 and 2017,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competitive strengths have contributed to our success and differentiated us from our competitors: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independent online marketing technology platform in China with a highly scalable and flexible business model</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were the largest independent online marketing technology platform in China in terms of gross billing in 2016, according to Frost &amp; Sullivan. Our gross billing reached US$236.3 million and US$103.4 million in 2016 and the six months ended June 30, 2017, leading to net revenues of US$95.4 million and US$55.7 million during these periods. We are also one of the first independent online marketing technology platforms in China to apply a data-driven approach to address marketers’ needs, according to Frost &amp; Sullivan.</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measurement of the results of online marketing campaigns, to creating content catering to their potential customers across different channels. We offer both mobile audience solutions and other solutions based on channels desired by our customers. Our solutions are delivered under our self-service model or managed service model, which we believe are well suited to the current development stage of online marketing in China. Our self-service model enables sophisticated marketers to run their campaigns on an “a-la-carte”, cost-effective basis. Our managed service model, under which our account management team provides in-depth services utilizing our solutions, enables marketers to navigate through complicated and fragmented online marketing landscapes and manage their marketing activities based on specified objectives and budgets. This model is attractive to a wide spectrum of marketers because of the ease of use and helps us foster long-term strategic relationships with marketers to gain valuable insights into their audience data and refine our data algorithms.</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simplifying and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7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Leveraging our market-leading position, we are well-positioned to attract and retain marketers and gain access to premium audience engagement opportunities, creating a virtuous cycle which we expect to continue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Chinese consumer data set with omni-channel, targeted audience reach</w:t>
      </w:r>
    </w:p>
    <w:p>
      <w:pPr>
        <w:spacing w:after="0" w:line="117"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We had the largest Chinese consumer data set in terms of number of active profiled users in 2016 among independent online marketing technology companies in China, according to Frost &amp; Sullivan. In the 30 days leading up to August 31, 2017, we analyzed data of approximately 665.4 million active profiled users. The average daily volume of the data we collected reached 1.1 terabytes in the 30 days leading up to August 31, 2017.</w:t>
      </w:r>
    </w:p>
    <w:p>
      <w:pPr>
        <w:spacing w:after="0" w:line="14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his or her demographics, geographic location, device preference, spending history, personal interest and other online or offline behavioral pattern, which can be targeted for marketing campaigns by specific industry verticals. These user profiles are continuously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takes place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sophisticated and automated platform powered by proprietary, cutting-edge technologies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diverse and loyal customer base</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effective and flexible solutions, sophisticated data analytics capabilities, and market leadership position have earned us a strong and diverse customer base from a broad range of industry verticals, including banking and finance, entertainment and media, and E-commerce. Our customers included over 150 multinational companies in 2016 and six months ended June 30, 2017, respectively, making us the No.1 independent online marketing technology platform bridging the largest number of multinational companies to the Chinese market, according to Frost &amp; Sullivan.</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to multinational companies, our diverse customer base also includes small and medium-sized enterprises. We provide tailored and user-friendly solutions to cater to customers and marketers of different levels of sophistication and from different industry verticals. This allows us to serve a wide spectrum of customers to capture the growth potentials in the market segments or industry verticals that they represent.</w:t>
      </w:r>
    </w:p>
    <w:p>
      <w:pPr>
        <w:spacing w:after="0" w:line="16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Through our close working relationship with direct marketer customers, we are able to better understand and anticipate market trends, customize our solutions, foster closer customer relationships and increase customer loyalty and retention. We derived over 70% of our gross billing from direct marketer customers in 2015 and 2016 and over 60% of our gross billing from direct marketer customers in the six months ended June 30, 2017. Our gross billing per customer increased by 47.5% from US$67,413 in 2015 to US$99,433 in 2016. Our gross billing per customer increased by 29.9% from US$57,192 in the six months ended June 30, 2016 to US$74,296 in the same period in 2017. All of these demonstrate the stickiness of our platform and the strength of our solutions in addressing direct marketer customers’ needs through differentiated and tailored service offerings.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knowledge and familiarity with China’s online marketing industry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74,000 mobile apps and 2.3 million websites in the 30 days leading up to August 31, 2017, to help marketers, especially multinational marketers, navigate the fragmented landscape to identify and reach their potential customers. In 2016, we derived approximately 30% of our gross billing from customers outside of China as measured by the location of our sales offices. We are also well-versed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Visionary leadership with proven track record of organic growth and acquisition execution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success is attributable to the deep industry experience and proven execution track record of our senior management team, with global perspectives and insightful knowledge in both technology and the online marketing industry. We are spearheaded by Sammy Hsieh, our chief executive officer and co-founder, Jian Tang,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management team has navigated us through the development of the online marketing industry in recent years, ensuring that our products and services continue to be attractive to and in demand by customers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7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enhance our competitive strengths and pursue the following strategies to expand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and diversify our customer base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plan to continue to optimize and diversify our customer base, including attracting customers to our self-service model and mobile audience solutions, and customers from additional industry verticals and geographic markets, through developing and offering more tailored and user-friendly solutions and services and targeted sales and marketing efforts.</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Arial" w:cs="Arial" w:eastAsia="Arial" w:hAnsi="Arial"/>
          <w:sz w:val="13"/>
          <w:szCs w:val="13"/>
          <w:color w:val="auto"/>
        </w:rPr>
        <w:t>nd</w:t>
      </w:r>
      <w:r>
        <w:rPr>
          <w:rFonts w:ascii="Arial" w:cs="Arial" w:eastAsia="Arial" w:hAnsi="Arial"/>
          <w:sz w:val="16"/>
          <w:szCs w:val="16"/>
          <w:color w:val="auto"/>
        </w:rPr>
        <w:t xml:space="preserve"> tier and 3</w:t>
      </w:r>
      <w:r>
        <w:rPr>
          <w:rFonts w:ascii="Arial" w:cs="Arial" w:eastAsia="Arial" w:hAnsi="Arial"/>
          <w:sz w:val="13"/>
          <w:szCs w:val="13"/>
          <w:color w:val="auto"/>
        </w:rPr>
        <w:t>rd</w:t>
      </w:r>
      <w:r>
        <w:rPr>
          <w:rFonts w:ascii="Arial" w:cs="Arial" w:eastAsia="Arial" w:hAnsi="Arial"/>
          <w:sz w:val="16"/>
          <w:szCs w:val="16"/>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customers’ needs and preferences in mobile marketing campaigns and expanding and deepening cooperation with mobile content distribution channels to capture a larger share of online marketing spend on mobile channels. We also strive to diversify our customer base and penetrate into new industry verticals and geographical markets to capture more growth opportunities. We plan to launch solutions with industry-specific features, such as more user data packages with industry focus, and interfaces to attract customers in additional industry verticals. In addition, we intend to continue to open overseas offices, increase our international presence and attract more overseas customers with timely and localized support. We plan to add new features to our existing solutions that are particularly relevant to overseas customers, such as multi-language, currency and time zone settings. Furthermore, we plan to roll out our self-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service model in the overseas market to cater to more multinational companies. We believe this will empower a growing number of multinational customers to transact in an automated fashion with minimal additional sales and marketing inputs from us, enabling us to scale up operations efficiently.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customer marketing spend on our platform</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strive to increase customer marketing spend on our platform by staying at the forefront of the online marketing industry and address marketers’ evolving needs with innovative solutions.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fourth quarter of 2017. In addition, we are working on new partnership initiatives, which would make third-party applications available to our customers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customers better monitor and optimize their campaigns.</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enlarge audience data set, strengthen data analytics capabilities and innovate technologies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place a high value on data expansion and technological innovation and intend to continue devoting substantial resources to that end. We will continue to collaborate with customers and other third parties to increase the dimensions and varieties of our data assets. We plan to work on further integration of data management platforms of our customers,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73"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addition, we plan to continue investing in our data science technologies, including refreshing and upgrading data modeling and segmentation technologies to meet customer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data application across more aspects in online marketing and beyond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broaden our solution offerings across more aspects in online marketing, including content creation and customer relationship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example, we plan to expand our data application to content optimization to help marketers decide how best to upgrade their marketing content.</w:t>
      </w:r>
    </w:p>
    <w:p>
      <w:pPr>
        <w:spacing w:after="0" w:line="222"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strategic alliance and acquisition opportunities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 devices.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11115" cy="22980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404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customers,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jc w:val="both"/>
        <w:ind w:left="90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 or she</w:t>
      </w:r>
      <w:r>
        <w:rPr>
          <w:rFonts w:ascii="Arial" w:cs="Arial" w:eastAsia="Arial" w:hAnsi="Arial"/>
          <w:sz w:val="18"/>
          <w:szCs w:val="18"/>
          <w:i w:val="1"/>
          <w:iCs w:val="1"/>
          <w:color w:val="auto"/>
        </w:rPr>
        <w:t xml:space="preserve"> </w:t>
      </w:r>
      <w:r>
        <w:rPr>
          <w:rFonts w:ascii="Arial" w:cs="Arial" w:eastAsia="Arial" w:hAnsi="Arial"/>
          <w:sz w:val="18"/>
          <w:szCs w:val="18"/>
          <w:color w:val="auto"/>
        </w:rPr>
        <w:t>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900" w:right="640" w:hanging="325"/>
        <w:spacing w:after="0" w:line="28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fourth quarter of 2017.</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customers’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customers, our solutions are delivered through:</w:t>
      </w:r>
    </w:p>
    <w:p>
      <w:pPr>
        <w:spacing w:after="0" w:line="76"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self-service model, under which customers have the flexibility to run their advertising campaigns on an “a la carte”, cost-effective basis; and</w:t>
      </w:r>
    </w:p>
    <w:p>
      <w:pPr>
        <w:spacing w:after="0" w:line="153" w:lineRule="exact"/>
        <w:rPr>
          <w:rFonts w:ascii="Arial" w:cs="Arial" w:eastAsia="Arial" w:hAnsi="Arial"/>
          <w:sz w:val="16"/>
          <w:szCs w:val="16"/>
          <w:color w:val="auto"/>
        </w:rPr>
      </w:pPr>
    </w:p>
    <w:p>
      <w:pPr>
        <w:jc w:val="both"/>
        <w:ind w:left="900" w:right="18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managed service model, where our account management team manages marketing campaigns for our customers,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generate revenues primarily from customers’ marketing spend through our platform as they utilize our solutions under our non-sales agency model, and depending on our revenue recognition model, either including or excluding media cost. To a lesser extent, we generate revenues from incentives and rebates granted by certain publishers. Please refer to “Management Discussion and Analysis of Financial Condition and Results of Operations — Key Operating and Financial Metrics — Net Revenues”, “— Critical Accounting Policies — Revenue Recognition” and “— Critical Accounting Policies — Rebates” for a description of our revenue recognition policies and accounting treatment of rebates.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technology companies in China, according to Frost &amp; Sullivan. From approximately 74,000 mobile apps and 2.3 million websites that we covered, we analyzed approximately 665.4 million active profiled users in China in the 30 days leading up to August 31, 2017. According to the China Internet Network Information Center, or CNNIC, there were 731 million internet users and 695 million mobile internet users in China as of December 31, 2016. The average daily volume of the data we collected reached 1.1 terabytes in the 30 days leading up to August 31, 2017.</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70" w:lineRule="exact"/>
        <w:rPr>
          <w:sz w:val="20"/>
          <w:szCs w:val="20"/>
          <w:color w:val="auto"/>
        </w:rPr>
      </w:pPr>
    </w:p>
    <w:p>
      <w:pPr>
        <w:ind w:left="900" w:hanging="325"/>
        <w:spacing w:after="0" w:line="25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900" w:right="280" w:hanging="325"/>
        <w:spacing w:after="0" w:line="297"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 visit</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63" w:lineRule="exact"/>
        <w:rPr>
          <w:rFonts w:ascii="Arial" w:cs="Arial" w:eastAsia="Arial" w:hAnsi="Arial"/>
          <w:sz w:val="16"/>
          <w:szCs w:val="16"/>
          <w:color w:val="auto"/>
        </w:rPr>
      </w:pPr>
    </w:p>
    <w:p>
      <w:pPr>
        <w:ind w:left="900" w:right="140" w:hanging="325"/>
        <w:spacing w:after="0" w:line="27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Online transactional data – </w:t>
      </w:r>
      <w:r>
        <w:rPr>
          <w:rFonts w:ascii="Arial" w:cs="Arial" w:eastAsia="Arial" w:hAnsi="Arial"/>
          <w:sz w:val="17"/>
          <w:szCs w:val="17"/>
          <w:color w:val="auto"/>
        </w:rPr>
        <w:t>Online transactional data refers to a user’s behavior on online commerce platforms, including the items he or she is</w:t>
      </w:r>
      <w:r>
        <w:rPr>
          <w:rFonts w:ascii="Arial" w:cs="Arial" w:eastAsia="Arial" w:hAnsi="Arial"/>
          <w:sz w:val="17"/>
          <w:szCs w:val="17"/>
          <w:i w:val="1"/>
          <w:iCs w:val="1"/>
          <w:color w:val="auto"/>
        </w:rPr>
        <w:t xml:space="preserve"> </w:t>
      </w:r>
      <w:r>
        <w:rPr>
          <w:rFonts w:ascii="Arial" w:cs="Arial" w:eastAsia="Arial" w:hAnsi="Arial"/>
          <w:sz w:val="17"/>
          <w:szCs w:val="17"/>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customers.</w:t>
      </w:r>
    </w:p>
    <w:p>
      <w:pPr>
        <w:spacing w:after="0" w:line="77" w:lineRule="exact"/>
        <w:rPr>
          <w:rFonts w:ascii="Arial" w:cs="Arial" w:eastAsia="Arial" w:hAnsi="Arial"/>
          <w:sz w:val="17"/>
          <w:szCs w:val="17"/>
          <w:color w:val="auto"/>
        </w:rPr>
      </w:pPr>
    </w:p>
    <w:p>
      <w:pPr>
        <w:ind w:left="900" w:right="40" w:hanging="325"/>
        <w:spacing w:after="0" w:line="273"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Offline purchase behavioral data – </w:t>
      </w:r>
      <w:r>
        <w:rPr>
          <w:rFonts w:ascii="Arial" w:cs="Arial" w:eastAsia="Arial" w:hAnsi="Arial"/>
          <w:sz w:val="17"/>
          <w:szCs w:val="17"/>
          <w:color w:val="auto"/>
        </w:rPr>
        <w:t>Offline purchase behavioral data refers to a user’s behavior in non-digitally connected environments,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3" w:lineRule="exact"/>
        <w:rPr>
          <w:rFonts w:ascii="Arial" w:cs="Arial" w:eastAsia="Arial" w:hAnsi="Arial"/>
          <w:sz w:val="17"/>
          <w:szCs w:val="17"/>
          <w:color w:val="auto"/>
        </w:rPr>
      </w:pPr>
    </w:p>
    <w:p>
      <w:pPr>
        <w:ind w:left="900" w:right="180" w:hanging="325"/>
        <w:spacing w:after="0" w:line="286"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Social data – </w:t>
      </w:r>
      <w:r>
        <w:rPr>
          <w:rFonts w:ascii="Arial" w:cs="Arial" w:eastAsia="Arial" w:hAnsi="Arial"/>
          <w:sz w:val="17"/>
          <w:szCs w:val="17"/>
          <w:color w:val="auto"/>
        </w:rPr>
        <w:t>Social data refers a user’s behavior on social networks, such as Sina Weibo and Tencent QZone, including the content the user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312" w:lineRule="auto"/>
        <w:rPr>
          <w:sz w:val="20"/>
          <w:szCs w:val="20"/>
          <w:color w:val="auto"/>
        </w:rPr>
      </w:pPr>
      <w:r>
        <w:rPr>
          <w:rFonts w:ascii="Arial" w:cs="Arial" w:eastAsia="Arial" w:hAnsi="Arial"/>
          <w:sz w:val="16"/>
          <w:szCs w:val="16"/>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52" w:lineRule="exact"/>
        <w:rPr>
          <w:sz w:val="20"/>
          <w:szCs w:val="20"/>
          <w:color w:val="auto"/>
        </w:rPr>
      </w:pPr>
    </w:p>
    <w:p>
      <w:pPr>
        <w:jc w:val="both"/>
        <w:ind w:left="900" w:right="100" w:hanging="325"/>
        <w:spacing w:after="0" w:line="31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Demographic data – </w:t>
      </w:r>
      <w:r>
        <w:rPr>
          <w:rFonts w:ascii="Arial" w:cs="Arial" w:eastAsia="Arial" w:hAnsi="Arial"/>
          <w:sz w:val="16"/>
          <w:szCs w:val="16"/>
          <w:color w:val="auto"/>
        </w:rPr>
        <w:t>Demographic data refers to a user’s age, gender, income level and geographic location. In addition to inferred demographic</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customer campaigns, and through our data collaboration arrangements with selected third-party data partners.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August 31, 2017, we analyzed approximately 665.4 million active profiled users, whose profiles include on average 19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900" w:right="80" w:hanging="325"/>
        <w:spacing w:after="0" w:line="25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 including de-duplication of multiple devices to a user.</w:t>
      </w:r>
    </w:p>
    <w:p>
      <w:pPr>
        <w:spacing w:after="0" w:line="93" w:lineRule="exact"/>
        <w:rPr>
          <w:rFonts w:ascii="Arial" w:cs="Arial" w:eastAsia="Arial" w:hAnsi="Arial"/>
          <w:sz w:val="18"/>
          <w:szCs w:val="18"/>
          <w:color w:val="auto"/>
        </w:rPr>
      </w:pPr>
    </w:p>
    <w:p>
      <w:pPr>
        <w:ind w:left="900" w:right="40" w:hanging="325"/>
        <w:spacing w:after="0" w:line="286"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Contextual analysis engine - </w:t>
      </w:r>
      <w:r>
        <w:rPr>
          <w:rFonts w:ascii="Arial" w:cs="Arial" w:eastAsia="Arial" w:hAnsi="Arial"/>
          <w:sz w:val="17"/>
          <w:szCs w:val="17"/>
          <w:color w:val="auto"/>
        </w:rPr>
        <w:t>Our contextual analysis engine parses all data properties to understand the context and content which audiences are</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0" w:lineRule="exact"/>
        <w:rPr>
          <w:rFonts w:ascii="Arial" w:cs="Arial" w:eastAsia="Arial" w:hAnsi="Arial"/>
          <w:sz w:val="17"/>
          <w:szCs w:val="17"/>
          <w:color w:val="auto"/>
        </w:rPr>
      </w:pPr>
    </w:p>
    <w:p>
      <w:pPr>
        <w:ind w:left="900" w:right="60" w:hanging="325"/>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Natural language processing algorithms - </w:t>
      </w:r>
      <w:r>
        <w:rPr>
          <w:rFonts w:ascii="Arial" w:cs="Arial" w:eastAsia="Arial" w:hAnsi="Arial"/>
          <w:sz w:val="18"/>
          <w:szCs w:val="18"/>
          <w:color w:val="auto"/>
        </w:rPr>
        <w:t>Our natural language processing algorithms, or NLP, are important elements of our contextual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engine. We use these algorithms to extract structure from unstructured data, so that it can be processed and analyzed effectively. Our NLP algorithms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900" w:right="40" w:hanging="325"/>
        <w:spacing w:after="0" w:line="279"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User profiling engine - </w:t>
      </w:r>
      <w:r>
        <w:rPr>
          <w:rFonts w:ascii="Arial" w:cs="Arial" w:eastAsia="Arial" w:hAnsi="Arial"/>
          <w:sz w:val="17"/>
          <w:szCs w:val="17"/>
          <w:color w:val="auto"/>
        </w:rPr>
        <w:t>Combining the data collected through, and processed by, our contextual analysis engine and audience tracking engine, our</w:t>
      </w:r>
      <w:r>
        <w:rPr>
          <w:rFonts w:ascii="Arial" w:cs="Arial" w:eastAsia="Arial" w:hAnsi="Arial"/>
          <w:sz w:val="17"/>
          <w:szCs w:val="17"/>
          <w:i w:val="1"/>
          <w:iCs w:val="1"/>
          <w:color w:val="auto"/>
        </w:rPr>
        <w:t xml:space="preserve"> </w:t>
      </w:r>
      <w:r>
        <w:rPr>
          <w:rFonts w:ascii="Arial" w:cs="Arial" w:eastAsia="Arial" w:hAnsi="Arial"/>
          <w:sz w:val="17"/>
          <w:szCs w:val="17"/>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August 31, 2017, we had designed an aggregate of 187 data labels for our user profiles.</w:t>
      </w:r>
    </w:p>
    <w:p>
      <w:pPr>
        <w:spacing w:after="0" w:line="76" w:lineRule="exact"/>
        <w:rPr>
          <w:rFonts w:ascii="Arial" w:cs="Arial" w:eastAsia="Arial" w:hAnsi="Arial"/>
          <w:sz w:val="17"/>
          <w:szCs w:val="17"/>
          <w:color w:val="auto"/>
        </w:rPr>
      </w:pPr>
    </w:p>
    <w:p>
      <w:pPr>
        <w:ind w:left="9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 time,</w:t>
      </w:r>
      <w:r>
        <w:rPr>
          <w:rFonts w:ascii="Arial" w:cs="Arial" w:eastAsia="Arial" w:hAnsi="Arial"/>
          <w:sz w:val="18"/>
          <w:szCs w:val="18"/>
          <w:i w:val="1"/>
          <w:iCs w:val="1"/>
          <w:color w:val="auto"/>
        </w:rPr>
        <w:t xml:space="preserve"> </w:t>
      </w:r>
      <w:r>
        <w:rPr>
          <w:rFonts w:ascii="Arial" w:cs="Arial" w:eastAsia="Arial" w:hAnsi="Arial"/>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900" w:right="24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Real-time user engagement algorithms </w:t>
      </w:r>
      <w:r>
        <w:rPr>
          <w:rFonts w:ascii="Arial" w:cs="Arial" w:eastAsia="Arial" w:hAnsi="Arial"/>
          <w:sz w:val="18"/>
          <w:szCs w:val="18"/>
          <w:color w:val="auto"/>
        </w:rPr>
        <w:t>– Our real time user engagement algorithms execute marketing decisions based on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92" w:lineRule="exact"/>
        <w:rPr>
          <w:rFonts w:ascii="Arial" w:cs="Arial" w:eastAsia="Arial" w:hAnsi="Arial"/>
          <w:sz w:val="18"/>
          <w:szCs w:val="18"/>
          <w:color w:val="auto"/>
        </w:rPr>
      </w:pPr>
    </w:p>
    <w:p>
      <w:pPr>
        <w:ind w:left="900" w:right="20" w:hanging="325"/>
        <w:spacing w:after="0" w:line="25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associate a random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we require its immediate deletion.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customers and increased complexity of their online marketing campaigns.</w:t>
      </w:r>
    </w:p>
    <w:p>
      <w:pPr>
        <w:spacing w:after="0" w:line="29" w:lineRule="exact"/>
        <w:rPr>
          <w:sz w:val="20"/>
          <w:szCs w:val="20"/>
          <w:color w:val="auto"/>
        </w:rPr>
      </w:pPr>
    </w:p>
    <w:p>
      <w:pPr>
        <w:ind w:left="900" w:right="80" w:hanging="325"/>
        <w:spacing w:after="0" w:line="30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Real-time analytics - </w:t>
      </w:r>
      <w:r>
        <w:rPr>
          <w:rFonts w:ascii="Arial" w:cs="Arial" w:eastAsia="Arial" w:hAnsi="Arial"/>
          <w:sz w:val="16"/>
          <w:szCs w:val="16"/>
          <w:color w:val="auto"/>
        </w:rPr>
        <w:t>Our cloud-based technology architecture is built to be fully distributed while having a single unified access layer. Large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59" w:lineRule="exact"/>
        <w:rPr>
          <w:rFonts w:ascii="Arial" w:cs="Arial" w:eastAsia="Arial" w:hAnsi="Arial"/>
          <w:sz w:val="16"/>
          <w:szCs w:val="16"/>
          <w:color w:val="auto"/>
        </w:rPr>
      </w:pPr>
    </w:p>
    <w:p>
      <w:pPr>
        <w:ind w:left="900" w:right="80" w:hanging="325"/>
        <w:spacing w:after="0" w:line="27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Scalability - </w:t>
      </w:r>
      <w:r>
        <w:rPr>
          <w:rFonts w:ascii="Arial" w:cs="Arial" w:eastAsia="Arial" w:hAnsi="Arial"/>
          <w:sz w:val="17"/>
          <w:szCs w:val="17"/>
          <w:color w:val="auto"/>
        </w:rPr>
        <w:t>With modular architecture that is built to be horizontally scalable, our platform can be easily expanded as data storage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customer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77" w:lineRule="exact"/>
        <w:rPr>
          <w:rFonts w:ascii="Arial" w:cs="Arial" w:eastAsia="Arial" w:hAnsi="Arial"/>
          <w:sz w:val="17"/>
          <w:szCs w:val="17"/>
          <w:color w:val="auto"/>
        </w:rPr>
      </w:pPr>
    </w:p>
    <w:p>
      <w:pPr>
        <w:jc w:val="both"/>
        <w:ind w:left="900" w:right="80" w:hanging="325"/>
        <w:spacing w:after="0" w:line="288"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 We built</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ind w:left="900" w:right="640"/>
        <w:spacing w:after="0" w:line="261" w:lineRule="auto"/>
        <w:rPr>
          <w:rFonts w:ascii="Arial" w:cs="Arial" w:eastAsia="Arial" w:hAnsi="Arial"/>
          <w:sz w:val="16"/>
          <w:szCs w:val="16"/>
          <w:color w:val="auto"/>
        </w:rPr>
      </w:pPr>
      <w:r>
        <w:rPr>
          <w:rFonts w:ascii="Arial" w:cs="Arial" w:eastAsia="Arial" w:hAnsi="Arial"/>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87.7% of our media costs in 2015, 2016 and six months ended June 30, 2017, respectively. Media cost for content distribution opportunities on our largest channel partner in each of 2015, 2016 and the six months ended June 30, 2017 accounted for 55.0%, 42.2% and 58.8% of our media costs during the relevant periods, respectively, and media costs for content distribution opportunities on our second largest channel partner in each of 2015, 2016 and the six months ended June 30, 2017 accounted for</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22.6%, 36.1% and 11.8%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 addition,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content distribution opportunities span the mobile and PC channels, and include various formats such as video and traditional banner ad.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content distribution channel partners primarily include mobile and online publishers, major search engines and ad exchanges. In the 30 days leading up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31, 2017, we covered approximately 74,000 mobile apps and 2.3 million websites. In 2016, our gross billing from mobile audience solutions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solutions amounted to US$112.4 million and US$123.9 million, accounting for 47.6% and 52.4% of our gross billing, respectively. In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2017, our gross billings from mobile audience solutions and other solutions amounted to US$63.0 million and US$40.4 million, accounting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60.9% and 39.1% of our gross billing, respectively. In 2016, our net revenues from mobile audience solutions and other solutions amounted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US$57.8 million and US$37.6 million, accounting for 60.6% and 39.4% of our net revenue, respectively. In the six months ended June 30, 2017, our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from mobile audience solutions and other solutions amounted to US$42.3 million and US$13.5 million, accounting for 75.8% and 24.2% of our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respectively.</w:t>
      </w:r>
    </w:p>
    <w:p>
      <w:pPr>
        <w:spacing w:after="0" w:line="21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sell our solutions by entering into marketing campaign contracts with marketers or marketing agencies. We treat entities which enter into marketing campaign contracts with us and incur marketing spend during the relevant period under either the sales agency model or non-sales agency model as our customers. Therefore, we count specific sub-brands or divisions within the same brand or holding company as distinct customers so long as we have signed campaign contracts with different entities. On the other hand, even though multiple campaign contracts may be involved, we only record one single customer if those contracts with us are signed by the same entity. Our customers include both marketers who have direct contractual relationships with us, or direct marketer customers, and marketing agency customers. Our “marketers” include both direct marketer customers,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and marketers that are represented by our marketing agency customers and have no direct contractual relationship with us, or end marketers. During 2016, we had over 2,000 customers including over 1,800 direct marketer customers and over 500 marketing agency customers, which represented over 1,100 end marketers. In the six months ended June 30, 2017, we had approximately 1,400 customers, including approximately 1,000 direct marketer customers and approximately 380 agency customers, which represented approximately 900 end marketers.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six months ended June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customers which are based in China. Our Singapore subsidiary generally is our signing entity for marketing campaign contracts with customers based in Southeast Asia. Our Hong Kong subsidiaries generally are our signing entities for marketing campaign contracts with other customers. Please refer to “Management’s Discussion and Analysis of Financial Condition and Results of Operations — Key Components of Results of Operations — Net Revenues” for our net revenues breakdown by geographic region.</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derived over 70% of our gross billing from direct marketer customers in 2015 and 2016 and over 60% of our gross billing from direct marketer customers in the six months ended June 30, 2017. We have been strategically optimizing the customer base for other solutions to focus on profitability and liquidity. As a result of these efforts, our gross billing per customer increased by US$32,020, or 47.5%, from US$67,413 in 2015 to US$99,433 in 2016, and by US$17,104, or 29.9%, from US$57,192 in the six months ended June 30, 2016 to US$74,296 in the same period in 2017. The total number of our customers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customers decreased by 32.9% from 2,075 in the six months ended June 30, 2016 to 1,392 in the same period in 2017.</w:t>
      </w:r>
    </w:p>
    <w:p>
      <w:pPr>
        <w:spacing w:after="0" w:line="17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2016, we derived 18% of our net revenues from a marketer in the entertainment industry and 11% of our net revenues from a marketer in the e-commerce industry. In the six months ended June 30, 2017, we derived 14% of our net revenues from a marketer in the entertainment industry. These marketers utilized our mobile audience solutions under specified-action arrangement and therefore, and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customers or attract new ones could adversely impact our business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customers for our mobile audience solutions, optimizing the customer base for our other solutions to focus on profitability and liquidity, and attracting more customers to use our solutions through our self-service model. Leveraging our existing positions and reputations in industry sectors where we already have a strong presence, we are able to attract more direct marketer customers in those sectors. In addition, we are focused on diversifying our customer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Our sales and business development team is organized by geographic region, and is further divided into groups that focus on sales to marketers or to marketing agencies in each geographic region. As of June 30, 2017, we had 110 employees for sales and business development.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Supporting our sales and business development team are our account managers under our operational support team, who help maintain and grow the accounts of our customers. While our intuitive user interfaces are designed to enable customers to easily deploy and utilize our solutions themselves with minimal customer support, we make online and telephonic helpdesk facilities available and provide onsite engineering support to customers and also assign account managers for our direct marketer customers and some of our marketing agency customers. Our account mangers provide consultative services on the use of our solutions, and in addition, for our managed service customers, more in-depth servicing on campaign planning, execution and result measurement and analysis.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customer demand, including through direct marketing, print advertising in trade journals, offline sales efforts and customer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66"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73"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As of July 31, 2017, we had two patents in application in China, and 13 registered trademarks and trademark application in China and Hong Kong. 143</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customer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customer base, deep knowledge and familiarity with China’s online marketing industry, and visionary leadership enable us to remain competitive.</w:t>
      </w:r>
    </w:p>
    <w:p>
      <w:pPr>
        <w:spacing w:after="0" w:line="19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customer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2016, we had a total of 596 and 554 employees, respectively. The table below provides a breakdown of our employees by function as of December 31, 2016:</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Operation support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As of June 30, 2017, we had a total of 464 employees, decreasing by 16.2% from 554 as of the end of December 31, 2016. The decrease primarily resulted from the decrease in headcount for sales and business development functions as we continued to optimize our customer base to focus on profitability and liquidity, and for general and administrative functions as we further integrated OptAim’s operations, which had been completed by June 30, 2017.</w:t>
      </w:r>
    </w:p>
    <w:p>
      <w:pPr>
        <w:spacing w:after="0" w:line="14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Advertising Business</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Privacy Protection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 Software Copyright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117" w:lineRule="exact"/>
        <w:rPr>
          <w:sz w:val="20"/>
          <w:szCs w:val="20"/>
          <w:color w:val="auto"/>
        </w:rPr>
      </w:pPr>
    </w:p>
    <w:p>
      <w:pPr>
        <w:jc w:val="both"/>
        <w:ind w:right="540" w:firstLine="456"/>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Employment</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Enterprise Income Tax</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for Share Transfers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Withholding Tax</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w:t>
      </w:r>
    </w:p>
    <w:p>
      <w:pPr>
        <w:spacing w:after="0" w:line="5" w:lineRule="exact"/>
        <w:rPr>
          <w:sz w:val="20"/>
          <w:szCs w:val="20"/>
          <w:color w:val="auto"/>
        </w:rPr>
      </w:pPr>
    </w:p>
    <w:p>
      <w:pPr>
        <w:ind w:right="20" w:firstLine="8"/>
        <w:spacing w:after="0" w:line="295" w:lineRule="auto"/>
        <w:tabs>
          <w:tab w:leader="none" w:pos="265" w:val="left"/>
        </w:tabs>
        <w:numPr>
          <w:ilvl w:val="0"/>
          <w:numId w:val="76"/>
        </w:numPr>
        <w:rPr>
          <w:rFonts w:ascii="Arial" w:cs="Arial" w:eastAsia="Arial" w:hAnsi="Arial"/>
          <w:sz w:val="16"/>
          <w:szCs w:val="16"/>
          <w:color w:val="auto"/>
        </w:rPr>
      </w:pPr>
      <w:r>
        <w:rPr>
          <w:rFonts w:ascii="Arial" w:cs="Arial" w:eastAsia="Arial" w:hAnsi="Arial"/>
          <w:sz w:val="16"/>
          <w:szCs w:val="16"/>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Settlement and Overseas Remittance of Foreign-Invested Enterprises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January 10,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Outbound Investment and Financing and Roundtrip Investment</w:t>
      </w:r>
    </w:p>
    <w:p>
      <w:pPr>
        <w:spacing w:after="0" w:line="117"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Dividend Distribution</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January 2015, the MOFCOM published a consultation draft of PRC Foreign Investment Law for public review and comments. Among other things, the draft Foreign Investment Law expands the definition of foreign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 (ii) 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6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 Unless otherwise stated, the business address for our directors and executive officers is that of our principal executive office at: 15/F, Prosperity Millennia Plaza, 663 King’s Road, Quarry Bay, Hong Kong S.A.R.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Jian Tang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Yau Ping Ricky 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Francis Hun Ming Wong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Yu Long</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Antares Au</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Anmin Pan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Jie Jiao</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Yan Lee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Chief Product Officer</w:t>
            </w:r>
          </w:p>
        </w:tc>
      </w:tr>
    </w:tbl>
    <w:p>
      <w:pPr>
        <w:spacing w:after="0" w:line="20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8"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i w:val="1"/>
          <w:iCs w:val="1"/>
          <w:color w:val="auto"/>
        </w:rPr>
        <w:t xml:space="preserve">Mr. Francis Hun Ming Wong </w:t>
      </w:r>
      <w:r>
        <w:rPr>
          <w:rFonts w:ascii="Arial" w:cs="Arial" w:eastAsia="Arial" w:hAnsi="Arial"/>
          <w:sz w:val="16"/>
          <w:szCs w:val="16"/>
          <w:color w:val="auto"/>
        </w:rPr>
        <w:t>was appointed as our director by Sumitomo Corporation Equity Asia Limited in August 2015 in connection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subscription of our series B preferred shares. Mr. Wong is currently an executive director and serves on the board of Sumitomo Corporation Equity Asia Limited, the Asia corporate venture investment arm of Sumitomo Corporation, and leads its investment activities in Asia. Mr. Wong also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serves on the board of Wisers Information Holding Company Limited, Algoblu Holding Limited, RETCHAT Inc. and CDP Holdings Limited. Mr. Wong has more than 16 years of venture capital investing experience in Asia, primarily in technology sector. Prior to joining Sumitomo Corporation Equity Asia in 2007, Mr. Wong was an assistant vice president of Walden International, a venture capital firm in Silicon Valley. Prior to entering venture capital industry in 2000, Mr. Wong served various positions on engineering, product and business development in telecom sector respectively with Hongkong Telecom and Hutchison Telecom for almost eight years. Mr. Wong received his bachelor degree in engineering, his master degree in computer science from the University of Manchester, United Kingdom, and an MBA degree from Strathclyde Graduate School of Business, Scotland.</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Mr. Antares Au </w:t>
      </w:r>
      <w:r>
        <w:rPr>
          <w:rFonts w:ascii="Arial" w:cs="Arial" w:eastAsia="Arial" w:hAnsi="Arial"/>
          <w:sz w:val="17"/>
          <w:szCs w:val="17"/>
          <w:color w:val="auto"/>
        </w:rPr>
        <w:t>was appointed as our director by SSG Capital in February 2011 in connection with its subscription of our series B preferred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Mr. Au is the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w:t>
      </w:r>
      <w:r>
        <w:rPr>
          <w:rFonts w:ascii="Arial" w:cs="Arial" w:eastAsia="Arial" w:hAnsi="Arial"/>
          <w:sz w:val="17"/>
          <w:szCs w:val="17"/>
          <w:b w:val="1"/>
          <w:bCs w:val="1"/>
          <w:color w:val="auto"/>
        </w:rPr>
        <w:t>.</w:t>
      </w:r>
      <w:r>
        <w:rPr>
          <w:rFonts w:ascii="Arial" w:cs="Arial" w:eastAsia="Arial" w:hAnsi="Arial"/>
          <w:sz w:val="17"/>
          <w:szCs w:val="17"/>
          <w:color w:val="auto"/>
        </w:rPr>
        <w:t xml:space="preserve">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Mr. Anmin Pan </w:t>
      </w:r>
      <w:r>
        <w:rPr>
          <w:rFonts w:ascii="Arial" w:cs="Arial" w:eastAsia="Arial" w:hAnsi="Arial"/>
          <w:sz w:val="17"/>
          <w:szCs w:val="17"/>
          <w:color w:val="auto"/>
        </w:rPr>
        <w:t>was appointed as our director by BlueFocus International Limited. Mr. Pan has served as our director since June 2017. Mr. Pan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CEO at BlueFocus Mobile Internet division affiliated to BlueFocus Communication Group, mainly in charge of developing its mobile advertising business of the since 2014, and as director of various subsidiaries of BlueFocus Communication Group. Mr. Pan is a leading pioneer in Chinese mobile advertising industry with rich knowledge and experience in sectors such as marketing, public relations, brand communications and traditional advertising. Mr. Pan received his bachelor degree of clinic care from Affiliated College of Shandong Medical University.</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460"/>
        <w:spacing w:after="0"/>
        <w:tabs>
          <w:tab w:leader="none" w:pos="10660" w:val="left"/>
        </w:tabs>
        <w:rPr>
          <w:sz w:val="20"/>
          <w:szCs w:val="20"/>
          <w:color w:val="auto"/>
        </w:rPr>
      </w:pPr>
      <w:r>
        <w:rPr>
          <w:rFonts w:ascii="Arial" w:cs="Arial" w:eastAsia="Arial" w:hAnsi="Arial"/>
          <w:sz w:val="18"/>
          <w:szCs w:val="18"/>
          <w:color w:val="auto"/>
        </w:rPr>
        <w:t>Upon the effectiveness of our registration statement on Form F-1, of which this prospectus is a part, our board of directors will consist of</w:t>
      </w:r>
      <w:r>
        <w:rPr>
          <w:sz w:val="20"/>
          <w:szCs w:val="20"/>
          <w:color w:val="auto"/>
        </w:rPr>
        <w:tab/>
      </w:r>
      <w:r>
        <w:rPr>
          <w:rFonts w:ascii="Arial" w:cs="Arial" w:eastAsia="Arial" w:hAnsi="Arial"/>
          <w:sz w:val="16"/>
          <w:szCs w:val="16"/>
          <w:color w:val="auto"/>
        </w:rPr>
        <w:t>directors,</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including executive directors and non-executive directors. Pursuant to our eighth amended and restated memorandum and articles of association, which will become effective immediately prior to the completion of this offering and will replace our current amended and restated memorandum and articles of association in its entirety, subject to the approval of our shareholders, the size of our board of directors shall be limited to eight. Please refer to “Risk Factors</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81" w:lineRule="exact"/>
        <w:rPr>
          <w:sz w:val="20"/>
          <w:szCs w:val="20"/>
          <w:color w:val="auto"/>
        </w:rPr>
      </w:pPr>
    </w:p>
    <w:p>
      <w:pPr>
        <w:ind w:left="460"/>
        <w:spacing w:after="0"/>
        <w:tabs>
          <w:tab w:leader="none" w:pos="4800" w:val="left"/>
          <w:tab w:leader="none" w:pos="5660" w:val="left"/>
          <w:tab w:leader="none" w:pos="6680" w:val="left"/>
          <w:tab w:leader="none" w:pos="8820" w:val="left"/>
          <w:tab w:leader="none" w:pos="9620" w:val="left"/>
          <w:tab w:leader="none" w:pos="10480" w:val="left"/>
        </w:tabs>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is chaired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each satisfy the “independence” requirements of the Rule5605(c)(2) of the Listing Rules of the NASDAQ Stock Market and meet the independence</w:t>
      </w:r>
    </w:p>
    <w:p>
      <w:pPr>
        <w:spacing w:after="0" w:line="3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standards under Rule 10A-3 under the Exchange Act. We have determined that</w:t>
      </w:r>
      <w:r>
        <w:rPr>
          <w:sz w:val="20"/>
          <w:szCs w:val="20"/>
          <w:color w:val="auto"/>
        </w:rPr>
        <w:tab/>
      </w:r>
      <w:r>
        <w:rPr>
          <w:rFonts w:ascii="Arial" w:cs="Arial" w:eastAsia="Arial" w:hAnsi="Arial"/>
          <w:sz w:val="16"/>
          <w:szCs w:val="16"/>
          <w:color w:val="auto"/>
        </w:rPr>
        <w:t>qualifies as an “audit committee financial expert.” The audit</w:t>
      </w:r>
    </w:p>
    <w:p>
      <w:pPr>
        <w:spacing w:after="0" w:line="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committee oversees our accounting and financial reporting processes and the audits of the financial statements of our company. The audit committee is responsible for, among other things:</w:t>
      </w:r>
    </w:p>
    <w:p>
      <w:pPr>
        <w:spacing w:after="0" w:line="89" w:lineRule="exact"/>
        <w:rPr>
          <w:sz w:val="20"/>
          <w:szCs w:val="20"/>
          <w:color w:val="auto"/>
        </w:rPr>
      </w:pPr>
    </w:p>
    <w:p>
      <w:pPr>
        <w:ind w:left="900" w:right="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left="460"/>
        <w:spacing w:after="0"/>
        <w:tabs>
          <w:tab w:leader="none" w:pos="6100" w:val="left"/>
          <w:tab w:leader="none" w:pos="6960" w:val="left"/>
          <w:tab w:leader="none" w:pos="7980" w:val="left"/>
          <w:tab w:leader="none" w:pos="10440" w:val="left"/>
        </w:tabs>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will be chaired by</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satisfy the “independence” requirements of the Listing Rules of the NASDAQ Stock Market. The compensation committee will assist the board</w:t>
      </w:r>
    </w:p>
    <w:p>
      <w:pPr>
        <w:spacing w:after="0" w:line="32"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will be responsible for, among other things: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68"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approving and overseeing the total compensation package for our executives other than the three most senior executives;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ectPr>
          <w:pgSz w:w="11900" w:h="16838" w:orient="portrait"/>
          <w:cols w:equalWidth="0" w:num="1">
            <w:col w:w="11420"/>
          </w:cols>
          <w:pgMar w:left="240" w:top="460" w:right="239" w:bottom="144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Nominating and Corporate Governance Committee </w:t>
      </w:r>
      <w:r>
        <w:rPr>
          <w:rFonts w:ascii="Arial" w:cs="Arial" w:eastAsia="Arial" w:hAnsi="Arial"/>
          <w:sz w:val="16"/>
          <w:szCs w:val="16"/>
          <w:color w:val="auto"/>
        </w:rPr>
        <w:t>Our nominating and corporate governance committee will consist of</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and</w:t>
      </w:r>
    </w:p>
    <w:p>
      <w:pPr>
        <w:spacing w:after="0" w:line="46" w:lineRule="exact"/>
        <w:rPr>
          <w:sz w:val="20"/>
          <w:szCs w:val="20"/>
          <w:color w:val="auto"/>
        </w:rPr>
      </w:pPr>
    </w:p>
    <w:p>
      <w:pPr>
        <w:sectPr>
          <w:pgSz w:w="11900" w:h="16838" w:orient="portrait"/>
          <w:cols w:equalWidth="0" w:num="3">
            <w:col w:w="9280" w:space="720"/>
            <w:col w:w="80" w:space="720"/>
            <w:col w:w="620"/>
          </w:cols>
          <w:pgMar w:left="240" w:top="460" w:right="239" w:bottom="1440" w:gutter="0" w:footer="0" w:header="0"/>
          <w:type w:val="continuous"/>
        </w:sectPr>
      </w:pPr>
    </w:p>
    <w:p>
      <w:pPr>
        <w:ind w:left="720"/>
        <w:spacing w:after="0"/>
        <w:tabs>
          <w:tab w:leader="none" w:pos="3120" w:val="left"/>
          <w:tab w:leader="none" w:pos="3980" w:val="left"/>
        </w:tabs>
        <w:rPr>
          <w:sz w:val="20"/>
          <w:szCs w:val="20"/>
          <w:color w:val="auto"/>
        </w:rPr>
      </w:pPr>
      <w:r>
        <w:rPr>
          <w:rFonts w:ascii="Arial" w:cs="Arial" w:eastAsia="Arial" w:hAnsi="Arial"/>
          <w:sz w:val="18"/>
          <w:szCs w:val="18"/>
          <w:color w:val="auto"/>
        </w:rPr>
        <w:t>, and will be chaired 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420"/>
          </w:cols>
          <w:pgMar w:left="240" w:top="460" w:right="23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satisfy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87"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committee itself;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our eighth amended and restated memorandum and articles of association, which will become effective immediately prior to the completion of this offering and will replace our current amended and restated memorandum and articles of association in its entirety, subject to the approval of our shareholders,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or civil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75" w:lineRule="exact"/>
        <w:rPr>
          <w:sz w:val="20"/>
          <w:szCs w:val="20"/>
          <w:color w:val="auto"/>
        </w:rPr>
      </w:pPr>
    </w:p>
    <w:p>
      <w:pPr>
        <w:jc w:val="right"/>
        <w:ind w:right="5040"/>
        <w:spacing w:after="0" w:line="451" w:lineRule="auto"/>
        <w:rPr>
          <w:sz w:val="20"/>
          <w:szCs w:val="20"/>
          <w:color w:val="auto"/>
        </w:rPr>
      </w:pPr>
      <w:r>
        <w:rPr>
          <w:rFonts w:ascii="Arial" w:cs="Arial" w:eastAsia="Arial" w:hAnsi="Arial"/>
          <w:sz w:val="16"/>
          <w:szCs w:val="16"/>
          <w:b w:val="1"/>
          <w:bCs w:val="1"/>
          <w:color w:val="auto"/>
        </w:rPr>
        <w:t xml:space="preserve">Employment Agreements and Indemnification Agreements with Executive Officers </w:t>
      </w:r>
      <w:r>
        <w:rPr>
          <w:rFonts w:ascii="Arial" w:cs="Arial" w:eastAsia="Arial" w:hAnsi="Arial"/>
          <w:sz w:val="16"/>
          <w:szCs w:val="16"/>
          <w:color w:val="auto"/>
        </w:rPr>
        <w:t>We have entered into employment agreements with each of our executive officers.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jc w:val="center"/>
        <w:ind w:right="520"/>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300" w:firstLine="8"/>
        <w:spacing w:after="0" w:line="261" w:lineRule="auto"/>
        <w:tabs>
          <w:tab w:leader="none" w:pos="2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Under these agreements, we may agree to indemnify our directors and executive officers against certain liabilities and expenses incurred by them in connection with claims made by reason of their being a director or officer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twelve months ended December 31, 2016 and six months ended June 30, 2017, we paid an aggregate of approximately US$1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US$0.4 million in cash to our executive officers, and we did not pay any compensation to our non-executive directors. Subject to the requirements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laws, we have not set aside or accrued any amount to provide pension, retirement or other similar benefits to our executive officers and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PRC subsidiaries and variable interest entity are required by law to make contributions based on the insurance scales set forth by the local government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employees’ pension insurance, medical insurance, unemployment insurance and other statutory benefits and a housing provident fund. Our Hong Kong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required by the Hong Kong Mandatory Provident Fund Schemes Ordinance to make monthly contributions to the mandatory provident fund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scheme in an amount equal to at least 5% of an employee’s salary. For incentive share grants to our executive officers, see “— Share Incentive Plans.”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Plan</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2,064,026 ordinary shares were granted under the 2010 Plan, 757,933 of which are not vested, 1,033,338 are fully vested but not exercised, and 272,755 have been exercised.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Vesting Schedule. </w:t>
      </w:r>
      <w:r>
        <w:rPr>
          <w:rFonts w:ascii="Arial" w:cs="Arial" w:eastAsia="Arial" w:hAnsi="Arial"/>
          <w:sz w:val="18"/>
          <w:szCs w:val="18"/>
          <w:color w:val="auto"/>
        </w:rPr>
        <w:t>Unless otherwise stated in respective grants, subject to forfeiture and arrangement on termination of employment or service, 25%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Exercise of Options. </w:t>
      </w:r>
      <w:r>
        <w:rPr>
          <w:rFonts w:ascii="Arial" w:cs="Arial" w:eastAsia="Arial" w:hAnsi="Arial"/>
          <w:sz w:val="16"/>
          <w:szCs w:val="16"/>
          <w:color w:val="auto"/>
        </w:rPr>
        <w:t>Vested options will become exercisable during the first five business days of January, April, July and October until the 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options granted under the 2010 Plan to our directors, executive officers and other grantees.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6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(US$/Share)</w:t>
            </w:r>
          </w:p>
        </w:tc>
        <w:tc>
          <w:tcPr>
            <w:tcW w:w="1860" w:type="dxa"/>
            <w:vAlign w:val="bottom"/>
            <w:gridSpan w:val="2"/>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7"/>
              </w:rPr>
              <w:t>Wing</w:t>
            </w:r>
          </w:p>
        </w:tc>
        <w:tc>
          <w:tcPr>
            <w:tcW w:w="3160" w:type="dxa"/>
            <w:vAlign w:val="bottom"/>
            <w:tcBorders>
              <w:top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Hong Sammy Hsieh</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0.0010</w:t>
            </w:r>
          </w:p>
        </w:tc>
        <w:tc>
          <w:tcPr>
            <w:tcW w:w="1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August 27, 2014</w:t>
            </w:r>
          </w:p>
        </w:tc>
        <w:tc>
          <w:tcPr>
            <w:tcW w:w="10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earlier of: (1) within 10 years of the</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vesting date; (2) immediately prior to</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listing of the Company on a stock</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exchange,</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Yau Ping Ricky Ng</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0.0010 – 4.800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June 21, 2013 to</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4"/>
              </w:rPr>
              <w:t>April 1, 2023; The earlier of: (1) within 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 27, 2014</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years of the vesting date; (2) immediately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prior to listing of the Company on a stock</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6"/>
              </w:rPr>
              <w:t>exchange,</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 Tang</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0.2687 – 4.0304</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1, 2015</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1, 2025</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Yan Lee</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8.1290 – 8.1300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8"/>
              </w:rPr>
              <w:t>January 1, 2015</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88"/>
              </w:rPr>
              <w:t>January 1, 2025 to January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Jie Jiao</w:t>
            </w:r>
          </w:p>
        </w:tc>
        <w:tc>
          <w:tcPr>
            <w:tcW w:w="11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8.1290 – 8.1300</w:t>
            </w:r>
          </w:p>
        </w:tc>
        <w:tc>
          <w:tcPr>
            <w:tcW w:w="18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August 18, 2014</w:t>
            </w:r>
          </w:p>
        </w:tc>
        <w:tc>
          <w:tcPr>
            <w:tcW w:w="3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July 1, 2024</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Other grantees</w:t>
            </w:r>
          </w:p>
        </w:tc>
        <w:tc>
          <w:tcPr>
            <w:tcW w:w="11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1,370,820</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0.0100 – 20.0000</w:t>
            </w:r>
          </w:p>
        </w:tc>
        <w:tc>
          <w:tcPr>
            <w:tcW w:w="18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April 1, 2011 to</w:t>
            </w:r>
          </w:p>
        </w:tc>
        <w:tc>
          <w:tcPr>
            <w:tcW w:w="3080" w:type="dxa"/>
            <w:vAlign w:val="bottom"/>
          </w:tcPr>
          <w:p>
            <w:pPr>
              <w:jc w:val="center"/>
              <w:spacing w:after="0" w:line="201" w:lineRule="exact"/>
              <w:rPr>
                <w:sz w:val="20"/>
                <w:szCs w:val="20"/>
                <w:color w:val="auto"/>
              </w:rPr>
            </w:pPr>
            <w:r>
              <w:rPr>
                <w:rFonts w:ascii="Arial" w:cs="Arial" w:eastAsia="Arial" w:hAnsi="Arial"/>
                <w:sz w:val="18"/>
                <w:szCs w:val="18"/>
                <w:color w:val="auto"/>
                <w:w w:val="95"/>
              </w:rPr>
              <w:t>April 1, 2020 to April 1, 2027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plan to adopt a share incentive plan prior to the completion of this offering,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describe the principal terms of the 2017 Plan that we plan to adopt.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2017 Plan permits the awards of options, restricted shares and restricted share units.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2017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determine the participants to receive awards, the type and number of awards to be granted to each participant, and the terms and conditions of each award grant.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2017 Plan are evidenced by an award agreement that sets forth terms, conditions and limitations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 portion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otherwise provided by the plan administrator.</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amendment of the 2017 Plan. </w:t>
      </w:r>
      <w:r>
        <w:rPr>
          <w:rFonts w:ascii="Arial" w:cs="Arial" w:eastAsia="Arial" w:hAnsi="Arial"/>
          <w:sz w:val="17"/>
          <w:szCs w:val="17"/>
          <w:color w:val="auto"/>
        </w:rPr>
        <w:t>Unless terminated earlier, the 2017 Plan has a term of ten years. Our board of directors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the date of this prospectus by:</w:t>
      </w:r>
    </w:p>
    <w:p>
      <w:pPr>
        <w:spacing w:after="0" w:line="142"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or entity that we know beneficially owns or will beneficially own more than 5% of our outstanding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director or executive officer who beneficially owns or will beneficially own more than 1% of our outstanding ordinary shares;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calculations in the table below are based on 23,901,183 ordinary shares on an as-converted basis outstanding as of the date of this prospectus,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which include all exercised options, but do not include granted but unexercised options, whether or not they are vested, and ordinary shares outstanding immediately upon completion of this offering, including (i) Class A ordinary shares to be sold by us in this offering in the form of ADSs, assuming the underwriters do not exercise their over-allotment option to purchase additional ADSs, (ii) Class A ordinary shares into which all of our outstanding ordinary shares, (other than beneficially owned by Mr. Sammy Hsieh and Mr. Jian Tang) and preferred shares will automatically convert and redesignate immediately prior to the completion of this offering on a one-for-one basis, and (iii) Class B ordinary shares redesignated from the</w:t>
      </w:r>
    </w:p>
    <w:p>
      <w:pPr>
        <w:spacing w:after="0" w:line="1" w:lineRule="exact"/>
        <w:rPr>
          <w:sz w:val="20"/>
          <w:szCs w:val="20"/>
          <w:color w:val="auto"/>
        </w:rPr>
      </w:pPr>
    </w:p>
    <w:p>
      <w:pPr>
        <w:ind w:left="5580" w:right="1620" w:hanging="4985"/>
        <w:spacing w:after="0" w:line="433" w:lineRule="auto"/>
        <w:rPr>
          <w:sz w:val="20"/>
          <w:szCs w:val="20"/>
          <w:color w:val="auto"/>
        </w:rPr>
      </w:pPr>
      <w:r>
        <w:rPr>
          <w:rFonts w:ascii="Arial" w:cs="Arial" w:eastAsia="Arial" w:hAnsi="Arial"/>
          <w:sz w:val="18"/>
          <w:szCs w:val="18"/>
          <w:color w:val="auto"/>
        </w:rPr>
        <w:t>outstanding ordinary shares held by Mr. Sammy Hsieh and Mr. Jian Tang immediately prior to the completion of this offering. 165</w:t>
      </w:r>
    </w:p>
    <w:p>
      <w:pPr>
        <w:sectPr>
          <w:pgSz w:w="11900" w:h="16838" w:orient="portrait"/>
          <w:cols w:equalWidth="0" w:num="1">
            <w:col w:w="11300"/>
          </w:cols>
          <w:pgMar w:left="24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Ordinary Shares Beneficially</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5"/>
              </w:rPr>
              <w:t>Owned After This Offering</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5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5"/>
              </w:rPr>
              <w:t>Ordinary Shares</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vMerge w:val="restart"/>
          </w:tcPr>
          <w:p>
            <w:pPr>
              <w:jc w:val="center"/>
              <w:ind w:left="208"/>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Total Ordinary</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Shares on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26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Beneficially Owned Prior to</w:t>
            </w:r>
          </w:p>
        </w:tc>
        <w:tc>
          <w:tcPr>
            <w:tcW w:w="8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9"/>
              </w:rPr>
              <w:t>Ordinary</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9"/>
              </w:rPr>
              <w:t>Ordinary</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an as-converted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00" w:type="dxa"/>
            <w:vAlign w:val="bottom"/>
            <w:gridSpan w:val="3"/>
          </w:tcPr>
          <w:p>
            <w:pPr>
              <w:ind w:left="540"/>
              <w:spacing w:after="0"/>
              <w:rPr>
                <w:sz w:val="20"/>
                <w:szCs w:val="20"/>
                <w:color w:val="auto"/>
              </w:rPr>
            </w:pPr>
            <w:r>
              <w:rPr>
                <w:rFonts w:ascii="Arial" w:cs="Arial" w:eastAsia="Arial" w:hAnsi="Arial"/>
                <w:sz w:val="14"/>
                <w:szCs w:val="14"/>
                <w:b w:val="1"/>
                <w:bCs w:val="1"/>
                <w:color w:val="auto"/>
              </w:rPr>
              <w:t>This Offering</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basis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50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w:t>
            </w:r>
          </w:p>
        </w:tc>
        <w:tc>
          <w:tcPr>
            <w:tcW w:w="3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3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(1)(10)</w:t>
            </w:r>
          </w:p>
        </w:tc>
        <w:tc>
          <w:tcPr>
            <w:tcW w:w="1020" w:type="dxa"/>
            <w:vAlign w:val="bottom"/>
          </w:tcPr>
          <w:p>
            <w:pPr>
              <w:jc w:val="right"/>
              <w:spacing w:after="0"/>
              <w:rPr>
                <w:sz w:val="20"/>
                <w:szCs w:val="20"/>
                <w:color w:val="auto"/>
              </w:rPr>
            </w:pPr>
            <w:r>
              <w:rPr>
                <w:rFonts w:ascii="Arial" w:cs="Arial" w:eastAsia="Arial" w:hAnsi="Arial"/>
                <w:sz w:val="18"/>
                <w:szCs w:val="18"/>
                <w:color w:val="auto"/>
              </w:rPr>
              <w:t>2,893,402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2,337,720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(3)(10)</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984,586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Francis Hun Ming Wong</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Yu Long</w:t>
            </w:r>
          </w:p>
        </w:tc>
        <w:tc>
          <w:tcPr>
            <w:tcW w:w="15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Antares Au</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Anmin Pan</w:t>
            </w:r>
          </w:p>
        </w:tc>
        <w:tc>
          <w:tcPr>
            <w:tcW w:w="15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Jie Jiao</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Yan Lee</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6,281,115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Bertelsmann Asia Investments AG and its</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r>
              <w:rPr>
                <w:rFonts w:ascii="Arial" w:cs="Arial" w:eastAsia="Arial" w:hAnsi="Arial"/>
                <w:sz w:val="15"/>
                <w:szCs w:val="15"/>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3,235,338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2,893,402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Czerny Holdings Limited and Cervetto</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Limited</w:t>
            </w:r>
            <w:r>
              <w:rPr>
                <w:rFonts w:ascii="Arial" w:cs="Arial" w:eastAsia="Arial" w:hAnsi="Arial"/>
                <w:sz w:val="15"/>
                <w:szCs w:val="15"/>
                <w:color w:val="auto"/>
              </w:rPr>
              <w:t>(7)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2,486,802</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(10)</w:t>
            </w:r>
          </w:p>
        </w:tc>
        <w:tc>
          <w:tcPr>
            <w:tcW w:w="1020" w:type="dxa"/>
            <w:vAlign w:val="bottom"/>
          </w:tcPr>
          <w:p>
            <w:pPr>
              <w:jc w:val="right"/>
              <w:spacing w:after="0"/>
              <w:rPr>
                <w:sz w:val="20"/>
                <w:szCs w:val="20"/>
                <w:color w:val="auto"/>
              </w:rPr>
            </w:pPr>
            <w:r>
              <w:rPr>
                <w:rFonts w:ascii="Arial" w:cs="Arial" w:eastAsia="Arial" w:hAnsi="Arial"/>
                <w:sz w:val="18"/>
                <w:szCs w:val="18"/>
                <w:color w:val="auto"/>
              </w:rPr>
              <w:t>2,320,028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(9)</w:t>
            </w:r>
          </w:p>
        </w:tc>
        <w:tc>
          <w:tcPr>
            <w:tcW w:w="1020" w:type="dxa"/>
            <w:vAlign w:val="bottom"/>
          </w:tcPr>
          <w:p>
            <w:pPr>
              <w:jc w:val="right"/>
              <w:spacing w:after="0"/>
              <w:rPr>
                <w:sz w:val="20"/>
                <w:szCs w:val="20"/>
                <w:color w:val="auto"/>
              </w:rPr>
            </w:pPr>
            <w:r>
              <w:rPr>
                <w:rFonts w:ascii="Arial" w:cs="Arial" w:eastAsia="Arial" w:hAnsi="Arial"/>
                <w:sz w:val="18"/>
                <w:szCs w:val="18"/>
                <w:color w:val="auto"/>
              </w:rPr>
              <w:t>1,532,955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shares beneficially owned by such</w:t>
      </w:r>
    </w:p>
    <w:p>
      <w:pPr>
        <w:spacing w:after="0" w:line="32" w:lineRule="exact"/>
        <w:rPr>
          <w:sz w:val="20"/>
          <w:szCs w:val="20"/>
          <w:color w:val="auto"/>
        </w:rPr>
      </w:pPr>
    </w:p>
    <w:p>
      <w:pPr>
        <w:jc w:val="both"/>
        <w:ind w:left="460" w:right="140"/>
        <w:spacing w:after="0" w:line="250" w:lineRule="auto"/>
        <w:rPr>
          <w:sz w:val="20"/>
          <w:szCs w:val="20"/>
          <w:color w:val="auto"/>
        </w:rPr>
      </w:pPr>
      <w:r>
        <w:rPr>
          <w:rFonts w:ascii="Arial" w:cs="Arial" w:eastAsia="Arial" w:hAnsi="Arial"/>
          <w:sz w:val="18"/>
          <w:szCs w:val="18"/>
          <w:color w:val="auto"/>
        </w:rPr>
        <w:t>person or group by the sum of the total number of ordinary shares outstanding, which is 23,901,183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right="20" w:hanging="452"/>
        <w:spacing w:after="0" w:line="28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Class A ordinary shares beneficially owned by such person or group, including Class A ordinary shares that such person or group has the right to acquire within 60 days after the date of this</w:t>
      </w:r>
    </w:p>
    <w:p>
      <w:pPr>
        <w:spacing w:after="0" w:line="1" w:lineRule="exact"/>
        <w:rPr>
          <w:sz w:val="20"/>
          <w:szCs w:val="20"/>
          <w:color w:val="auto"/>
        </w:rPr>
      </w:pPr>
    </w:p>
    <w:p>
      <w:pPr>
        <w:ind w:left="460" w:right="220"/>
        <w:spacing w:after="0" w:line="261" w:lineRule="auto"/>
        <w:rPr>
          <w:sz w:val="20"/>
          <w:szCs w:val="20"/>
          <w:color w:val="auto"/>
        </w:rPr>
      </w:pPr>
      <w:r>
        <w:rPr>
          <w:rFonts w:ascii="Arial" w:cs="Arial" w:eastAsia="Arial" w:hAnsi="Arial"/>
          <w:sz w:val="18"/>
          <w:szCs w:val="18"/>
          <w:color w:val="auto"/>
        </w:rPr>
        <w:t>prospectus, by the sum of (1) , which is the total number of Class A ordinary shares outstanding immediately after the completion of this offering (assuming the underwriters do not exercise their over-allotment option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spacing w:after="0" w:line="258" w:lineRule="auto"/>
        <w:rPr>
          <w:sz w:val="20"/>
          <w:szCs w:val="20"/>
          <w:color w:val="auto"/>
        </w:rPr>
      </w:pPr>
      <w:r>
        <w:rPr>
          <w:rFonts w:ascii="Arial" w:cs="Arial" w:eastAsia="Arial" w:hAnsi="Arial"/>
          <w:sz w:val="18"/>
          <w:szCs w:val="18"/>
          <w:color w:val="auto"/>
        </w:rPr>
        <w:t>to purchase additional ADSs), and (2) the number of Class A ordinary shares that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hanging="452"/>
        <w:spacing w:after="0" w:line="28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Class B ordinary shares beneficially owned by such person or group, including Class B ordinary shares that such person or group has the right to acquire within 60 days after the date of this</w:t>
      </w:r>
    </w:p>
    <w:p>
      <w:pPr>
        <w:spacing w:after="0" w:line="1" w:lineRule="exact"/>
        <w:rPr>
          <w:sz w:val="20"/>
          <w:szCs w:val="20"/>
          <w:color w:val="auto"/>
        </w:rPr>
      </w:pPr>
    </w:p>
    <w:p>
      <w:pPr>
        <w:ind w:left="460"/>
        <w:spacing w:after="0" w:line="250" w:lineRule="auto"/>
        <w:rPr>
          <w:sz w:val="20"/>
          <w:szCs w:val="20"/>
          <w:color w:val="auto"/>
        </w:rPr>
      </w:pPr>
      <w:r>
        <w:rPr>
          <w:rFonts w:ascii="Arial" w:cs="Arial" w:eastAsia="Arial" w:hAnsi="Arial"/>
          <w:sz w:val="18"/>
          <w:szCs w:val="18"/>
          <w:color w:val="auto"/>
        </w:rPr>
        <w:t>prospectus, by the sum of (1) ,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right="40" w:hanging="452"/>
        <w:spacing w:after="0" w:line="281"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w:t>
      </w:r>
    </w:p>
    <w:p>
      <w:pPr>
        <w:spacing w:after="0" w:line="1"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the sum of (1) ,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1" w:lineRule="exact"/>
        <w:rPr>
          <w:sz w:val="20"/>
          <w:szCs w:val="20"/>
          <w:color w:val="auto"/>
        </w:rPr>
      </w:pPr>
    </w:p>
    <w:p>
      <w:pPr>
        <w:ind w:left="460" w:right="100" w:hanging="452"/>
        <w:spacing w:after="0" w:line="281"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w:t>
      </w:r>
    </w:p>
    <w:p>
      <w:pPr>
        <w:spacing w:after="0" w:line="3" w:lineRule="exact"/>
        <w:rPr>
          <w:sz w:val="20"/>
          <w:szCs w:val="20"/>
          <w:color w:val="auto"/>
        </w:rPr>
      </w:pPr>
    </w:p>
    <w:p>
      <w:pPr>
        <w:ind w:left="460" w:right="280"/>
        <w:spacing w:after="0" w:line="265" w:lineRule="auto"/>
        <w:rPr>
          <w:sz w:val="20"/>
          <w:szCs w:val="20"/>
          <w:color w:val="auto"/>
        </w:rPr>
      </w:pPr>
      <w:r>
        <w:rPr>
          <w:rFonts w:ascii="Arial" w:cs="Arial" w:eastAsia="Arial" w:hAnsi="Arial"/>
          <w:sz w:val="17"/>
          <w:szCs w:val="17"/>
          <w:color w:val="auto"/>
        </w:rPr>
        <w:t>Class A ordinary shares on a one-for-one basis, whereas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 w:lineRule="exact"/>
        <w:rPr>
          <w:sz w:val="20"/>
          <w:szCs w:val="20"/>
          <w:color w:val="auto"/>
        </w:rPr>
      </w:pPr>
    </w:p>
    <w:p>
      <w:pPr>
        <w:ind w:left="460" w:hanging="452"/>
        <w:spacing w:after="0" w:line="28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(a) 2,500,580 ordinary shares held by Wing Hong Sammy Hsieh as of the date of this prospectus; (b) 272,755 ordinary shares held by Arda Holdings from the exercise of options under our 2010 Plan. Mr. Hsieh through Arda upon trust serves as the trustee to the beneficiaries of the 2010 Plan (the trustee shall only deal with the trust properties in such manner as our board from time to time directs in writing); and (c) 120,067 ordinary shares underlying 120,067 options granted to Mr. Hsieh, which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 The 2,500,580 ordinary shares held by Mr. Hsieh and 120,067 ordinary shares that are issuable upon the exercise of options granted to Mr. Hsieh will be re-designated as Class B ordinary shares immediately prior to the completion of this offering. The 272,755 ordinary shares held by Arda Holdings will be re-designated into Class A ordinary shares immediately prior to the completion of this offering.</w:t>
      </w:r>
    </w:p>
    <w:p>
      <w:pPr>
        <w:spacing w:after="0" w:line="6"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(a) 2,320,028 ordinary shares held by Igomax Inc., a British Virgin Islands company wholly owned by Jian Tang, and (b) 17,692 ordinary shares that are issuable upon exercise of options held in trust 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17,692 ordinary shares that are issuable upon exercise of options will be re-designated as Class A ordinary shares immediately prior to the completion of this offering.</w:t>
      </w:r>
    </w:p>
    <w:p>
      <w:pPr>
        <w:spacing w:after="0" w:line="2"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(a) 880,653 ordinary shares held by Yau Ping Ricky Ng as of the date of this prospectus; (b) 74,000 ordinary shares that are issuable upon exercise of options held by Mr. Ng that are exercisable currently or within 60 days of the date of this prospectus; and 29,933 ordinary shares underlying 29,933 options granted to Yau Ping Ricky Ng that shall vest immediately upon the earlier of the following: (i) approval of our listing on a stock exchange with an expected market capitalization of no less than US$500</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million, or (ii) any merger or acquisition of us at a valuation of US$500 million or above as a result of which our shareholders immediately prior to such merger or acquisition no longer hold a majority of the outstanding shares of the surviving corporation. The 880,653 ordinary shares and 29,933 ordinary shares underlying the options granted to Mr. Ng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spacing w:after="0" w:line="4" w:lineRule="exact"/>
        <w:rPr>
          <w:sz w:val="20"/>
          <w:szCs w:val="20"/>
          <w:color w:val="auto"/>
        </w:rPr>
      </w:pPr>
    </w:p>
    <w:p>
      <w:pPr>
        <w:ind w:left="460" w:right="20" w:hanging="452"/>
        <w:spacing w:after="0" w:line="265"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2" w:lineRule="exact"/>
        <w:rPr>
          <w:rFonts w:ascii="Arial" w:cs="Arial" w:eastAsia="Arial" w:hAnsi="Arial"/>
          <w:sz w:val="17"/>
          <w:szCs w:val="17"/>
          <w:color w:val="auto"/>
        </w:rPr>
      </w:pPr>
    </w:p>
    <w:p>
      <w:pPr>
        <w:jc w:val="both"/>
        <w:ind w:left="460" w:right="2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1,749,818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1,532,955 ordinary shares held by O &amp; K Investment Limited, a company incorporated in Hong Kong. Sunee Chiraseivinupraphand is the sole shareholder of O &amp; K Investment Limited. Sunee Chiraseivinupraphand is spouse of Wing Hong Sammy Hsieh. All of these shares will be re-designated as Class A ordinary shares immediately prior to the completion of this offering.</w:t>
      </w:r>
    </w:p>
    <w:p>
      <w:pPr>
        <w:spacing w:after="0" w:line="1"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the date of this prospectus, none of our ordinary shares or preferred shares issued and outstanding on an as converted basis were held by record holders in the United States. None of our shareholders has informed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80"/>
          </w:cols>
          <w:pgMar w:left="240" w:top="460" w:right="3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2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of the date of this prospectus, our company is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14,375,426 ordinary shares, including 272,755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except for the ordinary shares issued to Arda under the 2010 Plan other than those ordinary shares whose underlying 2010 Options have been exercised. See “Management — Share Incentive Plans — 2010 Plan.”</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plan to adopt a share incentive plan prior to the completion of this offering,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78" w:lineRule="exact"/>
        <w:rPr>
          <w:sz w:val="20"/>
          <w:szCs w:val="20"/>
          <w:color w:val="auto"/>
        </w:rPr>
      </w:pPr>
    </w:p>
    <w:p>
      <w:pPr>
        <w:ind w:right="20" w:firstLine="456"/>
        <w:spacing w:after="0" w:line="319" w:lineRule="auto"/>
        <w:rPr>
          <w:sz w:val="20"/>
          <w:szCs w:val="20"/>
          <w:color w:val="auto"/>
        </w:rPr>
      </w:pPr>
      <w:r>
        <w:rPr>
          <w:rFonts w:ascii="Arial" w:cs="Arial" w:eastAsia="Arial" w:hAnsi="Arial"/>
          <w:sz w:val="18"/>
          <w:szCs w:val="18"/>
          <w:color w:val="auto"/>
        </w:rPr>
        <w:t>Upon completion of this offering, there will be Class A ordinary shares and Class B ordinary shares issued and outstanding, allotment option to purchase additional ADSs, (ii) Class A ordinary shares resulting from the automatic conversion and redesignation of all of our outstanding preferred shares and ordinary shares (other than beneficially owned by Mr. Sammy Hsieh and Mr. Jian Tang) immediately prior to the completion of this offering on a one-for-one basis, and (iii) Class B ordinary shares redesignated from the outstanding ordinary shares held by Mr. Sammy Hsieh and Mr. Jian Tang immediately prior to the completion of this offering.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expect to adopt, subject to the approval of our shareholders by special resolution, an eighth amended and restated memorandum and articles of association, which will become effective and replace our current seventh amended and restated memorandum and articles of association in its entirety immediately upon the completion of this offering. The following are summaries of material provisions of the post-offering amended and restated memorandum and articles of association that we expect to adopt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31" w:lineRule="exact"/>
        <w:rPr>
          <w:sz w:val="20"/>
          <w:szCs w:val="20"/>
          <w:color w:val="auto"/>
        </w:rPr>
      </w:pPr>
    </w:p>
    <w:p>
      <w:pPr>
        <w:ind w:left="900" w:right="2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 shareholder is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quorum required for a meeting of shareholders consists of two shareholders entitled to vote present in person or by proxy or, if the shareholder is a legal entity, by its duly authorized representative. A majority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 into</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of transfer in the usual or common form or any other form approved by our board of directors.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900" w:right="16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53"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On a return of capital on winding up or otherwise (other than on conversion, redemption or purchase of shares), assets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among the holders of ordinary shares shall be distributed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i w:val="1"/>
          <w:iCs w:val="1"/>
          <w:color w:val="auto"/>
        </w:rPr>
        <w:t xml:space="preserve">Inspection of Books and Records. </w:t>
      </w:r>
      <w:r>
        <w:rPr>
          <w:rFonts w:ascii="Arial" w:cs="Arial" w:eastAsia="Arial" w:hAnsi="Arial"/>
          <w:sz w:val="18"/>
          <w:szCs w:val="18"/>
          <w:color w:val="auto"/>
        </w:rPr>
        <w:t>Holders of our ordinary shares will have no general right under Cayman Islands law to inspect or obtain copies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list of shareholders or our corporate records. However, we will provide our shareholders with annual audited financial statements. See “Where You Can Find Additional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 delay</w:t>
      </w:r>
      <w:r>
        <w:rPr>
          <w:rFonts w:ascii="Arial" w:cs="Arial" w:eastAsia="Arial" w:hAnsi="Arial"/>
          <w:sz w:val="17"/>
          <w:szCs w:val="17"/>
          <w:i w:val="1"/>
          <w:iCs w:val="1"/>
          <w:color w:val="auto"/>
        </w:rPr>
        <w:t xml:space="preserve"> </w:t>
      </w:r>
      <w:r>
        <w:rPr>
          <w:rFonts w:ascii="Arial" w:cs="Arial" w:eastAsia="Arial" w:hAnsi="Arial"/>
          <w:sz w:val="17"/>
          <w:szCs w:val="17"/>
          <w:color w:val="auto"/>
        </w:rPr>
        <w:t>or prevent a change of control of our company or management that shareholders may consider favorable, including provisions that:</w:t>
      </w:r>
    </w:p>
    <w:p>
      <w:pPr>
        <w:spacing w:after="0" w:line="52" w:lineRule="exact"/>
        <w:rPr>
          <w:sz w:val="20"/>
          <w:szCs w:val="20"/>
          <w:color w:val="auto"/>
        </w:rPr>
      </w:pPr>
    </w:p>
    <w:p>
      <w:pPr>
        <w:ind w:left="900" w:right="300" w:hanging="325"/>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380" w:firstLine="456"/>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40"/>
          </w:cols>
          <w:pgMar w:left="240" w:top="460" w:right="3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i w:val="1"/>
          <w:iCs w:val="1"/>
          <w:color w:val="auto"/>
        </w:rPr>
        <w:t xml:space="preserve">Mergers and Similar Arrangements. </w:t>
      </w:r>
      <w:r>
        <w:rPr>
          <w:rFonts w:ascii="Arial" w:cs="Arial" w:eastAsia="Arial" w:hAnsi="Arial"/>
          <w:sz w:val="17"/>
          <w:szCs w:val="17"/>
          <w:color w:val="auto"/>
        </w:rPr>
        <w:t>The Companies Law permits mergers and consolidations between Cayman Islands companies and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9"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 derivative action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94"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 act which is </w:t>
      </w:r>
      <w:r>
        <w:rPr>
          <w:rFonts w:ascii="Arial" w:cs="Arial" w:eastAsia="Arial" w:hAnsi="Arial"/>
          <w:sz w:val="18"/>
          <w:szCs w:val="18"/>
          <w:i w:val="1"/>
          <w:iCs w:val="1"/>
          <w:color w:val="auto"/>
        </w:rPr>
        <w:t>ultra vires</w:t>
      </w:r>
      <w:r>
        <w:rPr>
          <w:rFonts w:ascii="Arial" w:cs="Arial" w:eastAsia="Arial" w:hAnsi="Arial"/>
          <w:sz w:val="18"/>
          <w:szCs w:val="18"/>
          <w:color w:val="auto"/>
        </w:rPr>
        <w:t xml:space="preserve"> the company or illegal, which is therefore incapable of ratification by the shareholders,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act which constitutes a fraud against the minority where the wrongdoers are themselves in control of the company,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act which requires a resolution with a qualified (or special) majority (i.e. more than a simple majority) which has not been obtained.</w:t>
      </w:r>
    </w:p>
    <w:p>
      <w:pPr>
        <w:spacing w:after="0" w:line="2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65"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Shareholder Action by Written Consent. </w:t>
      </w:r>
      <w:r>
        <w:rPr>
          <w:rFonts w:ascii="Arial" w:cs="Arial" w:eastAsia="Arial" w:hAnsi="Arial"/>
          <w:sz w:val="17"/>
          <w:szCs w:val="17"/>
          <w:color w:val="auto"/>
        </w:rPr>
        <w:t>Under the Delaware General Corporation Law, a corporation may eliminate the right of shareholders to act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Cumulative Voting. </w:t>
      </w:r>
      <w:r>
        <w:rPr>
          <w:rFonts w:ascii="Arial" w:cs="Arial" w:eastAsia="Arial" w:hAnsi="Arial"/>
          <w:sz w:val="17"/>
          <w:szCs w:val="17"/>
          <w:color w:val="auto"/>
        </w:rPr>
        <w:t>Under the Delaware General Corporation Law, cumulative voting for elections of directors is not permitted unless the corporation’s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Under the Delaware General Corporation Law, a director of a corporation with a classified board may be removed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 xml:space="preserve">Transactions with Interested Shareholders. </w:t>
      </w:r>
      <w:r>
        <w:rPr>
          <w:rFonts w:ascii="Arial" w:cs="Arial" w:eastAsia="Arial" w:hAnsi="Arial"/>
          <w:sz w:val="18"/>
          <w:szCs w:val="18"/>
          <w:color w:val="auto"/>
        </w:rPr>
        <w:t>The Delaware General Corporation Law contains a business combination statute applicable to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transactions must be entered into bona fide in the best interests of the company and for a proper purpose and not with the effect of constituting a fraud on the minority shareholders.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i w:val="1"/>
          <w:iCs w:val="1"/>
          <w:color w:val="auto"/>
        </w:rPr>
        <w:t xml:space="preserve">Amendment of Governing Documents. </w:t>
      </w:r>
      <w:r>
        <w:rPr>
          <w:rFonts w:ascii="Arial" w:cs="Arial" w:eastAsia="Arial" w:hAnsi="Arial"/>
          <w:sz w:val="16"/>
          <w:szCs w:val="16"/>
          <w:color w:val="auto"/>
        </w:rPr>
        <w:t>Under the Delaware General Corporation Law, a corporation’s governing documents may be amended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Rights of Non-resident or Foreign Shareholders. </w:t>
      </w:r>
      <w:r>
        <w:rPr>
          <w:rFonts w:ascii="Arial" w:cs="Arial" w:eastAsia="Arial" w:hAnsi="Arial"/>
          <w:sz w:val="18"/>
          <w:szCs w:val="18"/>
          <w:color w:val="auto"/>
        </w:rPr>
        <w:t>There are no limitations imposed by our post-offering amended and restated memorandum and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December 2014, we issued 274,752 ordinary shares to Big Tooth Corporation in recognition of Mr. Robert Tran’s consulting services to us.</w:t>
      </w:r>
    </w:p>
    <w:p>
      <w:pPr>
        <w:spacing w:after="0" w:line="237"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In December 2014, we issued 255,033 ordinary shares to Arda to reserve for future grant and exercise of options under the 2010 Plan. See “Management — Share Incentive Plans — 2010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2014, we issued 742,320 ordinary shares to BlueFocus International Limited for total consideration of US$12.0 million.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February 2015, we issued 142,151 ordinary shares to the then shareholders of Buzzinate, as part of the consideration for the acquisition of all shares of Buzzinate.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July 2015, we issued 2,535,091 ordinary shares to the then shareholders of OptAim, as part of the consideration for the acquisition of all shares of OptAim.</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July 2015, we issued 632,581 ordinary shares to Arda to reserve for future grant and exercise of options under the 2010 Plan. See “Management — Share Incentive Plans — 2010 Plan.”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October 2015, we issued 945,663 ordinary shares to Arda to reserve for future grant and exercise of options under the 2010 Plan. See “Management — Share Incentive Plans — 2010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December 2014, we issued 2,493,018 series D convertible redeemable preferred shares to BlueFocus International Limited for total subscription price of US$48.0 million.</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December 2016, we issued 1,068,114 series E convertible redeemable preferred shares to Shenwan Hongyuan Goldspring Fund I for a total subscription price of US$20.0 million.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preferred shares will be automatically converted into ordinary shares at the then applicable conversion price upon the completion of a qualified initial public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2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Form F-3 Registration Rights. </w:t>
      </w:r>
      <w:r>
        <w:rPr>
          <w:rFonts w:ascii="Arial" w:cs="Arial" w:eastAsia="Arial" w:hAnsi="Arial"/>
          <w:sz w:val="17"/>
          <w:szCs w:val="17"/>
          <w:color w:val="auto"/>
        </w:rPr>
        <w:t>When we are eligible for registration on Form F-3, upon a written request from any holder of the registrable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Piggyback Registration Rights. </w:t>
      </w:r>
      <w:r>
        <w:rPr>
          <w:rFonts w:ascii="Arial" w:cs="Arial" w:eastAsia="Arial" w:hAnsi="Arial"/>
          <w:sz w:val="17"/>
          <w:szCs w:val="17"/>
          <w:color w:val="auto"/>
        </w:rPr>
        <w:t>If we propose to file a registration statement for a public offering for our own account or for the account of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Obligations</w:t>
      </w:r>
      <w:r>
        <w:rPr>
          <w:rFonts w:ascii="Arial" w:cs="Arial" w:eastAsia="Arial" w:hAnsi="Arial"/>
          <w:sz w:val="18"/>
          <w:szCs w:val="18"/>
          <w:color w:val="auto"/>
        </w:rPr>
        <w:t>. The registration rights set forth above shall terminate on the later of (i) the date that is five years from the date of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Receipts</w:t>
      </w:r>
    </w:p>
    <w:p>
      <w:pPr>
        <w:spacing w:after="0" w:line="12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7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 Washington, DC 20549. You may obtain information on the operation of the Public Reference Room by calling the SEC at 1-800-732-0330.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You may also find the registration statement and the attached deposit agreement on the SEC’s website at http://www.sec.gov.</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I receive dividends and other distributions on the shares underlying my ADSs?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Except as stated below, the depositary will deliver such distributions to ADR holders in proportion to their interests in the following manner:</w:t>
      </w:r>
    </w:p>
    <w:p>
      <w:pPr>
        <w:spacing w:after="0" w:line="264" w:lineRule="exact"/>
        <w:rPr>
          <w:sz w:val="20"/>
          <w:szCs w:val="20"/>
          <w:color w:val="auto"/>
        </w:rPr>
      </w:pPr>
    </w:p>
    <w:p>
      <w:pPr>
        <w:ind w:left="900" w:hanging="325"/>
        <w:spacing w:after="0" w:line="289"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depositary will distribute any U.S. dollars available to it resulting from a cash dividend or other cash distribution or the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193"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In the case of a distribution in shares, the depositary will issue additional ADRs to evidence the number of ADSs representing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8" w:lineRule="exact"/>
        <w:rPr>
          <w:rFonts w:ascii="Arial" w:cs="Arial" w:eastAsia="Arial" w:hAnsi="Arial"/>
          <w:sz w:val="18"/>
          <w:szCs w:val="18"/>
          <w:color w:val="auto"/>
        </w:rPr>
      </w:pPr>
    </w:p>
    <w:p>
      <w:pPr>
        <w:jc w:val="both"/>
        <w:ind w:left="900" w:right="220" w:hanging="325"/>
        <w:spacing w:after="0" w:line="31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Rights to receive additional shares</w:t>
      </w:r>
      <w:r>
        <w:rPr>
          <w:rFonts w:ascii="Arial" w:cs="Arial" w:eastAsia="Arial" w:hAnsi="Arial"/>
          <w:sz w:val="16"/>
          <w:szCs w:val="16"/>
          <w:color w:val="auto"/>
        </w:rPr>
        <w:t>. In the case of a distribution of rights to subscribe for additional shares or other rights, if we timely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52" w:lineRule="exact"/>
        <w:rPr>
          <w:sz w:val="20"/>
          <w:szCs w:val="20"/>
          <w:color w:val="auto"/>
        </w:rPr>
      </w:pPr>
    </w:p>
    <w:p>
      <w:pPr>
        <w:ind w:left="1480" w:hanging="567"/>
        <w:spacing w:after="0"/>
        <w:tabs>
          <w:tab w:leader="none" w:pos="14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sell such rights if practicable and distribute the net proceeds in the same manner as cash to the ADR holders entitled thereto; or</w:t>
      </w:r>
    </w:p>
    <w:p>
      <w:pPr>
        <w:spacing w:after="0" w:line="142" w:lineRule="exact"/>
        <w:rPr>
          <w:rFonts w:ascii="Arial" w:cs="Arial" w:eastAsia="Arial" w:hAnsi="Arial"/>
          <w:sz w:val="17"/>
          <w:szCs w:val="17"/>
          <w:color w:val="auto"/>
        </w:rPr>
      </w:pPr>
    </w:p>
    <w:p>
      <w:pPr>
        <w:ind w:left="1480" w:right="100" w:hanging="567"/>
        <w:spacing w:after="0" w:line="342" w:lineRule="auto"/>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51" w:lineRule="exact"/>
        <w:rPr>
          <w:sz w:val="20"/>
          <w:szCs w:val="20"/>
          <w:color w:val="auto"/>
        </w:rPr>
      </w:pPr>
    </w:p>
    <w:p>
      <w:pPr>
        <w:ind w:left="900" w:hanging="325"/>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In the case of a distribution of securities or property other than those described above, the depositary may either (i)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it may retain such items, without paying interest on or investing them, on behalf of the ADR holder as deposited securities, in which case the ADSs will also represent the retained items.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depositary issue ADSs?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7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ADR holders cancel an ADS and obtain deposited securities?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82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temporary delays caused by closing our transfer books or those of the depositary or the deposit of shares in connection with voting at a shareholders’ meeting, or the payment of dividends;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payment of fees, taxes and similar charges;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compliance with any U.S. or foreign laws or governmental regulations relating to the ADRs or to the withdrawal of deposited securities.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21"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29"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receive any distribution on or in respect of deposited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give instructions for the exercise of voting rights at a meeting of holders of shares,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pay the fee assessed by the depositary for administration of the ADR program and for any expenses as provided for in the ADR,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[45]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 (ii) substantial opposition exists with respect to any agenda item for which the proxy would be given or</w:t>
      </w:r>
    </w:p>
    <w:p>
      <w:pPr>
        <w:spacing w:after="0" w:line="3" w:lineRule="exact"/>
        <w:rPr>
          <w:sz w:val="20"/>
          <w:szCs w:val="20"/>
          <w:color w:val="auto"/>
        </w:rPr>
      </w:pPr>
    </w:p>
    <w:p>
      <w:pPr>
        <w:jc w:val="both"/>
        <w:ind w:right="20" w:firstLine="8"/>
        <w:spacing w:after="0" w:line="255" w:lineRule="auto"/>
        <w:tabs>
          <w:tab w:leader="none" w:pos="3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Cayman Islands, (b) the granting of such proxy will not result in a violation of Cayman Island law, rule, regulation or permit, (c) the voting arrangement and deemed instruction as contemplated herein will be given effect under Cayman Island law, and (d) the granting of such discretionary proxy will not under any circumstances result in the shares represented by the ADSs being treated as assets of the depositary under Cayman Island law].</w:t>
      </w:r>
    </w:p>
    <w:p>
      <w:pPr>
        <w:spacing w:after="0" w:line="16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6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Other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ADR holders be able to view our reports?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8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I be responsible for paying?</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87"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72"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 and</w:t>
      </w:r>
    </w:p>
    <w:p>
      <w:pPr>
        <w:spacing w:after="0" w:line="86"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fees of any division, branch or affiliate of the depositary utilized by the depositary to direct, manage and/or execute any public and/or private sale of securities under the deposit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JPMorgan and/or its agent may act as principal for such conversion of foreign currency. For further details see https://www.adr.com.</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7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92"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 the form of ADR;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distribute additional or amended ADRs;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distribute cash, securities or other property it has received in connection with such 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sell any securities or property received and distribute the proceeds as cash;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none of the above.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right="420" w:firstLine="456"/>
        <w:spacing w:after="0" w:line="291" w:lineRule="auto"/>
        <w:rPr>
          <w:sz w:val="20"/>
          <w:szCs w:val="20"/>
          <w:color w:val="auto"/>
        </w:rPr>
      </w:pPr>
      <w:r>
        <w:rPr>
          <w:rFonts w:ascii="Arial" w:cs="Arial" w:eastAsia="Arial" w:hAnsi="Arial"/>
          <w:sz w:val="16"/>
          <w:szCs w:val="16"/>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w:t>
      </w:r>
    </w:p>
    <w:p>
      <w:pPr>
        <w:ind w:firstLine="8"/>
        <w:spacing w:after="0" w:line="285" w:lineRule="auto"/>
        <w:tabs>
          <w:tab w:leader="none" w:pos="2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 to ADR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ADR holders and holders of ADSs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52" w:lineRule="exact"/>
        <w:rPr>
          <w:sz w:val="20"/>
          <w:szCs w:val="20"/>
          <w:color w:val="auto"/>
        </w:rPr>
      </w:pPr>
    </w:p>
    <w:p>
      <w:pPr>
        <w:ind w:left="900" w:right="420" w:hanging="325"/>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ind w:right="160" w:firstLine="8"/>
        <w:spacing w:after="0" w:line="255" w:lineRule="auto"/>
        <w:tabs>
          <w:tab w:leader="none" w:pos="2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9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7" w:lineRule="exact"/>
        <w:rPr>
          <w:sz w:val="20"/>
          <w:szCs w:val="20"/>
          <w:color w:val="auto"/>
        </w:rPr>
      </w:pPr>
    </w:p>
    <w:p>
      <w:pPr>
        <w:ind w:left="900" w:right="60" w:hanging="325"/>
        <w:spacing w:after="0" w:line="25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performs its obligations under the deposit agreement and ADRs without gross negligence or willful misconduct;</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relies upon any written notice, request, direction, instruction or document believed by it to be genuine and to have been signed, presented or given by the proper party or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Neither the depositary nor its agents have any obligation to appear in, prosecute or defend any action, suit or other proceeding in respect of any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deposited securities or the ADRs. We and our agents shall only be obligated to appear in, prosecute or defend any action, suit or other proceeding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deposited securities or the ADRs, which in our opinion may involve us in expense or liability, if indemnity satisfactory to us against all expense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fees and disbursements of counsel) and liability is furnished as often as may be required. The depositary and its agents may fully respond to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all demands or requests for information maintained by or on its behalf in connection with the deposit agreement, any registered holder or holders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ADRs, any ADRs or otherwise related to the deposit agreement or ADRs to the extent such information is requested or required by or pursuant to any 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authority, including without limitation laws, rules, regulations, administrative or judicial process, banking, securities or other regulators. The depositary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be liable for the acts or omissions made by, or the insolvency of, any securities depository, clearing agency or settlement system. Furthermore,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depositary shall not be responsible for, and shall incur no liability in connection with or arising from, the insolvency of any custodian that is not a branch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of JPMorgan Chase Bank, N.A. Notwithstanding anything to the contrary contained in the deposit agreement or any ADRs, the depositary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responsible for, and shall incur no liability in connection with or arising from, any act or omission to act on the part of the custodian except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custodian has (i) committed fraud or willful misconduct in the provision of custodial services to the depositary or (ii) failed to use reasonable care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provision of custodial services to the depositary as determined in accordance with the standards prevailing in the jurisdiction in which the custodian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located. The depositary and the custodian(s) may use third party delivery services and providers of information regarding matters such as pricing,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voting, corporate actions, class action litigation and other services in connection with the ADRs and the deposit agreement, and use local agents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extraordinary services such as attendance at annual meetings of issuers of securities. Although the depositary and the custodian will use reasonable 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cause their agents to use reasonable care) in the selection and retention of such third party providers and local agents, they will not be responsible for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errors or omissions made by them in providing the relevant information or services. The depositary shall not have any liability for the price received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sale of securities, the timing thereof or any delay in action or omission to act nor shall it be responsible for any error or delay in 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omission to act, default or negligence on the part of the party so retained in connection with any such sale or proposed sale.</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9" w:lineRule="auto"/>
        <w:rPr>
          <w:sz w:val="20"/>
          <w:szCs w:val="20"/>
          <w:color w:val="auto"/>
        </w:rPr>
      </w:pPr>
      <w:r>
        <w:rPr>
          <w:rFonts w:ascii="Arial" w:cs="Arial" w:eastAsia="Arial" w:hAnsi="Arial"/>
          <w:sz w:val="17"/>
          <w:szCs w:val="17"/>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8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Interest in ADSs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its capacity as depositary, the depositary shall not lend shares or ADSs; provided, however, that the depositary may (i) issue ADSs prior to the receipt of shares and (ii) deliver shares prior to the receipt of ADSs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withdrawal of deposited securities, including ADSs which were issued under (i) above but for which shares may not have been received (each such transaction a “pre-release”). The depositary may receive ADSs in lieu of shares under (i) above (which ADSs will promptly be canceled by the depositary upon receipt by the depositary) and receive shares in lieu of ADSs under (ii) above. Each such pre-release will be subject to a written agreement whereby the person or entity (the “applicant”) to whom ADSs or shares are to be delivered (a) represents that at the time of the pre-release the applicant or its customer owns the shares or ADSs that are to be delivered by the applicant under such pre-release, (b) agrees to indicate the depositary as owner of such shares or ADSs in its records and to hold such shares or ADSs in trust for the depositary until such shares or ADSs are delivered to the depositary or the custodian,</w:t>
      </w:r>
    </w:p>
    <w:p>
      <w:pPr>
        <w:spacing w:after="0" w:line="5" w:lineRule="exact"/>
        <w:rPr>
          <w:sz w:val="20"/>
          <w:szCs w:val="20"/>
          <w:color w:val="auto"/>
        </w:rPr>
      </w:pPr>
    </w:p>
    <w:p>
      <w:pPr>
        <w:ind w:right="20" w:firstLine="8"/>
        <w:spacing w:after="0" w:line="287" w:lineRule="auto"/>
        <w:tabs>
          <w:tab w:leader="none" w:pos="24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unconditionally guarantees to deliver to the depositary or the custodian, as applicable, such shares or ADSs, and (d) agrees to any additional restrictions or requirements that the depositary deems appropriate. Each such pre-release will be at all times fully collateralized with cash, U.S. government securities or such other collateral as the depositary deems appropriate, terminable by the depositary on not more than five (5) business days’ notice and subject to such further indemnities and credit regulations as the depositary deems appropriate. The depositary will normally limit the number of ADSs and shares involved in such pre-release at any one time to thirty percent (30%) of the ADSs outstanding (without giving effect to ADSs outstanding under (i) above), provided, however, that the depositary reserves the right to change or disregard such limit from time to time as it deems appropriate. The depositary may also set limits with respect to the number of ADSs and shares involved in pre-release with any one person on a case-by-case basis as it deems appropriate. The depositary may retain for its own account any compensation received by it in conjunction with the foregoing. Collateral provided in connection with pre-release transactions, but not the earnings thereon, shall be held for the benefit of the ADR holders (other than the applicant).]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76"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 a party to and bound by the terms of the deposit agreement and the applicable ADR or ADRs, and</w:t>
      </w:r>
    </w:p>
    <w:p>
      <w:pPr>
        <w:spacing w:after="0" w:line="130" w:lineRule="exact"/>
        <w:rPr>
          <w:rFonts w:ascii="Arial" w:cs="Arial" w:eastAsia="Arial" w:hAnsi="Arial"/>
          <w:sz w:val="18"/>
          <w:szCs w:val="18"/>
          <w:color w:val="auto"/>
        </w:rPr>
      </w:pPr>
    </w:p>
    <w:p>
      <w:pPr>
        <w:ind w:left="900" w:right="120" w:hanging="325"/>
        <w:spacing w:after="0" w:line="30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b w:val="1"/>
                <w:bCs w:val="1"/>
                <w:color w:val="auto"/>
              </w:rPr>
              <w:t>SHARES ELIGIBLE FOR FUTURE SALE</w:t>
            </w:r>
          </w:p>
        </w:tc>
      </w:tr>
      <w:tr>
        <w:trPr>
          <w:trHeight w:val="432"/>
        </w:trPr>
        <w:tc>
          <w:tcPr>
            <w:tcW w:w="3940" w:type="dxa"/>
            <w:vAlign w:val="bottom"/>
            <w:gridSpan w:val="2"/>
          </w:tcPr>
          <w:p>
            <w:pPr>
              <w:ind w:left="460"/>
              <w:spacing w:after="0"/>
              <w:rPr>
                <w:sz w:val="20"/>
                <w:szCs w:val="20"/>
                <w:color w:val="auto"/>
              </w:rPr>
            </w:pPr>
            <w:r>
              <w:rPr>
                <w:rFonts w:ascii="Arial" w:cs="Arial" w:eastAsia="Arial" w:hAnsi="Arial"/>
                <w:sz w:val="18"/>
                <w:szCs w:val="18"/>
                <w:color w:val="auto"/>
                <w:w w:val="96"/>
              </w:rPr>
              <w:t>Upon completion of this offering, we will have</w:t>
            </w:r>
          </w:p>
        </w:tc>
        <w:tc>
          <w:tcPr>
            <w:tcW w:w="7400" w:type="dxa"/>
            <w:vAlign w:val="bottom"/>
          </w:tcPr>
          <w:p>
            <w:pPr>
              <w:ind w:left="360"/>
              <w:spacing w:after="0"/>
              <w:rPr>
                <w:sz w:val="20"/>
                <w:szCs w:val="20"/>
                <w:color w:val="auto"/>
              </w:rPr>
            </w:pPr>
            <w:r>
              <w:rPr>
                <w:rFonts w:ascii="Arial" w:cs="Arial" w:eastAsia="Arial" w:hAnsi="Arial"/>
                <w:sz w:val="18"/>
                <w:szCs w:val="18"/>
                <w:color w:val="auto"/>
                <w:w w:val="92"/>
              </w:rPr>
              <w:t>ADSs outstanding, representing approximately   % of our outstanding ordinary shares. All of the</w:t>
            </w:r>
          </w:p>
        </w:tc>
      </w:tr>
    </w:tbl>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NASDAQ Global Market, we cannot assure you that a regular trading market will develop in the ADSs. We do not expect that a trading market will develop for our ordinary shares not represented by the ADSs.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of our directors, executive officers [and existing shareholders] has agreed, subject to some exceptions, not to sell, transfer or dispose of, directly or indirectly,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 180-day period, the ordinary shares or ADSs held by our directors, executive officers or our existing shareholders may be sold subject to the restrictions under Rule 144 under the Securities Act or by means of registered public offerings.</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Class A ordinary shares sold in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80"/>
          </w:cols>
          <w:pgMar w:left="240" w:top="446" w:right="27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79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34"/>
        </w:trPr>
        <w:tc>
          <w:tcPr>
            <w:tcW w:w="9340" w:type="dxa"/>
            <w:vAlign w:val="bottom"/>
            <w:gridSpan w:val="2"/>
          </w:tcPr>
          <w:p>
            <w:pPr>
              <w:ind w:left="460"/>
              <w:spacing w:after="0"/>
              <w:rPr>
                <w:sz w:val="20"/>
                <w:szCs w:val="20"/>
                <w:color w:val="auto"/>
              </w:rPr>
            </w:pPr>
            <w:r>
              <w:rPr>
                <w:rFonts w:ascii="Arial" w:cs="Arial" w:eastAsia="Arial" w:hAnsi="Arial"/>
                <w:sz w:val="18"/>
                <w:szCs w:val="18"/>
                <w:color w:val="auto"/>
                <w:w w:val="94"/>
              </w:rPr>
              <w:t>Our affiliates may sell within any three-month period a number of restricted shares that does not exceed the greater of:</w:t>
            </w:r>
          </w:p>
        </w:tc>
        <w:tc>
          <w:tcPr>
            <w:tcW w:w="2000" w:type="dxa"/>
            <w:vAlign w:val="bottom"/>
          </w:tcPr>
          <w:p>
            <w:pPr>
              <w:spacing w:after="0"/>
              <w:rPr>
                <w:sz w:val="24"/>
                <w:szCs w:val="24"/>
                <w:color w:val="auto"/>
              </w:rPr>
            </w:pPr>
          </w:p>
        </w:tc>
      </w:tr>
      <w:tr>
        <w:trPr>
          <w:trHeight w:val="323"/>
        </w:trPr>
        <w:tc>
          <w:tcPr>
            <w:tcW w:w="9340" w:type="dxa"/>
            <w:vAlign w:val="bottom"/>
            <w:gridSpan w:val="2"/>
          </w:tcPr>
          <w:p>
            <w:pPr>
              <w:ind w:left="580"/>
              <w:spacing w:after="0"/>
              <w:rPr>
                <w:sz w:val="20"/>
                <w:szCs w:val="20"/>
                <w:color w:val="auto"/>
              </w:rPr>
            </w:pPr>
            <w:r>
              <w:rPr>
                <w:rFonts w:ascii="Arial" w:cs="Arial" w:eastAsia="Arial" w:hAnsi="Arial"/>
                <w:sz w:val="18"/>
                <w:szCs w:val="18"/>
                <w:color w:val="auto"/>
                <w:w w:val="95"/>
              </w:rPr>
              <w:t>•   1% of the then outstanding ordinary shares of the same class, in the form of ADSs or otherwise, which will equal</w:t>
            </w:r>
          </w:p>
        </w:tc>
        <w:tc>
          <w:tcPr>
            <w:tcW w:w="2000" w:type="dxa"/>
            <w:vAlign w:val="bottom"/>
          </w:tcPr>
          <w:p>
            <w:pPr>
              <w:ind w:left="300"/>
              <w:spacing w:after="0"/>
              <w:rPr>
                <w:sz w:val="20"/>
                <w:szCs w:val="20"/>
                <w:color w:val="auto"/>
              </w:rPr>
            </w:pPr>
            <w:r>
              <w:rPr>
                <w:rFonts w:ascii="Arial" w:cs="Arial" w:eastAsia="Arial" w:hAnsi="Arial"/>
                <w:sz w:val="18"/>
                <w:szCs w:val="18"/>
                <w:color w:val="auto"/>
                <w:w w:val="87"/>
              </w:rPr>
              <w:t>Class A ordinary shares</w:t>
            </w:r>
          </w:p>
        </w:tc>
      </w:tr>
      <w:tr>
        <w:trPr>
          <w:trHeight w:val="230"/>
        </w:trPr>
        <w:tc>
          <w:tcPr>
            <w:tcW w:w="9340" w:type="dxa"/>
            <w:vAlign w:val="bottom"/>
            <w:gridSpan w:val="2"/>
          </w:tcPr>
          <w:p>
            <w:pPr>
              <w:ind w:left="900"/>
              <w:spacing w:after="0"/>
              <w:rPr>
                <w:sz w:val="20"/>
                <w:szCs w:val="20"/>
                <w:color w:val="auto"/>
              </w:rPr>
            </w:pPr>
            <w:r>
              <w:rPr>
                <w:rFonts w:ascii="Arial" w:cs="Arial" w:eastAsia="Arial" w:hAnsi="Arial"/>
                <w:sz w:val="18"/>
                <w:szCs w:val="18"/>
                <w:color w:val="auto"/>
              </w:rPr>
              <w:t>immediately after this offering assuming the underwriters do not exercise their over-allotment option; or</w:t>
            </w:r>
          </w:p>
        </w:tc>
        <w:tc>
          <w:tcPr>
            <w:tcW w:w="20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4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70"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60"/>
          </w:cols>
          <w:pgMar w:left="240" w:top="446"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360"/>
          </w:cols>
          <w:pgMar w:left="240" w:top="460" w:right="2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900" w:right="60" w:hanging="325"/>
        <w:spacing w:after="0" w:line="264"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ADSs will be listed on the NASDAQ Select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40"/>
          </w:cols>
          <w:pgMar w:left="240" w:top="460" w:right="3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142"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240" w:top="459" w:right="41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04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920" w:type="dxa"/>
            <w:vAlign w:val="bottom"/>
          </w:tcPr>
          <w:p>
            <w:pPr>
              <w:spacing w:after="0"/>
              <w:rPr>
                <w:sz w:val="24"/>
                <w:szCs w:val="24"/>
                <w:color w:val="auto"/>
              </w:rPr>
            </w:pPr>
          </w:p>
        </w:tc>
      </w:tr>
      <w:tr>
        <w:trPr>
          <w:trHeight w:val="432"/>
        </w:trPr>
        <w:tc>
          <w:tcPr>
            <w:tcW w:w="7400" w:type="dxa"/>
            <w:vAlign w:val="bottom"/>
            <w:gridSpan w:val="2"/>
          </w:tcPr>
          <w:p>
            <w:pPr>
              <w:ind w:left="460"/>
              <w:spacing w:after="0"/>
              <w:rPr>
                <w:sz w:val="20"/>
                <w:szCs w:val="20"/>
                <w:color w:val="auto"/>
              </w:rPr>
            </w:pPr>
            <w:r>
              <w:rPr>
                <w:rFonts w:ascii="Arial" w:cs="Arial" w:eastAsia="Arial" w:hAnsi="Arial"/>
                <w:sz w:val="18"/>
                <w:szCs w:val="18"/>
                <w:color w:val="auto"/>
                <w:w w:val="94"/>
              </w:rPr>
              <w:t>Under the terms and subject to the conditions contained in an underwriting agreement dated</w:t>
            </w:r>
          </w:p>
        </w:tc>
        <w:tc>
          <w:tcPr>
            <w:tcW w:w="3920" w:type="dxa"/>
            <w:vAlign w:val="bottom"/>
          </w:tcPr>
          <w:p>
            <w:pPr>
              <w:ind w:left="300"/>
              <w:spacing w:after="0"/>
              <w:rPr>
                <w:sz w:val="20"/>
                <w:szCs w:val="20"/>
                <w:color w:val="auto"/>
              </w:rPr>
            </w:pPr>
            <w:r>
              <w:rPr>
                <w:rFonts w:ascii="Arial" w:cs="Arial" w:eastAsia="Arial" w:hAnsi="Arial"/>
                <w:sz w:val="18"/>
                <w:szCs w:val="18"/>
                <w:color w:val="auto"/>
                <w:w w:val="89"/>
              </w:rPr>
              <w:t>, we have agreed to sell to the underwriters named</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below, for whom Credit Suisse Securities (USA) LLC and Jefferies LLC are acting as representatives, the following respective numbers of shares of ADSs:</w:t>
      </w: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additional ADSs from us at the initial public offering price less the underwriting discounts and commissions. The option may be exercised only to cover any over-allotments of ADSs.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ADSs initially at the public offering price on the cover page of this prospectus and to selling group members at that</w:t>
      </w:r>
    </w:p>
    <w:p>
      <w:pPr>
        <w:spacing w:after="0" w:line="46" w:lineRule="exact"/>
        <w:rPr>
          <w:sz w:val="20"/>
          <w:szCs w:val="20"/>
          <w:color w:val="auto"/>
        </w:rPr>
      </w:pPr>
    </w:p>
    <w:p>
      <w:pPr>
        <w:jc w:val="both"/>
        <w:ind w:right="140"/>
        <w:spacing w:after="0" w:line="290" w:lineRule="auto"/>
        <w:rPr>
          <w:sz w:val="20"/>
          <w:szCs w:val="20"/>
          <w:color w:val="auto"/>
        </w:rPr>
      </w:pPr>
      <w:r>
        <w:rPr>
          <w:rFonts w:ascii="Arial" w:cs="Arial" w:eastAsia="Arial" w:hAnsi="Arial"/>
          <w:sz w:val="17"/>
          <w:szCs w:val="17"/>
          <w:color w:val="auto"/>
        </w:rPr>
        <w:t>price less a selling concession of US$ per ADS. The underwriters and selling group members may allow a discount of US$ per ADS on sales to other broker/dealers. After the initial public offering the underwriters may change the public offering price and concession and discount to broker/dealers.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and the selling stockholders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color w:val="auto"/>
              </w:rPr>
              <w:t>Total</w:t>
            </w:r>
          </w:p>
        </w:tc>
      </w:tr>
      <w:tr>
        <w:trPr>
          <w:trHeight w:val="123"/>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23" w:lineRule="exact"/>
              <w:rPr>
                <w:sz w:val="20"/>
                <w:szCs w:val="20"/>
                <w:color w:val="auto"/>
              </w:rPr>
            </w:pPr>
            <w:r>
              <w:rPr>
                <w:rFonts w:ascii="Arial" w:cs="Arial" w:eastAsia="Arial" w:hAnsi="Arial"/>
                <w:sz w:val="14"/>
                <w:szCs w:val="14"/>
                <w:color w:val="auto"/>
              </w:rPr>
              <w:t>With</w:t>
            </w:r>
          </w:p>
        </w:tc>
        <w:tc>
          <w:tcPr>
            <w:tcW w:w="60" w:type="dxa"/>
            <w:vAlign w:val="bottom"/>
          </w:tcPr>
          <w:p>
            <w:pPr>
              <w:spacing w:after="0"/>
              <w:rPr>
                <w:sz w:val="10"/>
                <w:szCs w:val="10"/>
                <w:color w:val="auto"/>
              </w:rPr>
            </w:pPr>
          </w:p>
        </w:tc>
      </w:tr>
      <w:tr>
        <w:trPr>
          <w:trHeight w:val="167"/>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3"/>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Expenses payable by us</w:t>
            </w:r>
          </w:p>
        </w:tc>
        <w:tc>
          <w:tcPr>
            <w:tcW w:w="1780" w:type="dxa"/>
            <w:vAlign w:val="bottom"/>
            <w:gridSpan w:val="2"/>
          </w:tcPr>
          <w:p>
            <w:pPr>
              <w:ind w:left="900"/>
              <w:spacing w:after="0"/>
              <w:rPr>
                <w:sz w:val="20"/>
                <w:szCs w:val="20"/>
                <w:color w:val="auto"/>
              </w:rPr>
            </w:pPr>
            <w:r>
              <w:rPr>
                <w:rFonts w:ascii="Arial" w:cs="Arial" w:eastAsia="Arial" w:hAnsi="Arial"/>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US$</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US$</w:t>
            </w:r>
          </w:p>
        </w:tc>
        <w:tc>
          <w:tcPr>
            <w:tcW w:w="1680" w:type="dxa"/>
            <w:vAlign w:val="bottom"/>
            <w:gridSpan w:val="3"/>
          </w:tcPr>
          <w:p>
            <w:pPr>
              <w:ind w:left="740"/>
              <w:spacing w:after="0"/>
              <w:rPr>
                <w:sz w:val="20"/>
                <w:szCs w:val="20"/>
                <w:color w:val="auto"/>
              </w:rPr>
            </w:pPr>
            <w:r>
              <w:rPr>
                <w:rFonts w:ascii="Arial" w:cs="Arial" w:eastAsia="Arial" w:hAnsi="Arial"/>
                <w:sz w:val="18"/>
                <w:szCs w:val="18"/>
                <w:color w:val="auto"/>
              </w:rPr>
              <w:t>US$</w:t>
            </w:r>
          </w:p>
        </w:tc>
      </w:tr>
    </w:tbl>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agreed that we will not offer, sell, contract to sell, pledge or otherwise dispose of, directly or indirectly, or file with the Securities and Exchange Commission a registration statement under the Securities Act relating to, any ADSs, our ordinary shares or securities convertible into or exchangeable or exercisable for any ADSs or our ordinary shares, or publicly disclose the intention to make any offer, sale, pledge, disposition or 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7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officers, directors, [major shareholders and option holders] have agreed that they will not offer, sell, contract to sell, pledge or otherwise dispose of, directly or indirectly, any ADSs, our ordinary shares or securities convertible into or exchangeable or exercisable for any ADSs or our ordinary shares, enter into a transaction that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46"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transaction, swap, hedge or other arrangement, without, in each case, the prior written consent of Credit Suisse Securities (USA) LLC and Jefferies LLC for a period of [180] days after the date of this prospectus.]</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underwriters have reserved for sale at the initial public offering price up to ADSs for employees, directors and other persons associated with us who have expressed an interest in purchasing ADSs in the offering. If purchased by these persons, these shares will be subject to a 180-day lock-up restriction. The number of ADSs available for sale to the general public in the offering will be reduced to the extent of these persons’ purchase. Any reserved ADSs not so purchased will be offered by the underwriters to the general public on the same terms as the other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ADSs on the NASDAQ Global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listing of ADSs on the the NASDAQ Global Market, the underwriters will undertake to sell round lots of 100 shares or more to</w:t>
      </w:r>
    </w:p>
    <w:p>
      <w:pPr>
        <w:spacing w:after="0" w:line="4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a minimum of</w:t>
      </w:r>
      <w:r>
        <w:rPr>
          <w:sz w:val="20"/>
          <w:szCs w:val="20"/>
          <w:color w:val="auto"/>
        </w:rPr>
        <w:tab/>
      </w:r>
      <w:r>
        <w:rPr>
          <w:rFonts w:ascii="Arial" w:cs="Arial" w:eastAsia="Arial" w:hAnsi="Arial"/>
          <w:sz w:val="16"/>
          <w:szCs w:val="16"/>
          <w:color w:val="auto"/>
        </w:rPr>
        <w:t>beneficial owners.]</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Prior to this offering, there has been no public market for the ADSs. The initial public offering price was determined by negotiations among us and the representatives and will not necessarily reflect the market price of the ADSs following this offering. The principal factors that were considered in determining the initial public offering price included:</w:t>
      </w:r>
    </w:p>
    <w:p>
      <w:pPr>
        <w:spacing w:after="0" w:line="87"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presented in this prospectus and otherwise available to the underwriters;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history of, and prospects for, the industry in which we will compete;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ability of our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prospects for our future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present state of our development, results of operations and our current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29"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hanging="325"/>
        <w:spacing w:after="0" w:line="255"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By purchasing ADSs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380" w:hanging="325"/>
        <w:spacing w:after="0" w:line="308"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Center</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340"/>
          </w:cols>
          <w:pgMar w:left="240" w:top="459" w:right="3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92"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900" w:right="12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a transaction that, in accordance with article L.411-2-II-1°-or-2°-or 3° of the French Code monétaire et financier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of the Autorité des Marchés Financiers,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2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The offering of ADSs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7" w:lineRule="exact"/>
        <w:rPr>
          <w:sz w:val="20"/>
          <w:szCs w:val="20"/>
          <w:color w:val="auto"/>
        </w:rPr>
      </w:pPr>
    </w:p>
    <w:p>
      <w:pPr>
        <w:ind w:left="900" w:right="180" w:hanging="325"/>
        <w:spacing w:after="0" w:line="31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52" w:lineRule="exact"/>
        <w:rPr>
          <w:rFonts w:ascii="Arial" w:cs="Arial" w:eastAsia="Arial" w:hAnsi="Arial"/>
          <w:sz w:val="16"/>
          <w:szCs w:val="16"/>
          <w:color w:val="auto"/>
        </w:rPr>
      </w:pPr>
    </w:p>
    <w:p>
      <w:pPr>
        <w:ind w:left="900" w:right="16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Any offer, sale or delivery of the ADSs or distribution of copies of this prospectus or any other documents relating to the ADSs in the Republic of Italy must be:</w:t>
      </w:r>
    </w:p>
    <w:p>
      <w:pPr>
        <w:spacing w:after="0" w:line="76" w:lineRule="exact"/>
        <w:rPr>
          <w:sz w:val="20"/>
          <w:szCs w:val="20"/>
          <w:color w:val="auto"/>
        </w:rPr>
      </w:pPr>
    </w:p>
    <w:p>
      <w:pPr>
        <w:ind w:left="900" w:right="320" w:hanging="325"/>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92"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740" w:hanging="567"/>
        <w:spacing w:after="0" w:line="277" w:lineRule="auto"/>
        <w:tabs>
          <w:tab w:leader="none" w:pos="14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78"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86"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70" w:lineRule="exact"/>
        <w:rPr>
          <w:rFonts w:ascii="Arial" w:cs="Arial" w:eastAsia="Arial" w:hAnsi="Arial"/>
          <w:sz w:val="17"/>
          <w:szCs w:val="17"/>
          <w:color w:val="auto"/>
        </w:rPr>
      </w:pPr>
    </w:p>
    <w:p>
      <w:pPr>
        <w:ind w:left="900" w:right="140" w:hanging="325"/>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RELATING TO THIS OFFERING</w:t>
      </w:r>
    </w:p>
    <w:p>
      <w:pPr>
        <w:spacing w:after="0" w:line="229"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Set forth below is an itemization of the total expenses, excluding underwriting discounts and commissions, that are expected to be incurred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06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w w:val="91"/>
              </w:rPr>
              <w:t>US$</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FINRA Filing Fee</w:t>
            </w:r>
          </w:p>
        </w:tc>
        <w:tc>
          <w:tcPr>
            <w:tcW w:w="6060" w:type="dxa"/>
            <w:vAlign w:val="bottom"/>
            <w:gridSpan w:val="2"/>
          </w:tcPr>
          <w:p>
            <w:pPr>
              <w:ind w:left="5720"/>
              <w:spacing w:after="0"/>
              <w:rPr>
                <w:sz w:val="20"/>
                <w:szCs w:val="20"/>
                <w:color w:val="auto"/>
              </w:rPr>
            </w:pPr>
            <w:r>
              <w:rPr>
                <w:rFonts w:ascii="Arial" w:cs="Arial" w:eastAsia="Arial" w:hAnsi="Arial"/>
                <w:sz w:val="18"/>
                <w:szCs w:val="18"/>
                <w:color w:val="auto"/>
                <w:w w:val="91"/>
              </w:rPr>
              <w:t>US$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606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w w:val="91"/>
              </w:rPr>
              <w:t>US$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Printing Expenses</w:t>
            </w:r>
          </w:p>
        </w:tc>
        <w:tc>
          <w:tcPr>
            <w:tcW w:w="6060" w:type="dxa"/>
            <w:vAlign w:val="bottom"/>
            <w:gridSpan w:val="2"/>
          </w:tcPr>
          <w:p>
            <w:pPr>
              <w:ind w:left="5720"/>
              <w:spacing w:after="0"/>
              <w:rPr>
                <w:sz w:val="20"/>
                <w:szCs w:val="20"/>
                <w:color w:val="auto"/>
              </w:rPr>
            </w:pPr>
            <w:r>
              <w:rPr>
                <w:rFonts w:ascii="Arial" w:cs="Arial" w:eastAsia="Arial" w:hAnsi="Arial"/>
                <w:sz w:val="18"/>
                <w:szCs w:val="18"/>
                <w:color w:val="auto"/>
                <w:w w:val="91"/>
              </w:rPr>
              <w:t>US$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06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w w:val="91"/>
              </w:rPr>
              <w:t>US$</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6060" w:type="dxa"/>
            <w:vAlign w:val="bottom"/>
            <w:gridSpan w:val="2"/>
          </w:tcPr>
          <w:p>
            <w:pPr>
              <w:ind w:left="5720"/>
              <w:spacing w:after="0"/>
              <w:rPr>
                <w:sz w:val="20"/>
                <w:szCs w:val="20"/>
                <w:color w:val="auto"/>
              </w:rPr>
            </w:pPr>
            <w:r>
              <w:rPr>
                <w:rFonts w:ascii="Arial" w:cs="Arial" w:eastAsia="Arial" w:hAnsi="Arial"/>
                <w:sz w:val="18"/>
                <w:szCs w:val="18"/>
                <w:color w:val="auto"/>
                <w:w w:val="91"/>
              </w:rPr>
              <w:t>US$</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606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w w:val="91"/>
              </w:rPr>
              <w:t>US$</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w:t>
            </w:r>
          </w:p>
        </w:tc>
        <w:tc>
          <w:tcPr>
            <w:tcW w:w="57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US$</w:t>
            </w:r>
          </w:p>
        </w:tc>
        <w:tc>
          <w:tcPr>
            <w:tcW w:w="5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720" w:type="dxa"/>
            <w:vAlign w:val="bottom"/>
            <w:vMerge w:val="restart"/>
          </w:tcPr>
          <w:p>
            <w:pPr>
              <w:jc w:val="right"/>
              <w:ind w:right="4570"/>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300"/>
          </w:cols>
          <w:pgMar w:left="240" w:top="459" w:right="3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Audited Consolidated Financial Statements for the Years Ended December 31, 2015 and 2016</w:t>
            </w:r>
          </w:p>
        </w:tc>
        <w:tc>
          <w:tcPr>
            <w:tcW w:w="11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240" w:type="dxa"/>
            <w:vAlign w:val="bottom"/>
            <w:gridSpan w:val="17"/>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240" w:type="dxa"/>
            <w:vAlign w:val="bottom"/>
            <w:gridSpan w:val="17"/>
          </w:tcPr>
          <w:p>
            <w:pPr>
              <w:spacing w:after="0" w:line="190" w:lineRule="exact"/>
              <w:rPr>
                <w:rFonts w:ascii="Arial" w:cs="Arial" w:eastAsia="Arial" w:hAnsi="Arial"/>
                <w:sz w:val="18"/>
                <w:szCs w:val="18"/>
                <w:color w:val="0000EE"/>
              </w:rPr>
            </w:pPr>
            <w:hyperlink w:anchor="page223">
              <w:r>
                <w:rPr>
                  <w:rFonts w:ascii="Arial" w:cs="Arial" w:eastAsia="Arial" w:hAnsi="Arial"/>
                  <w:sz w:val="18"/>
                  <w:szCs w:val="18"/>
                  <w:color w:val="0000EE"/>
                </w:rPr>
                <w:t>Report of Independent Registered Public Accounting Firm</w:t>
              </w:r>
            </w:hyperlink>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24">
              <w:r>
                <w:rPr>
                  <w:rFonts w:ascii="Arial" w:cs="Arial" w:eastAsia="Arial" w:hAnsi="Arial"/>
                  <w:sz w:val="18"/>
                  <w:szCs w:val="18"/>
                  <w:color w:val="0000EE"/>
                  <w:w w:val="88"/>
                </w:rPr>
                <w:t>Consolidated Balance Sheets as of December 31, 2015 and 2016</w:t>
              </w:r>
            </w:hyperlink>
          </w:p>
        </w:tc>
        <w:tc>
          <w:tcPr>
            <w:tcW w:w="5580" w:type="dxa"/>
            <w:vAlign w:val="bottom"/>
            <w:gridSpan w:val="1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28">
              <w:r>
                <w:rPr>
                  <w:rFonts w:ascii="Arial" w:cs="Arial" w:eastAsia="Arial" w:hAnsi="Arial"/>
                  <w:sz w:val="18"/>
                  <w:szCs w:val="18"/>
                  <w:color w:val="0000EE"/>
                  <w:w w:val="89"/>
                </w:rPr>
                <w:t>Consolidated Statements of Comprehensive Loss for the years ended December 31, 2015 and 2016</w:t>
              </w:r>
            </w:hyperlink>
          </w:p>
        </w:tc>
        <w:tc>
          <w:tcPr>
            <w:tcW w:w="310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29">
              <w:r>
                <w:rPr>
                  <w:rFonts w:ascii="Arial" w:cs="Arial" w:eastAsia="Arial" w:hAnsi="Arial"/>
                  <w:sz w:val="18"/>
                  <w:szCs w:val="18"/>
                  <w:color w:val="0000EE"/>
                  <w:w w:val="89"/>
                </w:rPr>
                <w:t>Consolidated Statements of Changes in Shareholders’ Deficit for the years ended December 31, 2015 and 2016</w:t>
              </w:r>
            </w:hyperlink>
          </w:p>
        </w:tc>
        <w:tc>
          <w:tcPr>
            <w:tcW w:w="222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31">
              <w:r>
                <w:rPr>
                  <w:rFonts w:ascii="Arial" w:cs="Arial" w:eastAsia="Arial" w:hAnsi="Arial"/>
                  <w:sz w:val="18"/>
                  <w:szCs w:val="18"/>
                  <w:color w:val="0000EE"/>
                  <w:w w:val="89"/>
                </w:rPr>
                <w:t>Consolidated Statements of Cash Flows for the years ended December 31, 2015 and 2016</w:t>
              </w:r>
            </w:hyperlink>
          </w:p>
        </w:tc>
        <w:tc>
          <w:tcPr>
            <w:tcW w:w="3720" w:type="dxa"/>
            <w:vAlign w:val="bottom"/>
            <w:gridSpan w:val="1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240" w:type="dxa"/>
            <w:vAlign w:val="bottom"/>
            <w:gridSpan w:val="17"/>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Notes to the Consolidated Financial Statements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240" w:type="dxa"/>
            <w:vAlign w:val="bottom"/>
            <w:gridSpan w:val="17"/>
          </w:tcPr>
          <w:p>
            <w:pPr>
              <w:spacing w:after="0"/>
              <w:rPr>
                <w:sz w:val="20"/>
                <w:szCs w:val="20"/>
                <w:color w:val="auto"/>
              </w:rPr>
            </w:pPr>
            <w:r>
              <w:rPr>
                <w:rFonts w:ascii="Arial" w:cs="Arial" w:eastAsia="Arial" w:hAnsi="Arial"/>
                <w:sz w:val="18"/>
                <w:szCs w:val="18"/>
                <w:b w:val="1"/>
                <w:bCs w:val="1"/>
                <w:color w:val="auto"/>
              </w:rPr>
              <w:t>Unaudited Interim Condensed Consolidated Financial Statements for the Six Months Ended June 30, 2016 and 2017</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292">
              <w:r>
                <w:rPr>
                  <w:rFonts w:ascii="Arial" w:cs="Arial" w:eastAsia="Arial" w:hAnsi="Arial"/>
                  <w:sz w:val="18"/>
                  <w:szCs w:val="18"/>
                  <w:color w:val="0000EE"/>
                  <w:w w:val="89"/>
                </w:rPr>
                <w:t>Unaudited Interim Condensed Consolidated Balance Sheets as of December 31, 2016 and June 30, 2017</w:t>
              </w:r>
            </w:hyperlink>
          </w:p>
        </w:tc>
        <w:tc>
          <w:tcPr>
            <w:tcW w:w="2720" w:type="dxa"/>
            <w:vAlign w:val="bottom"/>
            <w:gridSpan w:val="6"/>
          </w:tcPr>
          <w:p>
            <w:pPr>
              <w:spacing w:after="0"/>
              <w:rPr>
                <w:sz w:val="16"/>
                <w:szCs w:val="16"/>
                <w:color w:val="auto"/>
              </w:rPr>
            </w:pPr>
          </w:p>
        </w:tc>
        <w:tc>
          <w:tcPr>
            <w:tcW w:w="1120" w:type="dxa"/>
            <w:vAlign w:val="bottom"/>
          </w:tcPr>
          <w:p>
            <w:pPr>
              <w:jc w:val="right"/>
              <w:spacing w:after="0" w:line="190" w:lineRule="exact"/>
              <w:rPr>
                <w:sz w:val="20"/>
                <w:szCs w:val="20"/>
                <w:color w:val="auto"/>
              </w:rPr>
            </w:pPr>
            <w:r>
              <w:rPr>
                <w:rFonts w:ascii="Arial" w:cs="Arial" w:eastAsia="Arial" w:hAnsi="Arial"/>
                <w:sz w:val="18"/>
                <w:szCs w:val="18"/>
                <w:color w:val="auto"/>
              </w:rPr>
              <w:t>F-71</w:t>
            </w:r>
          </w:p>
        </w:tc>
        <w:tc>
          <w:tcPr>
            <w:tcW w:w="0" w:type="dxa"/>
            <w:vAlign w:val="bottom"/>
          </w:tcPr>
          <w:p>
            <w:pPr>
              <w:spacing w:after="0"/>
              <w:rPr>
                <w:sz w:val="1"/>
                <w:szCs w:val="1"/>
                <w:color w:val="auto"/>
              </w:rPr>
            </w:pPr>
          </w:p>
        </w:tc>
      </w:tr>
      <w:tr>
        <w:trPr>
          <w:trHeight w:val="196"/>
        </w:trPr>
        <w:tc>
          <w:tcPr>
            <w:tcW w:w="10240" w:type="dxa"/>
            <w:vAlign w:val="bottom"/>
            <w:gridSpan w:val="17"/>
          </w:tcPr>
          <w:p>
            <w:pPr>
              <w:spacing w:after="0" w:line="196" w:lineRule="exact"/>
              <w:rPr>
                <w:rFonts w:ascii="Arial" w:cs="Arial" w:eastAsia="Arial" w:hAnsi="Arial"/>
                <w:sz w:val="18"/>
                <w:szCs w:val="18"/>
                <w:color w:val="0000EE"/>
                <w:w w:val="96"/>
              </w:rPr>
            </w:pPr>
            <w:hyperlink w:anchor="page296">
              <w:r>
                <w:rPr>
                  <w:rFonts w:ascii="Arial" w:cs="Arial" w:eastAsia="Arial" w:hAnsi="Arial"/>
                  <w:sz w:val="18"/>
                  <w:szCs w:val="18"/>
                  <w:color w:val="0000EE"/>
                  <w:w w:val="96"/>
                </w:rPr>
                <w:t>Unaudited Interim Condensed Consolidated Statements of Comprehensive Income for the six months ended June 30, 2016 and 2017</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196"/>
        </w:trPr>
        <w:tc>
          <w:tcPr>
            <w:tcW w:w="954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w:anchor="page297">
              <w:r>
                <w:rPr>
                  <w:rFonts w:ascii="Arial" w:cs="Arial" w:eastAsia="Arial" w:hAnsi="Arial"/>
                  <w:sz w:val="18"/>
                  <w:szCs w:val="18"/>
                  <w:color w:val="0000EE"/>
                  <w:w w:val="90"/>
                </w:rPr>
                <w:t>Unaudited Interim Condensed Consolidated Statements of Changes in Shareholders’ Equity for the six months ended June 30, 2017</w:t>
              </w:r>
            </w:hyperlink>
          </w:p>
        </w:tc>
        <w:tc>
          <w:tcPr>
            <w:tcW w:w="7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8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298">
              <w:r>
                <w:rPr>
                  <w:rFonts w:ascii="Arial" w:cs="Arial" w:eastAsia="Arial" w:hAnsi="Arial"/>
                  <w:sz w:val="18"/>
                  <w:szCs w:val="18"/>
                  <w:color w:val="0000EE"/>
                  <w:w w:val="89"/>
                </w:rPr>
                <w:t>Unaudited Interim Condensed Consolidated Statements of Cash Flows for the six months ended June 30, 2016 and 2017</w:t>
              </w:r>
            </w:hyperlink>
          </w:p>
        </w:tc>
        <w:tc>
          <w:tcPr>
            <w:tcW w:w="800" w:type="dxa"/>
            <w:vAlign w:val="bottom"/>
            <w:tcBorders>
              <w:top w:val="single" w:sz="8" w:color="0000EE"/>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0">
              <w:r>
                <w:rPr>
                  <w:rFonts w:ascii="Arial" w:cs="Arial" w:eastAsia="Arial" w:hAnsi="Arial"/>
                  <w:sz w:val="18"/>
                  <w:szCs w:val="18"/>
                  <w:color w:val="0000EE"/>
                  <w:w w:val="90"/>
                </w:rPr>
                <w:t>Notes to the Unaudited Interim Condensed Consolidated Financial Statements</w:t>
              </w:r>
            </w:hyperlink>
          </w:p>
        </w:tc>
        <w:tc>
          <w:tcPr>
            <w:tcW w:w="460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434"/>
        </w:trPr>
        <w:tc>
          <w:tcPr>
            <w:tcW w:w="10240" w:type="dxa"/>
            <w:vAlign w:val="bottom"/>
            <w:gridSpan w:val="17"/>
          </w:tcPr>
          <w:p>
            <w:pPr>
              <w:spacing w:after="0"/>
              <w:rPr>
                <w:sz w:val="20"/>
                <w:szCs w:val="20"/>
                <w:color w:val="auto"/>
              </w:rPr>
            </w:pPr>
            <w:r>
              <w:rPr>
                <w:rFonts w:ascii="Arial" w:cs="Arial" w:eastAsia="Arial" w:hAnsi="Arial"/>
                <w:sz w:val="18"/>
                <w:szCs w:val="18"/>
                <w:b w:val="1"/>
                <w:bCs w:val="1"/>
                <w:color w:val="auto"/>
              </w:rPr>
              <w:t>OPTAIM LIMITED (Note)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240" w:type="dxa"/>
            <w:vAlign w:val="bottom"/>
            <w:gridSpan w:val="17"/>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240" w:type="dxa"/>
            <w:vAlign w:val="bottom"/>
            <w:gridSpan w:val="17"/>
          </w:tcPr>
          <w:p>
            <w:pPr>
              <w:spacing w:after="0" w:line="170" w:lineRule="exact"/>
              <w:rPr>
                <w:rFonts w:ascii="Arial" w:cs="Arial" w:eastAsia="Arial" w:hAnsi="Arial"/>
                <w:sz w:val="18"/>
                <w:szCs w:val="18"/>
                <w:color w:val="0000EE"/>
              </w:rPr>
            </w:pPr>
            <w:hyperlink w:anchor="page338">
              <w:r>
                <w:rPr>
                  <w:rFonts w:ascii="Arial" w:cs="Arial" w:eastAsia="Arial" w:hAnsi="Arial"/>
                  <w:sz w:val="18"/>
                  <w:szCs w:val="18"/>
                  <w:color w:val="0000EE"/>
                </w:rPr>
                <w:t>Report of Independent Auditors</w:t>
              </w:r>
            </w:hyperlink>
          </w:p>
        </w:tc>
        <w:tc>
          <w:tcPr>
            <w:tcW w:w="1120" w:type="dxa"/>
            <w:vAlign w:val="bottom"/>
          </w:tcPr>
          <w:p>
            <w:pPr>
              <w:jc w:val="right"/>
              <w:spacing w:after="0" w:line="170" w:lineRule="exact"/>
              <w:rPr>
                <w:sz w:val="20"/>
                <w:szCs w:val="20"/>
                <w:color w:val="auto"/>
              </w:rPr>
            </w:pPr>
            <w:r>
              <w:rPr>
                <w:rFonts w:ascii="Arial" w:cs="Arial" w:eastAsia="Arial" w:hAnsi="Arial"/>
                <w:sz w:val="18"/>
                <w:szCs w:val="18"/>
                <w:color w:val="auto"/>
              </w:rPr>
              <w:t>F-117</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39">
              <w:r>
                <w:rPr>
                  <w:rFonts w:ascii="Arial" w:cs="Arial" w:eastAsia="Arial" w:hAnsi="Arial"/>
                  <w:sz w:val="18"/>
                  <w:szCs w:val="18"/>
                  <w:color w:val="0000EE"/>
                  <w:w w:val="89"/>
                </w:rPr>
                <w:t>Consolidated Balance Sheet as of July 23, 2015</w:t>
              </w:r>
            </w:hyperlink>
          </w:p>
        </w:tc>
        <w:tc>
          <w:tcPr>
            <w:tcW w:w="6800" w:type="dxa"/>
            <w:vAlign w:val="bottom"/>
            <w:gridSpan w:val="14"/>
          </w:tcPr>
          <w:p>
            <w:pPr>
              <w:spacing w:after="0"/>
              <w:rPr>
                <w:sz w:val="18"/>
                <w:szCs w:val="18"/>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F-118</w:t>
            </w:r>
          </w:p>
        </w:tc>
        <w:tc>
          <w:tcPr>
            <w:tcW w:w="0" w:type="dxa"/>
            <w:vAlign w:val="bottom"/>
          </w:tcPr>
          <w:p>
            <w:pPr>
              <w:spacing w:after="0"/>
              <w:rPr>
                <w:sz w:val="1"/>
                <w:szCs w:val="1"/>
                <w:color w:val="auto"/>
              </w:rPr>
            </w:pPr>
          </w:p>
        </w:tc>
      </w:tr>
      <w:tr>
        <w:trPr>
          <w:trHeight w:val="210"/>
        </w:trPr>
        <w:tc>
          <w:tcPr>
            <w:tcW w:w="10240" w:type="dxa"/>
            <w:vAlign w:val="bottom"/>
            <w:gridSpan w:val="17"/>
          </w:tcPr>
          <w:p>
            <w:pPr>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Consolidated Statement of Comprehensive Loss for the Period from January 1, 2015 to July 23, 2015</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F-120</w:t>
            </w:r>
          </w:p>
        </w:tc>
        <w:tc>
          <w:tcPr>
            <w:tcW w:w="0" w:type="dxa"/>
            <w:vAlign w:val="bottom"/>
          </w:tcPr>
          <w:p>
            <w:pPr>
              <w:spacing w:after="0"/>
              <w:rPr>
                <w:sz w:val="1"/>
                <w:szCs w:val="1"/>
                <w:color w:val="auto"/>
              </w:rPr>
            </w:pPr>
          </w:p>
        </w:tc>
      </w:tr>
      <w:tr>
        <w:trPr>
          <w:trHeight w:val="20"/>
        </w:trPr>
        <w:tc>
          <w:tcPr>
            <w:tcW w:w="664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42">
              <w:r>
                <w:rPr>
                  <w:rFonts w:ascii="Arial" w:cs="Arial" w:eastAsia="Arial" w:hAnsi="Arial"/>
                  <w:sz w:val="18"/>
                  <w:szCs w:val="18"/>
                  <w:color w:val="0000EE"/>
                  <w:w w:val="90"/>
                </w:rPr>
                <w:t>Consolidated Statement of Changes in Shareholders’ Equity for the Period from January 1, 2015 to July 23, 2015</w:t>
              </w:r>
            </w:hyperlink>
          </w:p>
        </w:tc>
        <w:tc>
          <w:tcPr>
            <w:tcW w:w="208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F-121</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43">
              <w:r>
                <w:rPr>
                  <w:rFonts w:ascii="Arial" w:cs="Arial" w:eastAsia="Arial" w:hAnsi="Arial"/>
                  <w:sz w:val="18"/>
                  <w:szCs w:val="18"/>
                  <w:color w:val="0000EE"/>
                  <w:w w:val="90"/>
                </w:rPr>
                <w:t>Consolidated Statement of Cash Flows for the Period from January 1, 2015 to July 23, 2015</w:t>
              </w:r>
            </w:hyperlink>
          </w:p>
        </w:tc>
        <w:tc>
          <w:tcPr>
            <w:tcW w:w="3600" w:type="dxa"/>
            <w:vAlign w:val="bottom"/>
            <w:gridSpan w:val="9"/>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F-122</w:t>
            </w:r>
          </w:p>
        </w:tc>
        <w:tc>
          <w:tcPr>
            <w:tcW w:w="0" w:type="dxa"/>
            <w:vAlign w:val="bottom"/>
          </w:tcPr>
          <w:p>
            <w:pPr>
              <w:spacing w:after="0"/>
              <w:rPr>
                <w:sz w:val="1"/>
                <w:szCs w:val="1"/>
                <w:color w:val="auto"/>
              </w:rPr>
            </w:pPr>
          </w:p>
        </w:tc>
      </w:tr>
      <w:tr>
        <w:trPr>
          <w:trHeight w:val="196"/>
        </w:trPr>
        <w:tc>
          <w:tcPr>
            <w:tcW w:w="10240" w:type="dxa"/>
            <w:vAlign w:val="bottom"/>
            <w:gridSpan w:val="17"/>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Notes to the Consolidated Financial Statements for the Period from January 1, 2015 to July 23, 2015</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F-123</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iClick Interactive Asia Group Limited</w:t>
      </w:r>
    </w:p>
    <w:p>
      <w:pPr>
        <w:spacing w:after="0" w:line="10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 except for note 22, which is as of July 13,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60" w:right="3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5"/>
              </w:rPr>
              <w:t>As of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140" w:type="dxa"/>
            <w:vAlign w:val="bottom"/>
          </w:tcPr>
          <w:p>
            <w:pPr>
              <w:jc w:val="right"/>
              <w:ind w:right="191"/>
              <w:spacing w:after="0"/>
              <w:rPr>
                <w:sz w:val="20"/>
                <w:szCs w:val="20"/>
                <w:color w:val="auto"/>
              </w:rPr>
            </w:pPr>
            <w:r>
              <w:rPr>
                <w:rFonts w:ascii="Arial" w:cs="Arial" w:eastAsia="Arial" w:hAnsi="Arial"/>
                <w:sz w:val="14"/>
                <w:szCs w:val="14"/>
                <w:color w:val="auto"/>
              </w:rPr>
              <w:t>Note</w:t>
            </w: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10,395</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27,280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8"/>
              </w:rPr>
              <w:t>Accounts receivable, net of allowance for doubtful receivables of US$1,733 and US$1,693 as of</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28,423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30,694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Prepaid media costs</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24,793</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34,409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 receivable</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682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19,095</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14,804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9</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66,671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66,671</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5"/>
              </w:rPr>
              <w:t>As of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(Note 26)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92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Accounts payable (including accounts payable of the consolidated variable interest entity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subsidiary without recourse to the Company of US$426 and US$28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3"/>
              </w:rPr>
              <w:t>Deferred revenue (including deferred revenue of the consolidated VIE and its subsidiary without recourse to</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the Company of US$6,668 and US$11,878 as of December 31, 2015 and 2016, respectively)</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14,935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25,697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VIE and its subsidiary without recourse to the Company of US$66 and US$404 as of</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2015 and 2016, 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14,808</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63,724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60,525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Amounts due to a related party (including amount due to a related party of the consolidated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subsidiary without recourse to the Company of US$46 and US$nil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Bank borrowings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8,542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12,982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1,061</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1,067</w:t>
            </w: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115,124</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126,572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66,047</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2,997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118,829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129,569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As of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7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60" w:type="dxa"/>
            <w:vAlign w:val="bottom"/>
          </w:tcPr>
          <w:p>
            <w:pPr>
              <w:spacing w:after="0"/>
              <w:rPr>
                <w:sz w:val="10"/>
                <w:szCs w:val="10"/>
                <w:color w:val="auto"/>
              </w:rPr>
            </w:pP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(Note 26)</w:t>
            </w:r>
          </w:p>
        </w:tc>
      </w:tr>
      <w:tr>
        <w:trPr>
          <w:trHeight w:val="181"/>
        </w:trPr>
        <w:tc>
          <w:tcPr>
            <w:tcW w:w="7480" w:type="dxa"/>
            <w:vAlign w:val="bottom"/>
          </w:tcPr>
          <w:p>
            <w:pPr>
              <w:spacing w:after="0"/>
              <w:rPr>
                <w:sz w:val="15"/>
                <w:szCs w:val="15"/>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5"/>
                <w:szCs w:val="15"/>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5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(unaudited)</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A convertible redeemable preferred shares (US$0.001 par value; 2,500,000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2,476,190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US$7,393 and US$6,737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5,487</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5,597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Series B convertible redeemable preferred shares (US$0.001 par value; 3,000,000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1,889,249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US$14,441 and US$14,625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9,145</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9,807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8"/>
              </w:rPr>
              <w:t>Series C convertible redeemable preferred shares (US$0.001 par value; 1,650,000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w w:val="96"/>
              </w:rPr>
              <w:t>authorized as of December 31, 2015 and 2016, respectively; 1,599,186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US$20,636 and US$22,288 as of December 31, 2015 and 2016, respectively)</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10,733</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10,733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Series D convertible redeemable preferred shares (US$0.001 par value; 4,500,000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6"/>
              </w:rPr>
              <w:t>authorized as of December 31, 2015 and 2016, respectively; 2,493,018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US$55,944 and US$58,874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43,956</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43,956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tcPr>
          <w:p>
            <w:pPr>
              <w:ind w:left="360"/>
              <w:spacing w:after="0" w:line="201" w:lineRule="exact"/>
              <w:rPr>
                <w:sz w:val="20"/>
                <w:szCs w:val="20"/>
                <w:color w:val="auto"/>
              </w:rPr>
            </w:pPr>
            <w:r>
              <w:rPr>
                <w:rFonts w:ascii="Arial" w:cs="Arial" w:eastAsia="Arial" w:hAnsi="Arial"/>
                <w:sz w:val="18"/>
                <w:szCs w:val="18"/>
                <w:color w:val="auto"/>
                <w:w w:val="99"/>
              </w:rPr>
              <w:t>Series E convertible redeemable preferred shares (US$0.001 par value; 1,200,000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Arial" w:cs="Arial" w:eastAsia="Arial" w:hAnsi="Arial"/>
                <w:sz w:val="18"/>
                <w:szCs w:val="18"/>
                <w:color w:val="auto"/>
              </w:rPr>
              <w:t>authorized as of December 31, 2016; 1,068,114 shares issued and outstanding as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480" w:type="dxa"/>
            <w:vAlign w:val="bottom"/>
          </w:tcPr>
          <w:p>
            <w:pPr>
              <w:ind w:left="540"/>
              <w:spacing w:after="0"/>
              <w:rPr>
                <w:sz w:val="20"/>
                <w:szCs w:val="20"/>
                <w:color w:val="auto"/>
              </w:rPr>
            </w:pPr>
            <w:r>
              <w:rPr>
                <w:rFonts w:ascii="Arial" w:cs="Arial" w:eastAsia="Arial" w:hAnsi="Arial"/>
                <w:sz w:val="18"/>
                <w:szCs w:val="18"/>
                <w:color w:val="auto"/>
              </w:rPr>
              <w:t>December 31, 2016; redemption amount of US$20,000 as of December 31, 2016)</w:t>
            </w:r>
          </w:p>
        </w:tc>
        <w:tc>
          <w:tcPr>
            <w:tcW w:w="1040" w:type="dxa"/>
            <w:vAlign w:val="bottom"/>
          </w:tcPr>
          <w:p>
            <w:pPr>
              <w:jc w:val="right"/>
              <w:ind w:right="433"/>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18,845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Redeemable ordinary shares (US$0.001 par value; 742,320 shares issued and outstanding as of</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104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13,889</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15,445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10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104,383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3"/>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8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3" w:lineRule="exact"/>
              <w:rPr>
                <w:sz w:val="20"/>
                <w:szCs w:val="20"/>
                <w:color w:val="auto"/>
              </w:rPr>
            </w:pPr>
            <w:r>
              <w:rPr>
                <w:rFonts w:ascii="Arial" w:cs="Arial" w:eastAsia="Arial" w:hAnsi="Arial"/>
                <w:sz w:val="14"/>
                <w:szCs w:val="14"/>
                <w:color w:val="auto"/>
                <w:w w:val="96"/>
              </w:rPr>
              <w:t>2016</w:t>
            </w:r>
          </w:p>
        </w:tc>
        <w:tc>
          <w:tcPr>
            <w:tcW w:w="120" w:type="dxa"/>
            <w:vAlign w:val="bottom"/>
          </w:tcPr>
          <w:p>
            <w:pPr>
              <w:spacing w:after="0"/>
              <w:rPr>
                <w:sz w:val="10"/>
                <w:szCs w:val="10"/>
                <w:color w:val="auto"/>
              </w:rPr>
            </w:pP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Pro-forma</w:t>
            </w: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(Note 26)</w:t>
            </w:r>
          </w:p>
        </w:tc>
      </w:tr>
      <w:tr>
        <w:trPr>
          <w:trHeight w:val="181"/>
        </w:trPr>
        <w:tc>
          <w:tcPr>
            <w:tcW w:w="804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4"/>
                <w:szCs w:val="14"/>
                <w:color w:val="auto"/>
              </w:rPr>
              <w:t>Note</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(unaudited)</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040" w:type="dxa"/>
            <w:vAlign w:val="bottom"/>
          </w:tcPr>
          <w:p>
            <w:pPr>
              <w:ind w:left="360"/>
              <w:spacing w:after="0" w:line="201" w:lineRule="exact"/>
              <w:rPr>
                <w:sz w:val="20"/>
                <w:szCs w:val="20"/>
                <w:color w:val="auto"/>
              </w:rPr>
            </w:pPr>
            <w:r>
              <w:rPr>
                <w:rFonts w:ascii="Arial" w:cs="Arial" w:eastAsia="Arial" w:hAnsi="Arial"/>
                <w:sz w:val="18"/>
                <w:szCs w:val="18"/>
                <w:color w:val="auto"/>
                <w:w w:val="91"/>
              </w:rPr>
              <w:t>Ordinary shares (US$0.001 par value; 38,350,000 and 37,150,000 shares authorized as of December 31,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40" w:type="dxa"/>
            <w:vAlign w:val="bottom"/>
          </w:tcPr>
          <w:p>
            <w:pPr>
              <w:ind w:left="540"/>
              <w:spacing w:after="0"/>
              <w:rPr>
                <w:sz w:val="20"/>
                <w:szCs w:val="20"/>
                <w:color w:val="auto"/>
              </w:rPr>
            </w:pPr>
            <w:r>
              <w:rPr>
                <w:rFonts w:ascii="Arial" w:cs="Arial" w:eastAsia="Arial" w:hAnsi="Arial"/>
                <w:sz w:val="18"/>
                <w:szCs w:val="18"/>
                <w:color w:val="auto"/>
                <w:w w:val="99"/>
              </w:rPr>
              <w:t>2015 and 2016, respectively; 13,104,300 and 13,609,208 shares issued and outstanding as of</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040" w:type="dxa"/>
            <w:vAlign w:val="bottom"/>
          </w:tcPr>
          <w:p>
            <w:pPr>
              <w:ind w:left="540"/>
              <w:spacing w:after="0"/>
              <w:rPr>
                <w:sz w:val="20"/>
                <w:szCs w:val="20"/>
                <w:color w:val="auto"/>
              </w:rPr>
            </w:pPr>
            <w:r>
              <w:rPr>
                <w:rFonts w:ascii="Arial" w:cs="Arial" w:eastAsia="Arial" w:hAnsi="Arial"/>
                <w:sz w:val="18"/>
                <w:szCs w:val="18"/>
                <w:color w:val="auto"/>
              </w:rPr>
              <w:t>December 31, 2015 and 2016, respectively)</w:t>
            </w: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Treasury shares (2,654,188 and 2,149,280 shares as of December 31, 2015 and 2016, respectively)</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w:t>
            </w: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53,917</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65,687</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230,944</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Statutory reserves</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(3,241)</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r>
      <w:tr>
        <w:trPr>
          <w:trHeight w:val="21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(97,055)</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(124,385)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(124,385)</w:t>
            </w: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(55,929)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100,955</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146,110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169,640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120" w:type="dxa"/>
            <w:vAlign w:val="bottom"/>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Arial" w:cs="Arial" w:eastAsia="Arial" w:hAnsi="Arial"/>
                <w:sz w:val="14"/>
                <w:szCs w:val="14"/>
                <w:color w:val="auto"/>
              </w:rPr>
              <w:t>Note</w:t>
            </w:r>
          </w:p>
        </w:tc>
        <w:tc>
          <w:tcPr>
            <w:tcW w:w="2420" w:type="dxa"/>
            <w:vAlign w:val="bottom"/>
            <w:gridSpan w:val="5"/>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(34,531)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(31,385)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(19,390)</w:t>
            </w:r>
          </w:p>
        </w:tc>
        <w:tc>
          <w:tcPr>
            <w:tcW w:w="1000" w:type="dxa"/>
            <w:vAlign w:val="bottom"/>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Basic</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 Diluted</w:t>
            </w:r>
          </w:p>
        </w:tc>
        <w:tc>
          <w:tcPr>
            <w:tcW w:w="146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0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3"/>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2"/>
              </w:rPr>
              <w:t>Statutory</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reserves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11,102,278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2"/>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2,535,091</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(600,169)</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51,641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7"/>
              </w:rPr>
              <w:t>(11,637)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127,997</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(127,997)</w:t>
            </w:r>
          </w:p>
        </w:tc>
        <w:tc>
          <w:tcPr>
            <w:tcW w:w="540" w:type="dxa"/>
            <w:vAlign w:val="bottom"/>
          </w:tcPr>
          <w:p>
            <w:pPr>
              <w:jc w:val="right"/>
              <w:spacing w:after="0"/>
              <w:rPr>
                <w:sz w:val="20"/>
                <w:szCs w:val="20"/>
                <w:color w:val="auto"/>
              </w:rPr>
            </w:pPr>
            <w:r>
              <w:rPr>
                <w:rFonts w:ascii="Arial" w:cs="Arial" w:eastAsia="Arial" w:hAnsi="Arial"/>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(2,692)</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color w:val="auto"/>
                <w:w w:val="98"/>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2,591</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(129)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Arial" w:cs="Arial" w:eastAsia="Arial" w:hAnsi="Arial"/>
                <w:sz w:val="14"/>
                <w:szCs w:val="14"/>
                <w:color w:val="auto"/>
              </w:rPr>
              <w:t>Ordinary shares</w:t>
            </w: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Additional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Accumulated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2"/>
              </w:rPr>
              <w:t>Statutory</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reserves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losses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13,104,300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(9,783)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(436,773)</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(6,329)</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Reissuance of treasury shares upon exercise of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13,609,208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(39,714)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1,138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(1,161)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(3,765)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8,100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(2,628)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(1,552)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(14,486)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(11,581)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(11,639)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41,131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Interests paid</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4(b))</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801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2,385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62"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the Group had net current liabilities of US$23,603, total shareholders’ deficit of US$64,312 and accumulated deficit of</w:t>
      </w:r>
    </w:p>
    <w:p>
      <w:pPr>
        <w:spacing w:after="0" w:line="34"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56"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or indirect</w:t>
            </w: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auto"/>
              </w:rPr>
              <w:t>Place of</w:t>
            </w: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120" w:type="dxa"/>
            <w:vAlign w:val="bottom"/>
          </w:tcPr>
          <w:p>
            <w:pPr>
              <w:ind w:left="3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4"/>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Relationship</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120" w:type="dxa"/>
            <w:vAlign w:val="bottom"/>
          </w:tcPr>
          <w:p>
            <w:pPr>
              <w:ind w:left="1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w w:val="92"/>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w w:val="94"/>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July 2007</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90"/>
              </w:rPr>
              <w:t>December 2008</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March 2009</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w w:val="87"/>
              </w:rPr>
              <w:t>September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94"/>
              </w:rPr>
              <w:t>Hong Kong</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93"/>
        </w:trPr>
        <w:tc>
          <w:tcPr>
            <w:tcW w:w="304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British</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(“BVI”)</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307"/>
        </w:trPr>
        <w:tc>
          <w:tcPr>
            <w:tcW w:w="3040" w:type="dxa"/>
            <w:vAlign w:val="bottom"/>
            <w:gridSpan w:val="3"/>
          </w:tcPr>
          <w:p>
            <w:pPr>
              <w:spacing w:after="0"/>
              <w:rPr>
                <w:sz w:val="20"/>
                <w:szCs w:val="20"/>
                <w:color w:val="auto"/>
              </w:rPr>
            </w:pPr>
            <w:r>
              <w:rPr>
                <w:rFonts w:ascii="Arial" w:cs="Arial" w:eastAsia="Arial" w:hAnsi="Arial"/>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Arial" w:cs="Arial" w:eastAsia="Arial" w:hAnsi="Arial"/>
                <w:sz w:val="17"/>
                <w:szCs w:val="17"/>
                <w:color w:val="auto"/>
              </w:rPr>
              <w:t>Subsidiary</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7"/>
                <w:szCs w:val="17"/>
                <w:color w:val="auto"/>
              </w:rPr>
              <w:t>January 2011</w:t>
            </w:r>
          </w:p>
        </w:tc>
        <w:tc>
          <w:tcPr>
            <w:tcW w:w="1260" w:type="dxa"/>
            <w:vAlign w:val="bottom"/>
            <w:gridSpan w:val="2"/>
          </w:tcPr>
          <w:p>
            <w:pPr>
              <w:ind w:left="440"/>
              <w:spacing w:after="0"/>
              <w:rPr>
                <w:sz w:val="20"/>
                <w:szCs w:val="20"/>
                <w:color w:val="auto"/>
              </w:rPr>
            </w:pPr>
            <w:r>
              <w:rPr>
                <w:rFonts w:ascii="Arial" w:cs="Arial" w:eastAsia="Arial" w:hAnsi="Arial"/>
                <w:sz w:val="17"/>
                <w:szCs w:val="17"/>
                <w:color w:val="auto"/>
              </w:rPr>
              <w:t>Singapore</w:t>
            </w:r>
          </w:p>
        </w:tc>
        <w:tc>
          <w:tcPr>
            <w:tcW w:w="3520" w:type="dxa"/>
            <w:vAlign w:val="bottom"/>
            <w:gridSpan w:val="2"/>
          </w:tcPr>
          <w:p>
            <w:pPr>
              <w:ind w:left="420"/>
              <w:spacing w:after="0"/>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400" w:type="dxa"/>
            <w:vAlign w:val="bottom"/>
            <w:gridSpan w:val="3"/>
            <w:shd w:val="clear" w:color="auto" w:fill="CCEEFF"/>
          </w:tcPr>
          <w:p>
            <w:pPr>
              <w:jc w:val="right"/>
              <w:ind w:right="440"/>
              <w:spacing w:after="0" w:line="185" w:lineRule="exact"/>
              <w:rPr>
                <w:sz w:val="20"/>
                <w:szCs w:val="20"/>
                <w:color w:val="auto"/>
              </w:rPr>
            </w:pPr>
            <w:r>
              <w:rPr>
                <w:rFonts w:ascii="Arial" w:cs="Arial" w:eastAsia="Arial" w:hAnsi="Arial"/>
                <w:sz w:val="17"/>
                <w:szCs w:val="17"/>
                <w:color w:val="auto"/>
              </w:rPr>
              <w:t>Subsidiary</w:t>
            </w:r>
          </w:p>
        </w:tc>
        <w:tc>
          <w:tcPr>
            <w:tcW w:w="640" w:type="dxa"/>
            <w:vAlign w:val="bottom"/>
            <w:shd w:val="clear" w:color="auto" w:fill="CCEEFF"/>
          </w:tcPr>
          <w:p>
            <w:pPr>
              <w:jc w:val="center"/>
              <w:spacing w:after="0" w:line="185" w:lineRule="exact"/>
              <w:rPr>
                <w:sz w:val="20"/>
                <w:szCs w:val="20"/>
                <w:color w:val="auto"/>
              </w:rPr>
            </w:pPr>
            <w:r>
              <w:rPr>
                <w:rFonts w:ascii="Arial" w:cs="Arial" w:eastAsia="Arial" w:hAnsi="Arial"/>
                <w:sz w:val="17"/>
                <w:szCs w:val="17"/>
                <w:color w:val="auto"/>
                <w:w w:val="91"/>
              </w:rPr>
              <w:t>100%</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260" w:type="dxa"/>
            <w:vAlign w:val="bottom"/>
            <w:gridSpan w:val="2"/>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3520" w:type="dxa"/>
            <w:vAlign w:val="bottom"/>
            <w:gridSpan w:val="2"/>
            <w:shd w:val="clear" w:color="auto" w:fill="CCEEFF"/>
          </w:tcPr>
          <w:p>
            <w:pPr>
              <w:ind w:left="420"/>
              <w:spacing w:after="0" w:line="185" w:lineRule="exact"/>
              <w:rPr>
                <w:sz w:val="20"/>
                <w:szCs w:val="20"/>
                <w:color w:val="auto"/>
              </w:rPr>
            </w:pPr>
            <w:r>
              <w:rPr>
                <w:rFonts w:ascii="Arial" w:cs="Arial" w:eastAsia="Arial" w:hAnsi="Arial"/>
                <w:sz w:val="17"/>
                <w:szCs w:val="17"/>
                <w:color w:val="auto"/>
                <w:w w:val="99"/>
              </w:rPr>
              <w:t>Internet marketing services and solutions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 of direct</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indirect</w:t>
            </w: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Place of</w:t>
            </w: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460" w:type="dxa"/>
            <w:vAlign w:val="bottom"/>
          </w:tcPr>
          <w:p>
            <w:pPr>
              <w:spacing w:after="0"/>
              <w:rPr>
                <w:sz w:val="12"/>
                <w:szCs w:val="12"/>
                <w:color w:val="auto"/>
              </w:rPr>
            </w:pPr>
          </w:p>
        </w:tc>
        <w:tc>
          <w:tcPr>
            <w:tcW w:w="880" w:type="dxa"/>
            <w:vAlign w:val="bottom"/>
          </w:tcPr>
          <w:p>
            <w:pPr>
              <w:ind w:left="22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incorporation/</w:t>
            </w:r>
          </w:p>
        </w:tc>
        <w:tc>
          <w:tcPr>
            <w:tcW w:w="3080" w:type="dxa"/>
            <w:vAlign w:val="bottom"/>
            <w:vMerge w:val="restart"/>
          </w:tcPr>
          <w:p>
            <w:pPr>
              <w:ind w:left="100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960" w:type="dxa"/>
            <w:vAlign w:val="bottom"/>
            <w:gridSpan w:val="3"/>
            <w:vMerge w:val="continue"/>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Relationship</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auto"/>
                <w:w w:val="98"/>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Search Asia Technology</w:t>
            </w: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i-Click Interactive Taiwan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Subsidiary’s</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Taiwan</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Limited Taiwan Branch</w:t>
            </w:r>
          </w:p>
        </w:tc>
        <w:tc>
          <w:tcPr>
            <w:tcW w:w="1440" w:type="dxa"/>
            <w:vAlign w:val="bottom"/>
            <w:gridSpan w:val="2"/>
          </w:tcPr>
          <w:p>
            <w:pPr>
              <w:spacing w:after="0"/>
              <w:rPr>
                <w:sz w:val="20"/>
                <w:szCs w:val="20"/>
                <w:color w:val="auto"/>
              </w:rPr>
            </w:pPr>
            <w:r>
              <w:rPr>
                <w:rFonts w:ascii="Arial" w:cs="Arial" w:eastAsia="Arial" w:hAnsi="Arial"/>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2013</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Buzzinate Company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Hong Kong</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Buzzinate (Shanghai) Information</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2009</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rPr>
              <w:t>Technology development service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Limited</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2014</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Cayman</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July 2014</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Hong Kong</w:t>
            </w:r>
          </w:p>
        </w:tc>
        <w:tc>
          <w:tcPr>
            <w:tcW w:w="308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60" w:type="dxa"/>
            <w:vAlign w:val="bottom"/>
            <w:gridSpan w:val="3"/>
          </w:tcPr>
          <w:p>
            <w:pPr>
              <w:spacing w:after="0"/>
              <w:rPr>
                <w:sz w:val="20"/>
                <w:szCs w:val="20"/>
                <w:color w:val="auto"/>
              </w:rPr>
            </w:pPr>
            <w:r>
              <w:rPr>
                <w:rFonts w:ascii="Arial" w:cs="Arial" w:eastAsia="Arial" w:hAnsi="Arial"/>
                <w:sz w:val="18"/>
                <w:szCs w:val="18"/>
                <w:color w:val="auto"/>
              </w:rPr>
              <w:t>Beijing OptAim Network</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7"/>
              </w:rPr>
              <w:t>September</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The PRC</w:t>
            </w:r>
          </w:p>
        </w:tc>
        <w:tc>
          <w:tcPr>
            <w:tcW w:w="3080" w:type="dxa"/>
            <w:vAlign w:val="bottom"/>
          </w:tcPr>
          <w:p>
            <w:pPr>
              <w:spacing w:after="0"/>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VIE’s</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September</w:t>
            </w:r>
          </w:p>
        </w:tc>
        <w:tc>
          <w:tcPr>
            <w:tcW w:w="188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The PRC</w:t>
            </w: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Internet marketing services and 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Arial" w:cs="Arial" w:eastAsia="Arial" w:hAnsi="Arial"/>
                <w:sz w:val="18"/>
                <w:szCs w:val="18"/>
                <w:color w:val="auto"/>
              </w:rPr>
              <w:t>Arda Holdings Limited</w:t>
            </w:r>
          </w:p>
        </w:tc>
        <w:tc>
          <w:tcPr>
            <w:tcW w:w="1440" w:type="dxa"/>
            <w:vAlign w:val="bottom"/>
            <w:gridSpan w:val="2"/>
          </w:tcPr>
          <w:p>
            <w:pPr>
              <w:spacing w:after="0"/>
              <w:rPr>
                <w:sz w:val="20"/>
                <w:szCs w:val="20"/>
                <w:color w:val="auto"/>
              </w:rPr>
            </w:pPr>
            <w:r>
              <w:rPr>
                <w:rFonts w:ascii="Arial" w:cs="Arial" w:eastAsia="Arial" w:hAnsi="Arial"/>
                <w:sz w:val="18"/>
                <w:szCs w:val="18"/>
                <w:color w:val="auto"/>
              </w:rPr>
              <w:t>VIE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May 2010</w:t>
            </w:r>
          </w:p>
        </w:tc>
        <w:tc>
          <w:tcPr>
            <w:tcW w:w="1880" w:type="dxa"/>
            <w:vAlign w:val="bottom"/>
            <w:gridSpan w:val="3"/>
          </w:tcPr>
          <w:p>
            <w:pPr>
              <w:ind w:left="440"/>
              <w:spacing w:after="0"/>
              <w:rPr>
                <w:sz w:val="20"/>
                <w:szCs w:val="20"/>
                <w:color w:val="auto"/>
              </w:rPr>
            </w:pPr>
            <w:r>
              <w:rPr>
                <w:rFonts w:ascii="Arial" w:cs="Arial" w:eastAsia="Arial" w:hAnsi="Arial"/>
                <w:sz w:val="18"/>
                <w:szCs w:val="18"/>
                <w:color w:val="auto"/>
              </w:rPr>
              <w:t>BVI</w:t>
            </w:r>
          </w:p>
        </w:tc>
        <w:tc>
          <w:tcPr>
            <w:tcW w:w="3080" w:type="dxa"/>
            <w:vAlign w:val="bottom"/>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460" w:right="1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5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9"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7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4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4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1"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40"/>
          </w:cols>
          <w:pgMar w:left="240" w:top="460" w:right="3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5420" w:space="720"/>
            <w:col w:w="5260"/>
          </w:cols>
          <w:pgMar w:left="240" w:top="459" w:right="259" w:bottom="1440" w:gutter="0" w:footer="0" w:header="0"/>
          <w:type w:val="continuous"/>
        </w:sectPr>
      </w:pPr>
    </w:p>
    <w:p>
      <w:pPr>
        <w:ind w:left="460" w:right="16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268"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14" w:lineRule="exact"/>
        <w:rPr>
          <w:sz w:val="20"/>
          <w:szCs w:val="20"/>
          <w:color w:val="auto"/>
        </w:rPr>
      </w:pPr>
    </w:p>
    <w:p>
      <w:pPr>
        <w:ind w:left="460"/>
        <w:spacing w:after="0"/>
        <w:tabs>
          <w:tab w:leader="none" w:pos="61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5"/>
          <w:szCs w:val="15"/>
          <w:color w:val="auto"/>
        </w:rPr>
        <w:t>2 – 5 years</w:t>
      </w:r>
    </w:p>
    <w:p>
      <w:pPr>
        <w:spacing w:after="0" w:line="370"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4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34"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90" w:lineRule="exact"/>
        <w:rPr>
          <w:rFonts w:ascii="Arial" w:cs="Arial" w:eastAsia="Arial" w:hAnsi="Arial"/>
          <w:sz w:val="18"/>
          <w:szCs w:val="18"/>
          <w:b w:val="1"/>
          <w:bCs w:val="1"/>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94" w:lineRule="exact"/>
        <w:rPr>
          <w:rFonts w:ascii="Arial" w:cs="Arial" w:eastAsia="Arial" w:hAnsi="Arial"/>
          <w:sz w:val="18"/>
          <w:szCs w:val="18"/>
          <w:b w:val="1"/>
          <w:bCs w:val="1"/>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11"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4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  Income taxes</w:t>
      </w:r>
    </w:p>
    <w:p>
      <w:pPr>
        <w:spacing w:after="0" w:line="12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20" w:firstLine="8"/>
        <w:spacing w:after="0" w:line="408" w:lineRule="auto"/>
        <w:tabs>
          <w:tab w:leader="none" w:pos="446"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Principal accounting policies (Continued) (ac) Share-based compensation</w:t>
      </w:r>
    </w:p>
    <w:p>
      <w:pPr>
        <w:spacing w:after="0" w:line="1"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  Statutory reserves</w:t>
      </w:r>
    </w:p>
    <w:p>
      <w:pPr>
        <w:spacing w:after="0" w:line="121"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6"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680" w:firstLine="8"/>
        <w:spacing w:after="0" w:line="443" w:lineRule="auto"/>
        <w:tabs>
          <w:tab w:leader="none" w:pos="44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(ad) Statutory reserves (Continued)</w:t>
      </w:r>
    </w:p>
    <w:p>
      <w:pPr>
        <w:ind w:left="460" w:right="36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6"/>
          <w:szCs w:val="16"/>
          <w:b w:val="1"/>
          <w:bCs w:val="1"/>
          <w:color w:val="auto"/>
        </w:rPr>
        <w:t>Related parties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5"/>
          <w:szCs w:val="15"/>
          <w:b w:val="1"/>
          <w:bCs w:val="1"/>
          <w:color w:val="auto"/>
        </w:rPr>
        <w:t>Dividends</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Loss per share</w:t>
      </w:r>
    </w:p>
    <w:p>
      <w:pPr>
        <w:spacing w:after="0" w:line="121"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460" w:right="16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(ah)  Comprehensive loss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60"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right="7780" w:firstLine="8"/>
        <w:spacing w:after="0" w:line="443" w:lineRule="auto"/>
        <w:tabs>
          <w:tab w:leader="none" w:pos="446"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Principal accounting policies (Continued) (ah) Comprehensive loss (Continued)</w:t>
      </w:r>
    </w:p>
    <w:p>
      <w:pPr>
        <w:ind w:left="460" w:right="2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5"/>
          <w:szCs w:val="15"/>
          <w:b w:val="1"/>
          <w:bCs w:val="1"/>
          <w:color w:val="auto"/>
        </w:rPr>
        <w:t>Segment reporting</w:t>
      </w:r>
    </w:p>
    <w:p>
      <w:pPr>
        <w:spacing w:after="0" w:line="12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w:t>
      </w:r>
    </w:p>
    <w:p>
      <w:pPr>
        <w:spacing w:after="0" w:line="121" w:lineRule="exact"/>
        <w:rPr>
          <w:sz w:val="20"/>
          <w:szCs w:val="20"/>
          <w:color w:val="auto"/>
        </w:rPr>
      </w:pPr>
    </w:p>
    <w:p>
      <w:pPr>
        <w:ind w:left="460" w:right="100"/>
        <w:spacing w:after="0" w:line="253"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64"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ind w:left="460" w:right="240" w:firstLine="4"/>
        <w:spacing w:after="0" w:line="323" w:lineRule="auto"/>
        <w:tabs>
          <w:tab w:leader="none" w:pos="72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31"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sz w:val="20"/>
          <w:szCs w:val="20"/>
          <w:color w:val="auto"/>
        </w:rPr>
      </w:pPr>
    </w:p>
    <w:p>
      <w:pPr>
        <w:ind w:left="460" w:right="300"/>
        <w:spacing w:after="0" w:line="279"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9"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16"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60" w:right="2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5"/>
          <w:szCs w:val="15"/>
          <w:b w:val="1"/>
          <w:bCs w:val="1"/>
          <w:color w:val="auto"/>
        </w:rPr>
        <w:t>Recently issued accounting pronouncements (Continued)</w:t>
      </w:r>
    </w:p>
    <w:p>
      <w:pPr>
        <w:spacing w:after="0" w:line="1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5"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70" w:lineRule="exact"/>
        <w:rPr>
          <w:sz w:val="20"/>
          <w:szCs w:val="20"/>
          <w:color w:val="auto"/>
        </w:rPr>
      </w:pPr>
    </w:p>
    <w:p>
      <w:pPr>
        <w:ind w:left="460" w:right="16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0"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6"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7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4,866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426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Arial" w:cs="Arial" w:eastAsia="Arial" w:hAnsi="Arial"/>
                <w:sz w:val="18"/>
                <w:szCs w:val="18"/>
                <w:color w:val="auto"/>
              </w:rPr>
              <w:t>66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Arial" w:cs="Arial" w:eastAsia="Arial" w:hAnsi="Arial"/>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Fair value measurements using</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3"/>
              </w:rPr>
              <w:t>identical</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160" w:type="dxa"/>
            <w:vAlign w:val="bottom"/>
            <w:gridSpan w:val="2"/>
          </w:tcPr>
          <w:p>
            <w:pPr>
              <w:jc w:val="center"/>
              <w:ind w:left="156"/>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4" w:lineRule="exact"/>
              <w:rPr>
                <w:sz w:val="20"/>
                <w:szCs w:val="20"/>
                <w:color w:val="auto"/>
              </w:rPr>
            </w:pPr>
            <w:r>
              <w:rPr>
                <w:rFonts w:ascii="Arial" w:cs="Arial" w:eastAsia="Arial" w:hAnsi="Arial"/>
                <w:sz w:val="14"/>
                <w:szCs w:val="14"/>
                <w:color w:val="auto"/>
                <w:w w:val="95"/>
              </w:rPr>
              <w:t>Total fair</w:t>
            </w:r>
          </w:p>
        </w:tc>
        <w:tc>
          <w:tcPr>
            <w:tcW w:w="1460" w:type="dxa"/>
            <w:vAlign w:val="bottom"/>
          </w:tcPr>
          <w:p>
            <w:pPr>
              <w:jc w:val="center"/>
              <w:spacing w:after="0" w:line="154" w:lineRule="exact"/>
              <w:rPr>
                <w:sz w:val="20"/>
                <w:szCs w:val="20"/>
                <w:color w:val="auto"/>
              </w:rPr>
            </w:pPr>
            <w:r>
              <w:rPr>
                <w:rFonts w:ascii="Arial" w:cs="Arial" w:eastAsia="Arial" w:hAnsi="Arial"/>
                <w:sz w:val="14"/>
                <w:szCs w:val="14"/>
                <w:color w:val="auto"/>
                <w:w w:val="78"/>
              </w:rPr>
              <w:t>assets</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w w:val="90"/>
              </w:rPr>
              <w:t>inputs</w:t>
            </w:r>
          </w:p>
        </w:tc>
        <w:tc>
          <w:tcPr>
            <w:tcW w:w="1160" w:type="dxa"/>
            <w:vAlign w:val="bottom"/>
            <w:gridSpan w:val="2"/>
          </w:tcPr>
          <w:p>
            <w:pPr>
              <w:jc w:val="center"/>
              <w:ind w:left="156"/>
              <w:spacing w:after="0" w:line="154"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color w:val="auto"/>
              </w:rPr>
              <w:t>value</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160" w:type="dxa"/>
            <w:vAlign w:val="bottom"/>
            <w:gridSpan w:val="2"/>
          </w:tcPr>
          <w:p>
            <w:pPr>
              <w:jc w:val="center"/>
              <w:ind w:left="156"/>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10,395</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10,395</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rPr>
              <w:t>1,552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63,724</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27,280</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27,280</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borrowings</w:t>
            </w:r>
          </w:p>
        </w:tc>
        <w:tc>
          <w:tcPr>
            <w:tcW w:w="880" w:type="dxa"/>
            <w:vAlign w:val="bottom"/>
          </w:tcPr>
          <w:p>
            <w:pPr>
              <w:jc w:val="right"/>
              <w:ind w:right="233"/>
              <w:spacing w:after="0"/>
              <w:rPr>
                <w:sz w:val="20"/>
                <w:szCs w:val="20"/>
                <w:color w:val="auto"/>
              </w:rPr>
            </w:pPr>
            <w:r>
              <w:rPr>
                <w:rFonts w:ascii="Arial" w:cs="Arial" w:eastAsia="Arial" w:hAnsi="Arial"/>
                <w:sz w:val="18"/>
                <w:szCs w:val="18"/>
                <w:color w:val="auto"/>
                <w:w w:val="98"/>
              </w:rPr>
              <w:t>12,982</w:t>
            </w:r>
          </w:p>
        </w:tc>
        <w:tc>
          <w:tcPr>
            <w:tcW w:w="14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6"/>
              <w:spacing w:after="0"/>
              <w:rPr>
                <w:sz w:val="20"/>
                <w:szCs w:val="20"/>
                <w:color w:val="auto"/>
              </w:rPr>
            </w:pPr>
            <w:r>
              <w:rPr>
                <w:rFonts w:ascii="Arial" w:cs="Arial" w:eastAsia="Arial" w:hAnsi="Arial"/>
                <w:sz w:val="18"/>
                <w:szCs w:val="18"/>
                <w:color w:val="auto"/>
              </w:rPr>
              <w:t>12,982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8"/>
              </w:rPr>
              <w:t>60,525</w:t>
            </w:r>
          </w:p>
        </w:tc>
        <w:tc>
          <w:tcPr>
            <w:tcW w:w="14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15" w:lineRule="exact"/>
        <w:rPr>
          <w:sz w:val="20"/>
          <w:szCs w:val="20"/>
          <w:color w:val="auto"/>
        </w:rPr>
      </w:pPr>
    </w:p>
    <w:p>
      <w:pPr>
        <w:ind w:left="900" w:hanging="446"/>
        <w:spacing w:after="0"/>
        <w:tabs>
          <w:tab w:leader="none" w:pos="9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6" w:lineRule="exact"/>
        <w:rPr>
          <w:sz w:val="20"/>
          <w:szCs w:val="20"/>
          <w:color w:val="auto"/>
        </w:rPr>
      </w:pPr>
    </w:p>
    <w:p>
      <w:pPr>
        <w:ind w:left="900" w:hanging="446"/>
        <w:spacing w:after="0"/>
        <w:tabs>
          <w:tab w:leader="none" w:pos="9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31"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movement of carrying value of the equity method investment in Buzzinate from January 1, 2015 to February 13, 2015 (the “period”) is as follows: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Arial" w:cs="Arial" w:eastAsia="Arial" w:hAnsi="Arial"/>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860" w:type="dxa"/>
            <w:vAlign w:val="bottom"/>
          </w:tcPr>
          <w:p>
            <w:pPr>
              <w:spacing w:after="0"/>
              <w:rPr>
                <w:sz w:val="20"/>
                <w:szCs w:val="20"/>
                <w:color w:val="auto"/>
              </w:rPr>
            </w:pPr>
            <w:r>
              <w:rPr>
                <w:rFonts w:ascii="Arial" w:cs="Arial" w:eastAsia="Arial" w:hAnsi="Arial"/>
                <w:sz w:val="18"/>
                <w:szCs w:val="18"/>
                <w:color w:val="auto"/>
              </w:rPr>
              <w:t>Recognised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Intangible asset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r>
      <w:tr>
        <w:trPr>
          <w:trHeight w:val="216"/>
        </w:trPr>
        <w:tc>
          <w:tcPr>
            <w:tcW w:w="9860" w:type="dxa"/>
            <w:vAlign w:val="bottom"/>
          </w:tcPr>
          <w:p>
            <w:pPr>
              <w:ind w:left="1080"/>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1,975</w:t>
            </w:r>
          </w:p>
        </w:tc>
      </w:tr>
      <w:tr>
        <w:trPr>
          <w:trHeight w:val="223"/>
        </w:trPr>
        <w:tc>
          <w:tcPr>
            <w:tcW w:w="9860" w:type="dxa"/>
            <w:vAlign w:val="bottom"/>
          </w:tcPr>
          <w:p>
            <w:pPr>
              <w:ind w:left="1080"/>
              <w:spacing w:after="0"/>
              <w:rPr>
                <w:sz w:val="20"/>
                <w:szCs w:val="20"/>
                <w:color w:val="auto"/>
              </w:rPr>
            </w:pPr>
            <w:r>
              <w:rPr>
                <w:rFonts w:ascii="Arial" w:cs="Arial" w:eastAsia="Arial" w:hAnsi="Arial"/>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34"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86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5"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Recognised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Intangible asset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Arial" w:cs="Arial" w:eastAsia="Arial" w:hAnsi="Arial"/>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Arial" w:cs="Arial" w:eastAsia="Arial" w:hAnsi="Arial"/>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2015, purchase consideration payable of US$15,976 was settled and there is no adjustment to the purchase consideration amounts.</w:t>
      </w:r>
    </w:p>
    <w:p>
      <w:pPr>
        <w:spacing w:after="0" w:line="140"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4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203" w:lineRule="exact"/>
        <w:rPr>
          <w:sz w:val="20"/>
          <w:szCs w:val="20"/>
          <w:color w:val="auto"/>
        </w:rPr>
      </w:pPr>
    </w:p>
    <w:p>
      <w:pPr>
        <w:ind w:left="9140"/>
        <w:spacing w:after="0"/>
        <w:rPr>
          <w:sz w:val="20"/>
          <w:szCs w:val="20"/>
          <w:color w:val="auto"/>
        </w:rPr>
      </w:pPr>
      <w:r>
        <w:rPr>
          <w:rFonts w:ascii="Arial" w:cs="Arial" w:eastAsia="Arial" w:hAnsi="Arial"/>
          <w:sz w:val="14"/>
          <w:szCs w:val="14"/>
          <w:color w:val="auto"/>
        </w:rPr>
        <w:t>Gross carrying</w:t>
      </w:r>
    </w:p>
    <w:p>
      <w:pPr>
        <w:ind w:left="6940"/>
        <w:spacing w:after="0"/>
        <w:tabs>
          <w:tab w:leader="none" w:pos="9320" w:val="left"/>
        </w:tabs>
        <w:rPr>
          <w:sz w:val="20"/>
          <w:szCs w:val="20"/>
          <w:color w:val="auto"/>
        </w:rPr>
      </w:pPr>
      <w:r>
        <w:rPr>
          <w:rFonts w:ascii="Arial" w:cs="Arial" w:eastAsia="Arial" w:hAnsi="Arial"/>
          <w:sz w:val="14"/>
          <w:szCs w:val="14"/>
          <w:color w:val="auto"/>
        </w:rPr>
        <w:t>Estimated useful life</w:t>
      </w:r>
      <w:r>
        <w:rPr>
          <w:sz w:val="20"/>
          <w:szCs w:val="20"/>
          <w:color w:val="auto"/>
        </w:rPr>
        <w:tab/>
      </w:r>
      <w:r>
        <w:rPr>
          <w:rFonts w:ascii="Arial" w:cs="Arial" w:eastAsia="Arial" w:hAnsi="Arial"/>
          <w:sz w:val="13"/>
          <w:szCs w:val="13"/>
          <w:color w:val="auto"/>
        </w:rPr>
        <w:t>amount</w:t>
      </w:r>
    </w:p>
    <w:p>
      <w:pPr>
        <w:ind w:left="9300"/>
        <w:spacing w:after="0" w:line="233" w:lineRule="auto"/>
        <w:rPr>
          <w:sz w:val="20"/>
          <w:szCs w:val="20"/>
          <w:color w:val="auto"/>
        </w:rPr>
      </w:pPr>
      <w:r>
        <w:rPr>
          <w:rFonts w:ascii="Arial" w:cs="Arial" w:eastAsia="Arial" w:hAnsi="Arial"/>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Arial" w:cs="Arial" w:eastAsia="Arial" w:hAnsi="Arial"/>
          <w:sz w:val="18"/>
          <w:szCs w:val="18"/>
          <w:color w:val="auto"/>
        </w:rPr>
        <w:t>A self-developed computer software and systems</w:t>
      </w:r>
      <w:r>
        <w:rPr>
          <w:sz w:val="20"/>
          <w:szCs w:val="20"/>
          <w:color w:val="auto"/>
        </w:rPr>
        <w:tab/>
      </w:r>
      <w:r>
        <w:rPr>
          <w:rFonts w:ascii="Arial" w:cs="Arial" w:eastAsia="Arial" w:hAnsi="Arial"/>
          <w:sz w:val="18"/>
          <w:szCs w:val="18"/>
          <w:color w:val="auto"/>
        </w:rPr>
        <w:t>5 years</w:t>
      </w:r>
      <w:r>
        <w:rPr>
          <w:sz w:val="20"/>
          <w:szCs w:val="20"/>
          <w:color w:val="auto"/>
        </w:rPr>
        <w:tab/>
      </w:r>
      <w:r>
        <w:rPr>
          <w:rFonts w:ascii="Arial" w:cs="Arial" w:eastAsia="Arial" w:hAnsi="Arial"/>
          <w:sz w:val="16"/>
          <w:szCs w:val="16"/>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r>
    </w:tbl>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96"/>
        </w:trPr>
        <w:tc>
          <w:tcPr>
            <w:tcW w:w="6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1060" w:type="dxa"/>
            <w:vAlign w:val="bottom"/>
          </w:tcPr>
          <w:p>
            <w:pPr>
              <w:jc w:val="right"/>
              <w:ind w:right="12"/>
              <w:spacing w:after="0"/>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43,725</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6,762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10,044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1,294</w:t>
            </w:r>
          </w:p>
        </w:tc>
        <w:tc>
          <w:tcPr>
            <w:tcW w:w="1060" w:type="dxa"/>
            <w:vAlign w:val="bottom"/>
          </w:tcPr>
          <w:p>
            <w:pPr>
              <w:jc w:val="right"/>
              <w:spacing w:after="0"/>
              <w:rPr>
                <w:sz w:val="20"/>
                <w:szCs w:val="20"/>
                <w:color w:val="auto"/>
              </w:rPr>
            </w:pPr>
            <w:r>
              <w:rPr>
                <w:rFonts w:ascii="Arial" w:cs="Arial" w:eastAsia="Arial" w:hAnsi="Arial"/>
                <w:sz w:val="18"/>
                <w:szCs w:val="18"/>
                <w:color w:val="auto"/>
              </w:rPr>
              <w:t>15,666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515</w:t>
            </w: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620" w:type="dxa"/>
            <w:vAlign w:val="bottom"/>
          </w:tcPr>
          <w:p>
            <w:pPr>
              <w:jc w:val="right"/>
              <w:spacing w:after="0"/>
              <w:rPr>
                <w:sz w:val="20"/>
                <w:szCs w:val="20"/>
                <w:color w:val="auto"/>
              </w:rPr>
            </w:pPr>
            <w:r>
              <w:rPr>
                <w:rFonts w:ascii="Arial" w:cs="Arial" w:eastAsia="Arial" w:hAnsi="Arial"/>
                <w:sz w:val="18"/>
                <w:szCs w:val="18"/>
                <w:color w:val="auto"/>
              </w:rPr>
              <w:t>2,854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10"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3810</wp:posOffset>
            </wp:positionV>
            <wp:extent cx="10547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Arial" w:cs="Arial" w:eastAsia="Arial" w:hAnsi="Arial"/>
          <w:sz w:val="18"/>
          <w:szCs w:val="18"/>
          <w:color w:val="auto"/>
        </w:rPr>
        <w:t>Investment in treasury instruments</w:t>
      </w:r>
      <w:r>
        <w:rPr>
          <w:sz w:val="20"/>
          <w:szCs w:val="20"/>
          <w:color w:val="auto"/>
        </w:rPr>
        <w:tab/>
      </w:r>
      <w:r>
        <w:rPr>
          <w:rFonts w:ascii="Arial" w:cs="Arial" w:eastAsia="Arial" w:hAnsi="Arial"/>
          <w:sz w:val="18"/>
          <w:szCs w:val="18"/>
          <w:color w:val="auto"/>
        </w:rPr>
        <w:t>1,552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 net” on the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45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(1,733)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Arial" w:cs="Arial" w:eastAsia="Arial" w:hAnsi="Arial"/>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60" w:type="dxa"/>
            <w:vAlign w:val="bottom"/>
            <w:gridSpan w:val="3"/>
          </w:tcPr>
          <w:p>
            <w:pPr>
              <w:ind w:left="180"/>
              <w:spacing w:after="0"/>
              <w:rPr>
                <w:sz w:val="20"/>
                <w:szCs w:val="20"/>
                <w:color w:val="auto"/>
              </w:rPr>
            </w:pPr>
            <w:r>
              <w:rPr>
                <w:rFonts w:ascii="Arial" w:cs="Arial" w:eastAsia="Arial" w:hAnsi="Arial"/>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Office equipment</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Arial" w:cs="Arial" w:eastAsia="Arial" w:hAnsi="Arial"/>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Arial" w:cs="Arial" w:eastAsia="Arial" w:hAnsi="Arial"/>
                <w:sz w:val="18"/>
                <w:szCs w:val="18"/>
                <w:color w:val="auto"/>
              </w:rPr>
              <w:t>(3,011)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Arial" w:cs="Arial" w:eastAsia="Arial" w:hAnsi="Arial"/>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4619"/>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49"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44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200" w:type="dxa"/>
            <w:vAlign w:val="bottom"/>
            <w:gridSpan w:val="4"/>
          </w:tcPr>
          <w:p>
            <w:pPr>
              <w:jc w:val="right"/>
              <w:spacing w:after="0"/>
              <w:rPr>
                <w:sz w:val="20"/>
                <w:szCs w:val="20"/>
                <w:color w:val="auto"/>
              </w:rPr>
            </w:pPr>
            <w:r>
              <w:rPr>
                <w:rFonts w:ascii="Arial" w:cs="Arial" w:eastAsia="Arial" w:hAnsi="Arial"/>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Arial" w:cs="Arial" w:eastAsia="Arial" w:hAnsi="Arial"/>
                <w:sz w:val="18"/>
                <w:szCs w:val="18"/>
                <w:color w:val="auto"/>
              </w:rPr>
              <w:t>(2,461)</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Arial" w:cs="Arial" w:eastAsia="Arial" w:hAnsi="Arial"/>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Arial" w:cs="Arial" w:eastAsia="Arial" w:hAnsi="Arial"/>
                <w:sz w:val="18"/>
                <w:szCs w:val="18"/>
                <w:color w:val="auto"/>
                <w:w w:val="97"/>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Arial" w:cs="Arial" w:eastAsia="Arial" w:hAnsi="Arial"/>
                <w:sz w:val="14"/>
                <w:szCs w:val="14"/>
                <w:color w:val="auto"/>
                <w:w w:val="91"/>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Arial" w:cs="Arial" w:eastAsia="Arial" w:hAnsi="Arial"/>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60" w:right="1440"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11</w:t>
            </w:r>
          </w:p>
        </w:tc>
        <w:tc>
          <w:tcPr>
            <w:tcW w:w="9040" w:type="dxa"/>
            <w:vAlign w:val="bottom"/>
            <w:gridSpan w:val="2"/>
          </w:tcPr>
          <w:p>
            <w:pPr>
              <w:jc w:val="right"/>
              <w:ind w:right="6230"/>
              <w:spacing w:after="0"/>
              <w:rPr>
                <w:sz w:val="20"/>
                <w:szCs w:val="20"/>
                <w:color w:val="auto"/>
              </w:rPr>
            </w:pPr>
            <w:r>
              <w:rPr>
                <w:rFonts w:ascii="Arial" w:cs="Arial" w:eastAsia="Arial" w:hAnsi="Arial"/>
                <w:sz w:val="18"/>
                <w:szCs w:val="18"/>
                <w:b w:val="1"/>
                <w:bCs w:val="1"/>
                <w:color w:val="auto"/>
                <w:w w:val="93"/>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Arial" w:cs="Arial" w:eastAsia="Arial" w:hAnsi="Arial"/>
                <w:sz w:val="18"/>
                <w:szCs w:val="18"/>
                <w:color w:val="auto"/>
                <w:w w:val="91"/>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r>
      <w:tr>
        <w:trPr>
          <w:trHeight w:val="167"/>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Arial" w:cs="Arial" w:eastAsia="Arial" w:hAnsi="Arial"/>
                <w:sz w:val="18"/>
                <w:szCs w:val="18"/>
                <w:color w:val="auto"/>
                <w:w w:val="84"/>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84"/>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Arial" w:cs="Arial" w:eastAsia="Arial" w:hAnsi="Arial"/>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13</w:t>
            </w:r>
          </w:p>
        </w:tc>
        <w:tc>
          <w:tcPr>
            <w:tcW w:w="79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25,697</w:t>
            </w:r>
          </w:p>
        </w:tc>
        <w:tc>
          <w:tcPr>
            <w:tcW w:w="8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4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Arial" w:cs="Arial" w:eastAsia="Arial" w:hAnsi="Arial"/>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Arial" w:cs="Arial" w:eastAsia="Arial" w:hAnsi="Arial"/>
                <w:sz w:val="18"/>
                <w:szCs w:val="18"/>
                <w:color w:val="auto"/>
              </w:rPr>
              <w:t>2,950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900" w:right="40" w:hanging="446"/>
        <w:spacing w:after="0" w:line="297"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8" w:lineRule="exact"/>
        <w:rPr>
          <w:rFonts w:ascii="Arial" w:cs="Arial" w:eastAsia="Arial" w:hAnsi="Arial"/>
          <w:sz w:val="18"/>
          <w:szCs w:val="18"/>
          <w:color w:val="auto"/>
        </w:rPr>
      </w:pPr>
    </w:p>
    <w:p>
      <w:pPr>
        <w:ind w:left="900" w:right="320" w:hanging="446"/>
        <w:spacing w:after="0" w:line="25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93"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31 December 2016. The interest rate of this loan facility was the benchmark interest rate determined by the People’s Bank of China for loans over six months granted by financial institutions plus 20.0% per annum. Restricted cash amounting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79" w:lineRule="auto"/>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76" w:lineRule="exact"/>
        <w:rPr>
          <w:rFonts w:ascii="Arial" w:cs="Arial" w:eastAsia="Arial" w:hAnsi="Arial"/>
          <w:sz w:val="17"/>
          <w:szCs w:val="17"/>
          <w:color w:val="auto"/>
        </w:rPr>
      </w:pPr>
    </w:p>
    <w:p>
      <w:pPr>
        <w:ind w:left="900" w:right="160" w:hanging="446"/>
        <w:spacing w:after="0" w:line="30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59" w:lineRule="exact"/>
        <w:rPr>
          <w:rFonts w:ascii="Arial" w:cs="Arial" w:eastAsia="Arial" w:hAnsi="Arial"/>
          <w:sz w:val="16"/>
          <w:szCs w:val="16"/>
          <w:color w:val="auto"/>
        </w:rPr>
      </w:pPr>
    </w:p>
    <w:p>
      <w:pPr>
        <w:jc w:val="both"/>
        <w:ind w:left="900" w:right="360" w:hanging="446"/>
        <w:spacing w:after="0" w:line="31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weighted average interest rate for bank loans outstanding as of December 31, 2015 and 2016 was 6.03% and 5.99% per annum, respectively.</w:t>
      </w:r>
    </w:p>
    <w:p>
      <w:pPr>
        <w:spacing w:after="0" w:line="393" w:lineRule="exact"/>
        <w:rPr>
          <w:sz w:val="20"/>
          <w:szCs w:val="20"/>
          <w:color w:val="auto"/>
        </w:rPr>
      </w:pPr>
    </w:p>
    <w:p>
      <w:pPr>
        <w:ind w:left="460" w:right="7800" w:hanging="452"/>
        <w:spacing w:after="0" w:line="378" w:lineRule="auto"/>
        <w:tabs>
          <w:tab w:leader="none" w:pos="449"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spacing w:after="0" w:line="1"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preferred shares at US$5.53 per share (“Series B Warrants”) at the option of Investors B. During the year ended December 31, 2013, the Series B Warrants were fully exercised.</w:t>
      </w:r>
    </w:p>
    <w:p>
      <w:pPr>
        <w:spacing w:after="0" w:line="62"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jc w:val="both"/>
        <w:ind w:left="460" w:righ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 (Continued)</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 B, C, D and E preferred shares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spacing w:after="0" w:line="1" w:lineRule="exact"/>
        <w:rPr>
          <w:rFonts w:ascii="Arial" w:cs="Arial" w:eastAsia="Arial" w:hAnsi="Arial"/>
          <w:sz w:val="18"/>
          <w:szCs w:val="18"/>
          <w:b w:val="1"/>
          <w:bCs w:val="1"/>
          <w:color w:val="auto"/>
        </w:rPr>
      </w:pPr>
    </w:p>
    <w:p>
      <w:pPr>
        <w:ind w:left="46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2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jc w:val="both"/>
        <w:ind w:left="460" w:right="4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spacing w:after="0" w:line="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0"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holders of Series C preferred shares can redeem the preferred shares at any time after the earlier of: (i) the 2</w:t>
      </w:r>
      <w:r>
        <w:rPr>
          <w:rFonts w:ascii="Arial" w:cs="Arial" w:eastAsia="Arial" w:hAnsi="Arial"/>
          <w:sz w:val="14"/>
          <w:szCs w:val="14"/>
          <w:color w:val="auto"/>
        </w:rPr>
        <w:t>nd</w:t>
      </w:r>
      <w:r>
        <w:rPr>
          <w:rFonts w:ascii="Arial" w:cs="Arial" w:eastAsia="Arial" w:hAnsi="Arial"/>
          <w:sz w:val="17"/>
          <w:szCs w:val="17"/>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3" w:lineRule="exact"/>
        <w:rPr>
          <w:rFonts w:ascii="Arial" w:cs="Arial" w:eastAsia="Arial" w:hAnsi="Arial"/>
          <w:sz w:val="18"/>
          <w:szCs w:val="18"/>
          <w:b w:val="1"/>
          <w:bCs w:val="1"/>
          <w:color w:val="auto"/>
        </w:rPr>
      </w:pPr>
    </w:p>
    <w:p>
      <w:pPr>
        <w:ind w:left="460" w:right="2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40" w:hanging="452"/>
        <w:spacing w:after="0" w:line="385" w:lineRule="auto"/>
        <w:tabs>
          <w:tab w:leader="none" w:pos="449"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2"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63"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6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20" w:hanging="452"/>
        <w:spacing w:after="0" w:line="385" w:lineRule="auto"/>
        <w:tabs>
          <w:tab w:leader="none" w:pos="449"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and 2016, the fair values of these conversion features and redemption features which required to be bifurcated and accounted for as derivative liabilities are as follows: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(63,724)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257" w:lineRule="auto"/>
        <w:rPr>
          <w:sz w:val="20"/>
          <w:szCs w:val="20"/>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Arial" w:cs="Arial" w:eastAsia="Arial" w:hAnsi="Arial"/>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Arial" w:cs="Arial" w:eastAsia="Arial" w:hAnsi="Arial"/>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Arial" w:cs="Arial" w:eastAsia="Arial" w:hAnsi="Arial"/>
                <w:sz w:val="18"/>
                <w:szCs w:val="18"/>
                <w:color w:val="auto"/>
              </w:rPr>
              <w:t>16.2%</w:t>
            </w: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 - 22.7%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Arial" w:cs="Arial" w:eastAsia="Arial" w:hAnsi="Arial"/>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16</w:t>
            </w:r>
          </w:p>
        </w:tc>
        <w:tc>
          <w:tcPr>
            <w:tcW w:w="76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40" w:type="dxa"/>
            <w:vAlign w:val="bottom"/>
          </w:tcPr>
          <w:p>
            <w:pPr>
              <w:jc w:val="right"/>
              <w:spacing w:after="0"/>
              <w:rPr>
                <w:sz w:val="20"/>
                <w:szCs w:val="20"/>
                <w:color w:val="auto"/>
              </w:rPr>
            </w:pPr>
            <w:r>
              <w:rPr>
                <w:rFonts w:ascii="Arial" w:cs="Arial" w:eastAsia="Arial" w:hAnsi="Arial"/>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Arial" w:cs="Arial" w:eastAsia="Arial" w:hAnsi="Arial"/>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7"/>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E</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3810</wp:posOffset>
            </wp:positionV>
            <wp:extent cx="13550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Arial" w:cs="Arial" w:eastAsia="Arial" w:hAnsi="Arial"/>
          <w:sz w:val="18"/>
          <w:szCs w:val="18"/>
          <w:color w:val="auto"/>
        </w:rPr>
        <w:t>Issuance of preferred shares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60"/>
          </w:cols>
          <w:pgMar w:left="240" w:top="460" w:right="3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 (Continued)</w:t>
      </w:r>
    </w:p>
    <w:p>
      <w:pPr>
        <w:spacing w:after="0" w:line="134" w:lineRule="exact"/>
        <w:rPr>
          <w:rFonts w:ascii="Arial" w:cs="Arial" w:eastAsia="Arial" w:hAnsi="Arial"/>
          <w:sz w:val="18"/>
          <w:szCs w:val="18"/>
          <w:b w:val="1"/>
          <w:bCs w:val="1"/>
          <w:color w:val="auto"/>
        </w:rPr>
      </w:pPr>
    </w:p>
    <w:p>
      <w:pPr>
        <w:ind w:left="4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85" w:lineRule="exact"/>
        <w:rPr>
          <w:rFonts w:ascii="Arial" w:cs="Arial" w:eastAsia="Arial" w:hAnsi="Arial"/>
          <w:sz w:val="18"/>
          <w:szCs w:val="18"/>
          <w:b w:val="1"/>
          <w:bCs w:val="1"/>
          <w:color w:val="auto"/>
        </w:rPr>
      </w:pPr>
    </w:p>
    <w:p>
      <w:pPr>
        <w:ind w:left="46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60"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color w:val="auto"/>
              </w:rPr>
              <w:t>Purchase</w:t>
            </w:r>
          </w:p>
        </w:tc>
        <w:tc>
          <w:tcPr>
            <w:tcW w:w="6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Purchase date</w:t>
            </w:r>
          </w:p>
        </w:tc>
        <w:tc>
          <w:tcPr>
            <w:tcW w:w="4780" w:type="dxa"/>
            <w:vAlign w:val="bottom"/>
            <w:gridSpan w:val="2"/>
          </w:tcPr>
          <w:p>
            <w:pPr>
              <w:jc w:val="right"/>
              <w:spacing w:after="0"/>
              <w:rPr>
                <w:sz w:val="20"/>
                <w:szCs w:val="20"/>
                <w:color w:val="auto"/>
              </w:rPr>
            </w:pPr>
            <w:r>
              <w:rPr>
                <w:rFonts w:ascii="Arial" w:cs="Arial" w:eastAsia="Arial" w:hAnsi="Arial"/>
                <w:sz w:val="14"/>
                <w:szCs w:val="14"/>
                <w:color w:val="auto"/>
              </w:rPr>
              <w:t>consideration</w:t>
            </w:r>
          </w:p>
        </w:tc>
        <w:tc>
          <w:tcPr>
            <w:tcW w:w="640" w:type="dxa"/>
            <w:vAlign w:val="bottom"/>
          </w:tcPr>
          <w:p>
            <w:pPr>
              <w:spacing w:after="0"/>
              <w:rPr>
                <w:sz w:val="15"/>
                <w:szCs w:val="15"/>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purchased</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Arial" w:cs="Arial" w:eastAsia="Arial" w:hAnsi="Arial"/>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0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color w:val="auto"/>
              </w:rPr>
              <w:t>Vesting</w:t>
            </w: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4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6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20" w:hanging="574"/>
        <w:spacing w:after="0" w:line="258" w:lineRule="auto"/>
        <w:tabs>
          <w:tab w:leader="none" w:pos="9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61" w:lineRule="auto"/>
        <w:tabs>
          <w:tab w:leader="none" w:pos="9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40"/>
          </w:cols>
          <w:pgMar w:left="240" w:top="459" w:right="3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00" w:hanging="574"/>
        <w:spacing w:after="0" w:line="271" w:lineRule="auto"/>
        <w:tabs>
          <w:tab w:leader="none" w:pos="9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100" w:hanging="574"/>
        <w:spacing w:after="0" w:line="250" w:lineRule="auto"/>
        <w:tabs>
          <w:tab w:leader="none" w:pos="9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right="40" w:hanging="574"/>
        <w:spacing w:after="0" w:line="250" w:lineRule="auto"/>
        <w:tabs>
          <w:tab w:leader="none" w:pos="9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100" w:hanging="574"/>
        <w:spacing w:after="0" w:line="265" w:lineRule="auto"/>
        <w:tabs>
          <w:tab w:leader="none" w:pos="9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right="40" w:hanging="574"/>
        <w:spacing w:after="0" w:line="265" w:lineRule="auto"/>
        <w:tabs>
          <w:tab w:leader="none" w:pos="9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60" w:hanging="574"/>
        <w:spacing w:after="0" w:line="265" w:lineRule="auto"/>
        <w:tabs>
          <w:tab w:leader="none" w:pos="9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ind w:left="920" w:right="180" w:hanging="574"/>
        <w:spacing w:after="0" w:line="265" w:lineRule="auto"/>
        <w:tabs>
          <w:tab w:leader="none" w:pos="92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1"/>
              </w:rPr>
              <w:t>Weighted</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87"/>
              </w:rPr>
              <w:t>grant</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date fair</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value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price ($)</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967,653</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(123,265)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(68,135)</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928,597</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10.77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7.44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5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62"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80"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60"/>
          </w:cols>
          <w:pgMar w:left="240" w:top="459" w:right="2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96"/>
              </w:rPr>
              <w:t>Risk-free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5"/>
              </w:rPr>
              <w:t>Dividend</w:t>
            </w:r>
          </w:p>
        </w:tc>
        <w:tc>
          <w:tcPr>
            <w:tcW w:w="1120" w:type="dxa"/>
            <w:vAlign w:val="bottom"/>
          </w:tcPr>
          <w:p>
            <w:pPr>
              <w:ind w:left="220"/>
              <w:spacing w:after="0" w:line="149" w:lineRule="exact"/>
              <w:rPr>
                <w:sz w:val="20"/>
                <w:szCs w:val="20"/>
                <w:color w:val="auto"/>
              </w:rPr>
            </w:pPr>
            <w:r>
              <w:rPr>
                <w:rFonts w:ascii="Arial" w:cs="Arial" w:eastAsia="Arial" w:hAnsi="Arial"/>
                <w:sz w:val="14"/>
                <w:szCs w:val="14"/>
                <w:color w:val="auto"/>
              </w:rPr>
              <w:t>Volatility</w:t>
            </w: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Arial" w:cs="Arial" w:eastAsia="Arial" w:hAnsi="Arial"/>
                <w:sz w:val="14"/>
                <w:szCs w:val="14"/>
                <w:color w:val="auto"/>
                <w:w w:val="89"/>
              </w:rPr>
              <w:t>interest rate</w:t>
            </w:r>
          </w:p>
        </w:tc>
        <w:tc>
          <w:tcPr>
            <w:tcW w:w="11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7"/>
              </w:rPr>
              <w:t>yield</w:t>
            </w: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rate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360" w:type="dxa"/>
            <w:vAlign w:val="bottom"/>
          </w:tcPr>
          <w:p>
            <w:pPr>
              <w:spacing w:after="0"/>
              <w:rPr>
                <w:sz w:val="20"/>
                <w:szCs w:val="20"/>
                <w:color w:val="auto"/>
              </w:rPr>
            </w:pPr>
            <w:r>
              <w:rPr>
                <w:rFonts w:ascii="Arial" w:cs="Arial" w:eastAsia="Arial" w:hAnsi="Arial"/>
                <w:sz w:val="14"/>
                <w:szCs w:val="14"/>
                <w:color w:val="auto"/>
              </w:rPr>
              <w:t>Grant Date</w:t>
            </w:r>
          </w:p>
        </w:tc>
        <w:tc>
          <w:tcPr>
            <w:tcW w:w="4000" w:type="dxa"/>
            <w:vAlign w:val="bottom"/>
          </w:tcPr>
          <w:p>
            <w:pPr>
              <w:jc w:val="center"/>
              <w:ind w:left="2494"/>
              <w:spacing w:after="0"/>
              <w:rPr>
                <w:sz w:val="20"/>
                <w:szCs w:val="20"/>
                <w:color w:val="auto"/>
              </w:rPr>
            </w:pPr>
            <w:r>
              <w:rPr>
                <w:rFonts w:ascii="Arial" w:cs="Arial" w:eastAsia="Arial" w:hAnsi="Arial"/>
                <w:sz w:val="14"/>
                <w:szCs w:val="14"/>
                <w:color w:val="auto"/>
              </w:rPr>
              <w:t>(Note i)</w:t>
            </w:r>
          </w:p>
        </w:tc>
        <w:tc>
          <w:tcPr>
            <w:tcW w:w="1120" w:type="dxa"/>
            <w:vAlign w:val="bottom"/>
          </w:tcPr>
          <w:p>
            <w:pPr>
              <w:jc w:val="center"/>
              <w:ind w:right="74"/>
              <w:spacing w:after="0"/>
              <w:rPr>
                <w:sz w:val="20"/>
                <w:szCs w:val="20"/>
                <w:color w:val="auto"/>
              </w:rPr>
            </w:pPr>
            <w:r>
              <w:rPr>
                <w:rFonts w:ascii="Arial" w:cs="Arial" w:eastAsia="Arial" w:hAnsi="Arial"/>
                <w:sz w:val="14"/>
                <w:szCs w:val="14"/>
                <w:color w:val="auto"/>
                <w:w w:val="97"/>
              </w:rPr>
              <w:t>(Note ii)</w:t>
            </w:r>
          </w:p>
        </w:tc>
        <w:tc>
          <w:tcPr>
            <w:tcW w:w="1120" w:type="dxa"/>
            <w:vAlign w:val="bottom"/>
          </w:tcPr>
          <w:p>
            <w:pPr>
              <w:ind w:left="220"/>
              <w:spacing w:after="0"/>
              <w:rPr>
                <w:sz w:val="20"/>
                <w:szCs w:val="20"/>
                <w:color w:val="auto"/>
              </w:rPr>
            </w:pPr>
            <w:r>
              <w:rPr>
                <w:rFonts w:ascii="Arial" w:cs="Arial" w:eastAsia="Arial" w:hAnsi="Arial"/>
                <w:sz w:val="14"/>
                <w:szCs w:val="14"/>
                <w:color w:val="auto"/>
              </w:rPr>
              <w:t>(Note iii)</w:t>
            </w:r>
          </w:p>
        </w:tc>
        <w:tc>
          <w:tcPr>
            <w:tcW w:w="82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47.34%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January 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2.37%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53.47%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June 30,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2.57%</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52.87%</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July 6,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2.58%</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52.64%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31, 2015</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2.52%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55.54%</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49.37%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July 1, 2016</w:t>
            </w:r>
          </w:p>
        </w:tc>
        <w:tc>
          <w:tcPr>
            <w:tcW w:w="4000" w:type="dxa"/>
            <w:vAlign w:val="bottom"/>
          </w:tcPr>
          <w:p>
            <w:pPr>
              <w:jc w:val="right"/>
              <w:ind w:right="134"/>
              <w:spacing w:after="0"/>
              <w:rPr>
                <w:sz w:val="20"/>
                <w:szCs w:val="20"/>
                <w:color w:val="auto"/>
              </w:rPr>
            </w:pPr>
            <w:r>
              <w:rPr>
                <w:rFonts w:ascii="Arial" w:cs="Arial" w:eastAsia="Arial" w:hAnsi="Arial"/>
                <w:sz w:val="18"/>
                <w:szCs w:val="18"/>
                <w:color w:val="auto"/>
              </w:rPr>
              <w:t>1.62%</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0%</w:t>
            </w:r>
          </w:p>
        </w:tc>
        <w:tc>
          <w:tcPr>
            <w:tcW w:w="1120" w:type="dxa"/>
            <w:vAlign w:val="bottom"/>
          </w:tcPr>
          <w:p>
            <w:pPr>
              <w:ind w:left="340"/>
              <w:spacing w:after="0"/>
              <w:rPr>
                <w:sz w:val="20"/>
                <w:szCs w:val="20"/>
                <w:color w:val="auto"/>
              </w:rPr>
            </w:pPr>
            <w:r>
              <w:rPr>
                <w:rFonts w:ascii="Arial" w:cs="Arial" w:eastAsia="Arial" w:hAnsi="Arial"/>
                <w:sz w:val="18"/>
                <w:szCs w:val="18"/>
                <w:color w:val="auto"/>
              </w:rPr>
              <w:t>50.52%</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Repurchase of shares from a shareholder</w:t>
      </w:r>
    </w:p>
    <w:p>
      <w:pPr>
        <w:spacing w:after="0" w:line="117" w:lineRule="exact"/>
        <w:rPr>
          <w:rFonts w:ascii="Arial" w:cs="Arial" w:eastAsia="Arial" w:hAnsi="Arial"/>
          <w:sz w:val="18"/>
          <w:szCs w:val="18"/>
          <w:color w:val="auto"/>
        </w:rPr>
      </w:pPr>
    </w:p>
    <w:p>
      <w:pPr>
        <w:ind w:left="460" w:right="40"/>
        <w:spacing w:after="0" w:line="342" w:lineRule="auto"/>
        <w:rPr>
          <w:rFonts w:ascii="Arial" w:cs="Arial" w:eastAsia="Arial" w:hAnsi="Arial"/>
          <w:sz w:val="18"/>
          <w:szCs w:val="18"/>
          <w:color w:val="auto"/>
        </w:rPr>
      </w:pPr>
      <w:r>
        <w:rPr>
          <w:rFonts w:ascii="Arial" w:cs="Arial" w:eastAsia="Arial" w:hAnsi="Arial"/>
          <w:sz w:val="16"/>
          <w:szCs w:val="16"/>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140"/>
        <w:spacing w:after="0" w:line="273"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right="160"/>
        <w:spacing w:after="0" w:line="277" w:lineRule="auto"/>
        <w:rPr>
          <w:rFonts w:ascii="Arial" w:cs="Arial" w:eastAsia="Arial" w:hAnsi="Arial"/>
          <w:sz w:val="18"/>
          <w:szCs w:val="18"/>
          <w:color w:val="auto"/>
        </w:rPr>
      </w:pPr>
      <w:r>
        <w:rPr>
          <w:rFonts w:ascii="Arial" w:cs="Arial" w:eastAsia="Arial" w:hAnsi="Arial"/>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Arial" w:cs="Arial" w:eastAsia="Arial" w:hAnsi="Arial"/>
                <w:sz w:val="18"/>
                <w:szCs w:val="18"/>
                <w:color w:val="auto"/>
              </w:rPr>
              <w:t>(923)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Arial" w:cs="Arial" w:eastAsia="Arial" w:hAnsi="Arial"/>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6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and 2016.</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3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8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Arial" w:cs="Arial" w:eastAsia="Arial" w:hAnsi="Arial"/>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 (Continued)</w:t>
      </w:r>
    </w:p>
    <w:p>
      <w:pPr>
        <w:spacing w:after="0" w:line="135" w:lineRule="exact"/>
        <w:rPr>
          <w:sz w:val="20"/>
          <w:szCs w:val="20"/>
          <w:color w:val="auto"/>
        </w:rPr>
      </w:pPr>
    </w:p>
    <w:p>
      <w:pPr>
        <w:ind w:left="460" w:right="7420" w:hanging="452"/>
        <w:spacing w:after="0" w:line="406" w:lineRule="auto"/>
        <w:tabs>
          <w:tab w:leader="none" w:pos="44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PRC Enterprise Income Tax (“EIT”) (Continued) </w:t>
      </w:r>
      <w:r>
        <w:rPr>
          <w:rFonts w:ascii="Arial" w:cs="Arial" w:eastAsia="Arial" w:hAnsi="Arial"/>
          <w:sz w:val="17"/>
          <w:szCs w:val="17"/>
          <w:i w:val="1"/>
          <w:iCs w:val="1"/>
          <w:color w:val="auto"/>
        </w:rPr>
        <w:t>Deferred tax assets and liabilities</w:t>
      </w:r>
    </w:p>
    <w:p>
      <w:pPr>
        <w:ind w:left="460" w:right="560"/>
        <w:spacing w:after="0" w:line="308" w:lineRule="auto"/>
        <w:rPr>
          <w:rFonts w:ascii="Arial" w:cs="Arial" w:eastAsia="Arial" w:hAnsi="Arial"/>
          <w:sz w:val="17"/>
          <w:szCs w:val="17"/>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5,804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(5,804)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(1,039)</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(3,677)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Others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(3,705)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(4,766)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-213995</wp:posOffset>
            </wp:positionV>
            <wp:extent cx="3003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-213995</wp:posOffset>
            </wp:positionV>
            <wp:extent cx="3003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22" w:lineRule="exact"/>
        <w:rPr>
          <w:sz w:val="20"/>
          <w:szCs w:val="20"/>
          <w:color w:val="auto"/>
        </w:rPr>
      </w:pPr>
    </w:p>
    <w:p>
      <w:pPr>
        <w:ind w:left="900" w:right="160" w:hanging="446"/>
        <w:spacing w:after="0" w:line="273" w:lineRule="auto"/>
        <w:tabs>
          <w:tab w:leader="none" w:pos="90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Arial" w:cs="Arial" w:eastAsia="Arial" w:hAnsi="Arial"/>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Income tax (Continued)</w:t>
      </w:r>
    </w:p>
    <w:p>
      <w:pPr>
        <w:spacing w:after="0" w:line="135" w:lineRule="exact"/>
        <w:rPr>
          <w:sz w:val="20"/>
          <w:szCs w:val="20"/>
          <w:color w:val="auto"/>
        </w:rPr>
      </w:pPr>
    </w:p>
    <w:p>
      <w:pPr>
        <w:ind w:left="460" w:right="7420" w:hanging="452"/>
        <w:spacing w:after="0" w:line="383" w:lineRule="auto"/>
        <w:tabs>
          <w:tab w:leader="none" w:pos="4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PRC Enterprise Income Tax (“EIT”) (Continued) </w:t>
      </w:r>
      <w:r>
        <w:rPr>
          <w:rFonts w:ascii="Arial" w:cs="Arial" w:eastAsia="Arial" w:hAnsi="Arial"/>
          <w:sz w:val="18"/>
          <w:szCs w:val="18"/>
          <w:i w:val="1"/>
          <w:iCs w:val="1"/>
          <w:color w:val="auto"/>
        </w:rPr>
        <w:t>Tax loss carryforwards</w:t>
      </w:r>
    </w:p>
    <w:p>
      <w:pPr>
        <w:spacing w:after="0" w:line="1" w:lineRule="exact"/>
        <w:rPr>
          <w:rFonts w:ascii="Arial" w:cs="Arial" w:eastAsia="Arial" w:hAnsi="Arial"/>
          <w:sz w:val="18"/>
          <w:szCs w:val="18"/>
          <w:color w:val="auto"/>
        </w:rPr>
      </w:pPr>
    </w:p>
    <w:p>
      <w:pPr>
        <w:ind w:left="460" w:right="3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2015</w:t>
            </w:r>
          </w:p>
        </w:tc>
        <w:tc>
          <w:tcPr>
            <w:tcW w:w="1040" w:type="dxa"/>
            <w:vAlign w:val="bottom"/>
            <w:gridSpan w:val="2"/>
          </w:tcPr>
          <w:p>
            <w:pPr>
              <w:jc w:val="right"/>
              <w:ind w:right="9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2017</w:t>
            </w:r>
          </w:p>
        </w:tc>
        <w:tc>
          <w:tcPr>
            <w:tcW w:w="640" w:type="dxa"/>
            <w:vAlign w:val="bottom"/>
          </w:tcPr>
          <w:p>
            <w:pPr>
              <w:jc w:val="right"/>
              <w:spacing w:after="0"/>
              <w:rPr>
                <w:sz w:val="20"/>
                <w:szCs w:val="20"/>
                <w:color w:val="auto"/>
              </w:rPr>
            </w:pPr>
            <w:r>
              <w:rPr>
                <w:rFonts w:ascii="Arial" w:cs="Arial" w:eastAsia="Arial" w:hAnsi="Arial"/>
                <w:sz w:val="18"/>
                <w:szCs w:val="18"/>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2019</w:t>
            </w:r>
          </w:p>
        </w:tc>
        <w:tc>
          <w:tcPr>
            <w:tcW w:w="640" w:type="dxa"/>
            <w:vAlign w:val="bottom"/>
          </w:tcPr>
          <w:p>
            <w:pPr>
              <w:jc w:val="right"/>
              <w:spacing w:after="0"/>
              <w:rPr>
                <w:sz w:val="20"/>
                <w:szCs w:val="20"/>
                <w:color w:val="auto"/>
              </w:rPr>
            </w:pPr>
            <w:r>
              <w:rPr>
                <w:rFonts w:ascii="Arial" w:cs="Arial" w:eastAsia="Arial" w:hAnsi="Arial"/>
                <w:sz w:val="18"/>
                <w:szCs w:val="18"/>
                <w:color w:val="auto"/>
              </w:rPr>
              <w:t>2,423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63"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Arial" w:cs="Arial" w:eastAsia="Arial" w:hAnsi="Arial"/>
                <w:sz w:val="18"/>
                <w:szCs w:val="18"/>
                <w:color w:val="auto"/>
              </w:rPr>
              <w:t>4,684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Others</w:t>
            </w: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(53)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900" w:right="100" w:hanging="446"/>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Revision to previously issued financial statements</w:t>
      </w:r>
    </w:p>
    <w:p>
      <w:pPr>
        <w:spacing w:after="0" w:line="117" w:lineRule="exact"/>
        <w:rPr>
          <w:rFonts w:ascii="Arial" w:cs="Arial" w:eastAsia="Arial" w:hAnsi="Arial"/>
          <w:sz w:val="18"/>
          <w:szCs w:val="18"/>
          <w:color w:val="auto"/>
        </w:rPr>
      </w:pPr>
    </w:p>
    <w:p>
      <w:pPr>
        <w:ind w:left="460" w:right="80"/>
        <w:spacing w:after="0" w:line="297" w:lineRule="auto"/>
        <w:rPr>
          <w:rFonts w:ascii="Arial" w:cs="Arial" w:eastAsia="Arial" w:hAnsi="Arial"/>
          <w:sz w:val="18"/>
          <w:szCs w:val="18"/>
          <w:color w:val="auto"/>
        </w:rPr>
      </w:pPr>
      <w:r>
        <w:rPr>
          <w:rFonts w:ascii="Arial" w:cs="Arial" w:eastAsia="Arial" w:hAnsi="Arial"/>
          <w:sz w:val="16"/>
          <w:szCs w:val="16"/>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color w:val="auto"/>
                <w:w w:val="91"/>
              </w:rPr>
              <w:t>For the year ended December 31, 2015</w:t>
            </w:r>
          </w:p>
        </w:tc>
      </w:tr>
      <w:tr>
        <w:trPr>
          <w:trHeight w:val="123"/>
        </w:trPr>
        <w:tc>
          <w:tcPr>
            <w:tcW w:w="8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7"/>
              </w:rPr>
              <w:t>As</w:t>
            </w: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85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5"/>
              </w:rPr>
              <w:t>Previously</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As</w:t>
            </w:r>
          </w:p>
        </w:tc>
      </w:tr>
      <w:tr>
        <w:trPr>
          <w:trHeight w:val="167"/>
        </w:trPr>
        <w:tc>
          <w:tcPr>
            <w:tcW w:w="8540" w:type="dxa"/>
            <w:vAlign w:val="bottom"/>
          </w:tcPr>
          <w:p>
            <w:pPr>
              <w:spacing w:after="0"/>
              <w:rPr>
                <w:sz w:val="20"/>
                <w:szCs w:val="20"/>
                <w:color w:val="auto"/>
              </w:rPr>
            </w:pPr>
            <w:r>
              <w:rPr>
                <w:rFonts w:ascii="Arial" w:cs="Arial" w:eastAsia="Arial" w:hAnsi="Arial"/>
                <w:sz w:val="14"/>
                <w:szCs w:val="14"/>
                <w:color w:val="auto"/>
              </w:rPr>
              <w:t>Consolidated Statements of Comprehensive Loss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Revision</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Revised</w:t>
            </w: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US$’000</w:t>
            </w:r>
          </w:p>
        </w:tc>
        <w:tc>
          <w:tcPr>
            <w:tcW w:w="100" w:type="dxa"/>
            <w:vAlign w:val="bottom"/>
          </w:tcPr>
          <w:p>
            <w:pPr>
              <w:spacing w:after="0"/>
              <w:rPr>
                <w:sz w:val="12"/>
                <w:szCs w:val="12"/>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(41,797)</w:t>
            </w:r>
          </w:p>
        </w:tc>
      </w:tr>
      <w:tr>
        <w:trPr>
          <w:trHeight w:val="324"/>
        </w:trPr>
        <w:tc>
          <w:tcPr>
            <w:tcW w:w="854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 Diluted</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bl>
    <w:p>
      <w:pPr>
        <w:spacing w:after="0" w:line="336"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Basic and diluted net loss per share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Arial" w:cs="Arial" w:eastAsia="Arial" w:hAnsi="Arial"/>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Basic and diluted net loss per share (Continued)</w:t>
      </w:r>
    </w:p>
    <w:p>
      <w:pPr>
        <w:spacing w:after="0" w:line="13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8"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color w:val="auto"/>
        </w:rPr>
      </w:pPr>
    </w:p>
    <w:p>
      <w:pPr>
        <w:ind w:left="460" w:right="120"/>
        <w:spacing w:after="0" w:line="277" w:lineRule="auto"/>
        <w:rPr>
          <w:rFonts w:ascii="Arial" w:cs="Arial" w:eastAsia="Arial" w:hAnsi="Arial"/>
          <w:sz w:val="18"/>
          <w:szCs w:val="18"/>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Arial" w:cs="Arial" w:eastAsia="Arial" w:hAnsi="Arial"/>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Amount due to a director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80"/>
          </w:cols>
          <w:pgMar w:left="240" w:top="460" w:right="2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Hong Kong</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US$2,636,718 and US$3,024,404 for the years ended December 31, 2015 and 2016,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future minimum payments under non-cancellable operating leases for office rental consist of the following:</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4"/>
              </w:rPr>
              <w:t>2017</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Arial" w:cs="Arial" w:eastAsia="Arial" w:hAnsi="Arial"/>
                <w:sz w:val="18"/>
                <w:szCs w:val="18"/>
                <w:color w:val="auto"/>
                <w:w w:val="8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Arial" w:cs="Arial" w:eastAsia="Arial" w:hAnsi="Arial"/>
                <w:sz w:val="18"/>
                <w:szCs w:val="18"/>
                <w:color w:val="auto"/>
              </w:rPr>
              <w:t>F-64</w:t>
            </w:r>
          </w:p>
        </w:tc>
      </w:tr>
    </w:tbl>
    <w:p>
      <w:pPr>
        <w:sectPr>
          <w:pgSz w:w="11900" w:h="16838" w:orient="portrait"/>
          <w:cols w:equalWidth="0" w:num="1">
            <w:col w:w="11360"/>
          </w:cols>
          <w:pgMar w:left="240" w:top="460" w:right="2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2015 and 2016,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Upon the completion of a qualified initial public offering, the Series A, B, C, D and E preferred shares shall automatically be converted into ordinary shares. The unaudited pro-forma balance sheet as of December 31, 2016 assumes a qualified initial public offering has occurred and presents an adjusted financial position as if the conversion of all outstanding Series A, B, C, D and E preferred shares into ordinary shares at the conversion ratio as described in Note 16 to the consolidated financial statements occurred on December 31, 2016.</w:t>
      </w:r>
    </w:p>
    <w:p>
      <w:pPr>
        <w:spacing w:after="0" w:line="78" w:lineRule="exact"/>
        <w:rPr>
          <w:rFonts w:ascii="Arial" w:cs="Arial" w:eastAsia="Arial" w:hAnsi="Arial"/>
          <w:sz w:val="18"/>
          <w:szCs w:val="18"/>
          <w:b w:val="1"/>
          <w:bCs w:val="1"/>
          <w:color w:val="auto"/>
        </w:rPr>
      </w:pPr>
    </w:p>
    <w:p>
      <w:pPr>
        <w:jc w:val="both"/>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pro-forma basic and diluted net loss per share reflecting the effect to conversion of all outstanding Series A, B, C, D and E preferred shares into ordinary shares into ordinary shares as if the conversion had occurred at the beginning of the year, or the date of issuance, whichever is later: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color w:val="auto"/>
              </w:rPr>
              <w:t>For the 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4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Net loss attributable to iClick Interactive Asia Group Limited</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Accretion to convertible redeemable shares redemption value</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Accretion to redeemable ordinary shares redemption value</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gain in derivatives liabilities</w:t>
            </w:r>
          </w:p>
        </w:tc>
        <w:tc>
          <w:tcPr>
            <w:tcW w:w="6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Numerator for pro-forma basic and diluted net loss per share</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(31,325)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Weighted average number of ordinary shares outstanding</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A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6"/>
              </w:rPr>
              <w:t>Pro-forma effect of the conversion of Series B preferred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C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w w:val="96"/>
              </w:rPr>
              <w:t>Pro-forma effect of the conversion of Series D preferred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Pro-forma effect of the conversion of Series E preferred shares</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Pro-forma effect of redeemable ordinary shares</w:t>
            </w:r>
          </w:p>
        </w:tc>
        <w:tc>
          <w:tcPr>
            <w:tcW w:w="6200" w:type="dxa"/>
            <w:vAlign w:val="bottom"/>
            <w:gridSpan w:val="3"/>
          </w:tcPr>
          <w:p>
            <w:pPr>
              <w:jc w:val="right"/>
              <w:ind w:right="16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Denominator for pro-forma basic and diluted net loss per share</w:t>
            </w:r>
          </w:p>
        </w:tc>
        <w:tc>
          <w:tcPr>
            <w:tcW w:w="6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23,419,140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Arial" w:cs="Arial" w:eastAsia="Arial" w:hAnsi="Arial"/>
                <w:sz w:val="18"/>
                <w:szCs w:val="18"/>
                <w:b w:val="1"/>
                <w:bCs w:val="1"/>
                <w:color w:val="auto"/>
              </w:rPr>
              <w:t>Pro-forma net loss per share:</w:t>
            </w:r>
          </w:p>
        </w:tc>
        <w:tc>
          <w:tcPr>
            <w:tcW w:w="4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6200" w:type="dxa"/>
            <w:vAlign w:val="bottom"/>
            <w:gridSpan w:val="3"/>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200" w:type="dxa"/>
            <w:vAlign w:val="bottom"/>
            <w:gridSpan w:val="3"/>
          </w:tcPr>
          <w:p>
            <w:pPr>
              <w:jc w:val="right"/>
              <w:ind w:right="5540"/>
              <w:spacing w:after="0"/>
              <w:rPr>
                <w:sz w:val="20"/>
                <w:szCs w:val="20"/>
                <w:color w:val="auto"/>
              </w:rPr>
            </w:pPr>
            <w:r>
              <w:rPr>
                <w:rFonts w:ascii="Arial" w:cs="Arial" w:eastAsia="Arial" w:hAnsi="Arial"/>
                <w:sz w:val="18"/>
                <w:szCs w:val="18"/>
                <w:color w:val="auto"/>
              </w:rPr>
              <w:t>F-65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 (Continued)</w:t>
      </w:r>
    </w:p>
    <w:p>
      <w:pPr>
        <w:spacing w:after="0" w:line="134"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potentially dilutive securities that were not included in the calculation of above pro-forma dilutive net loss per share in the period presented where their inclusion would be anti-dilutive include options to purchase ordinary shares of 1,091,088, for the year ended December 31, 2016 on a weighted average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May 18, 2017, the date on which these financial statements were issued.</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20"/>
          </w:cols>
          <w:pgMar w:left="240" w:top="460" w:right="3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7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459" w:right="2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39,284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55,011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94,364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Arial" w:cs="Arial" w:eastAsia="Arial" w:hAnsi="Arial"/>
                <w:sz w:val="18"/>
                <w:szCs w:val="18"/>
                <w:color w:val="auto"/>
              </w:rPr>
              <w:t>F-68</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5,487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9"/>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10,733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00" w:type="dxa"/>
            <w:vAlign w:val="bottom"/>
            <w:gridSpan w:val="2"/>
          </w:tcPr>
          <w:p>
            <w:pPr>
              <w:ind w:left="5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(46,159)</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Arial" w:cs="Arial" w:eastAsia="Arial" w:hAnsi="Arial"/>
                <w:sz w:val="18"/>
                <w:szCs w:val="18"/>
                <w:color w:val="auto"/>
              </w:rPr>
              <w:t>F-69</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(19,390)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(1,982)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(129)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Arial" w:cs="Arial" w:eastAsia="Arial" w:hAnsi="Arial"/>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Arial" w:cs="Arial" w:eastAsia="Arial" w:hAnsi="Arial"/>
                <w:sz w:val="18"/>
                <w:szCs w:val="18"/>
                <w:color w:val="auto"/>
              </w:rPr>
              <w:t>F-70</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December 31,</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June 30,</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(Note 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28,223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5,234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1"/>
              </w:rPr>
              <w:t>Accounts receivable, net of allowance for doubtful receivables of US$1,693 and US$678 as of December 31,</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2016 and June 30, 2017, respectively</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30,694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28,197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Prepaid media costs</w:t>
            </w:r>
          </w:p>
        </w:tc>
        <w:tc>
          <w:tcPr>
            <w:tcW w:w="6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34,409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20,939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receivable</w:t>
            </w:r>
          </w:p>
        </w:tc>
        <w:tc>
          <w:tcPr>
            <w:tcW w:w="6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102,969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85,321</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6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2,318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1,739</w:t>
            </w:r>
          </w:p>
        </w:tc>
        <w:tc>
          <w:tcPr>
            <w:tcW w:w="700" w:type="dxa"/>
            <w:vAlign w:val="bottom"/>
          </w:tcPr>
          <w:p>
            <w:pPr>
              <w:jc w:val="right"/>
              <w:spacing w:after="0"/>
              <w:rPr>
                <w:sz w:val="20"/>
                <w:szCs w:val="20"/>
                <w:color w:val="auto"/>
              </w:rPr>
            </w:pPr>
            <w:r>
              <w:rPr>
                <w:rFonts w:ascii="Arial" w:cs="Arial" w:eastAsia="Arial" w:hAnsi="Arial"/>
                <w:sz w:val="18"/>
                <w:szCs w:val="18"/>
                <w:color w:val="auto"/>
              </w:rPr>
              <w:t>1,739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Goodwill</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48,496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48,496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66,671</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64,074</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169,640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149,395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8"/>
              </w:rPr>
              <w:t>December 31,</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June 30,</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(Note 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Accounts payable (including accounts payable of the consolidated variable interest entity (“VIE”) and its</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subsidiary without recourse to the Company of US$28 and US$28 as of December 31, 2016 and June 30,</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 respectively)</w:t>
            </w:r>
          </w:p>
        </w:tc>
        <w:tc>
          <w:tcPr>
            <w:tcW w:w="6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2"/>
              </w:rPr>
              <w:t>Deferred revenue (including deferred revenue of the consolidated VIE and its subsidiary without recourse to</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7"/>
              </w:rPr>
              <w:t>the Company of US$11,878 and US$9,230 as December 31, 2016 and June 30, 2017, respectively)</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25,697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23,323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23,323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Accrued liabilities and other current liabilities (including accrued liabilities and other current liabilities of the</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consolidated VIE and its subsidiary without recourse to the Company of US$404 and US$483 as of</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2016 and June 30, 2017, respectively)</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60,525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75,342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Income tax payable</w:t>
            </w:r>
          </w:p>
        </w:tc>
        <w:tc>
          <w:tcPr>
            <w:tcW w:w="6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2,021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2,768</w:t>
            </w:r>
          </w:p>
        </w:tc>
        <w:tc>
          <w:tcPr>
            <w:tcW w:w="700" w:type="dxa"/>
            <w:vAlign w:val="bottom"/>
          </w:tcPr>
          <w:p>
            <w:pPr>
              <w:jc w:val="right"/>
              <w:spacing w:after="0"/>
              <w:rPr>
                <w:sz w:val="20"/>
                <w:szCs w:val="20"/>
                <w:color w:val="auto"/>
              </w:rPr>
            </w:pPr>
            <w:r>
              <w:rPr>
                <w:rFonts w:ascii="Arial" w:cs="Arial" w:eastAsia="Arial" w:hAnsi="Arial"/>
                <w:sz w:val="18"/>
                <w:szCs w:val="18"/>
                <w:color w:val="auto"/>
              </w:rPr>
              <w:t>2,768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125,505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125,825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50,483</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6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359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129,770</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6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June 30,</w:t>
            </w:r>
          </w:p>
        </w:tc>
      </w:tr>
      <w:tr>
        <w:trPr>
          <w:trHeight w:val="149"/>
        </w:trPr>
        <w:tc>
          <w:tcPr>
            <w:tcW w:w="7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2"/>
                <w:szCs w:val="12"/>
                <w:color w:val="auto"/>
              </w:rPr>
            </w:pPr>
          </w:p>
        </w:tc>
      </w:tr>
      <w:tr>
        <w:trPr>
          <w:trHeight w:val="149"/>
        </w:trPr>
        <w:tc>
          <w:tcPr>
            <w:tcW w:w="7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Pro-forma</w:t>
            </w:r>
          </w:p>
        </w:tc>
      </w:tr>
      <w:tr>
        <w:trPr>
          <w:trHeight w:val="149"/>
        </w:trPr>
        <w:tc>
          <w:tcPr>
            <w:tcW w:w="7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June 30,</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(Note 23)</w:t>
            </w:r>
          </w:p>
        </w:tc>
      </w:tr>
      <w:tr>
        <w:trPr>
          <w:trHeight w:val="167"/>
        </w:trPr>
        <w:tc>
          <w:tcPr>
            <w:tcW w:w="796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color w:val="auto"/>
              </w:rPr>
              <w:t>Note</w:t>
            </w:r>
          </w:p>
        </w:tc>
        <w:tc>
          <w:tcPr>
            <w:tcW w:w="800" w:type="dxa"/>
            <w:vAlign w:val="bottom"/>
          </w:tcPr>
          <w:p>
            <w:pPr>
              <w:jc w:val="right"/>
              <w:ind w:right="174"/>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(Unaudited)</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Series A convertible redeemable preferred shares (US$0.001 par value; 2,500,000 shares authorized as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0"/>
              </w:rPr>
              <w:t>December 31, 2016 and June 30, 2017; 2,476,190 shares issued and outstanding as of December 31, 2016</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0"/>
              </w:rPr>
              <w:t>and June 30, 2017; redemption amount of US$6,737 and US$7,290 as of December 31, 2016 and June 30,</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2017, respectively)</w:t>
            </w:r>
          </w:p>
        </w:tc>
        <w:tc>
          <w:tcPr>
            <w:tcW w:w="700" w:type="dxa"/>
            <w:vAlign w:val="bottom"/>
          </w:tcPr>
          <w:p>
            <w:pPr>
              <w:jc w:val="right"/>
              <w:ind w:right="193"/>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5,597</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5,654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B convertible redeemable preferred shares (US$0.001 par value; 3,000,000 shares authorized as of</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December 31, 2016 and June 30, 2017; 1,889,249 shares issued and outstanding as of December 31, 2016</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June 30, 2017; redemption amount of US$14,625 and US$14,962 as of December 31, 2016 and</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 respectively)</w:t>
            </w: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9,807</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Series C convertible redeemable preferred shares (US$0.001 par value; 1,650,000 shares authorized as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0"/>
              </w:rPr>
              <w:t>December 31, 2016 and June 30, 2017; 1,599,186 shares issued and outstanding as of December 31, 2016</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6"/>
              </w:rPr>
              <w:t>and June 30, 2017; redemption amount of US$22,288 and US$23,163 as of December 31, 2016 and</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June 30, 2017, respectively)</w:t>
            </w:r>
          </w:p>
        </w:tc>
        <w:tc>
          <w:tcPr>
            <w:tcW w:w="700" w:type="dxa"/>
            <w:vAlign w:val="bottom"/>
          </w:tcPr>
          <w:p>
            <w:pPr>
              <w:jc w:val="right"/>
              <w:ind w:right="193"/>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10,733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 convertible redeemable preferred shares (US$0.001 par value; 4,500,000 shares authorized as of</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December 31, 2016 and June 30, 2017; 2,493,018 shares issued and outstanding as of December 31, 2016</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and June 30, 2017; redemption amount of US$58,874 and US$63,466 as of December 31, 2016 and</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2017, respectively)</w:t>
            </w: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43,956</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Series E convertible redeemable preferred shares (US$0.001 par value; 1,200,000 shares authorized as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0"/>
              </w:rPr>
              <w:t>December 31, 2016 and June 30, 2017; 1,068,114 shares issued and outstanding as of December 31, 2016</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w w:val="96"/>
              </w:rPr>
              <w:t>and June 30, 2017; redemption amount of US$20,000 and US$27,547 as of December 31, 2016 and</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June 30, 2017, respectively)</w:t>
            </w:r>
          </w:p>
        </w:tc>
        <w:tc>
          <w:tcPr>
            <w:tcW w:w="700" w:type="dxa"/>
            <w:vAlign w:val="bottom"/>
          </w:tcPr>
          <w:p>
            <w:pPr>
              <w:jc w:val="right"/>
              <w:ind w:right="193"/>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18,845</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18,845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ordinary shares (US$0.001 par value; 742,320 shares issued and outstanding as of</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and June 30, 2017)</w:t>
            </w: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15,445</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105,626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June 30,</w:t>
            </w: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Pro-forma</w:t>
            </w: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December 31,</w:t>
            </w: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June 30,</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(Note 23)</w:t>
            </w:r>
          </w:p>
        </w:tc>
      </w:tr>
      <w:tr>
        <w:trPr>
          <w:trHeight w:val="167"/>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color w:val="auto"/>
              </w:rPr>
              <w:t>Note</w:t>
            </w:r>
          </w:p>
        </w:tc>
        <w:tc>
          <w:tcPr>
            <w:tcW w:w="860" w:type="dxa"/>
            <w:vAlign w:val="bottom"/>
          </w:tcPr>
          <w:p>
            <w:pPr>
              <w:jc w:val="right"/>
              <w:ind w:right="214"/>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(Unaudited)</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1"/>
              </w:rPr>
              <w:t>Ordinary shares (US$0.001 par value; 37,150,000 shares as of December 31 2016 and June 30, 2017;</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w w:val="93"/>
              </w:rPr>
              <w:t>13,609,208 and 13,629,344 shares issued and outstanding as of December 31, 2016 and June 30,</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780" w:type="dxa"/>
            <w:vAlign w:val="bottom"/>
          </w:tcPr>
          <w:p>
            <w:pPr>
              <w:jc w:val="right"/>
              <w:ind w:right="176"/>
              <w:spacing w:after="0"/>
              <w:rPr>
                <w:sz w:val="20"/>
                <w:szCs w:val="20"/>
                <w:color w:val="auto"/>
              </w:rPr>
            </w:pPr>
            <w:r>
              <w:rPr>
                <w:rFonts w:ascii="Arial" w:cs="Arial" w:eastAsia="Arial" w:hAnsi="Arial"/>
                <w:sz w:val="18"/>
                <w:szCs w:val="18"/>
                <w:color w:val="auto"/>
              </w:rPr>
              <w:t>17</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Treasury shares (2,149,280 and 2,129,144 shares as of December 31, 2016 and June 30, 2017,</w:t>
            </w: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(2,176)</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65,687</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66,122</w:t>
            </w:r>
          </w:p>
        </w:tc>
        <w:tc>
          <w:tcPr>
            <w:tcW w:w="760" w:type="dxa"/>
            <w:vAlign w:val="bottom"/>
          </w:tcPr>
          <w:p>
            <w:pPr>
              <w:jc w:val="right"/>
              <w:spacing w:after="0"/>
              <w:rPr>
                <w:sz w:val="20"/>
                <w:szCs w:val="20"/>
                <w:color w:val="auto"/>
              </w:rPr>
            </w:pPr>
            <w:r>
              <w:rPr>
                <w:rFonts w:ascii="Arial" w:cs="Arial" w:eastAsia="Arial" w:hAnsi="Arial"/>
                <w:sz w:val="18"/>
                <w:szCs w:val="18"/>
                <w:color w:val="auto"/>
              </w:rPr>
              <w:t>247,349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Accumulated other comprehensive losses</w:t>
            </w:r>
          </w:p>
        </w:tc>
        <w:tc>
          <w:tcPr>
            <w:tcW w:w="7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(3,241)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(3,412)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(3,412)</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(124,385)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(146,630)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(146,630)</w:t>
            </w: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7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(64,312)</w:t>
            </w: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(86,001)</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95,236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169,640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149,395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COMPREHENSIVE LOSS FOR THE SIX MONTHS ENDED JUNE 30, 2016 AND JUNE 30, 2017</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June 30,</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700" w:type="dxa"/>
            <w:vAlign w:val="bottom"/>
          </w:tcPr>
          <w:p>
            <w:pPr>
              <w:jc w:val="right"/>
              <w:ind w:right="73"/>
              <w:spacing w:after="0"/>
              <w:rPr>
                <w:sz w:val="20"/>
                <w:szCs w:val="20"/>
                <w:color w:val="auto"/>
              </w:rPr>
            </w:pPr>
            <w:r>
              <w:rPr>
                <w:rFonts w:ascii="Arial" w:cs="Arial" w:eastAsia="Arial" w:hAnsi="Arial"/>
                <w:sz w:val="14"/>
                <w:szCs w:val="14"/>
                <w:color w:val="auto"/>
              </w:rPr>
              <w:t>Note</w:t>
            </w: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2016</w:t>
            </w:r>
          </w:p>
        </w:tc>
        <w:tc>
          <w:tcPr>
            <w:tcW w:w="2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45,269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Cost of revenues</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(28,003)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(14,083)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(23,445)</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Fair value loss on derivative liabilities</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Net loss attributable to iClick Interactive Asia Group Limited’s ordinary shareholders</w:t>
            </w:r>
          </w:p>
        </w:tc>
        <w:tc>
          <w:tcPr>
            <w:tcW w:w="1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US$nil tax</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 Basic</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1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1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13,130,027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13,618,905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 Diluted</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13,130,027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13,618,905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color w:val="auto"/>
        </w:rPr>
        <w:t>UNAUDITED INTERIM CONDENSED CONSOLIDATED STATEMENTS OF CHANGES IN SHAREHOLDERS’ DEFICIT FOR THE SIX MONTHS ENDED JUNE 30, 2016 AND JUNE 30, 2017</w:t>
      </w: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color w:val="auto"/>
              </w:rPr>
              <w:t>Ordinary shares</w:t>
            </w:r>
          </w:p>
        </w:tc>
        <w:tc>
          <w:tcPr>
            <w:tcW w:w="1800" w:type="dxa"/>
            <w:vAlign w:val="bottom"/>
            <w:gridSpan w:val="4"/>
          </w:tcPr>
          <w:p>
            <w:pPr>
              <w:jc w:val="right"/>
              <w:ind w:right="500"/>
              <w:spacing w:after="0"/>
              <w:rPr>
                <w:sz w:val="20"/>
                <w:szCs w:val="20"/>
                <w:color w:val="auto"/>
              </w:rPr>
            </w:pPr>
            <w:r>
              <w:rPr>
                <w:rFonts w:ascii="Arial" w:cs="Arial" w:eastAsia="Arial" w:hAnsi="Arial"/>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6"/>
              </w:rPr>
              <w:t>Accumulated</w:t>
            </w: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
              <w:spacing w:after="0" w:line="141"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7"/>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paid-in</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Statutory</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0"/>
              </w:rPr>
              <w:t>comprehensive</w:t>
            </w:r>
          </w:p>
        </w:tc>
        <w:tc>
          <w:tcPr>
            <w:tcW w:w="0" w:type="dxa"/>
            <w:vAlign w:val="bottom"/>
          </w:tcPr>
          <w:p>
            <w:pPr>
              <w:spacing w:after="0"/>
              <w:rPr>
                <w:sz w:val="1"/>
                <w:szCs w:val="1"/>
                <w:color w:val="auto"/>
              </w:rPr>
            </w:pPr>
          </w:p>
        </w:tc>
      </w:tr>
      <w:tr>
        <w:trPr>
          <w:trHeight w:val="161"/>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Amount</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reserves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13,104,300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(9,783)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53,917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(97,055)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53,388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(53,388)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(663)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1,863</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(6,586)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June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13,157,688</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2,600,800</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(103,641)</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13,609,208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2,149,280</w:t>
            </w:r>
          </w:p>
        </w:tc>
        <w:tc>
          <w:tcPr>
            <w:tcW w:w="24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(2,468)</w:t>
            </w:r>
          </w:p>
        </w:tc>
        <w:tc>
          <w:tcPr>
            <w:tcW w:w="240" w:type="dxa"/>
            <w:vAlign w:val="bottom"/>
          </w:tcPr>
          <w:p>
            <w:pPr>
              <w:spacing w:after="0"/>
              <w:rPr>
                <w:sz w:val="17"/>
                <w:szCs w:val="17"/>
                <w:color w:val="auto"/>
              </w:rPr>
            </w:pP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65,687</w:t>
            </w:r>
          </w:p>
        </w:tc>
        <w:tc>
          <w:tcPr>
            <w:tcW w:w="240" w:type="dxa"/>
            <w:vAlign w:val="bottom"/>
          </w:tcPr>
          <w:p>
            <w:pPr>
              <w:spacing w:after="0"/>
              <w:rPr>
                <w:sz w:val="17"/>
                <w:szCs w:val="17"/>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(124,385)</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20,136</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(20,136)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1,923</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(22,245)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as of June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13,629,344</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2,129,144</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66,122</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(146,630)</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Total</w:t>
      </w:r>
    </w:p>
    <w:p>
      <w:pPr>
        <w:jc w:val="center"/>
        <w:ind w:right="80"/>
        <w:spacing w:after="0"/>
        <w:rPr>
          <w:sz w:val="20"/>
          <w:szCs w:val="20"/>
          <w:color w:val="auto"/>
        </w:rPr>
      </w:pPr>
      <w:r>
        <w:rPr>
          <w:rFonts w:ascii="Arial" w:cs="Arial" w:eastAsia="Arial" w:hAnsi="Arial"/>
          <w:sz w:val="12"/>
          <w:szCs w:val="12"/>
          <w:color w:val="auto"/>
        </w:rPr>
        <w:t>shareholders’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deficit</w:t>
      </w:r>
    </w:p>
    <w:p>
      <w:pPr>
        <w:ind w:left="220"/>
        <w:spacing w:after="0"/>
        <w:rPr>
          <w:sz w:val="20"/>
          <w:szCs w:val="20"/>
          <w:color w:val="auto"/>
        </w:rPr>
      </w:pPr>
      <w:r>
        <w:rPr>
          <w:rFonts w:ascii="Arial" w:cs="Arial" w:eastAsia="Arial" w:hAnsi="Arial"/>
          <w:sz w:val="16"/>
          <w:szCs w:val="16"/>
          <w:color w:val="auto"/>
        </w:rPr>
        <w:t>(55,929)</w:t>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1,863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(22,245)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9720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31750</wp:posOffset>
            </wp:positionV>
            <wp:extent cx="4972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10340" w:space="200"/>
            <w:col w:w="840"/>
          </w:cols>
          <w:pgMar w:left="240" w:top="460" w:right="2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4"/>
          </w:tcPr>
          <w:p>
            <w:pPr>
              <w:jc w:val="right"/>
              <w:ind w:right="50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8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(6,586)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in)/provided by operating activities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758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2,144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1,863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Fair value loss on derivative liabilities</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177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(525)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(3,011)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(1,167)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(1,760)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4,965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287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(1,207)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1,490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Income tax receivable/payable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(2,219)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(372)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short-term investments</w:t>
            </w:r>
          </w:p>
        </w:tc>
        <w:tc>
          <w:tcPr>
            <w:tcW w:w="17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1,552</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(Increase)/decrease in restricted cash</w:t>
            </w: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(601)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8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2016 AND JUNE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900" w:type="dxa"/>
            <w:vAlign w:val="bottom"/>
            <w:gridSpan w:val="5"/>
          </w:tcPr>
          <w:p>
            <w:pPr>
              <w:jc w:val="right"/>
              <w:ind w:right="520"/>
              <w:spacing w:after="0"/>
              <w:rPr>
                <w:sz w:val="20"/>
                <w:szCs w:val="20"/>
                <w:color w:val="auto"/>
              </w:rPr>
            </w:pPr>
            <w:r>
              <w:rPr>
                <w:rFonts w:ascii="Arial" w:cs="Arial" w:eastAsia="Arial" w:hAnsi="Arial"/>
                <w:sz w:val="14"/>
                <w:szCs w:val="14"/>
                <w:color w:val="auto"/>
              </w:rPr>
              <w:t>For the six months ended June 30,</w:t>
            </w: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bank borrowings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3,521</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Repayments of bank borrowings</w:t>
            </w:r>
          </w:p>
        </w:tc>
        <w:tc>
          <w:tcPr>
            <w:tcW w:w="1840" w:type="dxa"/>
            <w:vAlign w:val="bottom"/>
            <w:gridSpan w:val="3"/>
          </w:tcPr>
          <w:p>
            <w:pPr>
              <w:jc w:val="right"/>
              <w:ind w:right="860"/>
              <w:spacing w:after="0"/>
              <w:rPr>
                <w:sz w:val="20"/>
                <w:szCs w:val="20"/>
                <w:color w:val="auto"/>
              </w:rPr>
            </w:pPr>
            <w:r>
              <w:rPr>
                <w:rFonts w:ascii="Arial" w:cs="Arial" w:eastAsia="Arial" w:hAnsi="Arial"/>
                <w:sz w:val="18"/>
                <w:szCs w:val="18"/>
                <w:color w:val="auto"/>
              </w:rPr>
              <w:t>(1,447)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(3,387)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Repayment of amounts due to related parties</w:t>
            </w:r>
          </w:p>
        </w:tc>
        <w:tc>
          <w:tcPr>
            <w:tcW w:w="1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Net cash provided by/(used in) financing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10,395</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27,280</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1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(64)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period</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Interests paid</w:t>
            </w:r>
          </w:p>
        </w:tc>
        <w:tc>
          <w:tcPr>
            <w:tcW w:w="1840" w:type="dxa"/>
            <w:vAlign w:val="bottom"/>
            <w:gridSpan w:val="3"/>
          </w:tcPr>
          <w:p>
            <w:pPr>
              <w:jc w:val="right"/>
              <w:ind w:right="860"/>
              <w:spacing w:after="0"/>
              <w:rPr>
                <w:sz w:val="20"/>
                <w:szCs w:val="20"/>
                <w:color w:val="auto"/>
              </w:rPr>
            </w:pPr>
            <w:r>
              <w:rPr>
                <w:rFonts w:ascii="Arial" w:cs="Arial" w:eastAsia="Arial" w:hAnsi="Arial"/>
                <w:sz w:val="18"/>
                <w:szCs w:val="18"/>
                <w:color w:val="auto"/>
              </w:rPr>
              <w:t>(290)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8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Accretion to Series A preferred shares redemption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Accretion to Series B preferred shares redemption value</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757</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460" w:right="2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310" w:lineRule="exact"/>
        <w:rPr>
          <w:sz w:val="20"/>
          <w:szCs w:val="20"/>
          <w:color w:val="auto"/>
        </w:rPr>
      </w:pPr>
    </w:p>
    <w:p>
      <w:pPr>
        <w:ind w:left="460" w:hanging="452"/>
        <w:spacing w:after="0"/>
        <w:tabs>
          <w:tab w:leader="none" w:pos="4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and the People’s Republic of China (the “PRC”). There are also sales teams in Singapore and the United Kingdom.</w:t>
      </w:r>
    </w:p>
    <w:p>
      <w:pPr>
        <w:spacing w:after="0" w:line="78" w:lineRule="exact"/>
        <w:rPr>
          <w:rFonts w:ascii="Arial" w:cs="Arial" w:eastAsia="Arial" w:hAnsi="Arial"/>
          <w:sz w:val="18"/>
          <w:szCs w:val="18"/>
          <w:b w:val="1"/>
          <w:bCs w:val="1"/>
          <w:color w:val="auto"/>
        </w:rPr>
      </w:pPr>
    </w:p>
    <w:p>
      <w:pPr>
        <w:ind w:left="460"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84" w:lineRule="exact"/>
        <w:rPr>
          <w:rFonts w:ascii="Arial" w:cs="Arial" w:eastAsia="Arial" w:hAnsi="Arial"/>
          <w:sz w:val="18"/>
          <w:szCs w:val="18"/>
          <w:b w:val="1"/>
          <w:bCs w:val="1"/>
          <w:color w:val="auto"/>
        </w:rPr>
      </w:pPr>
    </w:p>
    <w:p>
      <w:pPr>
        <w:ind w:left="4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63"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0"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As of December 31, 2016 and June 30, 2017, the Group had net current liabilities of US$22,536, and US$40,504, total shareholders’ deficit of</w:t>
      </w:r>
    </w:p>
    <w:p>
      <w:pPr>
        <w:spacing w:after="0" w:line="34"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US$64,312 and US$86,001 and accumulated deficit of US$124,385 and US$146,630. During the six months ended June 30, 2016 and June 30, 2017, the Group incurred a net loss of US$6,586 and US$22,245 and a net operating cash (outflow)/inflow of US$(2,219) and US$2,514. In December 2016, the Company entered into an agreement to issue Series E preferred shares for a total cash consideration of US$20,000 and management considered such additional funding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59" w:right="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34"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enable the Company to operate without significant curtailment of its operation and to meet its financial obligations as and when they fall due. As of December 31, 2016 and June 30, 2017, the Group had violated certain financial covenants with respect to its bank borrowings extended by a bank as of December 31, 2016, however, the Group had obtained the necessary waiver letters subsequently such that the bank would not demand immediate repayment. The covenants are subjected to annual review. Accordingly, the management is of the opinion that the financial statements have been prepared on a going concern basis.</w:t>
      </w:r>
    </w:p>
    <w:p>
      <w:pPr>
        <w:spacing w:after="0" w:line="80"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 of direct or</w:t>
            </w: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indirect</w:t>
            </w: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Place of</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economic</w:t>
            </w:r>
          </w:p>
        </w:tc>
        <w:tc>
          <w:tcPr>
            <w:tcW w:w="1320" w:type="dxa"/>
            <w:vAlign w:val="bottom"/>
          </w:tcPr>
          <w:p>
            <w:pPr>
              <w:ind w:left="440"/>
              <w:spacing w:after="0" w:line="149" w:lineRule="exact"/>
              <w:rPr>
                <w:sz w:val="20"/>
                <w:szCs w:val="20"/>
                <w:color w:val="auto"/>
              </w:rPr>
            </w:pPr>
            <w:r>
              <w:rPr>
                <w:rFonts w:ascii="Arial" w:cs="Arial" w:eastAsia="Arial" w:hAnsi="Arial"/>
                <w:sz w:val="14"/>
                <w:szCs w:val="14"/>
                <w:color w:val="auto"/>
              </w:rPr>
              <w:t>Date of</w:t>
            </w:r>
          </w:p>
        </w:tc>
        <w:tc>
          <w:tcPr>
            <w:tcW w:w="4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incorporation/</w:t>
            </w:r>
          </w:p>
        </w:tc>
        <w:tc>
          <w:tcPr>
            <w:tcW w:w="2960" w:type="dxa"/>
            <w:vAlign w:val="bottom"/>
            <w:vMerge w:val="restart"/>
          </w:tcPr>
          <w:p>
            <w:pPr>
              <w:ind w:left="9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620" w:type="dxa"/>
            <w:vAlign w:val="bottom"/>
            <w:gridSpan w:val="3"/>
            <w:vMerge w:val="continue"/>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Relationship</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ownership</w:t>
            </w:r>
          </w:p>
        </w:tc>
        <w:tc>
          <w:tcPr>
            <w:tcW w:w="1320" w:type="dxa"/>
            <w:vAlign w:val="bottom"/>
          </w:tcPr>
          <w:p>
            <w:pPr>
              <w:ind w:left="280"/>
              <w:spacing w:after="0"/>
              <w:rPr>
                <w:sz w:val="20"/>
                <w:szCs w:val="20"/>
                <w:color w:val="auto"/>
              </w:rPr>
            </w:pPr>
            <w:r>
              <w:rPr>
                <w:rFonts w:ascii="Arial" w:cs="Arial" w:eastAsia="Arial" w:hAnsi="Arial"/>
                <w:sz w:val="14"/>
                <w:szCs w:val="14"/>
                <w:color w:val="auto"/>
              </w:rPr>
              <w:t>incorporation</w:t>
            </w:r>
          </w:p>
        </w:tc>
        <w:tc>
          <w:tcPr>
            <w:tcW w:w="44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Digital Marketing Group</w:t>
            </w:r>
          </w:p>
        </w:tc>
        <w:tc>
          <w:tcPr>
            <w:tcW w:w="86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Subsidiary</w:t>
            </w:r>
          </w:p>
        </w:tc>
        <w:tc>
          <w:tcPr>
            <w:tcW w:w="44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438"/>
              <w:spacing w:after="0" w:line="165" w:lineRule="exact"/>
              <w:rPr>
                <w:sz w:val="20"/>
                <w:szCs w:val="20"/>
                <w:color w:val="auto"/>
              </w:rPr>
            </w:pPr>
            <w:r>
              <w:rPr>
                <w:rFonts w:ascii="Arial" w:cs="Arial" w:eastAsia="Arial" w:hAnsi="Arial"/>
                <w:sz w:val="17"/>
                <w:szCs w:val="17"/>
                <w:color w:val="auto"/>
                <w:w w:val="87"/>
              </w:rPr>
              <w:t>100%</w:t>
            </w:r>
          </w:p>
        </w:tc>
        <w:tc>
          <w:tcPr>
            <w:tcW w:w="440" w:type="dxa"/>
            <w:vAlign w:val="bottom"/>
            <w:vMerge w:val="continue"/>
            <w:shd w:val="clear" w:color="auto" w:fill="CCEEFF"/>
          </w:tcPr>
          <w:p>
            <w:pPr>
              <w:spacing w:after="0"/>
              <w:rPr>
                <w:sz w:val="14"/>
                <w:szCs w:val="14"/>
                <w:color w:val="auto"/>
              </w:rPr>
            </w:pPr>
          </w:p>
        </w:tc>
        <w:tc>
          <w:tcPr>
            <w:tcW w:w="13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October 2006</w:t>
            </w:r>
          </w:p>
        </w:tc>
        <w:tc>
          <w:tcPr>
            <w:tcW w:w="440" w:type="dxa"/>
            <w:vAlign w:val="bottom"/>
            <w:vMerge w:val="continue"/>
            <w:shd w:val="clear" w:color="auto" w:fill="CCEEFF"/>
          </w:tcPr>
          <w:p>
            <w:pPr>
              <w:spacing w:after="0"/>
              <w:rPr>
                <w:sz w:val="14"/>
                <w:szCs w:val="14"/>
                <w:color w:val="auto"/>
              </w:rPr>
            </w:pPr>
          </w:p>
        </w:tc>
        <w:tc>
          <w:tcPr>
            <w:tcW w:w="9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Hong Kong</w:t>
            </w:r>
          </w:p>
        </w:tc>
        <w:tc>
          <w:tcPr>
            <w:tcW w:w="440" w:type="dxa"/>
            <w:vAlign w:val="bottom"/>
            <w:vMerge w:val="continue"/>
            <w:shd w:val="clear" w:color="auto" w:fill="CCEEFF"/>
          </w:tcPr>
          <w:p>
            <w:pPr>
              <w:spacing w:after="0"/>
              <w:rPr>
                <w:sz w:val="14"/>
                <w:szCs w:val="14"/>
                <w:color w:val="auto"/>
              </w:rPr>
            </w:pPr>
          </w:p>
        </w:tc>
        <w:tc>
          <w:tcPr>
            <w:tcW w:w="296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Dormant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620" w:type="dxa"/>
            <w:vAlign w:val="bottom"/>
            <w:gridSpan w:val="3"/>
          </w:tcPr>
          <w:p>
            <w:pPr>
              <w:spacing w:after="0"/>
              <w:rPr>
                <w:sz w:val="20"/>
                <w:szCs w:val="20"/>
                <w:color w:val="auto"/>
              </w:rPr>
            </w:pPr>
            <w:r>
              <w:rPr>
                <w:rFonts w:ascii="Arial" w:cs="Arial" w:eastAsia="Arial" w:hAnsi="Arial"/>
                <w:sz w:val="17"/>
                <w:szCs w:val="17"/>
                <w:color w:val="auto"/>
              </w:rPr>
              <w:t>Tetris Media Limited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920" w:type="dxa"/>
            <w:vAlign w:val="bottom"/>
          </w:tcPr>
          <w:p>
            <w:pPr>
              <w:jc w:val="right"/>
              <w:ind w:right="43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July 2007</w:t>
            </w: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Hong Kong</w:t>
            </w:r>
          </w:p>
        </w:tc>
        <w:tc>
          <w:tcPr>
            <w:tcW w:w="296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Asia Limited</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920" w:type="dxa"/>
            <w:vAlign w:val="bottom"/>
            <w:shd w:val="clear" w:color="auto" w:fill="CCEEFF"/>
          </w:tcPr>
          <w:p>
            <w:pPr>
              <w:jc w:val="right"/>
              <w:ind w:right="43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December 2008</w:t>
            </w:r>
          </w:p>
        </w:tc>
        <w:tc>
          <w:tcPr>
            <w:tcW w:w="1860" w:type="dxa"/>
            <w:vAlign w:val="bottom"/>
            <w:gridSpan w:val="3"/>
            <w:shd w:val="clear" w:color="auto" w:fill="CCEEFF"/>
          </w:tcPr>
          <w:p>
            <w:pPr>
              <w:ind w:left="440"/>
              <w:spacing w:after="0" w:line="185" w:lineRule="exact"/>
              <w:rPr>
                <w:sz w:val="20"/>
                <w:szCs w:val="20"/>
                <w:color w:val="auto"/>
              </w:rPr>
            </w:pPr>
            <w:r>
              <w:rPr>
                <w:rFonts w:ascii="Arial" w:cs="Arial" w:eastAsia="Arial" w:hAnsi="Arial"/>
                <w:sz w:val="17"/>
                <w:szCs w:val="17"/>
                <w:color w:val="auto"/>
              </w:rPr>
              <w:t>Hong Kong</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307"/>
        </w:trPr>
        <w:tc>
          <w:tcPr>
            <w:tcW w:w="2620" w:type="dxa"/>
            <w:vAlign w:val="bottom"/>
            <w:gridSpan w:val="3"/>
          </w:tcPr>
          <w:p>
            <w:pPr>
              <w:spacing w:after="0"/>
              <w:rPr>
                <w:sz w:val="20"/>
                <w:szCs w:val="20"/>
                <w:color w:val="auto"/>
              </w:rPr>
            </w:pPr>
            <w:r>
              <w:rPr>
                <w:rFonts w:ascii="Arial" w:cs="Arial" w:eastAsia="Arial" w:hAnsi="Arial"/>
                <w:sz w:val="17"/>
                <w:szCs w:val="17"/>
                <w:color w:val="auto"/>
              </w:rPr>
              <w:t>Optimix Media Asia Limited</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920" w:type="dxa"/>
            <w:vAlign w:val="bottom"/>
          </w:tcPr>
          <w:p>
            <w:pPr>
              <w:jc w:val="right"/>
              <w:ind w:right="43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March 2009</w:t>
            </w: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Hong Kong</w:t>
            </w:r>
          </w:p>
        </w:tc>
        <w:tc>
          <w:tcPr>
            <w:tcW w:w="296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China Search (Asia) Limited</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920" w:type="dxa"/>
            <w:vAlign w:val="bottom"/>
            <w:shd w:val="clear" w:color="auto" w:fill="CCEEFF"/>
          </w:tcPr>
          <w:p>
            <w:pPr>
              <w:jc w:val="right"/>
              <w:ind w:right="43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September 2010</w:t>
            </w:r>
          </w:p>
        </w:tc>
        <w:tc>
          <w:tcPr>
            <w:tcW w:w="1860" w:type="dxa"/>
            <w:vAlign w:val="bottom"/>
            <w:gridSpan w:val="3"/>
            <w:shd w:val="clear" w:color="auto" w:fill="CCEEFF"/>
          </w:tcPr>
          <w:p>
            <w:pPr>
              <w:ind w:left="440"/>
              <w:spacing w:after="0" w:line="185" w:lineRule="exact"/>
              <w:rPr>
                <w:sz w:val="20"/>
                <w:szCs w:val="20"/>
                <w:color w:val="auto"/>
              </w:rPr>
            </w:pPr>
            <w:r>
              <w:rPr>
                <w:rFonts w:ascii="Arial" w:cs="Arial" w:eastAsia="Arial" w:hAnsi="Arial"/>
                <w:sz w:val="17"/>
                <w:szCs w:val="17"/>
                <w:color w:val="auto"/>
              </w:rPr>
              <w:t>Hong Kong</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93"/>
        </w:trPr>
        <w:tc>
          <w:tcPr>
            <w:tcW w:w="2620" w:type="dxa"/>
            <w:vAlign w:val="bottom"/>
            <w:gridSpan w:val="3"/>
          </w:tcPr>
          <w:p>
            <w:pPr>
              <w:spacing w:after="0"/>
              <w:rPr>
                <w:sz w:val="20"/>
                <w:szCs w:val="20"/>
                <w:color w:val="auto"/>
              </w:rPr>
            </w:pPr>
            <w:r>
              <w:rPr>
                <w:rFonts w:ascii="Arial" w:cs="Arial" w:eastAsia="Arial" w:hAnsi="Arial"/>
                <w:sz w:val="17"/>
                <w:szCs w:val="17"/>
                <w:color w:val="auto"/>
              </w:rPr>
              <w:t>Diablo Holdings Corporation</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920" w:type="dxa"/>
            <w:vAlign w:val="bottom"/>
          </w:tcPr>
          <w:p>
            <w:pPr>
              <w:jc w:val="right"/>
              <w:ind w:right="43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August 2010</w:t>
            </w: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British</w:t>
            </w:r>
          </w:p>
        </w:tc>
        <w:tc>
          <w:tcPr>
            <w:tcW w:w="2960" w:type="dxa"/>
            <w:vAlign w:val="bottom"/>
          </w:tcPr>
          <w:p>
            <w:pPr>
              <w:spacing w:after="0"/>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Virgin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Islands</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(“BVI”)</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Harmattan Capital Holdings</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920" w:type="dxa"/>
            <w:vAlign w:val="bottom"/>
            <w:shd w:val="clear" w:color="auto" w:fill="CCEEFF"/>
          </w:tcPr>
          <w:p>
            <w:pPr>
              <w:jc w:val="right"/>
              <w:ind w:right="43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August 2010</w:t>
            </w:r>
          </w:p>
        </w:tc>
        <w:tc>
          <w:tcPr>
            <w:tcW w:w="1860" w:type="dxa"/>
            <w:vAlign w:val="bottom"/>
            <w:gridSpan w:val="3"/>
            <w:shd w:val="clear" w:color="auto" w:fill="CCEEFF"/>
          </w:tcPr>
          <w:p>
            <w:pPr>
              <w:ind w:left="440"/>
              <w:spacing w:after="0" w:line="185" w:lineRule="exact"/>
              <w:rPr>
                <w:sz w:val="20"/>
                <w:szCs w:val="20"/>
                <w:color w:val="auto"/>
              </w:rPr>
            </w:pPr>
            <w:r>
              <w:rPr>
                <w:rFonts w:ascii="Arial" w:cs="Arial" w:eastAsia="Arial" w:hAnsi="Arial"/>
                <w:sz w:val="17"/>
                <w:szCs w:val="17"/>
                <w:color w:val="auto"/>
              </w:rPr>
              <w:t>BVI</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Investment holding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Corporation</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620" w:type="dxa"/>
            <w:vAlign w:val="bottom"/>
            <w:gridSpan w:val="3"/>
          </w:tcPr>
          <w:p>
            <w:pPr>
              <w:spacing w:after="0"/>
              <w:rPr>
                <w:sz w:val="20"/>
                <w:szCs w:val="20"/>
                <w:color w:val="auto"/>
              </w:rPr>
            </w:pPr>
            <w:r>
              <w:rPr>
                <w:rFonts w:ascii="Arial" w:cs="Arial" w:eastAsia="Arial" w:hAnsi="Arial"/>
                <w:sz w:val="17"/>
                <w:szCs w:val="17"/>
                <w:color w:val="auto"/>
              </w:rPr>
              <w:t>iClick Interactive (Singapore)</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920" w:type="dxa"/>
            <w:vAlign w:val="bottom"/>
          </w:tcPr>
          <w:p>
            <w:pPr>
              <w:jc w:val="right"/>
              <w:ind w:right="43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January 2011</w:t>
            </w: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Singapore</w:t>
            </w:r>
          </w:p>
        </w:tc>
        <w:tc>
          <w:tcPr>
            <w:tcW w:w="296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Pte.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Ltd.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6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iClick Interactive (Beijing)</w:t>
            </w:r>
          </w:p>
        </w:tc>
        <w:tc>
          <w:tcPr>
            <w:tcW w:w="13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920" w:type="dxa"/>
            <w:vAlign w:val="bottom"/>
            <w:shd w:val="clear" w:color="auto" w:fill="CCEEFF"/>
          </w:tcPr>
          <w:p>
            <w:pPr>
              <w:jc w:val="right"/>
              <w:ind w:right="438"/>
              <w:spacing w:after="0" w:line="185" w:lineRule="exact"/>
              <w:rPr>
                <w:sz w:val="20"/>
                <w:szCs w:val="20"/>
                <w:color w:val="auto"/>
              </w:rPr>
            </w:pPr>
            <w:r>
              <w:rPr>
                <w:rFonts w:ascii="Arial" w:cs="Arial" w:eastAsia="Arial" w:hAnsi="Arial"/>
                <w:sz w:val="17"/>
                <w:szCs w:val="17"/>
                <w:color w:val="auto"/>
                <w:w w:val="87"/>
              </w:rPr>
              <w:t>100%</w:t>
            </w: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January 2011</w:t>
            </w:r>
          </w:p>
        </w:tc>
        <w:tc>
          <w:tcPr>
            <w:tcW w:w="1860" w:type="dxa"/>
            <w:vAlign w:val="bottom"/>
            <w:gridSpan w:val="3"/>
            <w:shd w:val="clear" w:color="auto" w:fill="CCEEFF"/>
          </w:tcPr>
          <w:p>
            <w:pPr>
              <w:ind w:left="440"/>
              <w:spacing w:after="0" w:line="185" w:lineRule="exact"/>
              <w:rPr>
                <w:sz w:val="20"/>
                <w:szCs w:val="20"/>
                <w:color w:val="auto"/>
              </w:rPr>
            </w:pPr>
            <w:r>
              <w:rPr>
                <w:rFonts w:ascii="Arial" w:cs="Arial" w:eastAsia="Arial" w:hAnsi="Arial"/>
                <w:sz w:val="17"/>
                <w:szCs w:val="17"/>
                <w:color w:val="auto"/>
              </w:rPr>
              <w:t>The PRC</w:t>
            </w:r>
          </w:p>
        </w:tc>
        <w:tc>
          <w:tcPr>
            <w:tcW w:w="2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5"/>
              </w:rPr>
              <w:t>Internet marketing services and solutions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Advertisement Co.,</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620" w:type="dxa"/>
            <w:vAlign w:val="bottom"/>
            <w:gridSpan w:val="3"/>
          </w:tcPr>
          <w:p>
            <w:pPr>
              <w:spacing w:after="0"/>
              <w:rPr>
                <w:sz w:val="20"/>
                <w:szCs w:val="20"/>
                <w:color w:val="auto"/>
              </w:rPr>
            </w:pPr>
            <w:r>
              <w:rPr>
                <w:rFonts w:ascii="Arial" w:cs="Arial" w:eastAsia="Arial" w:hAnsi="Arial"/>
                <w:sz w:val="17"/>
                <w:szCs w:val="17"/>
                <w:color w:val="auto"/>
              </w:rPr>
              <w:t>Search Asia Technology</w:t>
            </w:r>
          </w:p>
        </w:tc>
        <w:tc>
          <w:tcPr>
            <w:tcW w:w="130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920" w:type="dxa"/>
            <w:vAlign w:val="bottom"/>
          </w:tcPr>
          <w:p>
            <w:pPr>
              <w:jc w:val="right"/>
              <w:ind w:right="438"/>
              <w:spacing w:after="0"/>
              <w:rPr>
                <w:sz w:val="20"/>
                <w:szCs w:val="20"/>
                <w:color w:val="auto"/>
              </w:rPr>
            </w:pPr>
            <w:r>
              <w:rPr>
                <w:rFonts w:ascii="Arial" w:cs="Arial" w:eastAsia="Arial" w:hAnsi="Arial"/>
                <w:sz w:val="17"/>
                <w:szCs w:val="17"/>
                <w:color w:val="auto"/>
                <w:w w:val="87"/>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January 2011</w:t>
            </w:r>
          </w:p>
        </w:tc>
        <w:tc>
          <w:tcPr>
            <w:tcW w:w="1860" w:type="dxa"/>
            <w:vAlign w:val="bottom"/>
            <w:gridSpan w:val="3"/>
          </w:tcPr>
          <w:p>
            <w:pPr>
              <w:ind w:left="440"/>
              <w:spacing w:after="0"/>
              <w:rPr>
                <w:sz w:val="20"/>
                <w:szCs w:val="20"/>
                <w:color w:val="auto"/>
              </w:rPr>
            </w:pPr>
            <w:r>
              <w:rPr>
                <w:rFonts w:ascii="Arial" w:cs="Arial" w:eastAsia="Arial" w:hAnsi="Arial"/>
                <w:sz w:val="17"/>
                <w:szCs w:val="17"/>
                <w:color w:val="auto"/>
              </w:rPr>
              <w:t>The PRC</w:t>
            </w:r>
          </w:p>
        </w:tc>
        <w:tc>
          <w:tcPr>
            <w:tcW w:w="296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(Shenzhen) Co.,</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ind w:left="160"/>
              <w:spacing w:after="0"/>
              <w:rPr>
                <w:sz w:val="20"/>
                <w:szCs w:val="20"/>
                <w:color w:val="auto"/>
              </w:rPr>
            </w:pPr>
            <w:r>
              <w:rPr>
                <w:rFonts w:ascii="Arial" w:cs="Arial" w:eastAsia="Arial" w:hAnsi="Arial"/>
                <w:sz w:val="17"/>
                <w:szCs w:val="17"/>
                <w:color w:val="auto"/>
              </w:rPr>
              <w:t>Ltd.</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29" w:lineRule="exact"/>
        <w:rPr>
          <w:rFonts w:ascii="Arial" w:cs="Arial" w:eastAsia="Arial" w:hAnsi="Arial"/>
          <w:sz w:val="18"/>
          <w:szCs w:val="18"/>
          <w:b w:val="1"/>
          <w:bCs w:val="1"/>
          <w:color w:val="auto"/>
        </w:rPr>
      </w:pPr>
    </w:p>
    <w:p>
      <w:pPr>
        <w:ind w:left="4180" w:hanging="147"/>
        <w:spacing w:after="0"/>
        <w:tabs>
          <w:tab w:leader="none" w:pos="4180" w:val="left"/>
        </w:tabs>
        <w:numPr>
          <w:ilvl w:val="1"/>
          <w:numId w:val="242"/>
        </w:numPr>
        <w:rPr>
          <w:rFonts w:ascii="Arial" w:cs="Arial" w:eastAsia="Arial" w:hAnsi="Arial"/>
          <w:sz w:val="14"/>
          <w:szCs w:val="14"/>
          <w:color w:val="auto"/>
        </w:rPr>
      </w:pPr>
      <w:r>
        <w:rPr>
          <w:rFonts w:ascii="Arial" w:cs="Arial" w:eastAsia="Arial" w:hAnsi="Arial"/>
          <w:sz w:val="14"/>
          <w:szCs w:val="14"/>
          <w:color w:val="auto"/>
        </w:rPr>
        <w:t>of direct or</w:t>
      </w: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Arial" w:cs="Arial" w:eastAsia="Arial" w:hAnsi="Arial"/>
                <w:sz w:val="14"/>
                <w:szCs w:val="14"/>
                <w:color w:val="auto"/>
                <w:w w:val="97"/>
              </w:rPr>
              <w:t>indirect</w:t>
            </w: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center"/>
              <w:ind w:right="340"/>
              <w:spacing w:after="0" w:line="137" w:lineRule="exact"/>
              <w:rPr>
                <w:sz w:val="20"/>
                <w:szCs w:val="20"/>
                <w:color w:val="auto"/>
              </w:rPr>
            </w:pPr>
            <w:r>
              <w:rPr>
                <w:rFonts w:ascii="Arial" w:cs="Arial" w:eastAsia="Arial" w:hAnsi="Arial"/>
                <w:sz w:val="14"/>
                <w:szCs w:val="14"/>
                <w:color w:val="auto"/>
                <w:w w:val="94"/>
              </w:rPr>
              <w:t>Place of</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economic</w:t>
            </w:r>
          </w:p>
        </w:tc>
        <w:tc>
          <w:tcPr>
            <w:tcW w:w="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2"/>
              </w:rPr>
              <w:t>Date of</w:t>
            </w:r>
          </w:p>
        </w:tc>
        <w:tc>
          <w:tcPr>
            <w:tcW w:w="3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incorporation/</w:t>
            </w:r>
          </w:p>
        </w:tc>
        <w:tc>
          <w:tcPr>
            <w:tcW w:w="2840" w:type="dxa"/>
            <w:vAlign w:val="bottom"/>
            <w:vMerge w:val="restart"/>
          </w:tcPr>
          <w:p>
            <w:pPr>
              <w:ind w:left="88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167"/>
        </w:trPr>
        <w:tc>
          <w:tcPr>
            <w:tcW w:w="2500" w:type="dxa"/>
            <w:vAlign w:val="bottom"/>
            <w:gridSpan w:val="3"/>
            <w:vMerge w:val="continue"/>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Relationship</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ownership</w:t>
            </w:r>
          </w:p>
        </w:tc>
        <w:tc>
          <w:tcPr>
            <w:tcW w:w="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incorporation</w:t>
            </w:r>
          </w:p>
        </w:tc>
        <w:tc>
          <w:tcPr>
            <w:tcW w:w="3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establishment</w:t>
            </w:r>
          </w:p>
        </w:tc>
        <w:tc>
          <w:tcPr>
            <w:tcW w:w="2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i-Click Interactive Taiwan</w:t>
            </w:r>
          </w:p>
        </w:tc>
        <w:tc>
          <w:tcPr>
            <w:tcW w:w="108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Subsidiary’s</w:t>
            </w:r>
          </w:p>
        </w:tc>
        <w:tc>
          <w:tcPr>
            <w:tcW w:w="340" w:type="dxa"/>
            <w:vAlign w:val="bottom"/>
            <w:vMerge w:val="continue"/>
            <w:shd w:val="clear" w:color="auto" w:fill="CCEEFF"/>
          </w:tcPr>
          <w:p>
            <w:pPr>
              <w:spacing w:after="0"/>
              <w:rPr>
                <w:sz w:val="14"/>
                <w:szCs w:val="14"/>
                <w:color w:val="auto"/>
              </w:rPr>
            </w:pPr>
          </w:p>
        </w:tc>
        <w:tc>
          <w:tcPr>
            <w:tcW w:w="10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100%</w:t>
            </w:r>
          </w:p>
        </w:tc>
        <w:tc>
          <w:tcPr>
            <w:tcW w:w="340" w:type="dxa"/>
            <w:vAlign w:val="bottom"/>
            <w:vMerge w:val="continue"/>
            <w:shd w:val="clear" w:color="auto" w:fill="CCEEFF"/>
          </w:tcPr>
          <w:p>
            <w:pPr>
              <w:spacing w:after="0"/>
              <w:rPr>
                <w:sz w:val="14"/>
                <w:szCs w:val="14"/>
                <w:color w:val="auto"/>
              </w:rPr>
            </w:pPr>
          </w:p>
        </w:tc>
        <w:tc>
          <w:tcPr>
            <w:tcW w:w="150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September 2011</w:t>
            </w:r>
          </w:p>
        </w:tc>
        <w:tc>
          <w:tcPr>
            <w:tcW w:w="34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Taiwan</w:t>
            </w:r>
          </w:p>
        </w:tc>
        <w:tc>
          <w:tcPr>
            <w:tcW w:w="340" w:type="dxa"/>
            <w:vAlign w:val="bottom"/>
            <w:vMerge w:val="continue"/>
            <w:shd w:val="clear" w:color="auto" w:fill="CCEEFF"/>
          </w:tcPr>
          <w:p>
            <w:pPr>
              <w:spacing w:after="0"/>
              <w:rPr>
                <w:sz w:val="14"/>
                <w:szCs w:val="14"/>
                <w:color w:val="auto"/>
              </w:rPr>
            </w:pPr>
          </w:p>
        </w:tc>
        <w:tc>
          <w:tcPr>
            <w:tcW w:w="2840" w:type="dxa"/>
            <w:vAlign w:val="bottom"/>
            <w:shd w:val="clear" w:color="auto" w:fill="CCEEFF"/>
          </w:tcPr>
          <w:p>
            <w:pPr>
              <w:spacing w:after="0" w:line="16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Limited Taiwan Branch</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branch</w:t>
            </w: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293"/>
        </w:trPr>
        <w:tc>
          <w:tcPr>
            <w:tcW w:w="2500" w:type="dxa"/>
            <w:vAlign w:val="bottom"/>
            <w:gridSpan w:val="3"/>
          </w:tcPr>
          <w:p>
            <w:pPr>
              <w:spacing w:after="0"/>
              <w:rPr>
                <w:sz w:val="20"/>
                <w:szCs w:val="20"/>
                <w:color w:val="auto"/>
              </w:rPr>
            </w:pPr>
            <w:r>
              <w:rPr>
                <w:rFonts w:ascii="Arial" w:cs="Arial" w:eastAsia="Arial" w:hAnsi="Arial"/>
                <w:sz w:val="17"/>
                <w:szCs w:val="17"/>
                <w:color w:val="auto"/>
              </w:rPr>
              <w:t>Performance Media Group</w:t>
            </w:r>
          </w:p>
        </w:tc>
        <w:tc>
          <w:tcPr>
            <w:tcW w:w="142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1020" w:type="dxa"/>
            <w:vAlign w:val="bottom"/>
          </w:tcPr>
          <w:p>
            <w:pPr>
              <w:spacing w:after="0"/>
              <w:rPr>
                <w:sz w:val="20"/>
                <w:szCs w:val="20"/>
                <w:color w:val="auto"/>
              </w:rPr>
            </w:pPr>
            <w:r>
              <w:rPr>
                <w:rFonts w:ascii="Arial" w:cs="Arial" w:eastAsia="Arial" w:hAnsi="Arial"/>
                <w:sz w:val="17"/>
                <w:szCs w:val="17"/>
                <w:color w:val="auto"/>
              </w:rPr>
              <w:t>100%</w:t>
            </w:r>
          </w:p>
        </w:tc>
        <w:tc>
          <w:tcPr>
            <w:tcW w:w="1840" w:type="dxa"/>
            <w:vAlign w:val="bottom"/>
            <w:gridSpan w:val="2"/>
          </w:tcPr>
          <w:p>
            <w:pPr>
              <w:ind w:left="340"/>
              <w:spacing w:after="0"/>
              <w:rPr>
                <w:sz w:val="20"/>
                <w:szCs w:val="20"/>
                <w:color w:val="auto"/>
              </w:rPr>
            </w:pPr>
            <w:r>
              <w:rPr>
                <w:rFonts w:ascii="Arial" w:cs="Arial" w:eastAsia="Arial" w:hAnsi="Arial"/>
                <w:sz w:val="17"/>
                <w:szCs w:val="17"/>
                <w:color w:val="auto"/>
              </w:rPr>
              <w:t>January 2013</w:t>
            </w:r>
          </w:p>
        </w:tc>
        <w:tc>
          <w:tcPr>
            <w:tcW w:w="1800" w:type="dxa"/>
            <w:vAlign w:val="bottom"/>
            <w:gridSpan w:val="3"/>
          </w:tcPr>
          <w:p>
            <w:pPr>
              <w:ind w:left="340"/>
              <w:spacing w:after="0"/>
              <w:rPr>
                <w:sz w:val="20"/>
                <w:szCs w:val="20"/>
                <w:color w:val="auto"/>
              </w:rPr>
            </w:pPr>
            <w:r>
              <w:rPr>
                <w:rFonts w:ascii="Arial" w:cs="Arial" w:eastAsia="Arial" w:hAnsi="Arial"/>
                <w:sz w:val="17"/>
                <w:szCs w:val="17"/>
                <w:color w:val="auto"/>
              </w:rPr>
              <w:t>Hong Kong</w:t>
            </w:r>
          </w:p>
        </w:tc>
        <w:tc>
          <w:tcPr>
            <w:tcW w:w="2840" w:type="dxa"/>
            <w:vAlign w:val="bottom"/>
          </w:tcPr>
          <w:p>
            <w:pPr>
              <w:spacing w:after="0"/>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160"/>
              <w:spacing w:after="0"/>
              <w:rPr>
                <w:sz w:val="20"/>
                <w:szCs w:val="20"/>
                <w:color w:val="auto"/>
              </w:rPr>
            </w:pPr>
            <w:r>
              <w:rPr>
                <w:rFonts w:ascii="Arial" w:cs="Arial" w:eastAsia="Arial" w:hAnsi="Arial"/>
                <w:sz w:val="17"/>
                <w:szCs w:val="17"/>
                <w:color w:val="auto"/>
              </w:rPr>
              <w:t>Limited</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Tetris Media (Shanghai) Co.,</w:t>
            </w:r>
          </w:p>
        </w:tc>
        <w:tc>
          <w:tcPr>
            <w:tcW w:w="1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0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100%</w:t>
            </w:r>
          </w:p>
        </w:tc>
        <w:tc>
          <w:tcPr>
            <w:tcW w:w="184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July 2013</w:t>
            </w:r>
          </w:p>
        </w:tc>
        <w:tc>
          <w:tcPr>
            <w:tcW w:w="1800" w:type="dxa"/>
            <w:vAlign w:val="bottom"/>
            <w:gridSpan w:val="3"/>
            <w:shd w:val="clear" w:color="auto" w:fill="CCEEFF"/>
          </w:tcPr>
          <w:p>
            <w:pPr>
              <w:ind w:left="340"/>
              <w:spacing w:after="0" w:line="185" w:lineRule="exact"/>
              <w:rPr>
                <w:sz w:val="20"/>
                <w:szCs w:val="20"/>
                <w:color w:val="auto"/>
              </w:rPr>
            </w:pPr>
            <w:r>
              <w:rPr>
                <w:rFonts w:ascii="Arial" w:cs="Arial" w:eastAsia="Arial" w:hAnsi="Arial"/>
                <w:sz w:val="17"/>
                <w:szCs w:val="17"/>
                <w:color w:val="auto"/>
              </w:rPr>
              <w:t>The PRC</w:t>
            </w:r>
          </w:p>
        </w:tc>
        <w:tc>
          <w:tcPr>
            <w:tcW w:w="28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Internet marketing services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Ltd.</w:t>
            </w: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and solutions</w:t>
            </w:r>
          </w:p>
        </w:tc>
        <w:tc>
          <w:tcPr>
            <w:tcW w:w="0" w:type="dxa"/>
            <w:vAlign w:val="bottom"/>
          </w:tcPr>
          <w:p>
            <w:pPr>
              <w:spacing w:after="0"/>
              <w:rPr>
                <w:sz w:val="1"/>
                <w:szCs w:val="1"/>
                <w:color w:val="auto"/>
              </w:rPr>
            </w:pPr>
          </w:p>
        </w:tc>
      </w:tr>
      <w:tr>
        <w:trPr>
          <w:trHeight w:val="307"/>
        </w:trPr>
        <w:tc>
          <w:tcPr>
            <w:tcW w:w="2500" w:type="dxa"/>
            <w:vAlign w:val="bottom"/>
            <w:gridSpan w:val="3"/>
          </w:tcPr>
          <w:p>
            <w:pPr>
              <w:spacing w:after="0"/>
              <w:rPr>
                <w:sz w:val="20"/>
                <w:szCs w:val="20"/>
                <w:color w:val="auto"/>
              </w:rPr>
            </w:pPr>
            <w:r>
              <w:rPr>
                <w:rFonts w:ascii="Arial" w:cs="Arial" w:eastAsia="Arial" w:hAnsi="Arial"/>
                <w:sz w:val="17"/>
                <w:szCs w:val="17"/>
                <w:color w:val="auto"/>
              </w:rPr>
              <w:t>Buzzinate Company Limited</w:t>
            </w:r>
          </w:p>
        </w:tc>
        <w:tc>
          <w:tcPr>
            <w:tcW w:w="1420" w:type="dxa"/>
            <w:vAlign w:val="bottom"/>
            <w:gridSpan w:val="2"/>
          </w:tcPr>
          <w:p>
            <w:pPr>
              <w:spacing w:after="0"/>
              <w:rPr>
                <w:sz w:val="20"/>
                <w:szCs w:val="20"/>
                <w:color w:val="auto"/>
              </w:rPr>
            </w:pPr>
            <w:r>
              <w:rPr>
                <w:rFonts w:ascii="Arial" w:cs="Arial" w:eastAsia="Arial" w:hAnsi="Arial"/>
                <w:sz w:val="17"/>
                <w:szCs w:val="17"/>
                <w:color w:val="auto"/>
              </w:rPr>
              <w:t>Subsidiary</w:t>
            </w:r>
          </w:p>
        </w:tc>
        <w:tc>
          <w:tcPr>
            <w:tcW w:w="1020" w:type="dxa"/>
            <w:vAlign w:val="bottom"/>
          </w:tcPr>
          <w:p>
            <w:pPr>
              <w:spacing w:after="0"/>
              <w:rPr>
                <w:sz w:val="20"/>
                <w:szCs w:val="20"/>
                <w:color w:val="auto"/>
              </w:rPr>
            </w:pPr>
            <w:r>
              <w:rPr>
                <w:rFonts w:ascii="Arial" w:cs="Arial" w:eastAsia="Arial" w:hAnsi="Arial"/>
                <w:sz w:val="17"/>
                <w:szCs w:val="17"/>
                <w:color w:val="auto"/>
              </w:rPr>
              <w:t>100%</w:t>
            </w:r>
          </w:p>
        </w:tc>
        <w:tc>
          <w:tcPr>
            <w:tcW w:w="1840" w:type="dxa"/>
            <w:vAlign w:val="bottom"/>
            <w:gridSpan w:val="2"/>
          </w:tcPr>
          <w:p>
            <w:pPr>
              <w:ind w:left="340"/>
              <w:spacing w:after="0"/>
              <w:rPr>
                <w:sz w:val="20"/>
                <w:szCs w:val="20"/>
                <w:color w:val="auto"/>
              </w:rPr>
            </w:pPr>
            <w:r>
              <w:rPr>
                <w:rFonts w:ascii="Arial" w:cs="Arial" w:eastAsia="Arial" w:hAnsi="Arial"/>
                <w:sz w:val="17"/>
                <w:szCs w:val="17"/>
                <w:color w:val="auto"/>
              </w:rPr>
              <w:t>March 2009</w:t>
            </w:r>
          </w:p>
        </w:tc>
        <w:tc>
          <w:tcPr>
            <w:tcW w:w="1800" w:type="dxa"/>
            <w:vAlign w:val="bottom"/>
            <w:gridSpan w:val="3"/>
          </w:tcPr>
          <w:p>
            <w:pPr>
              <w:ind w:left="340"/>
              <w:spacing w:after="0"/>
              <w:rPr>
                <w:sz w:val="20"/>
                <w:szCs w:val="20"/>
                <w:color w:val="auto"/>
              </w:rPr>
            </w:pPr>
            <w:r>
              <w:rPr>
                <w:rFonts w:ascii="Arial" w:cs="Arial" w:eastAsia="Arial" w:hAnsi="Arial"/>
                <w:sz w:val="17"/>
                <w:szCs w:val="17"/>
                <w:color w:val="auto"/>
              </w:rPr>
              <w:t>Hong Kong</w:t>
            </w:r>
          </w:p>
        </w:tc>
        <w:tc>
          <w:tcPr>
            <w:tcW w:w="2840" w:type="dxa"/>
            <w:vAlign w:val="bottom"/>
          </w:tcPr>
          <w:p>
            <w:pPr>
              <w:spacing w:after="0"/>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8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Buzzinate (Shanghai)</w:t>
            </w:r>
          </w:p>
        </w:tc>
        <w:tc>
          <w:tcPr>
            <w:tcW w:w="14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Subsidiary</w:t>
            </w:r>
          </w:p>
        </w:tc>
        <w:tc>
          <w:tcPr>
            <w:tcW w:w="102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100%</w:t>
            </w:r>
          </w:p>
        </w:tc>
        <w:tc>
          <w:tcPr>
            <w:tcW w:w="184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July 2009</w:t>
            </w:r>
          </w:p>
        </w:tc>
        <w:tc>
          <w:tcPr>
            <w:tcW w:w="1800" w:type="dxa"/>
            <w:vAlign w:val="bottom"/>
            <w:gridSpan w:val="3"/>
            <w:shd w:val="clear" w:color="auto" w:fill="CCEEFF"/>
          </w:tcPr>
          <w:p>
            <w:pPr>
              <w:ind w:left="340"/>
              <w:spacing w:after="0" w:line="185" w:lineRule="exact"/>
              <w:rPr>
                <w:sz w:val="20"/>
                <w:szCs w:val="20"/>
                <w:color w:val="auto"/>
              </w:rPr>
            </w:pPr>
            <w:r>
              <w:rPr>
                <w:rFonts w:ascii="Arial" w:cs="Arial" w:eastAsia="Arial" w:hAnsi="Arial"/>
                <w:sz w:val="17"/>
                <w:szCs w:val="17"/>
                <w:color w:val="auto"/>
              </w:rPr>
              <w:t>The PRC</w:t>
            </w:r>
          </w:p>
        </w:tc>
        <w:tc>
          <w:tcPr>
            <w:tcW w:w="28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Technology 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Information Technology</w:t>
            </w: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service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 Ltd.</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500" w:type="dxa"/>
            <w:vAlign w:val="bottom"/>
            <w:gridSpan w:val="3"/>
          </w:tcPr>
          <w:p>
            <w:pPr>
              <w:spacing w:after="0"/>
              <w:rPr>
                <w:sz w:val="20"/>
                <w:szCs w:val="20"/>
                <w:color w:val="auto"/>
              </w:rPr>
            </w:pPr>
            <w:r>
              <w:rPr>
                <w:rFonts w:ascii="Arial" w:cs="Arial" w:eastAsia="Arial" w:hAnsi="Arial"/>
                <w:sz w:val="18"/>
                <w:szCs w:val="18"/>
                <w:color w:val="auto"/>
              </w:rPr>
              <w:t>OptAim Limited</w:t>
            </w:r>
          </w:p>
        </w:tc>
        <w:tc>
          <w:tcPr>
            <w:tcW w:w="14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020" w:type="dxa"/>
            <w:vAlign w:val="bottom"/>
          </w:tcPr>
          <w:p>
            <w:pPr>
              <w:spacing w:after="0"/>
              <w:rPr>
                <w:sz w:val="20"/>
                <w:szCs w:val="20"/>
                <w:color w:val="auto"/>
              </w:rPr>
            </w:pPr>
            <w:r>
              <w:rPr>
                <w:rFonts w:ascii="Arial" w:cs="Arial" w:eastAsia="Arial" w:hAnsi="Arial"/>
                <w:sz w:val="18"/>
                <w:szCs w:val="18"/>
                <w:color w:val="auto"/>
              </w:rPr>
              <w:t>100%</w:t>
            </w:r>
          </w:p>
        </w:tc>
        <w:tc>
          <w:tcPr>
            <w:tcW w:w="1840" w:type="dxa"/>
            <w:vAlign w:val="bottom"/>
            <w:gridSpan w:val="2"/>
          </w:tcPr>
          <w:p>
            <w:pPr>
              <w:ind w:left="340"/>
              <w:spacing w:after="0"/>
              <w:rPr>
                <w:sz w:val="20"/>
                <w:szCs w:val="20"/>
                <w:color w:val="auto"/>
              </w:rPr>
            </w:pPr>
            <w:r>
              <w:rPr>
                <w:rFonts w:ascii="Arial" w:cs="Arial" w:eastAsia="Arial" w:hAnsi="Arial"/>
                <w:sz w:val="18"/>
                <w:szCs w:val="18"/>
                <w:color w:val="auto"/>
              </w:rPr>
              <w:t>July 2014</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Cayman</w:t>
            </w:r>
          </w:p>
        </w:tc>
        <w:tc>
          <w:tcPr>
            <w:tcW w:w="2840" w:type="dxa"/>
            <w:vAlign w:val="bottom"/>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Islands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(HK) Limited</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Subsidiary</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July 2014</w:t>
            </w:r>
          </w:p>
        </w:tc>
        <w:tc>
          <w:tcPr>
            <w:tcW w:w="1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Hong Kong</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10"/>
        </w:trPr>
        <w:tc>
          <w:tcPr>
            <w:tcW w:w="2500" w:type="dxa"/>
            <w:vAlign w:val="bottom"/>
            <w:gridSpan w:val="3"/>
          </w:tcPr>
          <w:p>
            <w:pPr>
              <w:spacing w:after="0"/>
              <w:rPr>
                <w:sz w:val="20"/>
                <w:szCs w:val="20"/>
                <w:color w:val="auto"/>
              </w:rPr>
            </w:pPr>
            <w:r>
              <w:rPr>
                <w:rFonts w:ascii="Arial" w:cs="Arial" w:eastAsia="Arial" w:hAnsi="Arial"/>
                <w:sz w:val="18"/>
                <w:szCs w:val="18"/>
                <w:color w:val="auto"/>
              </w:rPr>
              <w:t>OptAim (Beijing)</w:t>
            </w:r>
          </w:p>
        </w:tc>
        <w:tc>
          <w:tcPr>
            <w:tcW w:w="14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020" w:type="dxa"/>
            <w:vAlign w:val="bottom"/>
          </w:tcPr>
          <w:p>
            <w:pPr>
              <w:spacing w:after="0"/>
              <w:rPr>
                <w:sz w:val="20"/>
                <w:szCs w:val="20"/>
                <w:color w:val="auto"/>
              </w:rPr>
            </w:pPr>
            <w:r>
              <w:rPr>
                <w:rFonts w:ascii="Arial" w:cs="Arial" w:eastAsia="Arial" w:hAnsi="Arial"/>
                <w:sz w:val="18"/>
                <w:szCs w:val="18"/>
                <w:color w:val="auto"/>
              </w:rPr>
              <w:t>100%</w:t>
            </w:r>
          </w:p>
        </w:tc>
        <w:tc>
          <w:tcPr>
            <w:tcW w:w="1840" w:type="dxa"/>
            <w:vAlign w:val="bottom"/>
            <w:gridSpan w:val="2"/>
          </w:tcPr>
          <w:p>
            <w:pPr>
              <w:ind w:left="340"/>
              <w:spacing w:after="0"/>
              <w:rPr>
                <w:sz w:val="20"/>
                <w:szCs w:val="20"/>
                <w:color w:val="auto"/>
              </w:rPr>
            </w:pPr>
            <w:r>
              <w:rPr>
                <w:rFonts w:ascii="Arial" w:cs="Arial" w:eastAsia="Arial" w:hAnsi="Arial"/>
                <w:sz w:val="18"/>
                <w:szCs w:val="18"/>
                <w:color w:val="auto"/>
              </w:rPr>
              <w:t>November 2014</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The PRC</w:t>
            </w:r>
          </w:p>
        </w:tc>
        <w:tc>
          <w:tcPr>
            <w:tcW w:w="2840" w:type="dxa"/>
            <w:vAlign w:val="bottom"/>
          </w:tcPr>
          <w:p>
            <w:pPr>
              <w:spacing w:after="0"/>
              <w:rPr>
                <w:sz w:val="20"/>
                <w:szCs w:val="20"/>
                <w:color w:val="auto"/>
              </w:rPr>
            </w:pPr>
            <w:r>
              <w:rPr>
                <w:rFonts w:ascii="Arial" w:cs="Arial" w:eastAsia="Arial" w:hAnsi="Arial"/>
                <w:sz w:val="18"/>
                <w:szCs w:val="18"/>
                <w:color w:val="auto"/>
              </w:rPr>
              <w:t>Internet marketing services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Information Technology</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Co., Ltd.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OptAim Network</w:t>
            </w:r>
          </w:p>
        </w:tc>
        <w:tc>
          <w:tcPr>
            <w:tcW w:w="1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VIE</w:t>
            </w:r>
          </w:p>
        </w:tc>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w:t>
            </w:r>
          </w:p>
        </w:tc>
        <w:tc>
          <w:tcPr>
            <w:tcW w:w="1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September 2012</w:t>
            </w:r>
          </w:p>
        </w:tc>
        <w:tc>
          <w:tcPr>
            <w:tcW w:w="18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The PRC</w:t>
            </w: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Internet marketing services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Co., Ltd.</w:t>
            </w: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310"/>
        </w:trPr>
        <w:tc>
          <w:tcPr>
            <w:tcW w:w="2500" w:type="dxa"/>
            <w:vAlign w:val="bottom"/>
            <w:gridSpan w:val="3"/>
          </w:tcPr>
          <w:p>
            <w:pPr>
              <w:spacing w:after="0"/>
              <w:rPr>
                <w:sz w:val="20"/>
                <w:szCs w:val="20"/>
                <w:color w:val="auto"/>
              </w:rPr>
            </w:pPr>
            <w:r>
              <w:rPr>
                <w:rFonts w:ascii="Arial" w:cs="Arial" w:eastAsia="Arial" w:hAnsi="Arial"/>
                <w:sz w:val="18"/>
                <w:szCs w:val="18"/>
                <w:color w:val="auto"/>
              </w:rPr>
              <w:t>Zhiyunzhong (Shanghai)</w:t>
            </w:r>
          </w:p>
        </w:tc>
        <w:tc>
          <w:tcPr>
            <w:tcW w:w="1420" w:type="dxa"/>
            <w:vAlign w:val="bottom"/>
            <w:gridSpan w:val="2"/>
          </w:tcPr>
          <w:p>
            <w:pPr>
              <w:spacing w:after="0"/>
              <w:rPr>
                <w:sz w:val="20"/>
                <w:szCs w:val="20"/>
                <w:color w:val="auto"/>
              </w:rPr>
            </w:pPr>
            <w:r>
              <w:rPr>
                <w:rFonts w:ascii="Arial" w:cs="Arial" w:eastAsia="Arial" w:hAnsi="Arial"/>
                <w:sz w:val="18"/>
                <w:szCs w:val="18"/>
                <w:color w:val="auto"/>
              </w:rPr>
              <w:t>VIE’s</w:t>
            </w:r>
          </w:p>
        </w:tc>
        <w:tc>
          <w:tcPr>
            <w:tcW w:w="1020" w:type="dxa"/>
            <w:vAlign w:val="bottom"/>
          </w:tcPr>
          <w:p>
            <w:pPr>
              <w:spacing w:after="0"/>
              <w:rPr>
                <w:sz w:val="20"/>
                <w:szCs w:val="20"/>
                <w:color w:val="auto"/>
              </w:rPr>
            </w:pPr>
            <w:r>
              <w:rPr>
                <w:rFonts w:ascii="Arial" w:cs="Arial" w:eastAsia="Arial" w:hAnsi="Arial"/>
                <w:sz w:val="18"/>
                <w:szCs w:val="18"/>
                <w:color w:val="auto"/>
              </w:rPr>
              <w:t>100%</w:t>
            </w:r>
          </w:p>
        </w:tc>
        <w:tc>
          <w:tcPr>
            <w:tcW w:w="1840" w:type="dxa"/>
            <w:vAlign w:val="bottom"/>
            <w:gridSpan w:val="2"/>
          </w:tcPr>
          <w:p>
            <w:pPr>
              <w:ind w:left="340"/>
              <w:spacing w:after="0"/>
              <w:rPr>
                <w:sz w:val="20"/>
                <w:szCs w:val="20"/>
                <w:color w:val="auto"/>
              </w:rPr>
            </w:pPr>
            <w:r>
              <w:rPr>
                <w:rFonts w:ascii="Arial" w:cs="Arial" w:eastAsia="Arial" w:hAnsi="Arial"/>
                <w:sz w:val="18"/>
                <w:szCs w:val="18"/>
                <w:color w:val="auto"/>
              </w:rPr>
              <w:t>September 2014</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The PRC</w:t>
            </w:r>
          </w:p>
        </w:tc>
        <w:tc>
          <w:tcPr>
            <w:tcW w:w="2840" w:type="dxa"/>
            <w:vAlign w:val="bottom"/>
          </w:tcPr>
          <w:p>
            <w:pPr>
              <w:spacing w:after="0"/>
              <w:rPr>
                <w:sz w:val="20"/>
                <w:szCs w:val="20"/>
                <w:color w:val="auto"/>
              </w:rPr>
            </w:pPr>
            <w:r>
              <w:rPr>
                <w:rFonts w:ascii="Arial" w:cs="Arial" w:eastAsia="Arial" w:hAnsi="Arial"/>
                <w:sz w:val="18"/>
                <w:szCs w:val="18"/>
                <w:color w:val="auto"/>
              </w:rPr>
              <w:t>Internet marketing services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Technology Co., Ltd.</w:t>
            </w:r>
          </w:p>
        </w:tc>
        <w:tc>
          <w:tcPr>
            <w:tcW w:w="14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May 2010</w:t>
            </w:r>
          </w:p>
        </w:tc>
        <w:tc>
          <w:tcPr>
            <w:tcW w:w="1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BVI</w:t>
            </w: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 hold treasury shares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the Company acquired OptAim WFOE in July 2015, OptAim WFOE is considered as a foreign invested enterprise and any foreign ownership in advertising business was subject to certain restrictions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13" w:lineRule="exact"/>
        <w:rPr>
          <w:sz w:val="20"/>
          <w:szCs w:val="20"/>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right="60"/>
        <w:spacing w:after="0" w:line="293" w:lineRule="auto"/>
        <w:rPr>
          <w:sz w:val="20"/>
          <w:szCs w:val="20"/>
          <w:color w:val="auto"/>
        </w:rPr>
      </w:pPr>
      <w:r>
        <w:rPr>
          <w:rFonts w:ascii="Arial" w:cs="Arial" w:eastAsia="Arial" w:hAnsi="Arial"/>
          <w:sz w:val="16"/>
          <w:szCs w:val="16"/>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13" w:lineRule="exact"/>
        <w:rPr>
          <w:sz w:val="20"/>
          <w:szCs w:val="20"/>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256" w:lineRule="exact"/>
        <w:rPr>
          <w:sz w:val="20"/>
          <w:szCs w:val="20"/>
          <w:color w:val="auto"/>
        </w:rPr>
      </w:pPr>
    </w:p>
    <w:p>
      <w:pPr>
        <w:ind w:left="900" w:hanging="446"/>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62"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20" w:hanging="547"/>
        <w:spacing w:after="0" w:line="277" w:lineRule="auto"/>
        <w:tabs>
          <w:tab w:leader="none" w:pos="1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920" w:right="44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73" w:lineRule="exact"/>
        <w:rPr>
          <w:sz w:val="20"/>
          <w:szCs w:val="20"/>
          <w:color w:val="auto"/>
        </w:rPr>
      </w:pPr>
    </w:p>
    <w:p>
      <w:pPr>
        <w:ind w:left="920" w:right="260"/>
        <w:spacing w:after="0" w:line="259" w:lineRule="auto"/>
        <w:rPr>
          <w:sz w:val="20"/>
          <w:szCs w:val="20"/>
          <w:color w:val="auto"/>
        </w:rPr>
      </w:pPr>
      <w:r>
        <w:rPr>
          <w:rFonts w:ascii="Arial" w:cs="Arial" w:eastAsia="Arial" w:hAnsi="Arial"/>
          <w:sz w:val="18"/>
          <w:szCs w:val="18"/>
          <w:color w:val="auto"/>
        </w:rPr>
        <w:t>As of December 31, 2016 and June 30, 2017, the total assets of OptAim VIE and its subsidiary were US$27,135 and US$ 5,926, respectively, mainly comprising cash and cash equivalents, accounts receivable, prepayments and other current assets, property and equipment. As of December 31, 2016 and June 30, 2017, the total liabilities of the OptAim VIE and its subsidiary were US$12,310 and US$9,741 respectively, mainly comprising deferred revenue, accrued liabilities and other current liabilities.</w:t>
      </w:r>
    </w:p>
    <w:p>
      <w:pPr>
        <w:spacing w:after="0" w:line="79"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US$ 2,081, respectively, as of December 31, 2016 and June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380"/>
          </w:cols>
          <w:pgMar w:left="240" w:top="460" w:right="2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Pledge Agreement (Continued)</w:t>
      </w:r>
    </w:p>
    <w:p>
      <w:pPr>
        <w:spacing w:after="0" w:line="131" w:lineRule="exact"/>
        <w:rPr>
          <w:sz w:val="20"/>
          <w:szCs w:val="20"/>
          <w:color w:val="auto"/>
        </w:rPr>
      </w:pPr>
    </w:p>
    <w:p>
      <w:pPr>
        <w:ind w:left="920" w:right="40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60"/>
        <w:spacing w:after="0" w:line="279" w:lineRule="auto"/>
        <w:rPr>
          <w:sz w:val="20"/>
          <w:szCs w:val="20"/>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use of estimates</w:t>
      </w:r>
    </w:p>
    <w:p>
      <w:pPr>
        <w:spacing w:after="0" w:line="121" w:lineRule="exact"/>
        <w:rPr>
          <w:rFonts w:ascii="Arial" w:cs="Arial" w:eastAsia="Arial" w:hAnsi="Arial"/>
          <w:sz w:val="18"/>
          <w:szCs w:val="18"/>
          <w:b w:val="1"/>
          <w:bCs w:val="1"/>
          <w:color w:val="auto"/>
        </w:rPr>
      </w:pPr>
    </w:p>
    <w:p>
      <w:pPr>
        <w:ind w:left="460" w:righ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7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8"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73" w:lineRule="exact"/>
        <w:rPr>
          <w:rFonts w:ascii="Arial" w:cs="Arial" w:eastAsia="Arial" w:hAnsi="Arial"/>
          <w:sz w:val="18"/>
          <w:szCs w:val="18"/>
          <w:b w:val="1"/>
          <w:bCs w:val="1"/>
          <w:color w:val="auto"/>
        </w:rPr>
      </w:pPr>
    </w:p>
    <w:p>
      <w:pPr>
        <w:jc w:val="both"/>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jc w:val="both"/>
        <w:ind w:left="460" w:right="28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interim condensed consolidated financial statements. The Company plans to continue the evaluation, analysis and documentation of its adoption of ASU</w:t>
      </w:r>
    </w:p>
    <w:p>
      <w:pPr>
        <w:ind w:left="460" w:right="28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2014-9 (including those subsequently issued updates that clarify its provisions) throughout 2017 as the Company works towards the implementation and finalizes its determination of the impact that the adoption will have on its interim condensed consolidated financial statements.</w:t>
      </w:r>
    </w:p>
    <w:p>
      <w:pPr>
        <w:spacing w:after="0" w:line="30"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interim condensed consolidated financial statements and the related disclosures</w:t>
      </w:r>
    </w:p>
    <w:p>
      <w:pPr>
        <w:spacing w:after="0" w:line="78" w:lineRule="exact"/>
        <w:rPr>
          <w:rFonts w:ascii="Arial" w:cs="Arial" w:eastAsia="Arial" w:hAnsi="Arial"/>
          <w:sz w:val="18"/>
          <w:szCs w:val="18"/>
          <w:b w:val="1"/>
          <w:bCs w:val="1"/>
          <w:color w:val="auto"/>
        </w:rPr>
      </w:pPr>
    </w:p>
    <w:p>
      <w:pPr>
        <w:ind w:left="460" w:right="3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(early adoption is permitted). The Company adopted ASU 2015-17 on January 1, 2017, and the impact of the adoption did not have a material impact on the interim condensed consolidated financial statements and related disclosures.</w:t>
      </w:r>
    </w:p>
    <w:p>
      <w:pPr>
        <w:spacing w:after="0" w:line="62"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public business entities, the amendments in this update are effective for fiscal years beginning after December 15, 2018, including interim periods within those fiscal years. The Company is in the process of evaluating the impact of the standard on its interim condensed consolidated financial statements.</w:t>
      </w:r>
    </w:p>
    <w:p>
      <w:pPr>
        <w:spacing w:after="0" w:line="73"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interim condensed consolidated financial statements.</w:t>
      </w:r>
    </w:p>
    <w:p>
      <w:pPr>
        <w:spacing w:after="0" w:line="50"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interim condensed consolidated financial statements.</w:t>
      </w:r>
    </w:p>
    <w:p>
      <w:pPr>
        <w:spacing w:after="0" w:line="80"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1" w:lineRule="exact"/>
        <w:rPr>
          <w:rFonts w:ascii="Arial" w:cs="Arial" w:eastAsia="Arial" w:hAnsi="Arial"/>
          <w:sz w:val="18"/>
          <w:szCs w:val="18"/>
          <w:b w:val="1"/>
          <w:bCs w:val="1"/>
          <w:color w:val="auto"/>
        </w:rPr>
      </w:pPr>
    </w:p>
    <w:p>
      <w:pPr>
        <w:ind w:left="46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2017-01 to have a material impact to the Company’s interim condensed consolidated financial statements, but will evaluate the impact of adopting this standard prospectively upon any transactions of acquisitions or disposals of assets of businesses.</w:t>
      </w:r>
    </w:p>
    <w:p>
      <w:pPr>
        <w:spacing w:after="0" w:line="75"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ind w:left="460" w:right="3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380"/>
          </w:cols>
          <w:pgMar w:left="240" w:top="460" w:right="2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including interim periods within those fiscal years. The Company adopted ASU 2016-09 on January 1, 2017 and the adoption did not have a material impact on the interim condensed consolidated financial statements and the related disclosures.</w:t>
      </w:r>
    </w:p>
    <w:p>
      <w:pPr>
        <w:spacing w:after="0" w:line="62"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interim condensed consolidated financial statements.</w:t>
      </w:r>
    </w:p>
    <w:p>
      <w:pPr>
        <w:spacing w:after="0" w:line="78" w:lineRule="exact"/>
        <w:rPr>
          <w:rFonts w:ascii="Arial" w:cs="Arial" w:eastAsia="Arial" w:hAnsi="Arial"/>
          <w:sz w:val="18"/>
          <w:szCs w:val="18"/>
          <w:b w:val="1"/>
          <w:bCs w:val="1"/>
          <w:color w:val="auto"/>
        </w:rPr>
      </w:pPr>
    </w:p>
    <w:p>
      <w:pPr>
        <w:ind w:left="46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interim condensed consolidated financial statements.</w:t>
      </w:r>
    </w:p>
    <w:p>
      <w:pPr>
        <w:spacing w:after="0" w:line="309"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2" w:lineRule="exact"/>
        <w:rPr>
          <w:rFonts w:ascii="Arial" w:cs="Arial" w:eastAsia="Arial" w:hAnsi="Arial"/>
          <w:sz w:val="18"/>
          <w:szCs w:val="18"/>
          <w:b w:val="1"/>
          <w:bCs w:val="1"/>
          <w:color w:val="auto"/>
        </w:rPr>
      </w:pPr>
    </w:p>
    <w:p>
      <w:pPr>
        <w:ind w:left="900" w:hanging="446"/>
        <w:spacing w:after="0"/>
        <w:tabs>
          <w:tab w:leader="none" w:pos="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5"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8"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80" w:lineRule="exact"/>
        <w:rPr>
          <w:rFonts w:ascii="Arial" w:cs="Arial" w:eastAsia="Arial" w:hAnsi="Arial"/>
          <w:sz w:val="18"/>
          <w:szCs w:val="18"/>
          <w:b w:val="1"/>
          <w:bCs w:val="1"/>
          <w:color w:val="auto"/>
        </w:rPr>
      </w:pPr>
    </w:p>
    <w:p>
      <w:pPr>
        <w:ind w:left="460"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380"/>
          </w:cols>
          <w:pgMar w:left="240" w:top="459" w:right="2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4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subsidiary excluding the intercompany items with the Company’s subsidiaries was included in the accompanying financial statements as of December 31, 2016 and June 30, 2017 and for the six months ended June 30, 2016 and 2017:</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40" w:type="dxa"/>
            <w:vAlign w:val="bottom"/>
            <w:gridSpan w:val="6"/>
          </w:tcPr>
          <w:p>
            <w:pPr>
              <w:jc w:val="right"/>
              <w:ind w:right="888"/>
              <w:spacing w:after="0"/>
              <w:rPr>
                <w:sz w:val="20"/>
                <w:szCs w:val="20"/>
                <w:color w:val="auto"/>
              </w:rPr>
            </w:pPr>
            <w:r>
              <w:rPr>
                <w:rFonts w:ascii="Arial" w:cs="Arial" w:eastAsia="Arial" w:hAnsi="Arial"/>
                <w:sz w:val="14"/>
                <w:szCs w:val="14"/>
                <w:color w:val="auto"/>
              </w:rPr>
              <w:t>December 31, 2016</w:t>
            </w:r>
          </w:p>
        </w:tc>
        <w:tc>
          <w:tcPr>
            <w:tcW w:w="880" w:type="dxa"/>
            <w:vAlign w:val="bottom"/>
            <w:gridSpan w:val="5"/>
          </w:tcPr>
          <w:p>
            <w:pPr>
              <w:spacing w:after="0"/>
              <w:rPr>
                <w:sz w:val="20"/>
                <w:szCs w:val="20"/>
                <w:color w:val="auto"/>
              </w:rPr>
            </w:pPr>
            <w:r>
              <w:rPr>
                <w:rFonts w:ascii="Arial" w:cs="Arial" w:eastAsia="Arial" w:hAnsi="Arial"/>
                <w:sz w:val="14"/>
                <w:szCs w:val="14"/>
                <w:color w:val="auto"/>
                <w:w w:val="96"/>
              </w:rPr>
              <w:t>June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8,129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Accounts payable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174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8"/>
          </w:tcPr>
          <w:p>
            <w:pPr>
              <w:jc w:val="center"/>
              <w:ind w:right="140"/>
              <w:spacing w:after="0"/>
              <w:rPr>
                <w:sz w:val="20"/>
                <w:szCs w:val="20"/>
                <w:color w:val="auto"/>
              </w:rPr>
            </w:pPr>
            <w:r>
              <w:rPr>
                <w:rFonts w:ascii="Arial" w:cs="Arial" w:eastAsia="Arial" w:hAnsi="Arial"/>
                <w:sz w:val="14"/>
                <w:szCs w:val="14"/>
                <w:color w:val="auto"/>
                <w:w w:val="93"/>
              </w:rPr>
              <w:t>For the six months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8"/>
          </w:tcPr>
          <w:p>
            <w:pPr>
              <w:jc w:val="center"/>
              <w:ind w:right="160"/>
              <w:spacing w:after="0"/>
              <w:rPr>
                <w:sz w:val="20"/>
                <w:szCs w:val="20"/>
                <w:color w:val="auto"/>
              </w:rPr>
            </w:pPr>
            <w:r>
              <w:rPr>
                <w:rFonts w:ascii="Arial" w:cs="Arial" w:eastAsia="Arial" w:hAnsi="Arial"/>
                <w:sz w:val="14"/>
                <w:szCs w:val="14"/>
                <w:color w:val="auto"/>
                <w:w w:val="89"/>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140" w:type="dxa"/>
            <w:vAlign w:val="bottom"/>
            <w:gridSpan w:val="3"/>
          </w:tcPr>
          <w:p>
            <w:pPr>
              <w:spacing w:after="0"/>
              <w:rPr>
                <w:sz w:val="12"/>
                <w:szCs w:val="12"/>
                <w:color w:val="auto"/>
              </w:rPr>
            </w:pPr>
          </w:p>
        </w:tc>
        <w:tc>
          <w:tcPr>
            <w:tcW w:w="640" w:type="dxa"/>
            <w:vAlign w:val="bottom"/>
            <w:tcBorders>
              <w:top w:val="single" w:sz="8" w:color="auto"/>
            </w:tcBorders>
            <w:gridSpan w:val="2"/>
          </w:tcPr>
          <w:p>
            <w:pPr>
              <w:jc w:val="right"/>
              <w:ind w:right="161"/>
              <w:spacing w:after="0" w:line="142" w:lineRule="exact"/>
              <w:rPr>
                <w:sz w:val="20"/>
                <w:szCs w:val="20"/>
                <w:color w:val="auto"/>
              </w:rPr>
            </w:pPr>
            <w:r>
              <w:rPr>
                <w:rFonts w:ascii="Arial" w:cs="Arial" w:eastAsia="Arial" w:hAnsi="Arial"/>
                <w:sz w:val="14"/>
                <w:szCs w:val="14"/>
                <w:color w:val="auto"/>
              </w:rPr>
              <w:t>2016</w:t>
            </w: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7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9,649</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profit/(loss)</w:t>
            </w:r>
          </w:p>
        </w:tc>
        <w:tc>
          <w:tcPr>
            <w:tcW w:w="3780" w:type="dxa"/>
            <w:vAlign w:val="bottom"/>
            <w:gridSpan w:val="5"/>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20"/>
                <w:szCs w:val="20"/>
                <w:color w:val="auto"/>
              </w:rPr>
            </w:pPr>
          </w:p>
        </w:tc>
        <w:tc>
          <w:tcPr>
            <w:tcW w:w="820" w:type="dxa"/>
            <w:vAlign w:val="bottom"/>
            <w:gridSpan w:val="4"/>
          </w:tcPr>
          <w:p>
            <w:pPr>
              <w:ind w:left="420"/>
              <w:spacing w:after="0"/>
              <w:rPr>
                <w:sz w:val="20"/>
                <w:szCs w:val="20"/>
                <w:color w:val="auto"/>
              </w:rPr>
            </w:pPr>
            <w:r>
              <w:rPr>
                <w:rFonts w:ascii="Arial" w:cs="Arial" w:eastAsia="Arial" w:hAnsi="Arial"/>
                <w:sz w:val="18"/>
                <w:szCs w:val="18"/>
                <w:color w:val="auto"/>
                <w:w w:val="90"/>
              </w:rPr>
              <w:t>(274)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120"/>
              <w:spacing w:after="0"/>
              <w:rPr>
                <w:sz w:val="20"/>
                <w:szCs w:val="20"/>
                <w:color w:val="auto"/>
              </w:rPr>
            </w:pPr>
            <w:r>
              <w:rPr>
                <w:rFonts w:ascii="Arial" w:cs="Arial" w:eastAsia="Arial" w:hAnsi="Arial"/>
                <w:sz w:val="14"/>
                <w:szCs w:val="14"/>
                <w:color w:val="auto"/>
                <w:w w:val="91"/>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7"/>
          </w:tcPr>
          <w:p>
            <w:pPr>
              <w:jc w:val="center"/>
              <w:ind w:right="120"/>
              <w:spacing w:after="0" w:line="149" w:lineRule="exact"/>
              <w:rPr>
                <w:sz w:val="20"/>
                <w:szCs w:val="20"/>
                <w:color w:val="auto"/>
              </w:rPr>
            </w:pPr>
            <w:r>
              <w:rPr>
                <w:rFonts w:ascii="Arial" w:cs="Arial" w:eastAsia="Arial" w:hAnsi="Arial"/>
                <w:sz w:val="14"/>
                <w:szCs w:val="14"/>
                <w:color w:val="auto"/>
                <w:w w:val="90"/>
              </w:rPr>
              <w:t>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6"/>
          </w:tcPr>
          <w:p>
            <w:pPr>
              <w:jc w:val="center"/>
              <w:ind w:right="46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40" w:type="dxa"/>
            <w:vAlign w:val="bottom"/>
            <w:gridSpan w:val="4"/>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2016</w:t>
            </w: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42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provided by/(used in) operating activities</w:t>
            </w:r>
          </w:p>
        </w:tc>
        <w:tc>
          <w:tcPr>
            <w:tcW w:w="3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40" w:type="dxa"/>
            <w:vAlign w:val="bottom"/>
            <w:gridSpan w:val="4"/>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increase/(decrease) in cash and cash equivalents</w:t>
            </w:r>
          </w:p>
        </w:tc>
        <w:tc>
          <w:tcPr>
            <w:tcW w:w="3440" w:type="dxa"/>
            <w:vAlign w:val="bottom"/>
            <w:gridSpan w:val="4"/>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840" w:type="dxa"/>
            <w:vAlign w:val="bottom"/>
            <w:gridSpan w:val="6"/>
          </w:tcPr>
          <w:p>
            <w:pPr>
              <w:jc w:val="right"/>
              <w:ind w:right="3228"/>
              <w:spacing w:after="0"/>
              <w:rPr>
                <w:sz w:val="20"/>
                <w:szCs w:val="20"/>
                <w:color w:val="auto"/>
              </w:rPr>
            </w:pPr>
            <w:r>
              <w:rPr>
                <w:rFonts w:ascii="Arial" w:cs="Arial" w:eastAsia="Arial" w:hAnsi="Arial"/>
                <w:sz w:val="18"/>
                <w:szCs w:val="18"/>
                <w:color w:val="auto"/>
              </w:rPr>
              <w:t>F-90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63"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8" w:lineRule="exact"/>
        <w:rPr>
          <w:rFonts w:ascii="Arial" w:cs="Arial" w:eastAsia="Arial" w:hAnsi="Arial"/>
          <w:sz w:val="18"/>
          <w:szCs w:val="18"/>
          <w:b w:val="1"/>
          <w:bCs w:val="1"/>
          <w:color w:val="auto"/>
        </w:rPr>
      </w:pPr>
    </w:p>
    <w:p>
      <w:pPr>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17"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380"/>
          </w:cols>
          <w:pgMar w:left="240" w:top="460" w:right="2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34"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infrequent transactions (less active markets); or model-derived valuations in which significant inputs are observable or can be derived principally from, or corroborated by, observable market data.</w:t>
      </w:r>
    </w:p>
    <w:p>
      <w:pPr>
        <w:spacing w:after="0" w:line="62"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4"/>
                <w:szCs w:val="14"/>
                <w:b w:val="1"/>
                <w:bCs w:val="1"/>
                <w:color w:val="auto"/>
              </w:rPr>
              <w:t>Fair value measurements using</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tcPr>
          <w:p>
            <w:pPr>
              <w:jc w:val="center"/>
              <w:spacing w:after="0" w:line="123" w:lineRule="exact"/>
              <w:rPr>
                <w:sz w:val="20"/>
                <w:szCs w:val="20"/>
                <w:color w:val="auto"/>
              </w:rPr>
            </w:pPr>
            <w:r>
              <w:rPr>
                <w:rFonts w:ascii="Arial" w:cs="Arial" w:eastAsia="Arial" w:hAnsi="Arial"/>
                <w:sz w:val="14"/>
                <w:szCs w:val="14"/>
                <w:color w:val="auto"/>
                <w:w w:val="91"/>
              </w:rPr>
              <w:t>Quoted prices</w:t>
            </w:r>
          </w:p>
        </w:tc>
        <w:tc>
          <w:tcPr>
            <w:tcW w:w="1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3"/>
              </w:rPr>
              <w:t>in active</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060" w:type="dxa"/>
            <w:vAlign w:val="bottom"/>
            <w:gridSpan w:val="2"/>
          </w:tcPr>
          <w:p>
            <w:pPr>
              <w:jc w:val="center"/>
              <w:ind w:left="96"/>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7"/>
              </w:rPr>
              <w:t>identical</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0"/>
              </w:rPr>
              <w:t>observable</w:t>
            </w:r>
          </w:p>
        </w:tc>
        <w:tc>
          <w:tcPr>
            <w:tcW w:w="1060" w:type="dxa"/>
            <w:vAlign w:val="bottom"/>
            <w:gridSpan w:val="2"/>
          </w:tcPr>
          <w:p>
            <w:pPr>
              <w:jc w:val="center"/>
              <w:ind w:left="96"/>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6040" w:type="dxa"/>
            <w:vAlign w:val="bottom"/>
          </w:tcPr>
          <w:p>
            <w:pPr>
              <w:spacing w:after="0"/>
              <w:rPr>
                <w:sz w:val="12"/>
                <w:szCs w:val="12"/>
                <w:color w:val="auto"/>
              </w:rPr>
            </w:pPr>
          </w:p>
        </w:tc>
        <w:tc>
          <w:tcPr>
            <w:tcW w:w="82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95"/>
              </w:rPr>
              <w:t>Total fair</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3"/>
              </w:rPr>
              <w:t>assets</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96"/>
              </w:rPr>
              <w:t>inputs</w:t>
            </w:r>
          </w:p>
        </w:tc>
        <w:tc>
          <w:tcPr>
            <w:tcW w:w="1060" w:type="dxa"/>
            <w:vAlign w:val="bottom"/>
            <w:gridSpan w:val="2"/>
          </w:tcPr>
          <w:p>
            <w:pPr>
              <w:jc w:val="center"/>
              <w:ind w:left="96"/>
              <w:spacing w:after="0" w:line="149" w:lineRule="exact"/>
              <w:rPr>
                <w:sz w:val="20"/>
                <w:szCs w:val="20"/>
                <w:color w:val="auto"/>
              </w:rPr>
            </w:pPr>
            <w:r>
              <w:rPr>
                <w:rFonts w:ascii="Arial" w:cs="Arial" w:eastAsia="Arial" w:hAnsi="Arial"/>
                <w:sz w:val="14"/>
                <w:szCs w:val="14"/>
                <w:color w:val="auto"/>
                <w:w w:val="96"/>
              </w:rPr>
              <w:t>inputs</w:t>
            </w:r>
          </w:p>
        </w:tc>
      </w:tr>
      <w:tr>
        <w:trPr>
          <w:trHeight w:val="167"/>
        </w:trPr>
        <w:tc>
          <w:tcPr>
            <w:tcW w:w="604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color w:val="auto"/>
              </w:rPr>
              <w:t>value</w:t>
            </w:r>
          </w:p>
        </w:tc>
        <w:tc>
          <w:tcPr>
            <w:tcW w:w="1360" w:type="dxa"/>
            <w:vAlign w:val="bottom"/>
          </w:tcPr>
          <w:p>
            <w:pPr>
              <w:jc w:val="center"/>
              <w:spacing w:after="0"/>
              <w:rPr>
                <w:sz w:val="20"/>
                <w:szCs w:val="20"/>
                <w:color w:val="auto"/>
              </w:rPr>
            </w:pPr>
            <w:r>
              <w:rPr>
                <w:rFonts w:ascii="Arial" w:cs="Arial" w:eastAsia="Arial" w:hAnsi="Arial"/>
                <w:sz w:val="14"/>
                <w:szCs w:val="14"/>
                <w:color w:val="auto"/>
                <w:w w:val="95"/>
              </w:rPr>
              <w:t>(Level 1)</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(Level 2)</w:t>
            </w:r>
          </w:p>
        </w:tc>
        <w:tc>
          <w:tcPr>
            <w:tcW w:w="1060" w:type="dxa"/>
            <w:vAlign w:val="bottom"/>
            <w:gridSpan w:val="2"/>
          </w:tcPr>
          <w:p>
            <w:pPr>
              <w:jc w:val="center"/>
              <w:ind w:left="96"/>
              <w:spacing w:after="0"/>
              <w:rPr>
                <w:sz w:val="20"/>
                <w:szCs w:val="20"/>
                <w:color w:val="auto"/>
              </w:rPr>
            </w:pPr>
            <w:r>
              <w:rPr>
                <w:rFonts w:ascii="Arial" w:cs="Arial" w:eastAsia="Arial" w:hAnsi="Arial"/>
                <w:sz w:val="14"/>
                <w:szCs w:val="14"/>
                <w:color w:val="auto"/>
                <w:w w:val="95"/>
              </w:rPr>
              <w:t>(Level 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2016</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w w:val="98"/>
              </w:rPr>
              <w:t>27,280</w:t>
            </w:r>
          </w:p>
        </w:tc>
        <w:tc>
          <w:tcPr>
            <w:tcW w:w="1360" w:type="dxa"/>
            <w:vAlign w:val="bottom"/>
          </w:tcPr>
          <w:p>
            <w:pPr>
              <w:jc w:val="right"/>
              <w:ind w:right="198"/>
              <w:spacing w:after="0"/>
              <w:rPr>
                <w:sz w:val="20"/>
                <w:szCs w:val="20"/>
                <w:color w:val="auto"/>
              </w:rPr>
            </w:pPr>
            <w:r>
              <w:rPr>
                <w:rFonts w:ascii="Arial" w:cs="Arial" w:eastAsia="Arial" w:hAnsi="Arial"/>
                <w:sz w:val="18"/>
                <w:szCs w:val="18"/>
                <w:color w:val="auto"/>
              </w:rPr>
              <w:t>27,280</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5,234</w:t>
            </w: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5,234</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Bank borrowings</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w w:val="98"/>
              </w:rPr>
              <w:t>12,982</w:t>
            </w:r>
          </w:p>
        </w:tc>
        <w:tc>
          <w:tcPr>
            <w:tcW w:w="136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12,982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8"/>
              </w:rPr>
              <w:t>60,525</w:t>
            </w: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60,525</w:t>
            </w:r>
          </w:p>
        </w:tc>
      </w:tr>
      <w:tr>
        <w:trPr>
          <w:trHeight w:val="324"/>
        </w:trPr>
        <w:tc>
          <w:tcPr>
            <w:tcW w:w="6040" w:type="dxa"/>
            <w:vAlign w:val="bottom"/>
          </w:tcPr>
          <w:p>
            <w:pPr>
              <w:spacing w:after="0"/>
              <w:rPr>
                <w:sz w:val="20"/>
                <w:szCs w:val="20"/>
                <w:color w:val="auto"/>
              </w:rPr>
            </w:pPr>
            <w:r>
              <w:rPr>
                <w:rFonts w:ascii="Arial" w:cs="Arial" w:eastAsia="Arial" w:hAnsi="Arial"/>
                <w:sz w:val="18"/>
                <w:szCs w:val="18"/>
                <w:b w:val="1"/>
                <w:bCs w:val="1"/>
                <w:color w:val="auto"/>
              </w:rPr>
              <w:t>As of June 30, 2017</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8"/>
              </w:rPr>
              <w:t>28,223</w:t>
            </w: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28,223</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Restricted cash</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2,000</w:t>
            </w:r>
          </w:p>
        </w:tc>
        <w:tc>
          <w:tcPr>
            <w:tcW w:w="1360" w:type="dxa"/>
            <w:vAlign w:val="bottom"/>
          </w:tcPr>
          <w:p>
            <w:pPr>
              <w:jc w:val="right"/>
              <w:ind w:right="198"/>
              <w:spacing w:after="0"/>
              <w:rPr>
                <w:sz w:val="20"/>
                <w:szCs w:val="20"/>
                <w:color w:val="auto"/>
              </w:rPr>
            </w:pPr>
            <w:r>
              <w:rPr>
                <w:rFonts w:ascii="Arial" w:cs="Arial" w:eastAsia="Arial" w:hAnsi="Arial"/>
                <w:sz w:val="18"/>
                <w:szCs w:val="18"/>
                <w:color w:val="auto"/>
              </w:rPr>
              <w:t>2,000</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9,595</w:t>
            </w:r>
          </w:p>
        </w:tc>
        <w:tc>
          <w:tcPr>
            <w:tcW w:w="136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9,595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20" w:type="dxa"/>
            <w:vAlign w:val="bottom"/>
          </w:tcPr>
          <w:p>
            <w:pPr>
              <w:jc w:val="right"/>
              <w:ind w:right="174"/>
              <w:spacing w:after="0"/>
              <w:rPr>
                <w:sz w:val="20"/>
                <w:szCs w:val="20"/>
                <w:color w:val="auto"/>
              </w:rPr>
            </w:pPr>
            <w:r>
              <w:rPr>
                <w:rFonts w:ascii="Arial" w:cs="Arial" w:eastAsia="Arial" w:hAnsi="Arial"/>
                <w:sz w:val="18"/>
                <w:szCs w:val="18"/>
                <w:color w:val="auto"/>
                <w:w w:val="98"/>
              </w:rPr>
              <w:t>75,342</w:t>
            </w:r>
          </w:p>
        </w:tc>
        <w:tc>
          <w:tcPr>
            <w:tcW w:w="136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75,342</w:t>
            </w:r>
          </w:p>
        </w:tc>
      </w:tr>
    </w:tbl>
    <w:p>
      <w:pPr>
        <w:spacing w:after="0" w:line="332"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For the six months ended June 30, 2017 an individual customer accounted for 14% of the net revenues. For the six months ended June 30, 2016 two individual customers accounted for 14% and 10% of the net revenues, respectively.</w:t>
      </w:r>
    </w:p>
    <w:p>
      <w:pPr>
        <w:spacing w:after="0" w:line="315" w:lineRule="exact"/>
        <w:rPr>
          <w:sz w:val="20"/>
          <w:szCs w:val="20"/>
          <w:color w:val="auto"/>
        </w:rPr>
      </w:pPr>
    </w:p>
    <w:p>
      <w:pPr>
        <w:ind w:left="900" w:hanging="446"/>
        <w:spacing w:after="0"/>
        <w:tabs>
          <w:tab w:leader="none" w:pos="9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9" w:lineRule="exact"/>
        <w:rPr>
          <w:sz w:val="20"/>
          <w:szCs w:val="20"/>
          <w:color w:val="auto"/>
        </w:rPr>
      </w:pPr>
    </w:p>
    <w:p>
      <w:pPr>
        <w:ind w:left="920" w:right="160"/>
        <w:spacing w:after="0" w:line="264" w:lineRule="auto"/>
        <w:rPr>
          <w:sz w:val="20"/>
          <w:szCs w:val="20"/>
          <w:color w:val="auto"/>
        </w:rPr>
      </w:pPr>
      <w:r>
        <w:rPr>
          <w:rFonts w:ascii="Arial" w:cs="Arial" w:eastAsia="Arial" w:hAnsi="Arial"/>
          <w:sz w:val="18"/>
          <w:szCs w:val="18"/>
          <w:color w:val="auto"/>
        </w:rPr>
        <w:t>As of June 30, 2017 one customer accounted for 10% of the consolidated accounts receivable. No individual customer accounted for more than 10% of the consolidated accounts receivable as of December 31, 2016. The top 10 accounts receivable accounted for 38% and 46% of the consolidated accounts receivable as of December 31, 2016 and June 30, 2017, respectively.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400"/>
          </w:cols>
          <w:pgMar w:left="240" w:top="459" w:right="2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right="40"/>
        <w:spacing w:after="0" w:line="269" w:lineRule="auto"/>
        <w:rPr>
          <w:sz w:val="20"/>
          <w:szCs w:val="20"/>
          <w:color w:val="auto"/>
        </w:rPr>
      </w:pPr>
      <w:r>
        <w:rPr>
          <w:rFonts w:ascii="Arial" w:cs="Arial" w:eastAsia="Arial" w:hAnsi="Arial"/>
          <w:sz w:val="17"/>
          <w:szCs w:val="17"/>
          <w:color w:val="auto"/>
        </w:rPr>
        <w:t>As of December 31, 2016 and June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six months ended June 30, 2016 and June 30, 2017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June 30, 2017 primarily consist of the following currencies: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460"/>
              <w:spacing w:after="0"/>
              <w:rPr>
                <w:sz w:val="20"/>
                <w:szCs w:val="20"/>
                <w:color w:val="auto"/>
              </w:rPr>
            </w:pPr>
            <w:r>
              <w:rPr>
                <w:rFonts w:ascii="Arial" w:cs="Arial" w:eastAsia="Arial" w:hAnsi="Arial"/>
                <w:sz w:val="14"/>
                <w:szCs w:val="14"/>
                <w:color w:val="auto"/>
              </w:rPr>
              <w:t>June 30, 2017</w:t>
            </w:r>
          </w:p>
        </w:tc>
      </w:tr>
      <w:tr>
        <w:trPr>
          <w:trHeight w:val="123"/>
        </w:trPr>
        <w:tc>
          <w:tcPr>
            <w:tcW w:w="6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US$’000</w:t>
            </w:r>
          </w:p>
        </w:tc>
        <w:tc>
          <w:tcPr>
            <w:tcW w:w="60" w:type="dxa"/>
            <w:vAlign w:val="bottom"/>
          </w:tcPr>
          <w:p>
            <w:pPr>
              <w:spacing w:after="0"/>
              <w:rPr>
                <w:sz w:val="10"/>
                <w:szCs w:val="10"/>
                <w:color w:val="auto"/>
              </w:rPr>
            </w:pPr>
          </w:p>
        </w:tc>
      </w:tr>
      <w:tr>
        <w:trPr>
          <w:trHeight w:val="181"/>
        </w:trPr>
        <w:tc>
          <w:tcPr>
            <w:tcW w:w="6700" w:type="dxa"/>
            <w:vAlign w:val="bottom"/>
          </w:tcPr>
          <w:p>
            <w:pPr>
              <w:spacing w:after="0"/>
              <w:rPr>
                <w:sz w:val="15"/>
                <w:szCs w:val="15"/>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equivalent</w:t>
            </w:r>
          </w:p>
        </w:tc>
        <w:tc>
          <w:tcPr>
            <w:tcW w:w="460" w:type="dxa"/>
            <w:vAlign w:val="bottom"/>
          </w:tcPr>
          <w:p>
            <w:pPr>
              <w:spacing w:after="0"/>
              <w:rPr>
                <w:sz w:val="15"/>
                <w:szCs w:val="15"/>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equivalent</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67,697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49,762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HK$</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w w:val="98"/>
              </w:rPr>
              <w:t>15,666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54,627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8"/>
              </w:rPr>
              <w:t>15,064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13,456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SGD</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235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284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4,101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Euro (“EUR”)</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125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76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6,338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46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restricted cash amounting to US$5,234 and US$2,000 as of December 31, 2016 and June 30, 2017, respectively, represented balance held in a restricted bank account pursuant to certain short term loan agreements (see Note 14 for details). The restricted cash is held in US$ and carries fixed interest at the rate of 0.55% per annum as of December 31, 2016 and 0.05% per annum as of June 30, 2017, respectively.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400"/>
          </w:cols>
          <w:pgMar w:left="240" w:top="459" w:right="2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color w:val="auto"/>
              </w:rPr>
              <w:t>June 30,</w:t>
            </w:r>
          </w:p>
        </w:tc>
      </w:tr>
      <w:tr>
        <w:trPr>
          <w:trHeight w:val="181"/>
        </w:trPr>
        <w:tc>
          <w:tcPr>
            <w:tcW w:w="4480" w:type="dxa"/>
            <w:vAlign w:val="bottom"/>
          </w:tcPr>
          <w:p>
            <w:pPr>
              <w:spacing w:after="0"/>
              <w:rPr>
                <w:sz w:val="15"/>
                <w:szCs w:val="15"/>
                <w:color w:val="auto"/>
              </w:rPr>
            </w:pPr>
          </w:p>
        </w:tc>
        <w:tc>
          <w:tcPr>
            <w:tcW w:w="28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treasury instruments</w:t>
            </w:r>
          </w:p>
        </w:tc>
        <w:tc>
          <w:tcPr>
            <w:tcW w:w="20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The investments were issued by commercial banks in PRC with a variable interest rate. Since these investments’ maturity dates are within one year, they are classified as short-term investments.</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Interest income generated from short-term investments are recorded using the effective interest method. It was recorded in “other (losses)/gains, net” on the unaudited interim condensed consolidated statement of comprehensive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98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840" w:type="dxa"/>
            <w:vAlign w:val="bottom"/>
            <w:gridSpan w:val="4"/>
          </w:tcPr>
          <w:p>
            <w:pPr>
              <w:jc w:val="right"/>
              <w:ind w:right="340"/>
              <w:spacing w:after="0"/>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5"/>
                <w:szCs w:val="15"/>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32,387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(1,693)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7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980" w:type="dxa"/>
            <w:vAlign w:val="bottom"/>
            <w:gridSpan w:val="2"/>
            <w:vMerge w:val="restart"/>
          </w:tcPr>
          <w:p>
            <w:pPr>
              <w:ind w:left="18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 w:type="dxa"/>
            <w:vAlign w:val="bottom"/>
          </w:tcPr>
          <w:p>
            <w:pPr>
              <w:spacing w:after="0"/>
              <w:rPr>
                <w:sz w:val="24"/>
                <w:szCs w:val="24"/>
                <w:color w:val="auto"/>
              </w:rPr>
            </w:pPr>
          </w:p>
        </w:tc>
        <w:tc>
          <w:tcPr>
            <w:tcW w:w="69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0" w:type="dxa"/>
            <w:vAlign w:val="bottom"/>
            <w:gridSpan w:val="7"/>
          </w:tcPr>
          <w:p>
            <w:pPr>
              <w:jc w:val="right"/>
              <w:ind w:right="48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rPr>
              <w:t>2016</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96"/>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Additions for the period</w:t>
            </w:r>
          </w:p>
        </w:tc>
        <w:tc>
          <w:tcPr>
            <w:tcW w:w="1840" w:type="dxa"/>
            <w:vAlign w:val="bottom"/>
            <w:gridSpan w:val="4"/>
          </w:tcPr>
          <w:p>
            <w:pPr>
              <w:jc w:val="right"/>
              <w:ind w:right="10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written off</w:t>
            </w:r>
          </w:p>
        </w:tc>
        <w:tc>
          <w:tcPr>
            <w:tcW w:w="1840" w:type="dxa"/>
            <w:vAlign w:val="bottom"/>
            <w:gridSpan w:val="4"/>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Exchange differences</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period</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668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assets</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680" w:type="dxa"/>
            <w:vAlign w:val="bottom"/>
            <w:gridSpan w:val="2"/>
          </w:tcPr>
          <w:p>
            <w:pPr>
              <w:ind w:left="180"/>
              <w:spacing w:after="0"/>
              <w:rPr>
                <w:sz w:val="20"/>
                <w:szCs w:val="20"/>
                <w:color w:val="auto"/>
              </w:rPr>
            </w:pPr>
            <w:r>
              <w:rPr>
                <w:rFonts w:ascii="Arial" w:cs="Arial" w:eastAsia="Arial" w:hAnsi="Arial"/>
                <w:sz w:val="18"/>
                <w:szCs w:val="18"/>
                <w:color w:val="auto"/>
              </w:rPr>
              <w:t>The other assets consist of the following:</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1260" w:type="dxa"/>
            <w:vAlign w:val="bottom"/>
            <w:gridSpan w:val="3"/>
          </w:tcPr>
          <w:p>
            <w:pPr>
              <w:ind w:left="720"/>
              <w:spacing w:after="0"/>
              <w:rPr>
                <w:sz w:val="20"/>
                <w:szCs w:val="20"/>
                <w:color w:val="auto"/>
              </w:rPr>
            </w:pPr>
            <w:r>
              <w:rPr>
                <w:rFonts w:ascii="Arial" w:cs="Arial" w:eastAsia="Arial" w:hAnsi="Arial"/>
                <w:sz w:val="14"/>
                <w:szCs w:val="14"/>
                <w:color w:val="auto"/>
                <w:w w:val="96"/>
              </w:rPr>
              <w:t>June 30,</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8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200" w:type="dxa"/>
            <w:vAlign w:val="bottom"/>
            <w:gridSpan w:val="2"/>
          </w:tcPr>
          <w:p>
            <w:pPr>
              <w:jc w:val="right"/>
              <w:ind w:right="1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Deposits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Others</w:t>
            </w:r>
          </w:p>
        </w:tc>
        <w:tc>
          <w:tcPr>
            <w:tcW w:w="1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100"/>
              <w:spacing w:after="0"/>
              <w:rPr>
                <w:sz w:val="20"/>
                <w:szCs w:val="20"/>
                <w:color w:val="auto"/>
              </w:rPr>
            </w:pPr>
            <w:r>
              <w:rPr>
                <w:rFonts w:ascii="Arial" w:cs="Arial" w:eastAsia="Arial" w:hAnsi="Arial"/>
                <w:sz w:val="18"/>
                <w:szCs w:val="18"/>
                <w:b w:val="1"/>
                <w:bCs w:val="1"/>
                <w:color w:val="auto"/>
              </w:rPr>
              <w:t>Non-current</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6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acquisition of fixed assets and intangible assets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Rental deposits</w:t>
            </w:r>
          </w:p>
        </w:tc>
        <w:tc>
          <w:tcPr>
            <w:tcW w:w="1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7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Arial" w:cs="Arial" w:eastAsia="Arial" w:hAnsi="Arial"/>
                <w:sz w:val="18"/>
                <w:szCs w:val="18"/>
                <w:color w:val="auto"/>
              </w:rPr>
              <w:t>F-94</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0" w:type="dxa"/>
            <w:vAlign w:val="bottom"/>
            <w:gridSpan w:val="8"/>
          </w:tcPr>
          <w:p>
            <w:pPr>
              <w:ind w:left="720"/>
              <w:spacing w:after="0"/>
              <w:rPr>
                <w:sz w:val="20"/>
                <w:szCs w:val="20"/>
                <w:color w:val="auto"/>
              </w:rPr>
            </w:pPr>
            <w:r>
              <w:rPr>
                <w:rFonts w:ascii="Arial" w:cs="Arial" w:eastAsia="Arial" w:hAnsi="Arial"/>
                <w:sz w:val="14"/>
                <w:szCs w:val="14"/>
                <w:color w:val="auto"/>
              </w:rPr>
              <w:t>December 31,</w:t>
            </w:r>
          </w:p>
        </w:tc>
        <w:tc>
          <w:tcPr>
            <w:tcW w:w="64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Office equipment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4,629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7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60" w:type="dxa"/>
            <w:vAlign w:val="bottom"/>
            <w:gridSpan w:val="6"/>
          </w:tcPr>
          <w:p>
            <w:pPr>
              <w:jc w:val="right"/>
              <w:ind w:right="380"/>
              <w:spacing w:after="0"/>
              <w:rPr>
                <w:sz w:val="20"/>
                <w:szCs w:val="20"/>
                <w:color w:val="auto"/>
              </w:rPr>
            </w:pPr>
            <w:r>
              <w:rPr>
                <w:rFonts w:ascii="Arial" w:cs="Arial" w:eastAsia="Arial" w:hAnsi="Arial"/>
                <w:sz w:val="18"/>
                <w:szCs w:val="18"/>
                <w:color w:val="auto"/>
              </w:rPr>
              <w:t>(4,519)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(5,235)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960" w:type="dxa"/>
            <w:vAlign w:val="bottom"/>
            <w:gridSpan w:val="6"/>
            <w:shd w:val="clear" w:color="auto" w:fill="CCEEFF"/>
          </w:tcPr>
          <w:p>
            <w:pPr>
              <w:jc w:val="right"/>
              <w:ind w:right="38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900" w:type="dxa"/>
            <w:vAlign w:val="bottom"/>
            <w:gridSpan w:val="2"/>
          </w:tcPr>
          <w:p>
            <w:pPr>
              <w:ind w:left="1060"/>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2,318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9100" w:type="dxa"/>
            <w:vAlign w:val="bottom"/>
            <w:gridSpan w:val="10"/>
          </w:tcPr>
          <w:p>
            <w:pPr>
              <w:ind w:left="140"/>
              <w:spacing w:after="0"/>
              <w:rPr>
                <w:sz w:val="20"/>
                <w:szCs w:val="20"/>
                <w:color w:val="auto"/>
              </w:rPr>
            </w:pPr>
            <w:r>
              <w:rPr>
                <w:rFonts w:ascii="Arial" w:cs="Arial" w:eastAsia="Arial" w:hAnsi="Arial"/>
                <w:sz w:val="18"/>
                <w:szCs w:val="18"/>
                <w:color w:val="auto"/>
                <w:w w:val="92"/>
              </w:rPr>
              <w:t>Depreciation expense recognized for the six months ended June 30, 2016 and June 30, 2017 are summarized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840" w:type="dxa"/>
            <w:vAlign w:val="bottom"/>
            <w:gridSpan w:val="11"/>
          </w:tcPr>
          <w:p>
            <w:pPr>
              <w:ind w:left="40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color w:val="auto"/>
                <w:w w:val="89"/>
              </w:rPr>
              <w:t>2017</w:t>
            </w: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20" w:type="dxa"/>
            <w:vAlign w:val="bottom"/>
          </w:tcPr>
          <w:p>
            <w:pPr>
              <w:spacing w:after="0"/>
              <w:rPr>
                <w:sz w:val="6"/>
                <w:szCs w:val="6"/>
                <w:color w:val="auto"/>
              </w:rPr>
            </w:pPr>
          </w:p>
        </w:tc>
        <w:tc>
          <w:tcPr>
            <w:tcW w:w="1060" w:type="dxa"/>
            <w:vAlign w:val="bottom"/>
            <w:vMerge w:val="restart"/>
          </w:tcPr>
          <w:p>
            <w:pPr>
              <w:spacing w:after="0"/>
              <w:rPr>
                <w:sz w:val="6"/>
                <w:szCs w:val="6"/>
                <w:color w:val="auto"/>
              </w:rPr>
            </w:pPr>
          </w:p>
        </w:tc>
        <w:tc>
          <w:tcPr>
            <w:tcW w:w="5840" w:type="dxa"/>
            <w:vAlign w:val="bottom"/>
          </w:tcPr>
          <w:p>
            <w:pPr>
              <w:spacing w:after="0"/>
              <w:rPr>
                <w:sz w:val="6"/>
                <w:szCs w:val="6"/>
                <w:color w:val="auto"/>
              </w:rPr>
            </w:pPr>
          </w:p>
        </w:tc>
        <w:tc>
          <w:tcPr>
            <w:tcW w:w="74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173</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10</w:t>
            </w:r>
          </w:p>
        </w:tc>
        <w:tc>
          <w:tcPr>
            <w:tcW w:w="69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6900" w:type="dxa"/>
            <w:vAlign w:val="bottom"/>
            <w:gridSpan w:val="2"/>
          </w:tcPr>
          <w:p>
            <w:pPr>
              <w:ind w:left="140"/>
              <w:spacing w:after="0"/>
              <w:rPr>
                <w:sz w:val="20"/>
                <w:szCs w:val="20"/>
                <w:color w:val="auto"/>
              </w:rPr>
            </w:pPr>
            <w:r>
              <w:rPr>
                <w:rFonts w:ascii="Arial" w:cs="Arial" w:eastAsia="Arial" w:hAnsi="Arial"/>
                <w:sz w:val="18"/>
                <w:szCs w:val="18"/>
                <w:color w:val="auto"/>
              </w:rPr>
              <w:t>Intangible assets consist of the following:</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gridSpan w:val="7"/>
          </w:tcPr>
          <w:p>
            <w:pPr>
              <w:ind w:left="20"/>
              <w:spacing w:after="0"/>
              <w:rPr>
                <w:sz w:val="20"/>
                <w:szCs w:val="20"/>
                <w:color w:val="auto"/>
              </w:rPr>
            </w:pPr>
            <w:r>
              <w:rPr>
                <w:rFonts w:ascii="Arial" w:cs="Arial" w:eastAsia="Arial" w:hAnsi="Arial"/>
                <w:sz w:val="14"/>
                <w:szCs w:val="14"/>
                <w:color w:val="auto"/>
              </w:rPr>
              <w:t>December 31,</w:t>
            </w:r>
          </w:p>
        </w:tc>
        <w:tc>
          <w:tcPr>
            <w:tcW w:w="64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1560" w:type="dxa"/>
            <w:vAlign w:val="bottom"/>
            <w:gridSpan w:val="5"/>
          </w:tcPr>
          <w:p>
            <w:pPr>
              <w:jc w:val="right"/>
              <w:ind w:right="20"/>
              <w:spacing w:after="0"/>
              <w:rPr>
                <w:sz w:val="20"/>
                <w:szCs w:val="20"/>
                <w:color w:val="auto"/>
              </w:rPr>
            </w:pPr>
            <w:r>
              <w:rPr>
                <w:rFonts w:ascii="Arial" w:cs="Arial" w:eastAsia="Arial" w:hAnsi="Arial"/>
                <w:sz w:val="18"/>
                <w:szCs w:val="18"/>
                <w:color w:val="auto"/>
              </w:rPr>
              <w:t>21,576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21,573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96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(6,773)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Exchange differences</w:t>
            </w:r>
          </w:p>
        </w:tc>
        <w:tc>
          <w:tcPr>
            <w:tcW w:w="740" w:type="dxa"/>
            <w:vAlign w:val="bottom"/>
            <w:gridSpan w:val="2"/>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14,804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recognized for the six months ended June 30, 2016 and June 30, 2017 are summarized as follows:</w:t>
      </w:r>
    </w:p>
    <w:p>
      <w:pPr>
        <w:spacing w:after="0" w:line="25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80" w:type="dxa"/>
            <w:vAlign w:val="bottom"/>
            <w:gridSpan w:val="4"/>
          </w:tcPr>
          <w:p>
            <w:pPr>
              <w:ind w:left="36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4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color w:val="auto"/>
              </w:rPr>
              <w:t>2016</w:t>
            </w:r>
          </w:p>
        </w:tc>
        <w:tc>
          <w:tcPr>
            <w:tcW w:w="188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5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40" w:type="dxa"/>
            <w:vAlign w:val="bottom"/>
            <w:gridSpan w:val="2"/>
          </w:tcPr>
          <w:p>
            <w:pPr>
              <w:jc w:val="right"/>
              <w:ind w:right="2159"/>
              <w:spacing w:after="0"/>
              <w:rPr>
                <w:sz w:val="20"/>
                <w:szCs w:val="20"/>
                <w:color w:val="auto"/>
              </w:rPr>
            </w:pPr>
            <w:r>
              <w:rPr>
                <w:rFonts w:ascii="Arial" w:cs="Arial" w:eastAsia="Arial" w:hAnsi="Arial"/>
                <w:sz w:val="18"/>
                <w:szCs w:val="18"/>
                <w:color w:val="auto"/>
              </w:rPr>
              <w:t>F-95</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Intangible assets, net (Continued)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aggregate amortization expense for each of the next five years as of June 30, 2017 is: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Computer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software</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79"/>
              </w:rPr>
              <w:t>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right"/>
              <w:ind w:right="7530"/>
              <w:spacing w:after="0"/>
              <w:rPr>
                <w:sz w:val="20"/>
                <w:szCs w:val="20"/>
                <w:color w:val="auto"/>
              </w:rPr>
            </w:pPr>
            <w:r>
              <w:rPr>
                <w:rFonts w:ascii="Arial" w:cs="Arial" w:eastAsia="Arial" w:hAnsi="Arial"/>
                <w:sz w:val="18"/>
                <w:szCs w:val="18"/>
                <w:color w:val="auto"/>
                <w:w w:val="79"/>
              </w:rPr>
              <w:t>2018</w:t>
            </w:r>
          </w:p>
        </w:tc>
        <w:tc>
          <w:tcPr>
            <w:tcW w:w="620" w:type="dxa"/>
            <w:vAlign w:val="bottom"/>
          </w:tcPr>
          <w:p>
            <w:pPr>
              <w:jc w:val="right"/>
              <w:spacing w:after="0"/>
              <w:rPr>
                <w:sz w:val="20"/>
                <w:szCs w:val="20"/>
                <w:color w:val="auto"/>
              </w:rPr>
            </w:pPr>
            <w:r>
              <w:rPr>
                <w:rFonts w:ascii="Arial" w:cs="Arial" w:eastAsia="Arial" w:hAnsi="Arial"/>
                <w:sz w:val="18"/>
                <w:szCs w:val="18"/>
                <w:color w:val="auto"/>
              </w:rPr>
              <w:t>4,160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79"/>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right"/>
              <w:ind w:right="7530"/>
              <w:spacing w:after="0"/>
              <w:rPr>
                <w:sz w:val="20"/>
                <w:szCs w:val="20"/>
                <w:color w:val="auto"/>
              </w:rPr>
            </w:pPr>
            <w:r>
              <w:rPr>
                <w:rFonts w:ascii="Arial" w:cs="Arial" w:eastAsia="Arial" w:hAnsi="Arial"/>
                <w:sz w:val="18"/>
                <w:szCs w:val="18"/>
                <w:color w:val="auto"/>
                <w:w w:val="79"/>
              </w:rPr>
              <w:t>2020</w:t>
            </w:r>
          </w:p>
        </w:tc>
        <w:tc>
          <w:tcPr>
            <w:tcW w:w="620" w:type="dxa"/>
            <w:vAlign w:val="bottom"/>
          </w:tcPr>
          <w:p>
            <w:pPr>
              <w:jc w:val="right"/>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jc w:val="right"/>
              <w:ind w:right="7530"/>
              <w:spacing w:after="0"/>
              <w:rPr>
                <w:sz w:val="20"/>
                <w:szCs w:val="20"/>
                <w:color w:val="auto"/>
              </w:rPr>
            </w:pPr>
            <w:r>
              <w:rPr>
                <w:rFonts w:ascii="Arial" w:cs="Arial" w:eastAsia="Arial" w:hAnsi="Arial"/>
                <w:sz w:val="18"/>
                <w:szCs w:val="18"/>
                <w:color w:val="auto"/>
                <w:w w:val="79"/>
              </w:rPr>
              <w:t>2021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46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46"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Buzzinate</w:t>
            </w:r>
          </w:p>
        </w:tc>
        <w:tc>
          <w:tcPr>
            <w:tcW w:w="4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OptAim</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 and June 30, 2017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4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12</w:t>
            </w:r>
          </w:p>
        </w:tc>
        <w:tc>
          <w:tcPr>
            <w:tcW w:w="40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Deferred revenue</w:t>
            </w:r>
          </w:p>
        </w:tc>
        <w:tc>
          <w:tcPr>
            <w:tcW w:w="3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0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560" w:type="dxa"/>
            <w:vAlign w:val="bottom"/>
          </w:tcPr>
          <w:p>
            <w:pPr>
              <w:spacing w:after="0"/>
              <w:rPr>
                <w:sz w:val="24"/>
                <w:szCs w:val="2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50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37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25,697</w:t>
            </w:r>
          </w:p>
        </w:tc>
        <w:tc>
          <w:tcPr>
            <w:tcW w:w="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00" w:type="dxa"/>
            <w:vAlign w:val="bottom"/>
            <w:gridSpan w:val="2"/>
          </w:tcPr>
          <w:p>
            <w:pPr>
              <w:jc w:val="right"/>
              <w:ind w:right="2910"/>
              <w:spacing w:after="0"/>
              <w:rPr>
                <w:sz w:val="20"/>
                <w:szCs w:val="20"/>
                <w:color w:val="auto"/>
              </w:rPr>
            </w:pPr>
            <w:r>
              <w:rPr>
                <w:rFonts w:ascii="Arial" w:cs="Arial" w:eastAsia="Arial" w:hAnsi="Arial"/>
                <w:sz w:val="18"/>
                <w:szCs w:val="18"/>
                <w:color w:val="auto"/>
              </w:rPr>
              <w:t>F-96</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Accrued liabilities and other current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93"/>
              </w:rPr>
              <w:t>December 31,</w:t>
            </w:r>
          </w:p>
        </w:tc>
        <w:tc>
          <w:tcPr>
            <w:tcW w:w="56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60" w:type="dxa"/>
            <w:vAlign w:val="bottom"/>
            <w:gridSpan w:val="3"/>
          </w:tcPr>
          <w:p>
            <w:pPr>
              <w:jc w:val="center"/>
              <w:ind w:left="793"/>
              <w:spacing w:after="0"/>
              <w:rPr>
                <w:sz w:val="20"/>
                <w:szCs w:val="20"/>
                <w:color w:val="auto"/>
              </w:rPr>
            </w:pPr>
            <w:r>
              <w:rPr>
                <w:rFonts w:ascii="Arial" w:cs="Arial" w:eastAsia="Arial" w:hAnsi="Arial"/>
                <w:sz w:val="14"/>
                <w:szCs w:val="14"/>
                <w:color w:val="auto"/>
                <w:w w:val="96"/>
              </w:rPr>
              <w:t>2016</w:t>
            </w:r>
          </w:p>
        </w:tc>
        <w:tc>
          <w:tcPr>
            <w:tcW w:w="20" w:type="dxa"/>
            <w:vAlign w:val="bottom"/>
          </w:tcPr>
          <w:p>
            <w:pPr>
              <w:spacing w:after="0"/>
              <w:rPr>
                <w:sz w:val="15"/>
                <w:szCs w:val="15"/>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1,679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3,257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1,424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15,091</w:t>
            </w:r>
          </w:p>
        </w:tc>
        <w:tc>
          <w:tcPr>
            <w:tcW w:w="5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11,216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14</w:t>
            </w:r>
          </w:p>
        </w:tc>
        <w:tc>
          <w:tcPr>
            <w:tcW w:w="6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Bank borrowings</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80" w:type="dxa"/>
            <w:vAlign w:val="bottom"/>
            <w:gridSpan w:val="4"/>
          </w:tcPr>
          <w:p>
            <w:pPr>
              <w:jc w:val="center"/>
              <w:ind w:left="753"/>
              <w:spacing w:after="0"/>
              <w:rPr>
                <w:sz w:val="20"/>
                <w:szCs w:val="20"/>
                <w:color w:val="auto"/>
              </w:rPr>
            </w:pPr>
            <w:r>
              <w:rPr>
                <w:rFonts w:ascii="Arial" w:cs="Arial" w:eastAsia="Arial" w:hAnsi="Arial"/>
                <w:sz w:val="14"/>
                <w:szCs w:val="14"/>
                <w:color w:val="auto"/>
                <w:w w:val="90"/>
              </w:rPr>
              <w:t>December 31,</w:t>
            </w:r>
          </w:p>
        </w:tc>
        <w:tc>
          <w:tcPr>
            <w:tcW w:w="560" w:type="dxa"/>
            <w:vAlign w:val="bottom"/>
          </w:tcPr>
          <w:p>
            <w:pPr>
              <w:spacing w:after="0"/>
              <w:rPr>
                <w:sz w:val="24"/>
                <w:szCs w:val="24"/>
                <w:color w:val="auto"/>
              </w:rPr>
            </w:pPr>
          </w:p>
        </w:tc>
        <w:tc>
          <w:tcPr>
            <w:tcW w:w="620" w:type="dxa"/>
            <w:vAlign w:val="bottom"/>
            <w:gridSpan w:val="3"/>
          </w:tcPr>
          <w:p>
            <w:pPr>
              <w:ind w:left="80"/>
              <w:spacing w:after="0"/>
              <w:rPr>
                <w:sz w:val="20"/>
                <w:szCs w:val="20"/>
                <w:color w:val="auto"/>
              </w:rPr>
            </w:pPr>
            <w:r>
              <w:rPr>
                <w:rFonts w:ascii="Arial" w:cs="Arial" w:eastAsia="Arial" w:hAnsi="Arial"/>
                <w:sz w:val="14"/>
                <w:szCs w:val="14"/>
                <w:color w:val="auto"/>
                <w:w w:val="96"/>
              </w:rPr>
              <w:t>June 30,</w:t>
            </w: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60" w:type="dxa"/>
            <w:vAlign w:val="bottom"/>
            <w:gridSpan w:val="3"/>
          </w:tcPr>
          <w:p>
            <w:pPr>
              <w:jc w:val="center"/>
              <w:ind w:left="773"/>
              <w:spacing w:after="0"/>
              <w:rPr>
                <w:sz w:val="20"/>
                <w:szCs w:val="20"/>
                <w:color w:val="auto"/>
              </w:rPr>
            </w:pPr>
            <w:r>
              <w:rPr>
                <w:rFonts w:ascii="Arial" w:cs="Arial" w:eastAsia="Arial" w:hAnsi="Arial"/>
                <w:sz w:val="14"/>
                <w:szCs w:val="14"/>
                <w:color w:val="auto"/>
                <w:w w:val="89"/>
              </w:rPr>
              <w:t>2016</w:t>
            </w:r>
          </w:p>
        </w:tc>
        <w:tc>
          <w:tcPr>
            <w:tcW w:w="20" w:type="dxa"/>
            <w:vAlign w:val="bottom"/>
          </w:tcPr>
          <w:p>
            <w:pPr>
              <w:spacing w:after="0"/>
              <w:rPr>
                <w:sz w:val="15"/>
                <w:szCs w:val="15"/>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1-year revolving loan denominated in US$ (Note (ii), (vii))</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2,950</w:t>
            </w: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2-year demand loan agreement denominated in US$ (Note (iii), (vii))</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6-month revolving loan denominated in RMB (Note (iv))</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(v), (vii))</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3-month loan denominated in RMB (Note (vi), (vii))</w:t>
            </w:r>
          </w:p>
        </w:tc>
        <w:tc>
          <w:tcPr>
            <w:tcW w:w="8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w:t>
      </w:r>
    </w:p>
    <w:p>
      <w:pPr>
        <w:spacing w:after="0" w:line="131" w:lineRule="exact"/>
        <w:rPr>
          <w:sz w:val="20"/>
          <w:szCs w:val="20"/>
          <w:color w:val="auto"/>
        </w:rPr>
      </w:pPr>
    </w:p>
    <w:p>
      <w:pPr>
        <w:jc w:val="both"/>
        <w:ind w:left="900" w:hanging="446"/>
        <w:spacing w:after="0" w:line="297" w:lineRule="auto"/>
        <w:tabs>
          <w:tab w:leader="none" w:pos="9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On December 21, 2015, the Company, through its PRC subsidiaries, entered into a one-year revolving loan agreement with a bank amounting to RMB30 million (equivalent to US$4,330).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On December 21, 2015, the Company, through its Hong Kong subsidiaries, entered into a one-year loan agreement with a bank amounting to</w:t>
      </w:r>
    </w:p>
    <w:p>
      <w:pPr>
        <w:spacing w:after="0" w:line="46" w:lineRule="exact"/>
        <w:rPr>
          <w:rFonts w:ascii="Arial" w:cs="Arial" w:eastAsia="Arial" w:hAnsi="Arial"/>
          <w:sz w:val="16"/>
          <w:szCs w:val="16"/>
          <w:color w:val="auto"/>
        </w:rPr>
      </w:pPr>
    </w:p>
    <w:p>
      <w:pPr>
        <w:jc w:val="both"/>
        <w:ind w:left="900"/>
        <w:spacing w:after="0" w:line="255" w:lineRule="auto"/>
        <w:rPr>
          <w:rFonts w:ascii="Arial" w:cs="Arial" w:eastAsia="Arial" w:hAnsi="Arial"/>
          <w:sz w:val="16"/>
          <w:szCs w:val="16"/>
          <w:color w:val="auto"/>
        </w:rPr>
      </w:pPr>
      <w:r>
        <w:rPr>
          <w:rFonts w:ascii="Arial" w:cs="Arial" w:eastAsia="Arial" w:hAnsi="Arial"/>
          <w:sz w:val="18"/>
          <w:szCs w:val="18"/>
          <w:color w:val="auto"/>
        </w:rPr>
        <w:t>US$3,000. Out of this loan facility, the Hong Kong subsidiary had utilized US$2,950 as of December 31, 2016 and June 30, 2017. The Company, through its Hong Kong subsidiary, renewed the one-year revolving loan agreement with the bank on December 19, 2016. The interest rate of this short-term loan facility was determined by three-month LIBOR plus 5.75% per annum.</w:t>
      </w:r>
    </w:p>
    <w:p>
      <w:pPr>
        <w:spacing w:after="0" w:line="95" w:lineRule="exact"/>
        <w:rPr>
          <w:rFonts w:ascii="Arial" w:cs="Arial" w:eastAsia="Arial" w:hAnsi="Arial"/>
          <w:sz w:val="16"/>
          <w:szCs w:val="16"/>
          <w:color w:val="auto"/>
        </w:rPr>
      </w:pPr>
    </w:p>
    <w:p>
      <w:pPr>
        <w:ind w:left="900" w:hanging="446"/>
        <w:spacing w:after="0"/>
        <w:tabs>
          <w:tab w:leader="none" w:pos="9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On January 20, 2016, the Company, through its Hong Kong subsidiaries, entered into a two-year loan agreement with a bank amounting to</w:t>
      </w:r>
    </w:p>
    <w:p>
      <w:pPr>
        <w:spacing w:after="0" w:line="34" w:lineRule="exact"/>
        <w:rPr>
          <w:rFonts w:ascii="Arial" w:cs="Arial" w:eastAsia="Arial" w:hAnsi="Arial"/>
          <w:sz w:val="17"/>
          <w:szCs w:val="17"/>
          <w:color w:val="auto"/>
        </w:rPr>
      </w:pPr>
    </w:p>
    <w:p>
      <w:pPr>
        <w:ind w:left="900" w:right="100"/>
        <w:spacing w:after="0" w:line="290" w:lineRule="auto"/>
        <w:rPr>
          <w:rFonts w:ascii="Arial" w:cs="Arial" w:eastAsia="Arial" w:hAnsi="Arial"/>
          <w:sz w:val="17"/>
          <w:szCs w:val="17"/>
          <w:color w:val="auto"/>
        </w:rPr>
      </w:pPr>
      <w:r>
        <w:rPr>
          <w:rFonts w:ascii="Arial" w:cs="Arial" w:eastAsia="Arial" w:hAnsi="Arial"/>
          <w:sz w:val="17"/>
          <w:szCs w:val="17"/>
          <w:color w:val="auto"/>
        </w:rPr>
        <w:t>US$2,000. Out of this loan facility, the Hong Kong subsidiaries had utilized US$1,083 and US$583 as of December 31, 2016 and June 30, 2017 respectively. The interest rate of this loan was the benchmark interest rate determined by three-month LIBOR plus 7.00%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380"/>
          </w:cols>
          <w:pgMar w:left="240" w:top="459" w:right="2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Bank borrowings (Continued)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(Continued):</w:t>
      </w:r>
    </w:p>
    <w:p>
      <w:pPr>
        <w:spacing w:after="0" w:line="131"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per annum. The bank facility agreement includes repayable on demand clauses such that the bank borrowing are classified as current liabilities as of December 31, 2016 and June 30, 2017.</w:t>
      </w:r>
    </w:p>
    <w:p>
      <w:pPr>
        <w:spacing w:after="0" w:line="76" w:lineRule="exact"/>
        <w:rPr>
          <w:sz w:val="20"/>
          <w:szCs w:val="20"/>
          <w:color w:val="auto"/>
        </w:rPr>
      </w:pPr>
    </w:p>
    <w:p>
      <w:pPr>
        <w:ind w:left="900" w:right="20" w:hanging="446"/>
        <w:spacing w:after="0" w:line="290"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120% of the benchmark interest rate determined by the People’s Bank of China for loans over six months granted by financial institutions per annum. The loan was finally settled on 13 January, 2017. Restricted cash amounting to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71" w:lineRule="exact"/>
        <w:rPr>
          <w:rFonts w:ascii="Arial" w:cs="Arial" w:eastAsia="Arial" w:hAnsi="Arial"/>
          <w:sz w:val="16"/>
          <w:szCs w:val="16"/>
          <w:color w:val="auto"/>
        </w:rPr>
      </w:pPr>
    </w:p>
    <w:p>
      <w:pPr>
        <w:ind w:left="900" w:hanging="446"/>
        <w:spacing w:after="0" w:line="257"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On July 28, 2016, the Company, through its PRC subsidiary, entered into a one-year revolving loan agreement with a bank amounting to a total of RMB12 million (equivalent to US$1,732) as of 31 December, 2016 and 30 June, 2017.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and June 30, 2017.</w:t>
      </w:r>
    </w:p>
    <w:p>
      <w:pPr>
        <w:spacing w:after="0" w:line="93" w:lineRule="exact"/>
        <w:rPr>
          <w:rFonts w:ascii="Arial" w:cs="Arial" w:eastAsia="Arial" w:hAnsi="Arial"/>
          <w:sz w:val="18"/>
          <w:szCs w:val="18"/>
          <w:color w:val="auto"/>
        </w:rPr>
      </w:pPr>
    </w:p>
    <w:p>
      <w:pPr>
        <w:ind w:left="900" w:right="160" w:hanging="446"/>
        <w:spacing w:after="0" w:line="288"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six months granted by financial institutions plus 0.435% per annum. The loan was finally settled on</w:t>
      </w:r>
    </w:p>
    <w:p>
      <w:pPr>
        <w:ind w:left="900" w:right="620"/>
        <w:spacing w:after="0" w:line="261" w:lineRule="auto"/>
        <w:rPr>
          <w:rFonts w:ascii="Arial" w:cs="Arial" w:eastAsia="Arial" w:hAnsi="Arial"/>
          <w:sz w:val="16"/>
          <w:szCs w:val="16"/>
          <w:color w:val="auto"/>
        </w:rPr>
      </w:pPr>
      <w:r>
        <w:rPr>
          <w:rFonts w:ascii="Arial" w:cs="Arial" w:eastAsia="Arial" w:hAnsi="Arial"/>
          <w:sz w:val="18"/>
          <w:szCs w:val="18"/>
          <w:color w:val="auto"/>
        </w:rPr>
        <w:t>14 February, 2017. Restricted cash amounting to US$1,666 was held in a restricted bank account as required by this loan agreement as of December 31, 2016.</w:t>
      </w:r>
    </w:p>
    <w:p>
      <w:pPr>
        <w:spacing w:after="0" w:line="89" w:lineRule="exact"/>
        <w:rPr>
          <w:rFonts w:ascii="Arial" w:cs="Arial" w:eastAsia="Arial" w:hAnsi="Arial"/>
          <w:sz w:val="16"/>
          <w:szCs w:val="16"/>
          <w:color w:val="auto"/>
        </w:rPr>
      </w:pPr>
    </w:p>
    <w:p>
      <w:pPr>
        <w:ind w:left="900" w:right="40" w:hanging="446"/>
        <w:spacing w:after="0" w:line="312"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As of December 31, 2016 and June 30, 2017,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39" w:lineRule="exact"/>
        <w:rPr>
          <w:sz w:val="20"/>
          <w:szCs w:val="20"/>
          <w:color w:val="auto"/>
        </w:rPr>
      </w:pPr>
    </w:p>
    <w:p>
      <w:pPr>
        <w:ind w:left="920" w:right="580"/>
        <w:spacing w:after="0" w:line="277" w:lineRule="auto"/>
        <w:rPr>
          <w:sz w:val="20"/>
          <w:szCs w:val="20"/>
          <w:color w:val="auto"/>
        </w:rPr>
      </w:pPr>
      <w:r>
        <w:rPr>
          <w:rFonts w:ascii="Arial" w:cs="Arial" w:eastAsia="Arial" w:hAnsi="Arial"/>
          <w:sz w:val="18"/>
          <w:szCs w:val="18"/>
          <w:color w:val="auto"/>
        </w:rPr>
        <w:t>The weighted average interest rate for bank loans outstanding as of December 31, 2016 and June 30, 2017 was 5.99% per annum for both periods.</w:t>
      </w:r>
    </w:p>
    <w:p>
      <w:pPr>
        <w:spacing w:after="0" w:line="76" w:lineRule="exact"/>
        <w:rPr>
          <w:sz w:val="20"/>
          <w:szCs w:val="20"/>
          <w:color w:val="auto"/>
        </w:rPr>
      </w:pPr>
    </w:p>
    <w:p>
      <w:pPr>
        <w:ind w:left="920" w:right="200" w:hanging="574"/>
        <w:spacing w:after="0" w:line="259" w:lineRule="auto"/>
        <w:tabs>
          <w:tab w:leader="none" w:pos="9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March 2017, the Company entered into a facility agreement for working capital loans with Eastwest Bank, which provides for a RMB30 million (US$4.3 million) 18-month revolving loan. The Company provide corporate guarantee and account receivables as pledge to secure the obligations under this revolving loan. The interest rate of this loan facility is fixed at 5.75% per annum. As of June 30, 2017, the Company had not drawn down under this revolving loan.</w:t>
      </w:r>
    </w:p>
    <w:p>
      <w:pPr>
        <w:spacing w:after="0" w:line="187"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Other than those shown above, the Company did not have any significant capital and other commitments, long-term obligations, or guarantees as of December 31, 2016 and June 30,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00"/>
          </w:cols>
          <w:pgMar w:left="240" w:top="459" w:right="2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right="7800" w:hanging="452"/>
        <w:spacing w:after="0" w:line="378" w:lineRule="auto"/>
        <w:tabs>
          <w:tab w:leader="none" w:pos="449"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460"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8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46"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4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460" w:righ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ind w:left="4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400"/>
          </w:cols>
          <w:pgMar w:left="240" w:top="459" w:right="2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261" w:lineRule="auto"/>
        <w:tabs>
          <w:tab w:leader="none" w:pos="449"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D preferred shares (Continued)</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Pursuant to the Series D Agreement, the Company issued 2,493,018 Series D preferred shares at US$19.25 per share.</w:t>
      </w:r>
    </w:p>
    <w:p>
      <w:pPr>
        <w:spacing w:after="0" w:line="102"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six months ended June 30, 2016 and June 30, 2017 is less than US$85,000. Considering the gross billing of the Group as defined in the Series D Agreement for the six months ended</w:t>
      </w:r>
    </w:p>
    <w:p>
      <w:pPr>
        <w:ind w:left="460" w:right="8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June 30, 2016 and June 30, 2017 was more than US$85,000, no additional Series D preferred shares were issued. Furthermore, the Company determines that the fair value of this obligation is zero as of December 31, 2016 and June 30, 2017.</w:t>
      </w:r>
    </w:p>
    <w:p>
      <w:pPr>
        <w:spacing w:after="0" w:line="29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 preferred shares</w:t>
      </w:r>
    </w:p>
    <w:p>
      <w:pPr>
        <w:spacing w:after="0" w:line="117" w:lineRule="exact"/>
        <w:rPr>
          <w:rFonts w:ascii="Arial" w:cs="Arial" w:eastAsia="Arial" w:hAnsi="Arial"/>
          <w:sz w:val="18"/>
          <w:szCs w:val="18"/>
          <w:b w:val="1"/>
          <w:bCs w:val="1"/>
          <w:color w:val="auto"/>
        </w:rPr>
      </w:pPr>
    </w:p>
    <w:p>
      <w:pPr>
        <w:ind w:left="46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w:t>
      </w:r>
    </w:p>
    <w:p>
      <w:pPr>
        <w:spacing w:after="0" w:line="62" w:lineRule="exact"/>
        <w:rPr>
          <w:rFonts w:ascii="Arial" w:cs="Arial" w:eastAsia="Arial" w:hAnsi="Arial"/>
          <w:sz w:val="18"/>
          <w:szCs w:val="18"/>
          <w:b w:val="1"/>
          <w:bCs w:val="1"/>
          <w:color w:val="auto"/>
        </w:rPr>
      </w:pPr>
    </w:p>
    <w:p>
      <w:pPr>
        <w:ind w:left="460" w:right="254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Pursuant to the Series E Agreement, the Company issued 1,068,114 Series E preferred shares at US$18.72 per share. The key terms of the Series A, B, C, D and E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ind w:left="1460" w:right="120" w:hanging="547"/>
        <w:spacing w:after="0" w:line="264"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460" w:right="20" w:hanging="547"/>
        <w:spacing w:after="0" w:line="342" w:lineRule="auto"/>
        <w:tabs>
          <w:tab w:leader="none" w:pos="14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40" w:hanging="547"/>
        <w:spacing w:after="0" w:line="342" w:lineRule="auto"/>
        <w:tabs>
          <w:tab w:leader="none" w:pos="146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460" w:right="20" w:hanging="547"/>
        <w:spacing w:after="0" w:line="277"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400"/>
          </w:cols>
          <w:pgMar w:left="240" w:top="459" w:right="2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40" w:hanging="452"/>
        <w:spacing w:after="0" w:line="385" w:lineRule="auto"/>
        <w:tabs>
          <w:tab w:leader="none" w:pos="449"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2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right="1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56" w:lineRule="exact"/>
        <w:rPr>
          <w:rFonts w:ascii="Arial" w:cs="Arial" w:eastAsia="Arial" w:hAnsi="Arial"/>
          <w:sz w:val="18"/>
          <w:szCs w:val="18"/>
          <w:b w:val="1"/>
          <w:bCs w:val="1"/>
          <w:color w:val="auto"/>
        </w:rPr>
      </w:pPr>
    </w:p>
    <w:p>
      <w:pPr>
        <w:ind w:left="46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5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4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760" w:hanging="452"/>
        <w:spacing w:after="0" w:line="385" w:lineRule="auto"/>
        <w:tabs>
          <w:tab w:leader="none" w:pos="449"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46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5"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70"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jc w:val="both"/>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holders of Series C preferred shares can redeem the preferred shares at any time after the earlier of: (i)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C Agreement; (ii) the occurrence of any liquidating transaction as defined in the subscription agreements; (iii) Mr. Hsieh, Wing Hong Sammy,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340"/>
          </w:cols>
          <w:pgMar w:left="240" w:top="459" w:right="3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385" w:lineRule="auto"/>
        <w:tabs>
          <w:tab w:leader="none" w:pos="449"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spacing w:after="0" w:line="1" w:lineRule="exact"/>
        <w:rPr>
          <w:rFonts w:ascii="Arial" w:cs="Arial" w:eastAsia="Arial" w:hAnsi="Arial"/>
          <w:sz w:val="18"/>
          <w:szCs w:val="18"/>
          <w:b w:val="1"/>
          <w:bCs w:val="1"/>
          <w:color w:val="auto"/>
        </w:rPr>
      </w:pPr>
    </w:p>
    <w:p>
      <w:pPr>
        <w:ind w:left="4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62" w:lineRule="exact"/>
        <w:rPr>
          <w:rFonts w:ascii="Arial" w:cs="Arial" w:eastAsia="Arial" w:hAnsi="Arial"/>
          <w:sz w:val="18"/>
          <w:szCs w:val="18"/>
          <w:b w:val="1"/>
          <w:bCs w:val="1"/>
          <w:color w:val="auto"/>
        </w:rPr>
      </w:pPr>
    </w:p>
    <w:p>
      <w:pPr>
        <w:ind w:left="460" w:right="2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460"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82"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7"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 (Continued)</w:t>
      </w:r>
    </w:p>
    <w:p>
      <w:pPr>
        <w:spacing w:after="0" w:line="23" w:lineRule="exact"/>
        <w:rPr>
          <w:rFonts w:ascii="Arial" w:cs="Arial" w:eastAsia="Arial" w:hAnsi="Arial"/>
          <w:sz w:val="18"/>
          <w:szCs w:val="18"/>
          <w:b w:val="1"/>
          <w:bCs w:val="1"/>
          <w:color w:val="auto"/>
        </w:rPr>
      </w:pPr>
    </w:p>
    <w:p>
      <w:pPr>
        <w:ind w:left="460" w:right="9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reflecting the implied valuation (on a fully-diluted basis) of the Company used in any Liquidating Transaction as defined in the Company’s Memorandum and Articles of Association.</w:t>
      </w:r>
    </w:p>
    <w:p>
      <w:pPr>
        <w:spacing w:after="0" w:line="75"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June 30, 2017.</w:t>
      </w:r>
    </w:p>
    <w:p>
      <w:pPr>
        <w:spacing w:after="0" w:line="73"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80"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and June 30, 2017, the fair values of these conversion features and redemption features which required to be bifurcated and accounted for as derivative liabilities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280" w:type="dxa"/>
            <w:vAlign w:val="bottom"/>
            <w:gridSpan w:val="3"/>
          </w:tcPr>
          <w:p>
            <w:pPr>
              <w:jc w:val="right"/>
              <w:ind w:right="540"/>
              <w:spacing w:after="0"/>
              <w:rPr>
                <w:sz w:val="20"/>
                <w:szCs w:val="20"/>
                <w:color w:val="auto"/>
              </w:rPr>
            </w:pPr>
            <w:r>
              <w:rPr>
                <w:rFonts w:ascii="Arial" w:cs="Arial" w:eastAsia="Arial" w:hAnsi="Arial"/>
                <w:sz w:val="14"/>
                <w:szCs w:val="14"/>
                <w:color w:val="auto"/>
              </w:rPr>
              <w:t>December 31,</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740" w:type="dxa"/>
            <w:vAlign w:val="bottom"/>
            <w:gridSpan w:val="2"/>
          </w:tcPr>
          <w:p>
            <w:pPr>
              <w:jc w:val="right"/>
              <w:ind w:right="170"/>
              <w:spacing w:after="0"/>
              <w:rPr>
                <w:sz w:val="20"/>
                <w:szCs w:val="20"/>
                <w:color w:val="auto"/>
              </w:rPr>
            </w:pPr>
            <w:r>
              <w:rPr>
                <w:rFonts w:ascii="Arial" w:cs="Arial" w:eastAsia="Arial" w:hAnsi="Arial"/>
                <w:sz w:val="14"/>
                <w:szCs w:val="14"/>
                <w:color w:val="auto"/>
              </w:rPr>
              <w:t>2016</w:t>
            </w:r>
          </w:p>
        </w:tc>
        <w:tc>
          <w:tcPr>
            <w:tcW w:w="5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29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Less: current portion</w:t>
            </w:r>
          </w:p>
        </w:tc>
        <w:tc>
          <w:tcPr>
            <w:tcW w:w="29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(60,525)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9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5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80" w:type="dxa"/>
            <w:vAlign w:val="bottom"/>
            <w:gridSpan w:val="3"/>
          </w:tcPr>
          <w:p>
            <w:pPr>
              <w:jc w:val="right"/>
              <w:ind w:right="3400"/>
              <w:spacing w:after="0"/>
              <w:rPr>
                <w:sz w:val="20"/>
                <w:szCs w:val="20"/>
                <w:color w:val="auto"/>
              </w:rPr>
            </w:pPr>
            <w:r>
              <w:rPr>
                <w:rFonts w:ascii="Arial" w:cs="Arial" w:eastAsia="Arial" w:hAnsi="Arial"/>
                <w:sz w:val="18"/>
                <w:szCs w:val="18"/>
                <w:color w:val="auto"/>
              </w:rPr>
              <w:t>F-104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8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 (Continued)</w:t>
      </w:r>
    </w:p>
    <w:p>
      <w:pPr>
        <w:spacing w:after="0" w:line="23"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3"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these preferred shares for purposes of determining the conversion feature and redemption feature as of December 31, 2016 and June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320" w:type="dxa"/>
            <w:vAlign w:val="bottom"/>
          </w:tcPr>
          <w:p>
            <w:pPr>
              <w:jc w:val="right"/>
              <w:ind w:right="394"/>
              <w:spacing w:after="0"/>
              <w:rPr>
                <w:sz w:val="20"/>
                <w:szCs w:val="20"/>
                <w:color w:val="auto"/>
              </w:rPr>
            </w:pPr>
            <w:r>
              <w:rPr>
                <w:rFonts w:ascii="Arial" w:cs="Arial" w:eastAsia="Arial" w:hAnsi="Arial"/>
                <w:sz w:val="14"/>
                <w:szCs w:val="14"/>
                <w:color w:val="auto"/>
              </w:rPr>
              <w:t>December 31, 2016</w:t>
            </w:r>
          </w:p>
        </w:tc>
        <w:tc>
          <w:tcPr>
            <w:tcW w:w="1500" w:type="dxa"/>
            <w:vAlign w:val="bottom"/>
          </w:tcPr>
          <w:p>
            <w:pPr>
              <w:jc w:val="right"/>
              <w:ind w:right="234"/>
              <w:spacing w:after="0"/>
              <w:rPr>
                <w:sz w:val="20"/>
                <w:szCs w:val="20"/>
                <w:color w:val="auto"/>
              </w:rPr>
            </w:pPr>
            <w:r>
              <w:rPr>
                <w:rFonts w:ascii="Arial" w:cs="Arial" w:eastAsia="Arial" w:hAnsi="Arial"/>
                <w:sz w:val="14"/>
                <w:szCs w:val="14"/>
                <w:color w:val="auto"/>
              </w:rPr>
              <w:t>June 30, 2017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2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2320" w:type="dxa"/>
            <w:vAlign w:val="bottom"/>
          </w:tcPr>
          <w:p>
            <w:pPr>
              <w:jc w:val="right"/>
              <w:ind w:right="274"/>
              <w:spacing w:after="0"/>
              <w:rPr>
                <w:sz w:val="20"/>
                <w:szCs w:val="20"/>
                <w:color w:val="auto"/>
              </w:rPr>
            </w:pPr>
            <w:r>
              <w:rPr>
                <w:rFonts w:ascii="Arial" w:cs="Arial" w:eastAsia="Arial" w:hAnsi="Arial"/>
                <w:sz w:val="18"/>
                <w:szCs w:val="18"/>
                <w:color w:val="auto"/>
              </w:rPr>
              <w:t>18.3%</w:t>
            </w:r>
          </w:p>
        </w:tc>
        <w:tc>
          <w:tcPr>
            <w:tcW w:w="15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Per annum growth rate on average spending per customer</w:t>
            </w:r>
          </w:p>
        </w:tc>
        <w:tc>
          <w:tcPr>
            <w:tcW w:w="2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3.0% - 19.0%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- 27.2%</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700" w:type="dxa"/>
            <w:vAlign w:val="bottom"/>
            <w:gridSpan w:val="4"/>
          </w:tcPr>
          <w:p>
            <w:pPr>
              <w:ind w:left="32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4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color w:val="auto"/>
              </w:rPr>
              <w:t>2016</w:t>
            </w:r>
          </w:p>
        </w:tc>
        <w:tc>
          <w:tcPr>
            <w:tcW w:w="18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60" w:type="dxa"/>
            <w:vAlign w:val="bottom"/>
            <w:gridSpan w:val="4"/>
          </w:tcPr>
          <w:p>
            <w:pPr>
              <w:ind w:left="30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76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color w:val="auto"/>
              </w:rPr>
              <w:t>2016</w:t>
            </w:r>
          </w:p>
        </w:tc>
        <w:tc>
          <w:tcPr>
            <w:tcW w:w="184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0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C</w:t>
      </w:r>
    </w:p>
    <w:p>
      <w:pPr>
        <w:spacing w:after="0" w:line="248" w:lineRule="exact"/>
        <w:rPr>
          <w:sz w:val="20"/>
          <w:szCs w:val="20"/>
          <w:color w:val="auto"/>
        </w:rPr>
      </w:pPr>
    </w:p>
    <w:p>
      <w:pPr>
        <w:ind w:left="7740"/>
        <w:spacing w:after="0"/>
        <w:rPr>
          <w:sz w:val="20"/>
          <w:szCs w:val="20"/>
          <w:color w:val="auto"/>
        </w:rPr>
      </w:pPr>
      <w:r>
        <w:rPr>
          <w:rFonts w:ascii="Arial" w:cs="Arial" w:eastAsia="Arial" w:hAnsi="Arial"/>
          <w:sz w:val="14"/>
          <w:szCs w:val="14"/>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3810</wp:posOffset>
            </wp:positionV>
            <wp:extent cx="16205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7740"/>
        <w:spacing w:after="0"/>
        <w:tabs>
          <w:tab w:leader="none" w:pos="94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D</w:t>
      </w:r>
    </w:p>
    <w:p>
      <w:pPr>
        <w:spacing w:after="0" w:line="248" w:lineRule="exact"/>
        <w:rPr>
          <w:sz w:val="20"/>
          <w:szCs w:val="20"/>
          <w:color w:val="auto"/>
        </w:rPr>
      </w:pPr>
    </w:p>
    <w:p>
      <w:pPr>
        <w:ind w:left="7740"/>
        <w:spacing w:after="0"/>
        <w:rPr>
          <w:sz w:val="20"/>
          <w:szCs w:val="20"/>
          <w:color w:val="auto"/>
        </w:rPr>
      </w:pPr>
      <w:r>
        <w:rPr>
          <w:rFonts w:ascii="Arial" w:cs="Arial" w:eastAsia="Arial" w:hAnsi="Arial"/>
          <w:sz w:val="14"/>
          <w:szCs w:val="14"/>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3810</wp:posOffset>
            </wp:positionV>
            <wp:extent cx="16205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7740"/>
        <w:spacing w:after="0"/>
        <w:tabs>
          <w:tab w:leader="none" w:pos="940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360"/>
          </w:cols>
          <w:pgMar w:left="240" w:top="459" w:right="2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6820" w:hanging="452"/>
        <w:spacing w:after="0" w:line="423" w:lineRule="auto"/>
        <w:tabs>
          <w:tab w:leader="none" w:pos="449"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w:t>
      </w:r>
    </w:p>
    <w:p>
      <w:pPr>
        <w:spacing w:after="0" w:line="67"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760" w:type="dxa"/>
            <w:vAlign w:val="bottom"/>
            <w:gridSpan w:val="4"/>
          </w:tcPr>
          <w:p>
            <w:pPr>
              <w:ind w:left="36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56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color w:val="auto"/>
              </w:rPr>
              <w:t>2016</w:t>
            </w:r>
          </w:p>
        </w:tc>
        <w:tc>
          <w:tcPr>
            <w:tcW w:w="21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Issuance of preferred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6"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73" w:lineRule="exact"/>
        <w:rPr>
          <w:rFonts w:ascii="Arial" w:cs="Arial" w:eastAsia="Arial" w:hAnsi="Arial"/>
          <w:sz w:val="18"/>
          <w:szCs w:val="18"/>
          <w:b w:val="1"/>
          <w:bCs w:val="1"/>
          <w:color w:val="auto"/>
        </w:rPr>
      </w:pPr>
    </w:p>
    <w:p>
      <w:pPr>
        <w:ind w:left="46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46"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37,150,000 shares of US$0.001 par value per ordinary share as of December 31, 2016 and June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June 30, 2017, there were 13,609,208 and 13,629,344 ordinary shares outstanding, respectively.</w:t>
      </w:r>
    </w:p>
    <w:p>
      <w:pPr>
        <w:spacing w:after="0" w:line="85" w:lineRule="exact"/>
        <w:rPr>
          <w:rFonts w:ascii="Arial" w:cs="Arial" w:eastAsia="Arial" w:hAnsi="Arial"/>
          <w:sz w:val="18"/>
          <w:szCs w:val="18"/>
          <w:b w:val="1"/>
          <w:bCs w:val="1"/>
          <w:color w:val="auto"/>
        </w:rPr>
      </w:pPr>
    </w:p>
    <w:p>
      <w:pPr>
        <w:ind w:left="460"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2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(Continued)</w:t>
      </w:r>
    </w:p>
    <w:p>
      <w:pPr>
        <w:spacing w:after="0" w:line="134" w:lineRule="exact"/>
        <w:rPr>
          <w:rFonts w:ascii="Arial" w:cs="Arial" w:eastAsia="Arial" w:hAnsi="Arial"/>
          <w:sz w:val="18"/>
          <w:szCs w:val="18"/>
          <w:b w:val="1"/>
          <w:bCs w:val="1"/>
          <w:color w:val="auto"/>
        </w:rPr>
      </w:pPr>
    </w:p>
    <w:p>
      <w:pPr>
        <w:ind w:left="4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788,459 shares and 0 share during the periods ended December 31, 2016 and June 30, 2017 to Arda, respectively. Arda does not hold any other assets or liabilities as at December 31, 2016 and June 30, 2017, nor earn any income nor incur any expenses for the periods ended December 31, 2016 and June 30, 2017.</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right="56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During the six months ended June 30, 2016 and June 30,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ind w:left="13"/>
              <w:spacing w:after="0"/>
              <w:rPr>
                <w:sz w:val="20"/>
                <w:szCs w:val="20"/>
                <w:color w:val="auto"/>
              </w:rPr>
            </w:pPr>
            <w:r>
              <w:rPr>
                <w:rFonts w:ascii="Arial" w:cs="Arial" w:eastAsia="Arial" w:hAnsi="Arial"/>
                <w:sz w:val="14"/>
                <w:szCs w:val="14"/>
                <w:color w:val="auto"/>
                <w:w w:val="93"/>
              </w:rPr>
              <w:t>Exercise</w:t>
            </w:r>
          </w:p>
        </w:tc>
      </w:tr>
      <w:tr>
        <w:trPr>
          <w:trHeight w:val="149"/>
        </w:trPr>
        <w:tc>
          <w:tcPr>
            <w:tcW w:w="34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price at</w:t>
            </w:r>
          </w:p>
        </w:tc>
      </w:tr>
      <w:tr>
        <w:trPr>
          <w:trHeight w:val="154"/>
        </w:trPr>
        <w:tc>
          <w:tcPr>
            <w:tcW w:w="3480" w:type="dxa"/>
            <w:vAlign w:val="bottom"/>
          </w:tcPr>
          <w:p>
            <w:pPr>
              <w:spacing w:after="0"/>
              <w:rPr>
                <w:sz w:val="13"/>
                <w:szCs w:val="13"/>
                <w:color w:val="auto"/>
              </w:rPr>
            </w:pPr>
          </w:p>
        </w:tc>
        <w:tc>
          <w:tcPr>
            <w:tcW w:w="4520" w:type="dxa"/>
            <w:vAlign w:val="bottom"/>
          </w:tcPr>
          <w:p>
            <w:pPr>
              <w:jc w:val="right"/>
              <w:ind w:right="131"/>
              <w:spacing w:after="0" w:line="154"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2"/>
              <w:spacing w:after="0" w:line="154"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54"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w w:val="88"/>
              </w:rPr>
              <w:t>grant date</w:t>
            </w:r>
          </w:p>
        </w:tc>
      </w:tr>
      <w:tr>
        <w:trPr>
          <w:trHeight w:val="176"/>
        </w:trPr>
        <w:tc>
          <w:tcPr>
            <w:tcW w:w="3480" w:type="dxa"/>
            <w:vAlign w:val="bottom"/>
          </w:tcPr>
          <w:p>
            <w:pPr>
              <w:spacing w:after="0"/>
              <w:rPr>
                <w:sz w:val="20"/>
                <w:szCs w:val="20"/>
                <w:color w:val="auto"/>
              </w:rPr>
            </w:pPr>
            <w:r>
              <w:rPr>
                <w:rFonts w:ascii="Arial" w:cs="Arial" w:eastAsia="Arial" w:hAnsi="Arial"/>
                <w:sz w:val="14"/>
                <w:szCs w:val="14"/>
                <w:color w:val="auto"/>
              </w:rPr>
              <w:t>Grant Date</w:t>
            </w:r>
          </w:p>
        </w:tc>
        <w:tc>
          <w:tcPr>
            <w:tcW w:w="452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2"/>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January 1, 2015 (Note ii)</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January 1, 2015</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8.1300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June 30, 2015</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July 6, 2015</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5.24</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August 1, 2015 (Note iv)</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August 1, 2015 (Note vi)</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2.33</w:t>
            </w:r>
          </w:p>
        </w:tc>
        <w:tc>
          <w:tcPr>
            <w:tcW w:w="88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August 1, 2015 (Note vii)</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2.67</w:t>
            </w:r>
          </w:p>
        </w:tc>
        <w:tc>
          <w:tcPr>
            <w:tcW w:w="88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August 1, 2015 (Note ix)</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3.42</w:t>
            </w:r>
          </w:p>
        </w:tc>
        <w:tc>
          <w:tcPr>
            <w:tcW w:w="880" w:type="dxa"/>
            <w:vAlign w:val="bottom"/>
          </w:tcPr>
          <w:p>
            <w:pPr>
              <w:jc w:val="right"/>
              <w:spacing w:after="0"/>
              <w:rPr>
                <w:sz w:val="20"/>
                <w:szCs w:val="20"/>
                <w:color w:val="auto"/>
              </w:rPr>
            </w:pPr>
            <w:r>
              <w:rPr>
                <w:rFonts w:ascii="Arial" w:cs="Arial" w:eastAsia="Arial" w:hAnsi="Arial"/>
                <w:sz w:val="18"/>
                <w:szCs w:val="18"/>
                <w:color w:val="auto"/>
              </w:rPr>
              <w:t>0.2687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August 1, 2015 (Note xi)</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3.83</w:t>
            </w:r>
          </w:p>
        </w:tc>
        <w:tc>
          <w:tcPr>
            <w:tcW w:w="880" w:type="dxa"/>
            <w:vAlign w:val="bottom"/>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December 31, 2015</w:t>
            </w:r>
          </w:p>
        </w:tc>
        <w:tc>
          <w:tcPr>
            <w:tcW w:w="4520" w:type="dxa"/>
            <w:vAlign w:val="bottom"/>
          </w:tcPr>
          <w:p>
            <w:pPr>
              <w:jc w:val="right"/>
              <w:ind w:right="13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0.00</w:t>
            </w:r>
          </w:p>
        </w:tc>
        <w:tc>
          <w:tcPr>
            <w:tcW w:w="880" w:type="dxa"/>
            <w:vAlign w:val="bottom"/>
          </w:tcPr>
          <w:p>
            <w:pPr>
              <w:jc w:val="right"/>
              <w:spacing w:after="0"/>
              <w:rPr>
                <w:sz w:val="20"/>
                <w:szCs w:val="20"/>
                <w:color w:val="auto"/>
              </w:rPr>
            </w:pPr>
            <w:r>
              <w:rPr>
                <w:rFonts w:ascii="Arial" w:cs="Arial" w:eastAsia="Arial" w:hAnsi="Arial"/>
                <w:sz w:val="18"/>
                <w:szCs w:val="18"/>
                <w:color w:val="auto"/>
              </w:rPr>
              <w:t>0.0100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4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365"/>
        </w:trPr>
        <w:tc>
          <w:tcPr>
            <w:tcW w:w="3480" w:type="dxa"/>
            <w:vAlign w:val="bottom"/>
          </w:tcPr>
          <w:p>
            <w:pPr>
              <w:spacing w:after="0"/>
              <w:rPr>
                <w:sz w:val="24"/>
                <w:szCs w:val="24"/>
                <w:color w:val="auto"/>
              </w:rPr>
            </w:pPr>
          </w:p>
        </w:tc>
        <w:tc>
          <w:tcPr>
            <w:tcW w:w="4520" w:type="dxa"/>
            <w:vAlign w:val="bottom"/>
          </w:tcPr>
          <w:p>
            <w:pPr>
              <w:jc w:val="right"/>
              <w:ind w:right="2451"/>
              <w:spacing w:after="0"/>
              <w:rPr>
                <w:sz w:val="20"/>
                <w:szCs w:val="20"/>
                <w:color w:val="auto"/>
              </w:rPr>
            </w:pPr>
            <w:r>
              <w:rPr>
                <w:rFonts w:ascii="Arial" w:cs="Arial" w:eastAsia="Arial" w:hAnsi="Arial"/>
                <w:sz w:val="18"/>
                <w:szCs w:val="18"/>
                <w:color w:val="auto"/>
              </w:rPr>
              <w:t>F-107</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center"/>
              <w:ind w:left="17"/>
              <w:spacing w:after="0"/>
              <w:rPr>
                <w:sz w:val="20"/>
                <w:szCs w:val="20"/>
                <w:color w:val="auto"/>
              </w:rPr>
            </w:pPr>
            <w:r>
              <w:rPr>
                <w:rFonts w:ascii="Arial" w:cs="Arial" w:eastAsia="Arial" w:hAnsi="Arial"/>
                <w:sz w:val="14"/>
                <w:szCs w:val="14"/>
                <w:color w:val="auto"/>
                <w:w w:val="93"/>
              </w:rPr>
              <w:t>Exercise</w:t>
            </w:r>
          </w:p>
        </w:tc>
      </w:tr>
      <w:tr>
        <w:trPr>
          <w:trHeight w:val="149"/>
        </w:trPr>
        <w:tc>
          <w:tcPr>
            <w:tcW w:w="4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Vesting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price at</w:t>
            </w:r>
          </w:p>
        </w:tc>
      </w:tr>
      <w:tr>
        <w:trPr>
          <w:trHeight w:val="154"/>
        </w:trPr>
        <w:tc>
          <w:tcPr>
            <w:tcW w:w="4160" w:type="dxa"/>
            <w:vAlign w:val="bottom"/>
          </w:tcPr>
          <w:p>
            <w:pPr>
              <w:spacing w:after="0"/>
              <w:rPr>
                <w:sz w:val="13"/>
                <w:szCs w:val="13"/>
                <w:color w:val="auto"/>
              </w:rPr>
            </w:pPr>
          </w:p>
        </w:tc>
        <w:tc>
          <w:tcPr>
            <w:tcW w:w="3840" w:type="dxa"/>
            <w:vAlign w:val="bottom"/>
          </w:tcPr>
          <w:p>
            <w:pPr>
              <w:jc w:val="right"/>
              <w:ind w:right="134"/>
              <w:spacing w:after="0" w:line="154" w:lineRule="exact"/>
              <w:rPr>
                <w:sz w:val="20"/>
                <w:szCs w:val="20"/>
                <w:color w:val="auto"/>
              </w:rPr>
            </w:pPr>
            <w:r>
              <w:rPr>
                <w:rFonts w:ascii="Arial" w:cs="Arial" w:eastAsia="Arial" w:hAnsi="Arial"/>
                <w:sz w:val="14"/>
                <w:szCs w:val="14"/>
                <w:color w:val="auto"/>
              </w:rPr>
              <w:t>Number of</w:t>
            </w:r>
          </w:p>
        </w:tc>
        <w:tc>
          <w:tcPr>
            <w:tcW w:w="800" w:type="dxa"/>
            <w:vAlign w:val="bottom"/>
          </w:tcPr>
          <w:p>
            <w:pPr>
              <w:ind w:left="220"/>
              <w:spacing w:after="0" w:line="154"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5"/>
              <w:spacing w:after="0" w:line="154" w:lineRule="exact"/>
              <w:rPr>
                <w:sz w:val="20"/>
                <w:szCs w:val="20"/>
                <w:color w:val="auto"/>
              </w:rPr>
            </w:pPr>
            <w:r>
              <w:rPr>
                <w:rFonts w:ascii="Arial" w:cs="Arial" w:eastAsia="Arial" w:hAnsi="Arial"/>
                <w:sz w:val="14"/>
                <w:szCs w:val="14"/>
                <w:color w:val="auto"/>
              </w:rPr>
              <w:t>period</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w w:val="88"/>
              </w:rPr>
              <w:t>grant date</w:t>
            </w:r>
          </w:p>
        </w:tc>
      </w:tr>
      <w:tr>
        <w:trPr>
          <w:trHeight w:val="176"/>
        </w:trPr>
        <w:tc>
          <w:tcPr>
            <w:tcW w:w="4160" w:type="dxa"/>
            <w:vAlign w:val="bottom"/>
          </w:tcPr>
          <w:p>
            <w:pPr>
              <w:spacing w:after="0"/>
              <w:rPr>
                <w:sz w:val="20"/>
                <w:szCs w:val="20"/>
                <w:color w:val="auto"/>
              </w:rPr>
            </w:pPr>
            <w:r>
              <w:rPr>
                <w:rFonts w:ascii="Arial" w:cs="Arial" w:eastAsia="Arial" w:hAnsi="Arial"/>
                <w:sz w:val="14"/>
                <w:szCs w:val="14"/>
                <w:color w:val="auto"/>
              </w:rPr>
              <w:t>Grant Date</w:t>
            </w:r>
          </w:p>
        </w:tc>
        <w:tc>
          <w:tcPr>
            <w:tcW w:w="3840" w:type="dxa"/>
            <w:vAlign w:val="bottom"/>
          </w:tcPr>
          <w:p>
            <w:pPr>
              <w:jc w:val="right"/>
              <w:ind w:right="274"/>
              <w:spacing w:after="0"/>
              <w:rPr>
                <w:sz w:val="20"/>
                <w:szCs w:val="20"/>
                <w:color w:val="auto"/>
              </w:rPr>
            </w:pPr>
            <w:r>
              <w:rPr>
                <w:rFonts w:ascii="Arial" w:cs="Arial" w:eastAsia="Arial" w:hAnsi="Arial"/>
                <w:sz w:val="14"/>
                <w:szCs w:val="14"/>
                <w:color w:val="auto"/>
              </w:rPr>
              <w:t>shares</w:t>
            </w:r>
          </w:p>
        </w:tc>
        <w:tc>
          <w:tcPr>
            <w:tcW w:w="800" w:type="dxa"/>
            <w:vAlign w:val="bottom"/>
          </w:tcPr>
          <w:p>
            <w:pPr>
              <w:ind w:left="200"/>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5"/>
              <w:spacing w:after="0"/>
              <w:rPr>
                <w:sz w:val="20"/>
                <w:szCs w:val="20"/>
                <w:color w:val="auto"/>
              </w:rPr>
            </w:pPr>
            <w:r>
              <w:rPr>
                <w:rFonts w:ascii="Arial" w:cs="Arial" w:eastAsia="Arial" w:hAnsi="Arial"/>
                <w:sz w:val="14"/>
                <w:szCs w:val="14"/>
                <w:color w:val="auto"/>
              </w:rPr>
              <w:t>(year)</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(US$)</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79,116</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July 1, 2016</w:t>
            </w:r>
          </w:p>
        </w:tc>
        <w:tc>
          <w:tcPr>
            <w:tcW w:w="3840" w:type="dxa"/>
            <w:vAlign w:val="bottom"/>
          </w:tcPr>
          <w:p>
            <w:pPr>
              <w:jc w:val="right"/>
              <w:ind w:right="134"/>
              <w:spacing w:after="0"/>
              <w:rPr>
                <w:sz w:val="20"/>
                <w:szCs w:val="20"/>
                <w:color w:val="auto"/>
              </w:rPr>
            </w:pPr>
            <w:r>
              <w:rPr>
                <w:rFonts w:ascii="Arial" w:cs="Arial" w:eastAsia="Arial" w:hAnsi="Arial"/>
                <w:sz w:val="18"/>
                <w:szCs w:val="18"/>
                <w:color w:val="auto"/>
              </w:rPr>
              <w:t>10,000</w:t>
            </w:r>
          </w:p>
        </w:tc>
        <w:tc>
          <w:tcPr>
            <w:tcW w:w="800" w:type="dxa"/>
            <w:vAlign w:val="bottom"/>
          </w:tcPr>
          <w:p>
            <w:pPr>
              <w:ind w:left="200"/>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January 1, 2017</w:t>
            </w:r>
          </w:p>
        </w:tc>
        <w:tc>
          <w:tcPr>
            <w:tcW w:w="3840" w:type="dxa"/>
            <w:vAlign w:val="bottom"/>
          </w:tcPr>
          <w:p>
            <w:pPr>
              <w:jc w:val="right"/>
              <w:ind w:right="134"/>
              <w:spacing w:after="0"/>
              <w:rPr>
                <w:sz w:val="20"/>
                <w:szCs w:val="20"/>
                <w:color w:val="auto"/>
              </w:rPr>
            </w:pPr>
            <w:r>
              <w:rPr>
                <w:rFonts w:ascii="Arial" w:cs="Arial" w:eastAsia="Arial" w:hAnsi="Arial"/>
                <w:sz w:val="18"/>
                <w:szCs w:val="18"/>
                <w:color w:val="auto"/>
              </w:rPr>
              <w:t>4,400</w:t>
            </w:r>
          </w:p>
        </w:tc>
        <w:tc>
          <w:tcPr>
            <w:tcW w:w="800" w:type="dxa"/>
            <w:vAlign w:val="bottom"/>
          </w:tcPr>
          <w:p>
            <w:pPr>
              <w:ind w:left="200"/>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180,000</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January 1, 2017</w:t>
            </w:r>
          </w:p>
        </w:tc>
        <w:tc>
          <w:tcPr>
            <w:tcW w:w="3840" w:type="dxa"/>
            <w:vAlign w:val="bottom"/>
          </w:tcPr>
          <w:p>
            <w:pPr>
              <w:jc w:val="right"/>
              <w:ind w:right="134"/>
              <w:spacing w:after="0"/>
              <w:rPr>
                <w:sz w:val="20"/>
                <w:szCs w:val="20"/>
                <w:color w:val="auto"/>
              </w:rPr>
            </w:pPr>
            <w:r>
              <w:rPr>
                <w:rFonts w:ascii="Arial" w:cs="Arial" w:eastAsia="Arial" w:hAnsi="Arial"/>
                <w:sz w:val="18"/>
                <w:szCs w:val="18"/>
                <w:color w:val="auto"/>
              </w:rPr>
              <w:t>100,800</w:t>
            </w:r>
          </w:p>
        </w:tc>
        <w:tc>
          <w:tcPr>
            <w:tcW w:w="800" w:type="dxa"/>
            <w:vAlign w:val="bottom"/>
          </w:tcPr>
          <w:p>
            <w:pPr>
              <w:ind w:left="200"/>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April 1, 2017</w:t>
            </w:r>
          </w:p>
        </w:tc>
        <w:tc>
          <w:tcPr>
            <w:tcW w:w="3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5,000</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r>
    </w:tbl>
    <w:p>
      <w:pPr>
        <w:spacing w:after="0" w:line="229" w:lineRule="exact"/>
        <w:rPr>
          <w:sz w:val="20"/>
          <w:szCs w:val="20"/>
          <w:color w:val="auto"/>
        </w:rPr>
      </w:pPr>
    </w:p>
    <w:p>
      <w:pPr>
        <w:ind w:left="920" w:hanging="574"/>
        <w:spacing w:after="0" w:line="258"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spacing w:after="0" w:line="1" w:lineRule="exact"/>
        <w:rPr>
          <w:rFonts w:ascii="Arial" w:cs="Arial" w:eastAsia="Arial" w:hAnsi="Arial"/>
          <w:sz w:val="18"/>
          <w:szCs w:val="18"/>
          <w:color w:val="auto"/>
        </w:rPr>
      </w:pPr>
    </w:p>
    <w:p>
      <w:pPr>
        <w:ind w:left="920" w:right="440" w:hanging="574"/>
        <w:spacing w:after="0" w:line="250"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ind w:left="920" w:right="60" w:hanging="574"/>
        <w:spacing w:after="0" w:line="265" w:lineRule="auto"/>
        <w:tabs>
          <w:tab w:leader="none" w:pos="9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ind w:left="920" w:right="60" w:hanging="574"/>
        <w:spacing w:after="0" w:line="250"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60" w:hanging="574"/>
        <w:spacing w:after="0" w:line="265" w:lineRule="auto"/>
        <w:tabs>
          <w:tab w:leader="none" w:pos="9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ind w:left="920" w:hanging="574"/>
        <w:spacing w:after="0" w:line="250" w:lineRule="auto"/>
        <w:tabs>
          <w:tab w:leader="none" w:pos="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right="60" w:hanging="574"/>
        <w:spacing w:after="0" w:line="265" w:lineRule="auto"/>
        <w:tabs>
          <w:tab w:leader="none" w:pos="9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jc w:val="both"/>
        <w:ind w:left="920" w:hanging="574"/>
        <w:spacing w:after="0" w:line="265" w:lineRule="auto"/>
        <w:tabs>
          <w:tab w:leader="none" w:pos="9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jc w:val="both"/>
        <w:ind w:left="920" w:right="20" w:hanging="574"/>
        <w:spacing w:after="0" w:line="277" w:lineRule="auto"/>
        <w:tabs>
          <w:tab w:leader="none" w:pos="9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340"/>
          </w:cols>
          <w:pgMar w:left="240" w:top="459" w:right="3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0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920" w:right="180" w:hanging="574"/>
        <w:spacing w:after="0" w:line="271" w:lineRule="auto"/>
        <w:tabs>
          <w:tab w:leader="none" w:pos="920" w:val="left"/>
        </w:tabs>
        <w:numPr>
          <w:ilvl w:val="1"/>
          <w:numId w:val="301"/>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ind w:left="920" w:right="180" w:hanging="574"/>
        <w:spacing w:after="0" w:line="250" w:lineRule="auto"/>
        <w:tabs>
          <w:tab w:leader="none" w:pos="9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Arial" w:cs="Arial" w:eastAsia="Arial" w:hAnsi="Arial"/>
          <w:sz w:val="18"/>
          <w:szCs w:val="18"/>
          <w:color w:val="auto"/>
        </w:rPr>
      </w:pPr>
    </w:p>
    <w:p>
      <w:pPr>
        <w:ind w:left="920" w:hanging="574"/>
        <w:spacing w:after="0" w:line="255" w:lineRule="auto"/>
        <w:tabs>
          <w:tab w:leader="none" w:pos="9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six months ended June 30, 2016 and June 30,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Weighted</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gridSpan w:val="2"/>
          </w:tcPr>
          <w:p>
            <w:pPr>
              <w:jc w:val="center"/>
              <w:ind w:right="540"/>
              <w:spacing w:after="0" w:line="154" w:lineRule="exact"/>
              <w:rPr>
                <w:sz w:val="20"/>
                <w:szCs w:val="20"/>
                <w:color w:val="auto"/>
              </w:rPr>
            </w:pPr>
            <w:r>
              <w:rPr>
                <w:rFonts w:ascii="Arial" w:cs="Arial" w:eastAsia="Arial" w:hAnsi="Arial"/>
                <w:sz w:val="14"/>
                <w:szCs w:val="14"/>
                <w:color w:val="auto"/>
                <w:w w:val="86"/>
              </w:rPr>
              <w:t>average</w:t>
            </w:r>
          </w:p>
        </w:tc>
        <w:tc>
          <w:tcPr>
            <w:tcW w:w="1180" w:type="dxa"/>
            <w:vAlign w:val="bottom"/>
            <w:gridSpan w:val="2"/>
          </w:tcPr>
          <w:p>
            <w:pPr>
              <w:jc w:val="center"/>
              <w:ind w:right="540"/>
              <w:spacing w:after="0" w:line="154" w:lineRule="exact"/>
              <w:rPr>
                <w:sz w:val="20"/>
                <w:szCs w:val="20"/>
                <w:color w:val="auto"/>
              </w:rPr>
            </w:pPr>
            <w:r>
              <w:rPr>
                <w:rFonts w:ascii="Arial" w:cs="Arial" w:eastAsia="Arial" w:hAnsi="Arial"/>
                <w:sz w:val="14"/>
                <w:szCs w:val="14"/>
                <w:color w:val="auto"/>
                <w:w w:val="94"/>
              </w:rPr>
              <w:t>Weighted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Weighted</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7"/>
              </w:rPr>
              <w:t>grant</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average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6"/>
              </w:rPr>
              <w:t>average</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4"/>
              </w:rPr>
              <w:t>date fair</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7"/>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Number of</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exercise</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5"/>
              </w:rPr>
              <w:t>value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price ($)</w:t>
            </w: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(US$)</w:t>
            </w: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color w:val="auto"/>
                <w:w w:val="97"/>
              </w:rPr>
              <w:t>life (years)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(US$’000)</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1,592,443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111,316</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10.05</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13.96</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(53,388)</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(102,857)</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6.49</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At June 30,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1,547,514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5.26</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10.96</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22,834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1,492,185</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290,200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(20,136)</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2.34</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(120,643)</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At June 30,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1,641,606</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June 30, 2016 and June 30, 2017 respectively.</w:t>
      </w:r>
    </w:p>
    <w:p>
      <w:pPr>
        <w:spacing w:after="0" w:line="39"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June 30, 2016 and June 30, 2017 and the exercise price.</w:t>
      </w:r>
    </w:p>
    <w:p>
      <w:pPr>
        <w:spacing w:after="0" w:line="62" w:lineRule="exact"/>
        <w:rPr>
          <w:sz w:val="20"/>
          <w:szCs w:val="20"/>
          <w:color w:val="auto"/>
        </w:rPr>
      </w:pPr>
    </w:p>
    <w:p>
      <w:pPr>
        <w:jc w:val="both"/>
        <w:ind w:left="460" w:right="16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June 30, 2016 and June 30, 2017 were US$1,863 and US$1,923 respectively.</w:t>
      </w:r>
    </w:p>
    <w:p>
      <w:pPr>
        <w:spacing w:after="0" w:line="73"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As of June 30, 2016 and June 30, 2017, there were 150,000 share options granted to certain employees which the vesting was subject to the earlier occurrence of any of the following events, either: the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380"/>
          </w:cols>
          <w:pgMar w:left="240" w:top="459" w:right="2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six months ended June 30, 2016 and June 30, 2017.</w:t>
      </w:r>
    </w:p>
    <w:p>
      <w:pPr>
        <w:spacing w:after="0" w:line="78" w:lineRule="exact"/>
        <w:rPr>
          <w:rFonts w:ascii="Arial" w:cs="Arial" w:eastAsia="Arial" w:hAnsi="Arial"/>
          <w:sz w:val="18"/>
          <w:szCs w:val="18"/>
          <w:color w:val="auto"/>
        </w:rPr>
      </w:pPr>
    </w:p>
    <w:p>
      <w:pPr>
        <w:ind w:left="460" w:right="340"/>
        <w:spacing w:after="0" w:line="259" w:lineRule="auto"/>
        <w:rPr>
          <w:rFonts w:ascii="Arial" w:cs="Arial" w:eastAsia="Arial" w:hAnsi="Arial"/>
          <w:sz w:val="18"/>
          <w:szCs w:val="18"/>
          <w:color w:val="auto"/>
        </w:rPr>
      </w:pPr>
      <w:r>
        <w:rPr>
          <w:rFonts w:ascii="Arial" w:cs="Arial" w:eastAsia="Arial" w:hAnsi="Arial"/>
          <w:sz w:val="18"/>
          <w:szCs w:val="18"/>
          <w:color w:val="auto"/>
        </w:rPr>
        <w:t>As of June 30, 2016 and June 30, 2017, there were US$7,329 and US$6,170 of unrecognized share-based compensation expenses related to share options, which were expected to be recognized over a weighted-average vesting period of 2.59 and 2.45 years, respectively. To the extent the actual forfeiture rate is different from the Company’s estimate, the actual share-based compensation related to these awards may be different from the expectation.</w:t>
      </w:r>
    </w:p>
    <w:p>
      <w:pPr>
        <w:spacing w:after="0" w:line="78" w:lineRule="exact"/>
        <w:rPr>
          <w:rFonts w:ascii="Arial" w:cs="Arial" w:eastAsia="Arial" w:hAnsi="Arial"/>
          <w:sz w:val="18"/>
          <w:szCs w:val="18"/>
          <w:color w:val="auto"/>
        </w:rPr>
      </w:pPr>
    </w:p>
    <w:p>
      <w:pPr>
        <w:ind w:left="460" w:right="10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six months ended June 30, 2016 and June 30, 2017 were estimated using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4220" w:type="dxa"/>
            <w:vAlign w:val="bottom"/>
          </w:tcPr>
          <w:p>
            <w:pPr>
              <w:spacing w:after="0"/>
              <w:rPr>
                <w:sz w:val="12"/>
                <w:szCs w:val="12"/>
                <w:color w:val="auto"/>
              </w:rPr>
            </w:pPr>
          </w:p>
        </w:tc>
        <w:tc>
          <w:tcPr>
            <w:tcW w:w="3900" w:type="dxa"/>
            <w:vAlign w:val="bottom"/>
          </w:tcPr>
          <w:p>
            <w:pPr>
              <w:jc w:val="center"/>
              <w:ind w:left="2314"/>
              <w:spacing w:after="0" w:line="149" w:lineRule="exact"/>
              <w:rPr>
                <w:sz w:val="20"/>
                <w:szCs w:val="20"/>
                <w:color w:val="auto"/>
              </w:rPr>
            </w:pPr>
            <w:r>
              <w:rPr>
                <w:rFonts w:ascii="Arial" w:cs="Arial" w:eastAsia="Arial" w:hAnsi="Arial"/>
                <w:sz w:val="14"/>
                <w:szCs w:val="14"/>
                <w:color w:val="auto"/>
                <w:w w:val="96"/>
              </w:rPr>
              <w:t>Risk-free</w:t>
            </w:r>
          </w:p>
        </w:tc>
        <w:tc>
          <w:tcPr>
            <w:tcW w:w="122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9"/>
              </w:rPr>
              <w:t>Dividend</w:t>
            </w:r>
          </w:p>
        </w:tc>
        <w:tc>
          <w:tcPr>
            <w:tcW w:w="1220" w:type="dxa"/>
            <w:vAlign w:val="bottom"/>
          </w:tcPr>
          <w:p>
            <w:pPr>
              <w:ind w:left="260"/>
              <w:spacing w:after="0" w:line="149" w:lineRule="exact"/>
              <w:rPr>
                <w:sz w:val="20"/>
                <w:szCs w:val="20"/>
                <w:color w:val="auto"/>
              </w:rPr>
            </w:pPr>
            <w:r>
              <w:rPr>
                <w:rFonts w:ascii="Arial" w:cs="Arial" w:eastAsia="Arial" w:hAnsi="Arial"/>
                <w:sz w:val="14"/>
                <w:szCs w:val="14"/>
                <w:color w:val="auto"/>
              </w:rPr>
              <w:t>Volatility</w:t>
            </w:r>
          </w:p>
        </w:tc>
        <w:tc>
          <w:tcPr>
            <w:tcW w:w="86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4220" w:type="dxa"/>
            <w:vAlign w:val="bottom"/>
          </w:tcPr>
          <w:p>
            <w:pPr>
              <w:spacing w:after="0"/>
              <w:rPr>
                <w:sz w:val="12"/>
                <w:szCs w:val="12"/>
                <w:color w:val="auto"/>
              </w:rPr>
            </w:pPr>
          </w:p>
        </w:tc>
        <w:tc>
          <w:tcPr>
            <w:tcW w:w="3900" w:type="dxa"/>
            <w:vAlign w:val="bottom"/>
          </w:tcPr>
          <w:p>
            <w:pPr>
              <w:jc w:val="center"/>
              <w:ind w:left="2314"/>
              <w:spacing w:after="0" w:line="149" w:lineRule="exact"/>
              <w:rPr>
                <w:sz w:val="20"/>
                <w:szCs w:val="20"/>
                <w:color w:val="auto"/>
              </w:rPr>
            </w:pPr>
            <w:r>
              <w:rPr>
                <w:rFonts w:ascii="Arial" w:cs="Arial" w:eastAsia="Arial" w:hAnsi="Arial"/>
                <w:sz w:val="14"/>
                <w:szCs w:val="14"/>
                <w:color w:val="auto"/>
                <w:w w:val="89"/>
              </w:rPr>
              <w:t>interest rate</w:t>
            </w:r>
          </w:p>
        </w:tc>
        <w:tc>
          <w:tcPr>
            <w:tcW w:w="1220" w:type="dxa"/>
            <w:vAlign w:val="bottom"/>
          </w:tcPr>
          <w:p>
            <w:pPr>
              <w:jc w:val="center"/>
              <w:ind w:right="74"/>
              <w:spacing w:after="0" w:line="149" w:lineRule="exact"/>
              <w:rPr>
                <w:sz w:val="20"/>
                <w:szCs w:val="20"/>
                <w:color w:val="auto"/>
              </w:rPr>
            </w:pPr>
            <w:r>
              <w:rPr>
                <w:rFonts w:ascii="Arial" w:cs="Arial" w:eastAsia="Arial" w:hAnsi="Arial"/>
                <w:sz w:val="14"/>
                <w:szCs w:val="14"/>
                <w:color w:val="auto"/>
              </w:rPr>
              <w:t>yield</w:t>
            </w:r>
          </w:p>
        </w:tc>
        <w:tc>
          <w:tcPr>
            <w:tcW w:w="1220" w:type="dxa"/>
            <w:vAlign w:val="bottom"/>
          </w:tcPr>
          <w:p>
            <w:pPr>
              <w:ind w:left="420"/>
              <w:spacing w:after="0" w:line="149" w:lineRule="exact"/>
              <w:rPr>
                <w:sz w:val="20"/>
                <w:szCs w:val="20"/>
                <w:color w:val="auto"/>
              </w:rPr>
            </w:pPr>
            <w:r>
              <w:rPr>
                <w:rFonts w:ascii="Arial" w:cs="Arial" w:eastAsia="Arial" w:hAnsi="Arial"/>
                <w:sz w:val="14"/>
                <w:szCs w:val="14"/>
                <w:color w:val="auto"/>
              </w:rPr>
              <w:t>rate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4220" w:type="dxa"/>
            <w:vAlign w:val="bottom"/>
          </w:tcPr>
          <w:p>
            <w:pPr>
              <w:spacing w:after="0"/>
              <w:rPr>
                <w:sz w:val="20"/>
                <w:szCs w:val="20"/>
                <w:color w:val="auto"/>
              </w:rPr>
            </w:pPr>
            <w:r>
              <w:rPr>
                <w:rFonts w:ascii="Arial" w:cs="Arial" w:eastAsia="Arial" w:hAnsi="Arial"/>
                <w:sz w:val="14"/>
                <w:szCs w:val="14"/>
                <w:color w:val="auto"/>
              </w:rPr>
              <w:t>Grant Date</w:t>
            </w:r>
          </w:p>
        </w:tc>
        <w:tc>
          <w:tcPr>
            <w:tcW w:w="3900" w:type="dxa"/>
            <w:vAlign w:val="bottom"/>
          </w:tcPr>
          <w:p>
            <w:pPr>
              <w:jc w:val="center"/>
              <w:ind w:left="2314"/>
              <w:spacing w:after="0"/>
              <w:rPr>
                <w:sz w:val="20"/>
                <w:szCs w:val="20"/>
                <w:color w:val="auto"/>
              </w:rPr>
            </w:pPr>
            <w:r>
              <w:rPr>
                <w:rFonts w:ascii="Arial" w:cs="Arial" w:eastAsia="Arial" w:hAnsi="Arial"/>
                <w:sz w:val="14"/>
                <w:szCs w:val="14"/>
                <w:color w:val="auto"/>
              </w:rPr>
              <w:t>(Note i)</w:t>
            </w:r>
          </w:p>
        </w:tc>
        <w:tc>
          <w:tcPr>
            <w:tcW w:w="1220" w:type="dxa"/>
            <w:vAlign w:val="bottom"/>
          </w:tcPr>
          <w:p>
            <w:pPr>
              <w:jc w:val="center"/>
              <w:ind w:right="74"/>
              <w:spacing w:after="0"/>
              <w:rPr>
                <w:sz w:val="20"/>
                <w:szCs w:val="20"/>
                <w:color w:val="auto"/>
              </w:rPr>
            </w:pPr>
            <w:r>
              <w:rPr>
                <w:rFonts w:ascii="Arial" w:cs="Arial" w:eastAsia="Arial" w:hAnsi="Arial"/>
                <w:sz w:val="14"/>
                <w:szCs w:val="14"/>
                <w:color w:val="auto"/>
              </w:rPr>
              <w:t>(Note ii)</w:t>
            </w:r>
          </w:p>
        </w:tc>
        <w:tc>
          <w:tcPr>
            <w:tcW w:w="1220" w:type="dxa"/>
            <w:vAlign w:val="bottom"/>
          </w:tcPr>
          <w:p>
            <w:pPr>
              <w:ind w:left="260"/>
              <w:spacing w:after="0"/>
              <w:rPr>
                <w:sz w:val="20"/>
                <w:szCs w:val="20"/>
                <w:color w:val="auto"/>
              </w:rPr>
            </w:pPr>
            <w:r>
              <w:rPr>
                <w:rFonts w:ascii="Arial" w:cs="Arial" w:eastAsia="Arial" w:hAnsi="Arial"/>
                <w:sz w:val="14"/>
                <w:szCs w:val="14"/>
                <w:color w:val="auto"/>
              </w:rPr>
              <w:t>(Note iii)</w:t>
            </w:r>
          </w:p>
        </w:tc>
        <w:tc>
          <w:tcPr>
            <w:tcW w:w="86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3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0.09%</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47.34%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January 1, 2015</w:t>
            </w:r>
          </w:p>
        </w:tc>
        <w:tc>
          <w:tcPr>
            <w:tcW w:w="3900" w:type="dxa"/>
            <w:vAlign w:val="bottom"/>
          </w:tcPr>
          <w:p>
            <w:pPr>
              <w:jc w:val="right"/>
              <w:ind w:right="174"/>
              <w:spacing w:after="0"/>
              <w:rPr>
                <w:sz w:val="20"/>
                <w:szCs w:val="20"/>
                <w:color w:val="auto"/>
              </w:rPr>
            </w:pPr>
            <w:r>
              <w:rPr>
                <w:rFonts w:ascii="Arial" w:cs="Arial" w:eastAsia="Arial" w:hAnsi="Arial"/>
                <w:sz w:val="18"/>
                <w:szCs w:val="18"/>
                <w:color w:val="auto"/>
              </w:rPr>
              <w:t>2.37%</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53.47%</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3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1.88%</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54.55%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June 30, 2015</w:t>
            </w:r>
          </w:p>
        </w:tc>
        <w:tc>
          <w:tcPr>
            <w:tcW w:w="3900" w:type="dxa"/>
            <w:vAlign w:val="bottom"/>
          </w:tcPr>
          <w:p>
            <w:pPr>
              <w:jc w:val="right"/>
              <w:ind w:right="174"/>
              <w:spacing w:after="0"/>
              <w:rPr>
                <w:sz w:val="20"/>
                <w:szCs w:val="20"/>
                <w:color w:val="auto"/>
              </w:rPr>
            </w:pPr>
            <w:r>
              <w:rPr>
                <w:rFonts w:ascii="Arial" w:cs="Arial" w:eastAsia="Arial" w:hAnsi="Arial"/>
                <w:sz w:val="18"/>
                <w:szCs w:val="18"/>
                <w:color w:val="auto"/>
              </w:rPr>
              <w:t>2.57%</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52.87%</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2.53%</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52.60%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July 6, 2015</w:t>
            </w:r>
          </w:p>
        </w:tc>
        <w:tc>
          <w:tcPr>
            <w:tcW w:w="3900" w:type="dxa"/>
            <w:vAlign w:val="bottom"/>
          </w:tcPr>
          <w:p>
            <w:pPr>
              <w:jc w:val="right"/>
              <w:ind w:right="174"/>
              <w:spacing w:after="0"/>
              <w:rPr>
                <w:sz w:val="20"/>
                <w:szCs w:val="20"/>
                <w:color w:val="auto"/>
              </w:rPr>
            </w:pPr>
            <w:r>
              <w:rPr>
                <w:rFonts w:ascii="Arial" w:cs="Arial" w:eastAsia="Arial" w:hAnsi="Arial"/>
                <w:sz w:val="18"/>
                <w:szCs w:val="18"/>
                <w:color w:val="auto"/>
              </w:rPr>
              <w:t>2.58%</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52.64%</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August 1, 2015</w:t>
            </w:r>
          </w:p>
        </w:tc>
        <w:tc>
          <w:tcPr>
            <w:tcW w:w="3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2.34%</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52.78%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December 31, 2015</w:t>
            </w:r>
          </w:p>
        </w:tc>
        <w:tc>
          <w:tcPr>
            <w:tcW w:w="3900" w:type="dxa"/>
            <w:vAlign w:val="bottom"/>
          </w:tcPr>
          <w:p>
            <w:pPr>
              <w:jc w:val="right"/>
              <w:ind w:right="174"/>
              <w:spacing w:after="0"/>
              <w:rPr>
                <w:sz w:val="20"/>
                <w:szCs w:val="20"/>
                <w:color w:val="auto"/>
              </w:rPr>
            </w:pPr>
            <w:r>
              <w:rPr>
                <w:rFonts w:ascii="Arial" w:cs="Arial" w:eastAsia="Arial" w:hAnsi="Arial"/>
                <w:sz w:val="18"/>
                <w:szCs w:val="18"/>
                <w:color w:val="auto"/>
              </w:rPr>
              <w:t>2.52%</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55.54%</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2.00%</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49.37%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July 1, 2016</w:t>
            </w:r>
          </w:p>
        </w:tc>
        <w:tc>
          <w:tcPr>
            <w:tcW w:w="3900" w:type="dxa"/>
            <w:vAlign w:val="bottom"/>
          </w:tcPr>
          <w:p>
            <w:pPr>
              <w:jc w:val="right"/>
              <w:ind w:right="174"/>
              <w:spacing w:after="0"/>
              <w:rPr>
                <w:sz w:val="20"/>
                <w:szCs w:val="20"/>
                <w:color w:val="auto"/>
              </w:rPr>
            </w:pPr>
            <w:r>
              <w:rPr>
                <w:rFonts w:ascii="Arial" w:cs="Arial" w:eastAsia="Arial" w:hAnsi="Arial"/>
                <w:sz w:val="18"/>
                <w:szCs w:val="18"/>
                <w:color w:val="auto"/>
              </w:rPr>
              <w:t>1.62%</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50.52%</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2.67%</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April 1, 2017</w:t>
            </w:r>
          </w:p>
        </w:tc>
        <w:tc>
          <w:tcPr>
            <w:tcW w:w="3900" w:type="dxa"/>
            <w:vAlign w:val="bottom"/>
          </w:tcPr>
          <w:p>
            <w:pPr>
              <w:jc w:val="right"/>
              <w:ind w:right="174"/>
              <w:spacing w:after="0"/>
              <w:rPr>
                <w:sz w:val="20"/>
                <w:szCs w:val="20"/>
                <w:color w:val="auto"/>
              </w:rPr>
            </w:pPr>
            <w:r>
              <w:rPr>
                <w:rFonts w:ascii="Arial" w:cs="Arial" w:eastAsia="Arial" w:hAnsi="Arial"/>
                <w:sz w:val="18"/>
                <w:szCs w:val="18"/>
                <w:color w:val="auto"/>
              </w:rPr>
              <w:t>2.59%</w:t>
            </w:r>
          </w:p>
        </w:tc>
        <w:tc>
          <w:tcPr>
            <w:tcW w:w="122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50.79%</w:t>
            </w:r>
          </w:p>
        </w:tc>
        <w:tc>
          <w:tcPr>
            <w:tcW w:w="86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900" w:right="500" w:hanging="446"/>
        <w:spacing w:after="0" w:line="258"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700" w:hanging="446"/>
        <w:spacing w:after="0" w:line="250"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460" w:right="680"/>
        <w:spacing w:after="0" w:line="277" w:lineRule="auto"/>
        <w:rPr>
          <w:rFonts w:ascii="Arial" w:cs="Arial" w:eastAsia="Arial" w:hAnsi="Arial"/>
          <w:sz w:val="18"/>
          <w:szCs w:val="18"/>
          <w:color w:val="auto"/>
        </w:rPr>
      </w:pPr>
      <w:r>
        <w:rPr>
          <w:rFonts w:ascii="Arial" w:cs="Arial" w:eastAsia="Arial" w:hAnsi="Arial"/>
          <w:sz w:val="18"/>
          <w:szCs w:val="18"/>
          <w:color w:val="auto"/>
        </w:rPr>
        <w:t>On December 28, 2016, the Company authorized and communicated the issuance of restricted ordinary shares of 1,068,114 and 801,086 of the Company to certain employees upon fulfillment of certain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6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 (Continued)</w:t>
      </w:r>
    </w:p>
    <w:p>
      <w:pPr>
        <w:spacing w:after="0" w:line="130" w:lineRule="exact"/>
        <w:rPr>
          <w:rFonts w:ascii="Arial" w:cs="Arial" w:eastAsia="Arial" w:hAnsi="Arial"/>
          <w:sz w:val="18"/>
          <w:szCs w:val="18"/>
          <w:color w:val="auto"/>
        </w:rPr>
      </w:pPr>
    </w:p>
    <w:p>
      <w:pPr>
        <w:ind w:left="460"/>
        <w:spacing w:after="0" w:line="293" w:lineRule="auto"/>
        <w:rPr>
          <w:rFonts w:ascii="Arial" w:cs="Arial" w:eastAsia="Arial" w:hAnsi="Arial"/>
          <w:sz w:val="18"/>
          <w:szCs w:val="18"/>
          <w:color w:val="auto"/>
        </w:rPr>
      </w:pPr>
      <w:r>
        <w:rPr>
          <w:rFonts w:ascii="Arial" w:cs="Arial" w:eastAsia="Arial" w:hAnsi="Arial"/>
          <w:sz w:val="16"/>
          <w:szCs w:val="16"/>
          <w:color w:val="auto"/>
        </w:rPr>
        <w:t>performance conditions for the fiscal years of 2017 and 2018, respectively and these employees have to be remained employed by the Company. Considering the likelihood of achieving the performance conditions are not probable as of December 31, 2016 and June 30,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June 30, 2017.</w:t>
      </w:r>
    </w:p>
    <w:p>
      <w:pPr>
        <w:spacing w:after="0" w:line="313" w:lineRule="exact"/>
        <w:rPr>
          <w:rFonts w:ascii="Arial" w:cs="Arial" w:eastAsia="Arial" w:hAnsi="Arial"/>
          <w:sz w:val="18"/>
          <w:szCs w:val="18"/>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six months ended June 30, 2016 and June 30, 2017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940" w:type="dxa"/>
            <w:vAlign w:val="bottom"/>
            <w:gridSpan w:val="8"/>
          </w:tcPr>
          <w:p>
            <w:pPr>
              <w:ind w:left="46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6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color w:val="auto"/>
              </w:rPr>
              <w:t>2016</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2017</w:t>
            </w: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38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36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Other (losses)/gains, net</w:t>
            </w:r>
          </w:p>
        </w:tc>
        <w:tc>
          <w:tcPr>
            <w:tcW w:w="2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6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7"/>
          </w:tcPr>
          <w:p>
            <w:pPr>
              <w:ind w:left="40"/>
              <w:spacing w:after="0"/>
              <w:rPr>
                <w:sz w:val="20"/>
                <w:szCs w:val="20"/>
                <w:color w:val="auto"/>
              </w:rPr>
            </w:pPr>
            <w:r>
              <w:rPr>
                <w:rFonts w:ascii="Arial" w:cs="Arial" w:eastAsia="Arial" w:hAnsi="Arial"/>
                <w:sz w:val="14"/>
                <w:szCs w:val="14"/>
                <w:color w:val="auto"/>
                <w:w w:val="98"/>
              </w:rPr>
              <w:t>For the six months ended June 30,</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120" w:type="dxa"/>
            <w:vAlign w:val="bottom"/>
            <w:gridSpan w:val="2"/>
          </w:tcPr>
          <w:p>
            <w:pPr>
              <w:spacing w:after="0"/>
              <w:rPr>
                <w:sz w:val="15"/>
                <w:szCs w:val="15"/>
                <w:color w:val="auto"/>
              </w:rPr>
            </w:pPr>
          </w:p>
        </w:tc>
        <w:tc>
          <w:tcPr>
            <w:tcW w:w="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2016</w:t>
            </w:r>
          </w:p>
        </w:tc>
        <w:tc>
          <w:tcPr>
            <w:tcW w:w="8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380" w:type="dxa"/>
            <w:vAlign w:val="bottom"/>
            <w:vMerge w:val="restart"/>
          </w:tcPr>
          <w:p>
            <w:pPr>
              <w:spacing w:after="0"/>
              <w:rPr>
                <w:sz w:val="6"/>
                <w:szCs w:val="6"/>
                <w:color w:val="auto"/>
              </w:rPr>
            </w:pPr>
          </w:p>
        </w:tc>
        <w:tc>
          <w:tcPr>
            <w:tcW w:w="3380" w:type="dxa"/>
            <w:vAlign w:val="bottom"/>
          </w:tcPr>
          <w:p>
            <w:pPr>
              <w:spacing w:after="0"/>
              <w:rPr>
                <w:sz w:val="6"/>
                <w:szCs w:val="6"/>
                <w:color w:val="auto"/>
              </w:rPr>
            </w:pPr>
          </w:p>
        </w:tc>
        <w:tc>
          <w:tcPr>
            <w:tcW w:w="3120" w:type="dxa"/>
            <w:vAlign w:val="bottom"/>
            <w:gridSpan w:val="2"/>
          </w:tcPr>
          <w:p>
            <w:pPr>
              <w:spacing w:after="0"/>
              <w:rPr>
                <w:sz w:val="6"/>
                <w:szCs w:val="6"/>
                <w:color w:val="auto"/>
              </w:rPr>
            </w:pPr>
          </w:p>
        </w:tc>
        <w:tc>
          <w:tcPr>
            <w:tcW w:w="400" w:type="dxa"/>
            <w:vAlign w:val="bottom"/>
            <w:gridSpan w:val="2"/>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exchange losses</w:t>
            </w:r>
          </w:p>
        </w:tc>
        <w:tc>
          <w:tcPr>
            <w:tcW w:w="4380" w:type="dxa"/>
            <w:vAlign w:val="bottom"/>
            <w:gridSpan w:val="5"/>
            <w:shd w:val="clear" w:color="auto" w:fill="CCEEFF"/>
          </w:tcPr>
          <w:p>
            <w:pPr>
              <w:jc w:val="right"/>
              <w:ind w:right="820"/>
              <w:spacing w:after="0"/>
              <w:rPr>
                <w:sz w:val="20"/>
                <w:szCs w:val="20"/>
                <w:color w:val="auto"/>
              </w:rPr>
            </w:pPr>
            <w:r>
              <w:rPr>
                <w:rFonts w:ascii="Arial" w:cs="Arial" w:eastAsia="Arial" w:hAnsi="Arial"/>
                <w:sz w:val="18"/>
                <w:szCs w:val="18"/>
                <w:color w:val="auto"/>
              </w:rPr>
              <w:t>(126)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Others</w:t>
            </w:r>
          </w:p>
        </w:tc>
        <w:tc>
          <w:tcPr>
            <w:tcW w:w="3120" w:type="dxa"/>
            <w:vAlign w:val="bottom"/>
            <w:gridSpan w:val="2"/>
          </w:tcPr>
          <w:p>
            <w:pPr>
              <w:spacing w:after="0"/>
              <w:rPr>
                <w:sz w:val="19"/>
                <w:szCs w:val="19"/>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18"/>
                <w:szCs w:val="18"/>
                <w:color w:val="auto"/>
              </w:rPr>
            </w:pPr>
          </w:p>
        </w:tc>
        <w:tc>
          <w:tcPr>
            <w:tcW w:w="1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380" w:type="dxa"/>
            <w:vAlign w:val="bottom"/>
            <w:gridSpan w:val="5"/>
          </w:tcPr>
          <w:p>
            <w:pPr>
              <w:jc w:val="right"/>
              <w:ind w:right="3220"/>
              <w:spacing w:after="0"/>
              <w:rPr>
                <w:sz w:val="20"/>
                <w:szCs w:val="20"/>
                <w:color w:val="auto"/>
              </w:rPr>
            </w:pPr>
            <w:r>
              <w:rPr>
                <w:rFonts w:ascii="Arial" w:cs="Arial" w:eastAsia="Arial" w:hAnsi="Arial"/>
                <w:sz w:val="18"/>
                <w:szCs w:val="18"/>
                <w:color w:val="auto"/>
              </w:rPr>
              <w:t>F-111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20</w:t>
        <w:tab/>
        <w:t>Income tax</w:t>
      </w:r>
    </w:p>
    <w:p>
      <w:pPr>
        <w:spacing w:after="0" w:line="135"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six months ended June 30, 2016 and June 30, 2017.</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460" w:right="20"/>
        <w:spacing w:after="0" w:line="297" w:lineRule="auto"/>
        <w:rPr>
          <w:rFonts w:ascii="Arial" w:cs="Arial" w:eastAsia="Arial" w:hAnsi="Arial"/>
          <w:sz w:val="18"/>
          <w:szCs w:val="18"/>
          <w:color w:val="auto"/>
        </w:rPr>
      </w:pPr>
      <w:r>
        <w:rPr>
          <w:rFonts w:ascii="Arial" w:cs="Arial" w:eastAsia="Arial" w:hAnsi="Arial"/>
          <w:sz w:val="16"/>
          <w:szCs w:val="16"/>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June 30, 2017.</w:t>
      </w:r>
    </w:p>
    <w:p>
      <w:pPr>
        <w:spacing w:after="0" w:line="26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benefit/(expense)</w:t>
      </w:r>
    </w:p>
    <w:p>
      <w:pPr>
        <w:spacing w:after="0" w:line="117" w:lineRule="exact"/>
        <w:rPr>
          <w:rFonts w:ascii="Arial" w:cs="Arial" w:eastAsia="Arial" w:hAnsi="Arial"/>
          <w:sz w:val="18"/>
          <w:szCs w:val="18"/>
          <w:color w:val="auto"/>
        </w:rPr>
      </w:pPr>
    </w:p>
    <w:p>
      <w:pPr>
        <w:ind w:left="460" w:right="92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benefit/(expense) included in the unaudited interim condensed consolidated statements of comprehensive loss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960" w:type="dxa"/>
            <w:vAlign w:val="bottom"/>
            <w:gridSpan w:val="4"/>
          </w:tcPr>
          <w:p>
            <w:pPr>
              <w:jc w:val="right"/>
              <w:ind w:right="560"/>
              <w:spacing w:after="0"/>
              <w:rPr>
                <w:sz w:val="20"/>
                <w:szCs w:val="20"/>
                <w:color w:val="auto"/>
              </w:rPr>
            </w:pPr>
            <w:r>
              <w:rPr>
                <w:rFonts w:ascii="Arial" w:cs="Arial" w:eastAsia="Arial" w:hAnsi="Arial"/>
                <w:sz w:val="14"/>
                <w:szCs w:val="14"/>
                <w:color w:val="auto"/>
              </w:rPr>
              <w:t>For the six months ended June 30,</w:t>
            </w:r>
          </w:p>
        </w:tc>
      </w:tr>
      <w:tr>
        <w:trPr>
          <w:trHeight w:val="142"/>
        </w:trPr>
        <w:tc>
          <w:tcPr>
            <w:tcW w:w="334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color w:val="auto"/>
              </w:rPr>
              <w:t>2016</w:t>
            </w:r>
          </w:p>
        </w:tc>
        <w:tc>
          <w:tcPr>
            <w:tcW w:w="13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Deferred tax benefits</w:t>
            </w:r>
          </w:p>
        </w:tc>
        <w:tc>
          <w:tcPr>
            <w:tcW w:w="3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3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r>
      <w:tr>
        <w:trPr>
          <w:trHeight w:val="20"/>
        </w:trPr>
        <w:tc>
          <w:tcPr>
            <w:tcW w:w="3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5360" w:type="dxa"/>
            <w:vAlign w:val="bottom"/>
            <w:gridSpan w:val="3"/>
          </w:tcPr>
          <w:p>
            <w:pPr>
              <w:ind w:left="1240"/>
              <w:spacing w:after="0"/>
              <w:rPr>
                <w:sz w:val="20"/>
                <w:szCs w:val="20"/>
                <w:color w:val="auto"/>
              </w:rPr>
            </w:pPr>
            <w:r>
              <w:rPr>
                <w:rFonts w:ascii="Arial" w:cs="Arial" w:eastAsia="Arial" w:hAnsi="Arial"/>
                <w:sz w:val="18"/>
                <w:szCs w:val="18"/>
                <w:color w:val="auto"/>
              </w:rPr>
              <w:t>F-112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8540" w:hanging="452"/>
        <w:spacing w:after="0" w:line="434" w:lineRule="auto"/>
        <w:tabs>
          <w:tab w:leader="none" w:pos="449"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ind w:left="460" w:right="5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2016 and June 30, 2017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520" w:type="dxa"/>
            <w:vAlign w:val="bottom"/>
            <w:gridSpan w:val="3"/>
          </w:tcPr>
          <w:p>
            <w:pPr>
              <w:jc w:val="right"/>
              <w:ind w:right="700"/>
              <w:spacing w:after="0"/>
              <w:rPr>
                <w:sz w:val="20"/>
                <w:szCs w:val="20"/>
                <w:color w:val="auto"/>
              </w:rPr>
            </w:pPr>
            <w:r>
              <w:rPr>
                <w:rFonts w:ascii="Arial" w:cs="Arial" w:eastAsia="Arial" w:hAnsi="Arial"/>
                <w:sz w:val="14"/>
                <w:szCs w:val="14"/>
                <w:color w:val="auto"/>
              </w:rPr>
              <w:t>December 31,</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81"/>
        </w:trPr>
        <w:tc>
          <w:tcPr>
            <w:tcW w:w="4520" w:type="dxa"/>
            <w:vAlign w:val="bottom"/>
          </w:tcPr>
          <w:p>
            <w:pPr>
              <w:spacing w:after="0"/>
              <w:rPr>
                <w:sz w:val="15"/>
                <w:szCs w:val="15"/>
                <w:color w:val="auto"/>
              </w:rPr>
            </w:pPr>
          </w:p>
        </w:tc>
        <w:tc>
          <w:tcPr>
            <w:tcW w:w="284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680" w:type="dxa"/>
            <w:vAlign w:val="bottom"/>
          </w:tcPr>
          <w:p>
            <w:pPr>
              <w:spacing w:after="0"/>
              <w:rPr>
                <w:sz w:val="15"/>
                <w:szCs w:val="15"/>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6,838</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Less: Valuation allowance (Note i)</w:t>
            </w:r>
          </w:p>
        </w:tc>
        <w:tc>
          <w:tcPr>
            <w:tcW w:w="202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(6,838)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(8,636)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3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(3,677)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(3,157)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Outside basis difference (Note ii)</w:t>
            </w:r>
          </w:p>
        </w:tc>
        <w:tc>
          <w:tcPr>
            <w:tcW w:w="20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6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w:t>
      </w:r>
    </w:p>
    <w:p>
      <w:pPr>
        <w:spacing w:after="0" w:line="252" w:lineRule="exact"/>
        <w:rPr>
          <w:sz w:val="20"/>
          <w:szCs w:val="20"/>
          <w:color w:val="auto"/>
        </w:rPr>
      </w:pPr>
    </w:p>
    <w:p>
      <w:pPr>
        <w:ind w:left="900" w:right="120" w:hanging="446"/>
        <w:spacing w:after="0" w:line="273" w:lineRule="auto"/>
        <w:tabs>
          <w:tab w:leader="none" w:pos="90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losses carried forward. Valuation allowance was provided for net operating loss carried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720" w:type="dxa"/>
            <w:vAlign w:val="bottom"/>
            <w:gridSpan w:val="4"/>
          </w:tcPr>
          <w:p>
            <w:pPr>
              <w:jc w:val="right"/>
              <w:ind w:right="400"/>
              <w:spacing w:after="0"/>
              <w:rPr>
                <w:sz w:val="20"/>
                <w:szCs w:val="20"/>
                <w:color w:val="auto"/>
              </w:rPr>
            </w:pPr>
            <w:r>
              <w:rPr>
                <w:rFonts w:ascii="Arial" w:cs="Arial" w:eastAsia="Arial" w:hAnsi="Arial"/>
                <w:sz w:val="14"/>
                <w:szCs w:val="14"/>
                <w:color w:val="auto"/>
              </w:rPr>
              <w:t>For the six months ended June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86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color w:val="auto"/>
              </w:rPr>
              <w:t>2016</w:t>
            </w:r>
          </w:p>
        </w:tc>
        <w:tc>
          <w:tcPr>
            <w:tcW w:w="9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5,804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Additions</w:t>
            </w:r>
          </w:p>
        </w:tc>
        <w:tc>
          <w:tcPr>
            <w:tcW w:w="860" w:type="dxa"/>
            <w:vAlign w:val="bottom"/>
          </w:tcPr>
          <w:p>
            <w:pPr>
              <w:jc w:val="right"/>
              <w:spacing w:after="0"/>
              <w:rPr>
                <w:sz w:val="20"/>
                <w:szCs w:val="20"/>
                <w:color w:val="auto"/>
              </w:rPr>
            </w:pPr>
            <w:r>
              <w:rPr>
                <w:rFonts w:ascii="Arial" w:cs="Arial" w:eastAsia="Arial" w:hAnsi="Arial"/>
                <w:sz w:val="18"/>
                <w:szCs w:val="18"/>
                <w:color w:val="auto"/>
              </w:rPr>
              <w:t>1,653</w:t>
            </w:r>
          </w:p>
        </w:tc>
        <w:tc>
          <w:tcPr>
            <w:tcW w:w="9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9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500" w:right="2740" w:hanging="5046"/>
        <w:spacing w:after="0" w:line="449" w:lineRule="auto"/>
        <w:tabs>
          <w:tab w:leader="none" w:pos="89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deferred tax liabilities are recorded for the undistributed earnings in the Group’s VIE and its subsidiary. F-113</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right="9140" w:hanging="452"/>
        <w:spacing w:after="0" w:line="434" w:lineRule="auto"/>
        <w:tabs>
          <w:tab w:leader="none" w:pos="449"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ind w:left="460" w:right="1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June 30, 2017, the Group had tax loss carryforwards of approximately US$26,978, which can be carried forward to offset future taxable income. The net operating tax loss carry forwards will begin to expire as follows: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740" w:type="dxa"/>
            <w:vAlign w:val="bottom"/>
          </w:tcPr>
          <w:p>
            <w:pPr>
              <w:spacing w:after="0"/>
              <w:rPr>
                <w:sz w:val="14"/>
                <w:szCs w:val="14"/>
                <w:color w:val="auto"/>
              </w:rPr>
            </w:pPr>
          </w:p>
        </w:tc>
        <w:tc>
          <w:tcPr>
            <w:tcW w:w="3940" w:type="dxa"/>
            <w:vAlign w:val="bottom"/>
            <w:gridSpan w:val="3"/>
          </w:tcPr>
          <w:p>
            <w:pPr>
              <w:ind w:left="3060"/>
              <w:spacing w:after="0"/>
              <w:rPr>
                <w:sz w:val="20"/>
                <w:szCs w:val="20"/>
                <w:color w:val="auto"/>
              </w:rPr>
            </w:pPr>
            <w:r>
              <w:rPr>
                <w:rFonts w:ascii="Arial" w:cs="Arial" w:eastAsia="Arial" w:hAnsi="Arial"/>
                <w:sz w:val="14"/>
                <w:szCs w:val="14"/>
                <w:color w:val="auto"/>
                <w:w w:val="96"/>
              </w:rPr>
              <w:t>June 30, 2017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2018</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1,630</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2020</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12,035</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6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Tax loss with no expiry</w:t>
            </w:r>
          </w:p>
        </w:tc>
        <w:tc>
          <w:tcPr>
            <w:tcW w:w="3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6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26,978</w:t>
            </w:r>
          </w:p>
        </w:tc>
        <w:tc>
          <w:tcPr>
            <w:tcW w:w="6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June 30, 2017.</w:t>
      </w:r>
    </w:p>
    <w:p>
      <w:pPr>
        <w:spacing w:after="0" w:line="316"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six months ended June 30, 2016 and June 30, 2017 are calculated as follows:</w:t>
      </w:r>
    </w:p>
    <w:p>
      <w:pPr>
        <w:spacing w:after="0" w:line="247" w:lineRule="exact"/>
        <w:rPr>
          <w:sz w:val="20"/>
          <w:szCs w:val="20"/>
          <w:color w:val="auto"/>
        </w:rPr>
      </w:pPr>
    </w:p>
    <w:p>
      <w:pPr>
        <w:jc w:val="center"/>
        <w:ind w:left="8880"/>
        <w:spacing w:after="0"/>
        <w:rPr>
          <w:sz w:val="20"/>
          <w:szCs w:val="20"/>
          <w:color w:val="auto"/>
        </w:rPr>
      </w:pPr>
      <w:r>
        <w:rPr>
          <w:rFonts w:ascii="Arial" w:cs="Arial" w:eastAsia="Arial" w:hAnsi="Arial"/>
          <w:sz w:val="14"/>
          <w:szCs w:val="14"/>
          <w:color w:val="auto"/>
        </w:rPr>
        <w:t>For the</w:t>
      </w:r>
    </w:p>
    <w:p>
      <w:pPr>
        <w:jc w:val="center"/>
        <w:ind w:left="8880"/>
        <w:spacing w:after="0" w:line="231" w:lineRule="auto"/>
        <w:rPr>
          <w:sz w:val="20"/>
          <w:szCs w:val="20"/>
          <w:color w:val="auto"/>
        </w:rPr>
      </w:pPr>
      <w:r>
        <w:rPr>
          <w:rFonts w:ascii="Arial" w:cs="Arial" w:eastAsia="Arial" w:hAnsi="Arial"/>
          <w:sz w:val="14"/>
          <w:szCs w:val="14"/>
          <w:color w:val="auto"/>
        </w:rPr>
        <w:t>six months ended 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(6,586)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(7,724)</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 weighted average shares outstanding</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13,130,027</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13,618,905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six months ended June 30, 2016 and June 30,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5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94"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ordinary shares equivalents were excluded from the computation of diluted net loss per ordinary share for the periods presented because including them would have had an anti-dilutive effect:</w:t>
      </w:r>
    </w:p>
    <w:p>
      <w:pPr>
        <w:spacing w:after="0" w:line="193" w:lineRule="exact"/>
        <w:rPr>
          <w:sz w:val="20"/>
          <w:szCs w:val="20"/>
          <w:color w:val="auto"/>
        </w:rPr>
      </w:pPr>
    </w:p>
    <w:p>
      <w:pPr>
        <w:jc w:val="center"/>
        <w:ind w:left="7200"/>
        <w:spacing w:after="0"/>
        <w:rPr>
          <w:sz w:val="20"/>
          <w:szCs w:val="20"/>
          <w:color w:val="auto"/>
        </w:rPr>
      </w:pPr>
      <w:r>
        <w:rPr>
          <w:rFonts w:ascii="Arial" w:cs="Arial" w:eastAsia="Arial" w:hAnsi="Arial"/>
          <w:sz w:val="14"/>
          <w:szCs w:val="14"/>
          <w:color w:val="auto"/>
        </w:rPr>
        <w:t>For the six</w:t>
      </w:r>
    </w:p>
    <w:p>
      <w:pPr>
        <w:jc w:val="center"/>
        <w:ind w:left="7200"/>
        <w:spacing w:after="0" w:line="221" w:lineRule="auto"/>
        <w:rPr>
          <w:sz w:val="20"/>
          <w:szCs w:val="20"/>
          <w:color w:val="auto"/>
        </w:rPr>
      </w:pPr>
      <w:r>
        <w:rPr>
          <w:rFonts w:ascii="Arial" w:cs="Arial" w:eastAsia="Arial" w:hAnsi="Arial"/>
          <w:sz w:val="14"/>
          <w:szCs w:val="14"/>
          <w:color w:val="auto"/>
        </w:rPr>
        <w:t>months ended</w:t>
      </w:r>
    </w:p>
    <w:p>
      <w:pPr>
        <w:jc w:val="center"/>
        <w:ind w:left="7200"/>
        <w:spacing w:after="0" w:line="231" w:lineRule="auto"/>
        <w:rPr>
          <w:sz w:val="20"/>
          <w:szCs w:val="20"/>
          <w:color w:val="auto"/>
        </w:rPr>
      </w:pPr>
      <w:r>
        <w:rPr>
          <w:rFonts w:ascii="Arial" w:cs="Arial" w:eastAsia="Arial" w:hAnsi="Arial"/>
          <w:sz w:val="14"/>
          <w:szCs w:val="14"/>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2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8,458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9,526</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460" w:type="dxa"/>
            <w:vAlign w:val="bottom"/>
          </w:tcPr>
          <w:p>
            <w:pPr>
              <w:jc w:val="right"/>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Commitments and contingencies</w:t>
      </w:r>
    </w:p>
    <w:p>
      <w:pPr>
        <w:spacing w:after="0" w:line="135"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Operating lease commitments</w:t>
      </w:r>
    </w:p>
    <w:p>
      <w:pPr>
        <w:spacing w:after="0" w:line="117" w:lineRule="exact"/>
        <w:rPr>
          <w:rFonts w:ascii="Arial" w:cs="Arial" w:eastAsia="Arial" w:hAnsi="Arial"/>
          <w:sz w:val="18"/>
          <w:szCs w:val="18"/>
          <w:color w:val="auto"/>
        </w:rPr>
      </w:pPr>
    </w:p>
    <w:p>
      <w:pPr>
        <w:ind w:left="460" w:right="300"/>
        <w:spacing w:after="0" w:line="308" w:lineRule="auto"/>
        <w:rPr>
          <w:rFonts w:ascii="Arial" w:cs="Arial" w:eastAsia="Arial" w:hAnsi="Arial"/>
          <w:sz w:val="18"/>
          <w:szCs w:val="18"/>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color w:val="auto"/>
        </w:rPr>
      </w:pPr>
    </w:p>
    <w:p>
      <w:pPr>
        <w:ind w:left="460" w:right="480"/>
        <w:spacing w:after="0" w:line="277" w:lineRule="auto"/>
        <w:rPr>
          <w:rFonts w:ascii="Arial" w:cs="Arial" w:eastAsia="Arial" w:hAnsi="Arial"/>
          <w:sz w:val="18"/>
          <w:szCs w:val="18"/>
          <w:color w:val="auto"/>
        </w:rPr>
      </w:pPr>
      <w:r>
        <w:rPr>
          <w:rFonts w:ascii="Arial" w:cs="Arial" w:eastAsia="Arial" w:hAnsi="Arial"/>
          <w:sz w:val="18"/>
          <w:szCs w:val="18"/>
          <w:color w:val="auto"/>
        </w:rPr>
        <w:t>Total office rental expenses under all operating leases were US$1,466 and US$1,303 for the six months ended June 30, 2016 and June 30, 2017, respectively.</w:t>
      </w:r>
    </w:p>
    <w:p>
      <w:pPr>
        <w:spacing w:after="0" w:line="62" w:lineRule="exact"/>
        <w:rPr>
          <w:rFonts w:ascii="Arial" w:cs="Arial" w:eastAsia="Arial" w:hAnsi="Arial"/>
          <w:sz w:val="18"/>
          <w:szCs w:val="18"/>
          <w:color w:val="auto"/>
        </w:rPr>
      </w:pPr>
    </w:p>
    <w:p>
      <w:pPr>
        <w:ind w:left="460" w:right="1600"/>
        <w:spacing w:after="0" w:line="402" w:lineRule="auto"/>
        <w:rPr>
          <w:rFonts w:ascii="Arial" w:cs="Arial" w:eastAsia="Arial" w:hAnsi="Arial"/>
          <w:sz w:val="18"/>
          <w:szCs w:val="18"/>
          <w:color w:val="auto"/>
        </w:rPr>
      </w:pPr>
      <w:r>
        <w:rPr>
          <w:rFonts w:ascii="Arial" w:cs="Arial" w:eastAsia="Arial" w:hAnsi="Arial"/>
          <w:sz w:val="18"/>
          <w:szCs w:val="18"/>
          <w:color w:val="auto"/>
        </w:rPr>
        <w:t>As of June 30, 2017, future minimum payments under non-cancellable operating leases for office rental consist of the following: Remaining of</w:t>
      </w:r>
    </w:p>
    <w:p>
      <w:pPr>
        <w:spacing w:after="0" w:line="10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jc w:val="right"/>
              <w:ind w:right="6750"/>
              <w:spacing w:after="0"/>
              <w:rPr>
                <w:sz w:val="20"/>
                <w:szCs w:val="20"/>
                <w:color w:val="auto"/>
              </w:rPr>
            </w:pPr>
            <w:r>
              <w:rPr>
                <w:rFonts w:ascii="Arial" w:cs="Arial" w:eastAsia="Arial" w:hAnsi="Arial"/>
                <w:sz w:val="18"/>
                <w:szCs w:val="18"/>
                <w:color w:val="auto"/>
                <w:w w:val="84"/>
              </w:rPr>
              <w:t>2017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jc w:val="right"/>
              <w:ind w:right="6750"/>
              <w:spacing w:after="0"/>
              <w:rPr>
                <w:sz w:val="20"/>
                <w:szCs w:val="20"/>
                <w:color w:val="auto"/>
              </w:rPr>
            </w:pPr>
            <w:r>
              <w:rPr>
                <w:rFonts w:ascii="Arial" w:cs="Arial" w:eastAsia="Arial" w:hAnsi="Arial"/>
                <w:sz w:val="18"/>
                <w:szCs w:val="18"/>
                <w:color w:val="auto"/>
                <w:w w:val="84"/>
              </w:rPr>
              <w:t>2018</w:t>
            </w:r>
          </w:p>
        </w:tc>
        <w:tc>
          <w:tcPr>
            <w:tcW w:w="480" w:type="dxa"/>
            <w:vAlign w:val="bottom"/>
          </w:tcPr>
          <w:p>
            <w:pPr>
              <w:jc w:val="right"/>
              <w:spacing w:after="0"/>
              <w:rPr>
                <w:sz w:val="20"/>
                <w:szCs w:val="20"/>
                <w:color w:val="auto"/>
              </w:rPr>
            </w:pPr>
            <w:r>
              <w:rPr>
                <w:rFonts w:ascii="Arial" w:cs="Arial" w:eastAsia="Arial" w:hAnsi="Arial"/>
                <w:sz w:val="18"/>
                <w:szCs w:val="18"/>
                <w:color w:val="auto"/>
              </w:rPr>
              <w:t>1,618</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jc w:val="right"/>
              <w:ind w:right="6750"/>
              <w:spacing w:after="0"/>
              <w:rPr>
                <w:sz w:val="20"/>
                <w:szCs w:val="20"/>
                <w:color w:val="auto"/>
              </w:rPr>
            </w:pPr>
            <w:r>
              <w:rPr>
                <w:rFonts w:ascii="Arial" w:cs="Arial" w:eastAsia="Arial" w:hAnsi="Arial"/>
                <w:sz w:val="18"/>
                <w:szCs w:val="18"/>
                <w:color w:val="auto"/>
                <w:w w:val="84"/>
              </w:rPr>
              <w:t>2019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of June 30, 2017, no purchase commitments were related to the purchase of space for its online marketing services.</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In the ordinary course of the business, the Group is subject to periodic legal or administrative proceedings. As of December 31, 2016 and June 30, 2017, the Group is not a party to any legal or administrative proceedings which will have a material adverse effect on the Group’s business, financial position, results of operations and cash flows.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F-115</w:t>
      </w:r>
    </w:p>
    <w:p>
      <w:pPr>
        <w:sectPr>
          <w:pgSz w:w="11900" w:h="16838" w:orient="portrait"/>
          <w:cols w:equalWidth="0" w:num="1">
            <w:col w:w="11320"/>
          </w:cols>
          <w:pgMar w:left="240" w:top="459" w:right="3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460" w:right="2640"/>
        <w:spacing w:after="0" w:line="282" w:lineRule="auto"/>
        <w:rPr>
          <w:sz w:val="20"/>
          <w:szCs w:val="20"/>
          <w:color w:val="auto"/>
        </w:rPr>
      </w:pPr>
      <w:r>
        <w:rPr>
          <w:rFonts w:ascii="Arial" w:cs="Arial" w:eastAsia="Arial" w:hAnsi="Arial"/>
          <w:sz w:val="18"/>
          <w:szCs w:val="18"/>
          <w:b w:val="1"/>
          <w:bCs w:val="1"/>
          <w:color w:val="auto"/>
        </w:rPr>
        <w:t xml:space="preserve">NOTES TO THE UNAUDITED INTERIM CONDENSED CONSOLIDATED FINANCIAL STATEMENTS </w:t>
      </w: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balance sheet and net loss per share</w:t>
      </w:r>
    </w:p>
    <w:p>
      <w:pPr>
        <w:spacing w:after="0" w:line="121" w:lineRule="exact"/>
        <w:rPr>
          <w:rFonts w:ascii="Arial" w:cs="Arial" w:eastAsia="Arial" w:hAnsi="Arial"/>
          <w:sz w:val="18"/>
          <w:szCs w:val="18"/>
          <w:b w:val="1"/>
          <w:bCs w:val="1"/>
          <w:color w:val="auto"/>
        </w:rPr>
      </w:pPr>
    </w:p>
    <w:p>
      <w:pPr>
        <w:ind w:left="460" w:right="2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a qualified initial public offering, the Series A, B, C, D and E preferred shares shall automatically be converted into ordinary shares. The unaudited pro-forma balance sheet as of June 30, 2017 assumes a qualified initial public offering has occurred and presents an adjusted financial position as if the conversion of all outstanding Series A, B, C, D and E preferred shares into ordinary shares at the conversion ratio as described in Note 15 to the interim condensed consolidated financial statements occurred on June 30,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color w:val="auto"/>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color w:val="auto"/>
              </w:rPr>
              <w:t>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Net loss attributable to iClick Interactive Asia Group Limited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to convertible redeemable shares redemption value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Accretion to redeemable ordinary shares redemption value</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 on derivative liabilities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Numerator for pro-forma basic and diluted net loss per share</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Weighted average number of ordinary shares outstanding</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13,618,905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Pro-forma effect of the conversion of Series A preferred shares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Pro-forma effect of the conversion of Series B preferred shares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1,599,186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Pro-forma effect of the conversion of Series C preferred shares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Pro-forma effect of the conversion of Series D preferred shares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2,476,190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Pro-forma effect of the conversion of Series E preferred shares</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Pro-forma effect of redeemable ordinary shares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742,320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Denominator for pro-forma basic and diluted net loss per share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23,886,982</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Pro-forma net loss per share:</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Group evaluated subsequent events through August 18,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OptAim Limited</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18,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10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Note</w:t>
            </w: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US$nil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Accounts payable (including accounts payable of the consolidated variable interest entity (“VIE”) and its subsidiary without recourse to</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 of US$1,096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2"/>
              </w:rPr>
              <w:t>Deferred revenue (including deferred revenue of the consolidated VIE and its subsidiary without recourse to the Company of of US$5,240</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Accrued liabilities and other current liabilities (including accrued liabilities and other current liabilities of the consolidated VIE and its</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 without recourse to the Company of of US$521 as of July 23, 2015)</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tcPr>
          <w:p>
            <w:pPr>
              <w:spacing w:after="0" w:line="201" w:lineRule="exact"/>
              <w:rPr>
                <w:sz w:val="20"/>
                <w:szCs w:val="20"/>
                <w:color w:val="auto"/>
              </w:rPr>
            </w:pPr>
            <w:r>
              <w:rPr>
                <w:rFonts w:ascii="Arial" w:cs="Arial" w:eastAsia="Arial" w:hAnsi="Arial"/>
                <w:sz w:val="18"/>
                <w:szCs w:val="18"/>
                <w:color w:val="auto"/>
                <w:w w:val="93"/>
              </w:rPr>
              <w:t>Amount due to a related party (including amount due to a related party of the consolidated VIE and its subsidiary without recourse to the</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Company of of US$537 as of July 23, 2015)</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tax payable (including income tax payable of the consolidated VIE and its subsidiary without recourse to the Company of of</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US$44 as of July 23, 2015)</w:t>
            </w:r>
          </w:p>
        </w:tc>
        <w:tc>
          <w:tcPr>
            <w:tcW w:w="7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F-118</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color w:val="auto"/>
              </w:rPr>
              <w:t>Note</w:t>
            </w:r>
          </w:p>
        </w:tc>
        <w:tc>
          <w:tcPr>
            <w:tcW w:w="5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6"/>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340"/>
              <w:spacing w:after="0" w:line="201" w:lineRule="exact"/>
              <w:rPr>
                <w:sz w:val="20"/>
                <w:szCs w:val="20"/>
                <w:color w:val="auto"/>
              </w:rPr>
            </w:pPr>
            <w:r>
              <w:rPr>
                <w:rFonts w:ascii="Arial" w:cs="Arial" w:eastAsia="Arial" w:hAnsi="Arial"/>
                <w:sz w:val="18"/>
                <w:szCs w:val="18"/>
                <w:color w:val="auto"/>
                <w:w w:val="91"/>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Arial" w:cs="Arial" w:eastAsia="Arial" w:hAnsi="Arial"/>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(2,050)</w:t>
            </w: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F-119</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3120" w:type="dxa"/>
            <w:vAlign w:val="bottom"/>
          </w:tcPr>
          <w:p>
            <w:pPr>
              <w:jc w:val="right"/>
              <w:ind w:right="419"/>
              <w:spacing w:after="0"/>
              <w:rPr>
                <w:sz w:val="20"/>
                <w:szCs w:val="20"/>
                <w:color w:val="auto"/>
              </w:rPr>
            </w:pPr>
            <w:r>
              <w:rPr>
                <w:rFonts w:ascii="Arial" w:cs="Arial" w:eastAsia="Arial" w:hAnsi="Arial"/>
                <w:sz w:val="14"/>
                <w:szCs w:val="14"/>
                <w:color w:val="auto"/>
              </w:rPr>
              <w:t>Note</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F-120</w:t>
      </w:r>
    </w:p>
    <w:p>
      <w:pPr>
        <w:sectPr>
          <w:pgSz w:w="11900" w:h="16838" w:orient="portrait"/>
          <w:cols w:equalWidth="0" w:num="1">
            <w:col w:w="11420"/>
          </w:cols>
          <w:pgMar w:left="240" w:top="459" w:right="2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color w:val="auto"/>
                <w:w w:val="93"/>
              </w:rPr>
              <w:t>Series A1 convertible preferred</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Arial" w:cs="Arial" w:eastAsia="Arial" w:hAnsi="Arial"/>
                <w:sz w:val="14"/>
                <w:szCs w:val="14"/>
                <w:color w:val="auto"/>
                <w:w w:val="85"/>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color w:val="auto"/>
              </w:rPr>
              <w:t>Ordinary shares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Currency</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Accumulated</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Statutory</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translation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deficit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Reserve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differences</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w w:val="98"/>
              </w:rPr>
              <w:t>feature of Series A-1 preferred shares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(7,125)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F-121</w:t>
      </w:r>
    </w:p>
    <w:p>
      <w:pPr>
        <w:sectPr>
          <w:pgSz w:w="11900" w:h="16838" w:orient="portrait"/>
          <w:cols w:equalWidth="0" w:num="1">
            <w:col w:w="11420"/>
          </w:cols>
          <w:pgMar w:left="240" w:top="459" w:right="2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5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105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Net profit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(2,438)</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10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F-122</w:t>
      </w:r>
    </w:p>
    <w:p>
      <w:pPr>
        <w:sectPr>
          <w:pgSz w:w="11900" w:h="16838" w:orient="portrait"/>
          <w:cols w:equalWidth="0" w:num="1">
            <w:col w:w="11420"/>
          </w:cols>
          <w:pgMar w:left="240" w:top="459" w:right="2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355"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4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62"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 of direct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Place of</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or indirect</w:t>
            </w:r>
          </w:p>
        </w:tc>
        <w:tc>
          <w:tcPr>
            <w:tcW w:w="10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Date of</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incorporation/</w:t>
            </w:r>
          </w:p>
        </w:tc>
        <w:tc>
          <w:tcPr>
            <w:tcW w:w="1360" w:type="dxa"/>
            <w:vAlign w:val="bottom"/>
          </w:tcPr>
          <w:p>
            <w:pPr>
              <w:ind w:left="420"/>
              <w:spacing w:after="0" w:line="149" w:lineRule="exact"/>
              <w:rPr>
                <w:sz w:val="20"/>
                <w:szCs w:val="20"/>
                <w:color w:val="auto"/>
              </w:rPr>
            </w:pPr>
            <w:r>
              <w:rPr>
                <w:rFonts w:ascii="Arial" w:cs="Arial" w:eastAsia="Arial" w:hAnsi="Arial"/>
                <w:sz w:val="14"/>
                <w:szCs w:val="14"/>
                <w:color w:val="auto"/>
              </w:rPr>
              <w:t>Principal</w:t>
            </w:r>
          </w:p>
        </w:tc>
        <w:tc>
          <w:tcPr>
            <w:tcW w:w="0" w:type="dxa"/>
            <w:vAlign w:val="bottom"/>
          </w:tcPr>
          <w:p>
            <w:pPr>
              <w:spacing w:after="0"/>
              <w:rPr>
                <w:sz w:val="1"/>
                <w:szCs w:val="1"/>
                <w:color w:val="auto"/>
              </w:rPr>
            </w:pPr>
          </w:p>
        </w:tc>
      </w:tr>
      <w:tr>
        <w:trPr>
          <w:trHeight w:val="176"/>
        </w:trPr>
        <w:tc>
          <w:tcPr>
            <w:tcW w:w="4920" w:type="dxa"/>
            <w:vAlign w:val="bottom"/>
            <w:gridSpan w:val="2"/>
          </w:tcPr>
          <w:p>
            <w:pPr>
              <w:spacing w:after="0"/>
              <w:rPr>
                <w:sz w:val="20"/>
                <w:szCs w:val="20"/>
                <w:color w:val="auto"/>
              </w:rPr>
            </w:pPr>
            <w:r>
              <w:rPr>
                <w:rFonts w:ascii="Arial" w:cs="Arial" w:eastAsia="Arial" w:hAnsi="Arial"/>
                <w:sz w:val="14"/>
                <w:szCs w:val="14"/>
                <w:color w:val="auto"/>
              </w:rPr>
              <w:t>Name</w:t>
            </w:r>
          </w:p>
        </w:tc>
        <w:tc>
          <w:tcPr>
            <w:tcW w:w="1020" w:type="dxa"/>
            <w:vAlign w:val="bottom"/>
            <w:gridSpan w:val="2"/>
          </w:tcPr>
          <w:p>
            <w:pPr>
              <w:ind w:left="100"/>
              <w:spacing w:after="0"/>
              <w:rPr>
                <w:sz w:val="20"/>
                <w:szCs w:val="20"/>
                <w:color w:val="auto"/>
              </w:rPr>
            </w:pPr>
            <w:r>
              <w:rPr>
                <w:rFonts w:ascii="Arial" w:cs="Arial" w:eastAsia="Arial" w:hAnsi="Arial"/>
                <w:sz w:val="14"/>
                <w:szCs w:val="14"/>
                <w:color w:val="auto"/>
              </w:rPr>
              <w:t>Relationship</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ownership</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incorporation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establishment</w:t>
            </w:r>
          </w:p>
        </w:tc>
        <w:tc>
          <w:tcPr>
            <w:tcW w:w="1360" w:type="dxa"/>
            <w:vAlign w:val="bottom"/>
          </w:tcPr>
          <w:p>
            <w:pPr>
              <w:ind w:left="420"/>
              <w:spacing w:after="0"/>
              <w:rPr>
                <w:sz w:val="20"/>
                <w:szCs w:val="20"/>
                <w:color w:val="auto"/>
              </w:rPr>
            </w:pPr>
            <w:r>
              <w:rPr>
                <w:rFonts w:ascii="Arial" w:cs="Arial" w:eastAsia="Arial" w:hAnsi="Arial"/>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OptAim (HK) Limited</w:t>
            </w:r>
          </w:p>
        </w:tc>
        <w:tc>
          <w:tcPr>
            <w:tcW w:w="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OptAim (Beijing) Information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Subsidiary</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November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holding</w:t>
            </w:r>
          </w:p>
        </w:tc>
        <w:tc>
          <w:tcPr>
            <w:tcW w:w="0" w:type="dxa"/>
            <w:vAlign w:val="bottom"/>
          </w:tcPr>
          <w:p>
            <w:pPr>
              <w:spacing w:after="0"/>
              <w:rPr>
                <w:sz w:val="1"/>
                <w:szCs w:val="1"/>
                <w:color w:val="auto"/>
              </w:rPr>
            </w:pPr>
          </w:p>
        </w:tc>
      </w:tr>
      <w:tr>
        <w:trPr>
          <w:trHeight w:val="215"/>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The PRC</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r>
        <w:trPr>
          <w:trHeight w:val="202"/>
        </w:trPr>
        <w:tc>
          <w:tcPr>
            <w:tcW w:w="4920" w:type="dxa"/>
            <w:vAlign w:val="bottom"/>
            <w:gridSpan w:val="2"/>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020" w:type="dxa"/>
            <w:vAlign w:val="bottom"/>
            <w:gridSpan w:val="2"/>
          </w:tcPr>
          <w:p>
            <w:pPr>
              <w:spacing w:after="0" w:line="201" w:lineRule="exact"/>
              <w:rPr>
                <w:sz w:val="20"/>
                <w:szCs w:val="20"/>
                <w:color w:val="auto"/>
              </w:rPr>
            </w:pPr>
            <w:r>
              <w:rPr>
                <w:rFonts w:ascii="Arial" w:cs="Arial" w:eastAsia="Arial" w:hAnsi="Arial"/>
                <w:sz w:val="18"/>
                <w:szCs w:val="18"/>
                <w:color w:val="auto"/>
              </w:rPr>
              <w:t>VIE’s</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September</w:t>
            </w:r>
          </w:p>
        </w:tc>
        <w:tc>
          <w:tcPr>
            <w:tcW w:w="11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The PRC</w:t>
            </w: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services and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hanging="452"/>
        <w:spacing w:after="0"/>
        <w:tabs>
          <w:tab w:leader="none" w:pos="4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was incorporated in the Cayman Islands in July 2014.</w:t>
      </w:r>
    </w:p>
    <w:p>
      <w:pPr>
        <w:spacing w:after="0" w:line="117"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73" w:lineRule="exact"/>
        <w:rPr>
          <w:rFonts w:ascii="Arial" w:cs="Arial" w:eastAsia="Arial" w:hAnsi="Arial"/>
          <w:sz w:val="18"/>
          <w:szCs w:val="18"/>
          <w:b w:val="1"/>
          <w:bCs w:val="1"/>
          <w:color w:val="auto"/>
        </w:rPr>
      </w:pPr>
    </w:p>
    <w:p>
      <w:pPr>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8" w:lineRule="exact"/>
        <w:rPr>
          <w:rFonts w:ascii="Arial" w:cs="Arial" w:eastAsia="Arial" w:hAnsi="Arial"/>
          <w:sz w:val="18"/>
          <w:szCs w:val="18"/>
          <w:b w:val="1"/>
          <w:bCs w:val="1"/>
          <w:color w:val="auto"/>
        </w:rPr>
      </w:pPr>
    </w:p>
    <w:p>
      <w:pPr>
        <w:ind w:left="460"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F-123</w:t>
      </w:r>
    </w:p>
    <w:p>
      <w:pPr>
        <w:sectPr>
          <w:pgSz w:w="11900" w:h="16838" w:orient="portrait"/>
          <w:cols w:equalWidth="0" w:num="1">
            <w:col w:w="11420"/>
          </w:cols>
          <w:pgMar w:left="240" w:top="459" w:right="2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73" w:lineRule="exact"/>
        <w:rPr>
          <w:rFonts w:ascii="Arial" w:cs="Arial" w:eastAsia="Arial" w:hAnsi="Arial"/>
          <w:sz w:val="18"/>
          <w:szCs w:val="18"/>
          <w:b w:val="1"/>
          <w:bCs w:val="1"/>
          <w:color w:val="auto"/>
        </w:rPr>
      </w:pPr>
    </w:p>
    <w:p>
      <w:pPr>
        <w:ind w:left="46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jc w:val="both"/>
        <w:ind w:left="46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relationships with OptAim VIE and its shareholders are governed by the following contractual arrangements which were entered into on January 16, 2015:</w:t>
      </w:r>
    </w:p>
    <w:p>
      <w:pPr>
        <w:spacing w:after="0" w:line="76" w:lineRule="exact"/>
        <w:rPr>
          <w:sz w:val="20"/>
          <w:szCs w:val="20"/>
          <w:color w:val="auto"/>
        </w:rPr>
      </w:pPr>
    </w:p>
    <w:p>
      <w:pPr>
        <w:ind w:left="900" w:hanging="446"/>
        <w:spacing w:after="0"/>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92" w:lineRule="exact"/>
        <w:rPr>
          <w:sz w:val="20"/>
          <w:szCs w:val="20"/>
          <w:color w:val="auto"/>
        </w:rPr>
      </w:pPr>
    </w:p>
    <w:p>
      <w:pPr>
        <w:ind w:left="900" w:hanging="446"/>
        <w:spacing w:after="0"/>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920"/>
        <w:spacing w:after="0" w:line="273" w:lineRule="auto"/>
        <w:rPr>
          <w:sz w:val="20"/>
          <w:szCs w:val="20"/>
          <w:color w:val="auto"/>
        </w:rPr>
      </w:pPr>
      <w:r>
        <w:rPr>
          <w:rFonts w:ascii="Arial" w:cs="Arial" w:eastAsia="Arial" w:hAnsi="Arial"/>
          <w:sz w:val="17"/>
          <w:szCs w:val="17"/>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84" w:lineRule="exact"/>
        <w:rPr>
          <w:sz w:val="20"/>
          <w:szCs w:val="20"/>
          <w:color w:val="auto"/>
        </w:rPr>
      </w:pPr>
    </w:p>
    <w:p>
      <w:pPr>
        <w:ind w:left="900" w:hanging="446"/>
        <w:spacing w:after="0"/>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F-124</w:t>
      </w:r>
    </w:p>
    <w:p>
      <w:pPr>
        <w:sectPr>
          <w:pgSz w:w="11900" w:h="16838" w:orient="portrait"/>
          <w:cols w:equalWidth="0" w:num="1">
            <w:col w:w="11400"/>
          </w:cols>
          <w:pgMar w:left="240" w:top="460" w:right="2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association of OptAim VIE. The power of attorney will remain in force until OptAim WFOE provides prior written notice to OptAim VIE.</w:t>
      </w:r>
    </w:p>
    <w:p>
      <w:pPr>
        <w:spacing w:after="0" w:line="142" w:lineRule="exact"/>
        <w:rPr>
          <w:sz w:val="20"/>
          <w:szCs w:val="20"/>
          <w:color w:val="auto"/>
        </w:rPr>
      </w:pPr>
    </w:p>
    <w:p>
      <w:pPr>
        <w:ind w:left="900" w:hanging="446"/>
        <w:spacing w:after="0"/>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5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460" w:right="60" w:hanging="547"/>
        <w:spacing w:after="0" w:line="277" w:lineRule="auto"/>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OptAim VIE as if it was their sole shareholder;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73"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73"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5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F-125</w:t>
      </w:r>
    </w:p>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3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8"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6"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4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460" w:righ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4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73" w:lineRule="exact"/>
        <w:rPr>
          <w:rFonts w:ascii="Arial" w:cs="Arial" w:eastAsia="Arial" w:hAnsi="Arial"/>
          <w:sz w:val="18"/>
          <w:szCs w:val="18"/>
          <w:b w:val="1"/>
          <w:bCs w:val="1"/>
          <w:color w:val="auto"/>
        </w:rPr>
      </w:pPr>
    </w:p>
    <w:p>
      <w:pPr>
        <w:jc w:val="both"/>
        <w:ind w:left="4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ectPr>
          <w:pgSz w:w="11900" w:h="16838" w:orient="portrait"/>
          <w:cols w:equalWidth="0" w:num="1">
            <w:col w:w="11400"/>
          </w:cols>
          <w:pgMar w:left="240" w:top="459" w:right="2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(Continued)</w:t>
      </w:r>
    </w:p>
    <w:p>
      <w:pPr>
        <w:spacing w:after="0" w:line="134" w:lineRule="exact"/>
        <w:rPr>
          <w:rFonts w:ascii="Arial" w:cs="Arial" w:eastAsia="Arial" w:hAnsi="Arial"/>
          <w:sz w:val="18"/>
          <w:szCs w:val="18"/>
          <w:b w:val="1"/>
          <w:bCs w:val="1"/>
          <w:color w:val="auto"/>
        </w:rPr>
      </w:pPr>
    </w:p>
    <w:p>
      <w:pPr>
        <w:ind w:left="4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46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80" w:lineRule="exact"/>
        <w:rPr>
          <w:rFonts w:ascii="Arial" w:cs="Arial" w:eastAsia="Arial" w:hAnsi="Arial"/>
          <w:sz w:val="18"/>
          <w:szCs w:val="18"/>
          <w:b w:val="1"/>
          <w:bCs w:val="1"/>
          <w:color w:val="auto"/>
        </w:rPr>
      </w:pPr>
    </w:p>
    <w:p>
      <w:pPr>
        <w:ind w:left="4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80"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4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F-127</w:t>
      </w:r>
    </w:p>
    <w:p>
      <w:pPr>
        <w:sectPr>
          <w:pgSz w:w="11900" w:h="16838" w:orient="portrait"/>
          <w:cols w:equalWidth="0" w:num="1">
            <w:col w:w="11400"/>
          </w:cols>
          <w:pgMar w:left="240" w:top="459" w:right="2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34" w:lineRule="exact"/>
        <w:rPr>
          <w:rFonts w:ascii="Arial" w:cs="Arial" w:eastAsia="Arial" w:hAnsi="Arial"/>
          <w:sz w:val="18"/>
          <w:szCs w:val="18"/>
          <w:b w:val="1"/>
          <w:bCs w:val="1"/>
          <w:color w:val="auto"/>
        </w:rPr>
      </w:pPr>
    </w:p>
    <w:p>
      <w:pPr>
        <w:ind w:left="460" w:right="560"/>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73"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4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57" w:lineRule="exact"/>
        <w:rPr>
          <w:rFonts w:ascii="Arial" w:cs="Arial" w:eastAsia="Arial" w:hAnsi="Arial"/>
          <w:sz w:val="18"/>
          <w:szCs w:val="18"/>
          <w:b w:val="1"/>
          <w:bCs w:val="1"/>
          <w:color w:val="auto"/>
        </w:rPr>
      </w:pPr>
    </w:p>
    <w:p>
      <w:pPr>
        <w:ind w:left="4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60" w:type="dxa"/>
            <w:vAlign w:val="bottom"/>
          </w:tcPr>
          <w:p>
            <w:pPr>
              <w:ind w:left="2460"/>
              <w:spacing w:after="0"/>
              <w:rPr>
                <w:sz w:val="20"/>
                <w:szCs w:val="20"/>
                <w:color w:val="auto"/>
              </w:rPr>
            </w:pPr>
            <w:r>
              <w:rPr>
                <w:rFonts w:ascii="Arial" w:cs="Arial" w:eastAsia="Arial" w:hAnsi="Arial"/>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Arial" w:cs="Arial" w:eastAsia="Arial" w:hAnsi="Arial"/>
                <w:sz w:val="18"/>
                <w:szCs w:val="18"/>
                <w:color w:val="auto"/>
              </w:rPr>
              <w:t>F-128</w:t>
            </w:r>
          </w:p>
        </w:tc>
      </w:tr>
    </w:tbl>
    <w:p>
      <w:pPr>
        <w:sectPr>
          <w:pgSz w:w="11900" w:h="16838" w:orient="portrait"/>
          <w:cols w:equalWidth="0" w:num="1">
            <w:col w:w="11400"/>
          </w:cols>
          <w:pgMar w:left="240" w:top="460" w:right="2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134" w:lineRule="exact"/>
        <w:rPr>
          <w:rFonts w:ascii="Arial" w:cs="Arial" w:eastAsia="Arial" w:hAnsi="Arial"/>
          <w:sz w:val="18"/>
          <w:szCs w:val="18"/>
          <w:b w:val="1"/>
          <w:bCs w:val="1"/>
          <w:color w:val="auto"/>
        </w:rPr>
      </w:pPr>
    </w:p>
    <w:p>
      <w:pPr>
        <w:ind w:left="46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68"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46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4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80" w:lineRule="exact"/>
        <w:rPr>
          <w:rFonts w:ascii="Arial" w:cs="Arial" w:eastAsia="Arial" w:hAnsi="Arial"/>
          <w:sz w:val="18"/>
          <w:szCs w:val="18"/>
          <w:b w:val="1"/>
          <w:bCs w:val="1"/>
          <w:color w:val="auto"/>
        </w:rPr>
      </w:pPr>
    </w:p>
    <w:p>
      <w:pPr>
        <w:ind w:left="4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46" w:lineRule="exact"/>
        <w:rPr>
          <w:rFonts w:ascii="Arial" w:cs="Arial" w:eastAsia="Arial" w:hAnsi="Arial"/>
          <w:sz w:val="18"/>
          <w:szCs w:val="18"/>
          <w:b w:val="1"/>
          <w:bCs w:val="1"/>
          <w:color w:val="auto"/>
        </w:rPr>
      </w:pPr>
    </w:p>
    <w:p>
      <w:pPr>
        <w:ind w:left="4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w:t>
      </w:r>
    </w:p>
    <w:p>
      <w:pPr>
        <w:spacing w:after="0" w:line="117"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F-129</w:t>
      </w:r>
    </w:p>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(Continued)</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 and agreed rebates to be earned from certain website publishers (Continued)</w:t>
      </w:r>
    </w:p>
    <w:p>
      <w:pPr>
        <w:spacing w:after="0" w:line="130"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46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Arial" w:cs="Arial" w:eastAsia="Arial" w:hAnsi="Arial"/>
          <w:sz w:val="18"/>
          <w:szCs w:val="18"/>
          <w:b w:val="1"/>
          <w:bCs w:val="1"/>
          <w:color w:val="auto"/>
        </w:rPr>
      </w:pPr>
    </w:p>
    <w:p>
      <w:pPr>
        <w:ind w:left="460" w:hanging="452"/>
        <w:spacing w:after="0"/>
        <w:tabs>
          <w:tab w:leader="none" w:pos="4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F-130</w:t>
      </w:r>
    </w:p>
    <w:p>
      <w:pPr>
        <w:sectPr>
          <w:pgSz w:w="11900" w:h="16838" w:orient="portrait"/>
          <w:cols w:equalWidth="0" w:num="1">
            <w:col w:w="11400"/>
          </w:cols>
          <w:pgMar w:left="240" w:top="459" w:right="2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 (Continued)</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Research and development expenses consist primarily of (i) salary and welfare for research and development personnel, (ii) rental expenses and</w:t>
      </w:r>
    </w:p>
    <w:p>
      <w:pPr>
        <w:spacing w:after="0" w:line="3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31"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4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F-131</w:t>
      </w:r>
    </w:p>
    <w:p>
      <w:pPr>
        <w:sectPr>
          <w:pgSz w:w="11900" w:h="16838" w:orient="portrait"/>
          <w:cols w:equalWidth="0" w:num="1">
            <w:col w:w="11420"/>
          </w:cols>
          <w:pgMar w:left="240" w:top="459" w:right="2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 (Continued)</w:t>
      </w:r>
    </w:p>
    <w:p>
      <w:pPr>
        <w:spacing w:after="0" w:line="134"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Uncertain tax positions</w:t>
      </w:r>
    </w:p>
    <w:p>
      <w:pPr>
        <w:spacing w:after="0" w:line="117" w:lineRule="exact"/>
        <w:rPr>
          <w:rFonts w:ascii="Arial" w:cs="Arial" w:eastAsia="Arial" w:hAnsi="Arial"/>
          <w:sz w:val="18"/>
          <w:szCs w:val="18"/>
          <w:b w:val="1"/>
          <w:bCs w:val="1"/>
          <w:color w:val="auto"/>
        </w:rPr>
      </w:pPr>
    </w:p>
    <w:p>
      <w:pPr>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3" w:lineRule="exact"/>
        <w:rPr>
          <w:rFonts w:ascii="Arial" w:cs="Arial" w:eastAsia="Arial" w:hAnsi="Arial"/>
          <w:sz w:val="18"/>
          <w:szCs w:val="18"/>
          <w:b w:val="1"/>
          <w:bCs w:val="1"/>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4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Option granted to employees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options granted to employee, the compensation expense is recognized using the graded-vesting attribution approach over the requisite service period, which is generally the vesting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F-132</w:t>
      </w:r>
    </w:p>
    <w:p>
      <w:pPr>
        <w:sectPr>
          <w:pgSz w:w="11900" w:h="16838" w:orient="portrait"/>
          <w:cols w:equalWidth="0" w:num="1">
            <w:col w:w="11400"/>
          </w:cols>
          <w:pgMar w:left="240" w:top="459" w:right="2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63" w:lineRule="auto"/>
        <w:tabs>
          <w:tab w:leader="none" w:pos="449" w:val="left"/>
        </w:tabs>
        <w:numPr>
          <w:ilvl w:val="0"/>
          <w:numId w:val="3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(Continued) </w:t>
      </w:r>
      <w:r>
        <w:rPr>
          <w:rFonts w:ascii="Arial" w:cs="Arial" w:eastAsia="Arial" w:hAnsi="Arial"/>
          <w:sz w:val="15"/>
          <w:szCs w:val="15"/>
          <w:i w:val="1"/>
          <w:iCs w:val="1"/>
          <w:color w:val="auto"/>
        </w:rPr>
        <w:t>Option granted to employees (Continued)</w:t>
      </w:r>
    </w:p>
    <w:p>
      <w:pPr>
        <w:ind w:left="46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3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modification</w:t>
      </w:r>
    </w:p>
    <w:p>
      <w:pPr>
        <w:spacing w:after="0" w:line="117" w:lineRule="exact"/>
        <w:rPr>
          <w:rFonts w:ascii="Arial" w:cs="Arial" w:eastAsia="Arial" w:hAnsi="Arial"/>
          <w:sz w:val="15"/>
          <w:szCs w:val="15"/>
          <w:b w:val="1"/>
          <w:bCs w:val="1"/>
          <w:color w:val="auto"/>
        </w:rPr>
      </w:pPr>
    </w:p>
    <w:p>
      <w:pPr>
        <w:ind w:left="460" w:right="80"/>
        <w:spacing w:after="0" w:line="297" w:lineRule="auto"/>
        <w:rPr>
          <w:rFonts w:ascii="Arial" w:cs="Arial" w:eastAsia="Arial" w:hAnsi="Arial"/>
          <w:sz w:val="15"/>
          <w:szCs w:val="15"/>
          <w:b w:val="1"/>
          <w:bCs w:val="1"/>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i w:val="1"/>
          <w:iCs w:val="1"/>
          <w:color w:val="auto"/>
        </w:rPr>
        <w:t>Option granted to non-employees</w:t>
      </w:r>
    </w:p>
    <w:p>
      <w:pPr>
        <w:spacing w:after="0" w:line="117" w:lineRule="exact"/>
        <w:rPr>
          <w:rFonts w:ascii="Arial" w:cs="Arial" w:eastAsia="Arial" w:hAnsi="Arial"/>
          <w:sz w:val="15"/>
          <w:szCs w:val="15"/>
          <w:b w:val="1"/>
          <w:bCs w:val="1"/>
          <w:color w:val="auto"/>
        </w:rPr>
      </w:pPr>
    </w:p>
    <w:p>
      <w:pPr>
        <w:ind w:left="460" w:right="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32" w:lineRule="exact"/>
        <w:rPr>
          <w:rFonts w:ascii="Arial" w:cs="Arial" w:eastAsia="Arial" w:hAnsi="Arial"/>
          <w:sz w:val="15"/>
          <w:szCs w:val="15"/>
          <w:b w:val="1"/>
          <w:bCs w:val="1"/>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21" w:lineRule="exact"/>
        <w:rPr>
          <w:rFonts w:ascii="Arial" w:cs="Arial" w:eastAsia="Arial" w:hAnsi="Arial"/>
          <w:sz w:val="18"/>
          <w:szCs w:val="18"/>
          <w:b w:val="1"/>
          <w:bCs w:val="1"/>
          <w:color w:val="auto"/>
        </w:rPr>
      </w:pPr>
    </w:p>
    <w:p>
      <w:pPr>
        <w:ind w:left="4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5"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rFonts w:ascii="Arial" w:cs="Arial" w:eastAsia="Arial" w:hAnsi="Arial"/>
          <w:sz w:val="18"/>
          <w:szCs w:val="18"/>
          <w:b w:val="1"/>
          <w:bCs w:val="1"/>
          <w:color w:val="auto"/>
        </w:rPr>
      </w:pPr>
    </w:p>
    <w:p>
      <w:pPr>
        <w:ind w:left="4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There are no legal requirements in the PRC to fund these reserves by transfer of cash to restricted accounts, and the Group does not do so.</w:t>
      </w:r>
    </w:p>
    <w:p>
      <w:pPr>
        <w:spacing w:after="0" w:line="128"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F-133</w:t>
      </w:r>
    </w:p>
    <w:p>
      <w:pPr>
        <w:sectPr>
          <w:pgSz w:w="11900" w:h="16838" w:orient="portrait"/>
          <w:cols w:equalWidth="0" w:num="1">
            <w:col w:w="11380"/>
          </w:cols>
          <w:pgMar w:left="240" w:top="460" w:right="27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4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121" w:lineRule="exact"/>
        <w:rPr>
          <w:rFonts w:ascii="Arial" w:cs="Arial" w:eastAsia="Arial" w:hAnsi="Arial"/>
          <w:sz w:val="18"/>
          <w:szCs w:val="18"/>
          <w:b w:val="1"/>
          <w:bCs w:val="1"/>
          <w:color w:val="auto"/>
        </w:rPr>
      </w:pPr>
    </w:p>
    <w:p>
      <w:pPr>
        <w:ind w:left="46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62"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Comprehensive loss is reported in the consolidated statement of comprehensive loss. Accumulated other comprehensive losses of the Group include the foreign currency translation adjustments.</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2" w:lineRule="exact"/>
        <w:rPr>
          <w:rFonts w:ascii="Arial" w:cs="Arial" w:eastAsia="Arial" w:hAnsi="Arial"/>
          <w:sz w:val="18"/>
          <w:szCs w:val="18"/>
          <w:b w:val="1"/>
          <w:bCs w:val="1"/>
          <w:color w:val="auto"/>
        </w:rPr>
      </w:pPr>
    </w:p>
    <w:p>
      <w:pPr>
        <w:ind w:left="460" w:hanging="452"/>
        <w:spacing w:after="0"/>
        <w:tabs>
          <w:tab w:leader="none" w:pos="46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21"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F-134</w:t>
      </w:r>
    </w:p>
    <w:p>
      <w:pPr>
        <w:sectPr>
          <w:pgSz w:w="11900" w:h="16838" w:orient="portrait"/>
          <w:cols w:equalWidth="0" w:num="1">
            <w:col w:w="11400"/>
          </w:cols>
          <w:pgMar w:left="240" w:top="460" w:right="2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50" w:lineRule="exact"/>
        <w:rPr>
          <w:rFonts w:ascii="Arial" w:cs="Arial" w:eastAsia="Arial" w:hAnsi="Arial"/>
          <w:sz w:val="18"/>
          <w:szCs w:val="18"/>
          <w:b w:val="1"/>
          <w:bCs w:val="1"/>
          <w:color w:val="auto"/>
        </w:rPr>
      </w:pPr>
    </w:p>
    <w:p>
      <w:pPr>
        <w:ind w:left="4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64"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Arial" w:cs="Arial" w:eastAsia="Arial" w:hAnsi="Arial"/>
          <w:sz w:val="18"/>
          <w:szCs w:val="18"/>
          <w:b w:val="1"/>
          <w:bCs w:val="1"/>
          <w:color w:val="auto"/>
        </w:rPr>
      </w:pPr>
    </w:p>
    <w:p>
      <w:pPr>
        <w:ind w:left="4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73" w:lineRule="exact"/>
        <w:rPr>
          <w:rFonts w:ascii="Arial" w:cs="Arial" w:eastAsia="Arial" w:hAnsi="Arial"/>
          <w:sz w:val="18"/>
          <w:szCs w:val="18"/>
          <w:b w:val="1"/>
          <w:bCs w:val="1"/>
          <w:color w:val="auto"/>
        </w:rPr>
      </w:pPr>
    </w:p>
    <w:p>
      <w:pPr>
        <w:ind w:left="4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63"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8" w:lineRule="exact"/>
        <w:rPr>
          <w:rFonts w:ascii="Arial" w:cs="Arial" w:eastAsia="Arial" w:hAnsi="Arial"/>
          <w:sz w:val="18"/>
          <w:szCs w:val="18"/>
          <w:b w:val="1"/>
          <w:bCs w:val="1"/>
          <w:color w:val="auto"/>
        </w:rPr>
      </w:pPr>
    </w:p>
    <w:p>
      <w:pPr>
        <w:ind w:left="4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F-135</w:t>
      </w:r>
    </w:p>
    <w:p>
      <w:pPr>
        <w:sectPr>
          <w:pgSz w:w="11900" w:h="16838" w:orient="portrait"/>
          <w:cols w:equalWidth="0" w:num="1">
            <w:col w:w="11420"/>
          </w:cols>
          <w:pgMar w:left="240" w:top="459" w:right="2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50" w:lineRule="exact"/>
        <w:rPr>
          <w:rFonts w:ascii="Arial" w:cs="Arial" w:eastAsia="Arial" w:hAnsi="Arial"/>
          <w:sz w:val="18"/>
          <w:szCs w:val="18"/>
          <w:b w:val="1"/>
          <w:bCs w:val="1"/>
          <w:color w:val="auto"/>
        </w:rPr>
      </w:pPr>
    </w:p>
    <w:p>
      <w:pPr>
        <w:ind w:left="4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46" w:lineRule="exact"/>
        <w:rPr>
          <w:rFonts w:ascii="Arial" w:cs="Arial" w:eastAsia="Arial" w:hAnsi="Arial"/>
          <w:sz w:val="18"/>
          <w:szCs w:val="18"/>
          <w:b w:val="1"/>
          <w:bCs w:val="1"/>
          <w:color w:val="auto"/>
        </w:rPr>
      </w:pPr>
    </w:p>
    <w:p>
      <w:pPr>
        <w:ind w:left="4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0" w:lineRule="exact"/>
        <w:rPr>
          <w:rFonts w:ascii="Arial" w:cs="Arial" w:eastAsia="Arial" w:hAnsi="Arial"/>
          <w:sz w:val="18"/>
          <w:szCs w:val="18"/>
          <w:b w:val="1"/>
          <w:bCs w:val="1"/>
          <w:color w:val="auto"/>
        </w:rPr>
      </w:pPr>
    </w:p>
    <w:p>
      <w:pPr>
        <w:ind w:left="4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jc w:val="both"/>
        <w:ind w:left="46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9"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F-136</w:t>
      </w:r>
    </w:p>
    <w:p>
      <w:pPr>
        <w:sectPr>
          <w:pgSz w:w="11900" w:h="16838" w:orient="portrait"/>
          <w:cols w:equalWidth="0" w:num="1">
            <w:col w:w="11380"/>
          </w:cols>
          <w:pgMar w:left="240" w:top="459" w:right="27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4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5" w:lineRule="exact"/>
        <w:rPr>
          <w:rFonts w:ascii="Arial" w:cs="Arial" w:eastAsia="Arial" w:hAnsi="Arial"/>
          <w:sz w:val="18"/>
          <w:szCs w:val="18"/>
          <w:b w:val="1"/>
          <w:bCs w:val="1"/>
          <w:color w:val="auto"/>
        </w:rPr>
      </w:pPr>
    </w:p>
    <w:p>
      <w:pPr>
        <w:ind w:left="900" w:hanging="446"/>
        <w:spacing w:after="0"/>
        <w:tabs>
          <w:tab w:leader="none" w:pos="9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F-137</w:t>
      </w:r>
    </w:p>
    <w:p>
      <w:pPr>
        <w:sectPr>
          <w:pgSz w:w="11900" w:h="16838" w:orient="portrait"/>
          <w:cols w:equalWidth="0" w:num="1">
            <w:col w:w="11420"/>
          </w:cols>
          <w:pgMar w:left="240" w:top="459" w:right="2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7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87" w:lineRule="exact"/>
        <w:rPr>
          <w:sz w:val="20"/>
          <w:szCs w:val="20"/>
          <w:color w:val="auto"/>
        </w:rPr>
      </w:pPr>
    </w:p>
    <w:p>
      <w:pPr>
        <w:ind w:left="460" w:right="40"/>
        <w:spacing w:after="0" w:line="293" w:lineRule="auto"/>
        <w:rPr>
          <w:sz w:val="20"/>
          <w:szCs w:val="20"/>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F-138</w:t>
      </w:r>
    </w:p>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34"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7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Accounts payable</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835"/>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profit</w:t>
            </w:r>
          </w:p>
        </w:tc>
        <w:tc>
          <w:tcPr>
            <w:tcW w:w="2640" w:type="dxa"/>
            <w:vAlign w:val="bottom"/>
            <w:gridSpan w:val="5"/>
          </w:tcPr>
          <w:p>
            <w:pPr>
              <w:jc w:val="right"/>
              <w:ind w:right="6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520" w:type="dxa"/>
            <w:vAlign w:val="bottom"/>
            <w:gridSpan w:val="3"/>
          </w:tcPr>
          <w:p>
            <w:pPr>
              <w:jc w:val="center"/>
              <w:ind w:left="1735"/>
              <w:spacing w:after="0"/>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the VIE arrangements, the Group has power to direct activities of OptAim VIE, and can have assets transferred out of OptAim VIE.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Group considers that there is no assets of OptAim VIE can be used only to settle their obligations.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F-139</w:t>
      </w:r>
    </w:p>
    <w:p>
      <w:pPr>
        <w:sectPr>
          <w:pgSz w:w="11900" w:h="16838" w:orient="portrait"/>
          <w:cols w:equalWidth="0" w:num="1">
            <w:col w:w="11400"/>
          </w:cols>
          <w:pgMar w:left="240" w:top="460" w:right="2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8" w:lineRule="exact"/>
        <w:rPr>
          <w:rFonts w:ascii="Arial" w:cs="Arial" w:eastAsia="Arial" w:hAnsi="Arial"/>
          <w:sz w:val="18"/>
          <w:szCs w:val="18"/>
          <w:b w:val="1"/>
          <w:bCs w:val="1"/>
          <w:color w:val="auto"/>
        </w:rPr>
      </w:pPr>
    </w:p>
    <w:p>
      <w:pPr>
        <w:ind w:left="46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460" w:right="1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22" w:lineRule="exact"/>
        <w:rPr>
          <w:rFonts w:ascii="Arial" w:cs="Arial" w:eastAsia="Arial" w:hAnsi="Arial"/>
          <w:sz w:val="18"/>
          <w:szCs w:val="18"/>
          <w:b w:val="1"/>
          <w:bCs w:val="1"/>
          <w:color w:val="auto"/>
        </w:rPr>
      </w:pPr>
    </w:p>
    <w:p>
      <w:pPr>
        <w:ind w:left="460" w:hanging="452"/>
        <w:spacing w:after="0"/>
        <w:tabs>
          <w:tab w:leader="none" w:pos="46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sz w:val="20"/>
          <w:szCs w:val="20"/>
          <w:color w:val="auto"/>
        </w:rPr>
      </w:pPr>
    </w:p>
    <w:p>
      <w:pPr>
        <w:ind w:left="920" w:right="240"/>
        <w:spacing w:after="0" w:line="279" w:lineRule="auto"/>
        <w:rPr>
          <w:sz w:val="20"/>
          <w:szCs w:val="20"/>
          <w:color w:val="auto"/>
        </w:rPr>
      </w:pPr>
      <w:r>
        <w:rPr>
          <w:rFonts w:ascii="Arial" w:cs="Arial" w:eastAsia="Arial" w:hAnsi="Arial"/>
          <w:sz w:val="17"/>
          <w:szCs w:val="17"/>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16" w:lineRule="exact"/>
        <w:rPr>
          <w:sz w:val="20"/>
          <w:szCs w:val="20"/>
          <w:color w:val="auto"/>
        </w:rPr>
      </w:pPr>
    </w:p>
    <w:p>
      <w:pPr>
        <w:ind w:left="900" w:hanging="446"/>
        <w:spacing w:after="0"/>
        <w:tabs>
          <w:tab w:leader="none" w:pos="90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3"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A1</w:t>
            </w:r>
          </w:p>
        </w:tc>
        <w:tc>
          <w:tcPr>
            <w:tcW w:w="25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A3</w:t>
            </w:r>
          </w:p>
        </w:tc>
        <w:tc>
          <w:tcPr>
            <w:tcW w:w="25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350"/>
        </w:trPr>
        <w:tc>
          <w:tcPr>
            <w:tcW w:w="6100" w:type="dxa"/>
            <w:vAlign w:val="bottom"/>
          </w:tcPr>
          <w:p>
            <w:pPr>
              <w:ind w:left="4120"/>
              <w:spacing w:after="0"/>
              <w:rPr>
                <w:sz w:val="20"/>
                <w:szCs w:val="20"/>
                <w:color w:val="auto"/>
              </w:rPr>
            </w:pPr>
            <w:r>
              <w:rPr>
                <w:rFonts w:ascii="Arial" w:cs="Arial" w:eastAsia="Arial" w:hAnsi="Arial"/>
                <w:sz w:val="18"/>
                <w:szCs w:val="18"/>
                <w:color w:val="auto"/>
              </w:rPr>
              <w:t>F-140</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Credit risk</w:t>
      </w:r>
    </w:p>
    <w:p>
      <w:pPr>
        <w:spacing w:after="0" w:line="121"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28" w:lineRule="exact"/>
        <w:rPr>
          <w:sz w:val="20"/>
          <w:szCs w:val="20"/>
          <w:color w:val="auto"/>
        </w:rPr>
      </w:pPr>
    </w:p>
    <w:p>
      <w:pPr>
        <w:ind w:left="460" w:hanging="452"/>
        <w:spacing w:after="0"/>
        <w:tabs>
          <w:tab w:leader="none" w:pos="4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and cash held at bank. Cash on hand and cash held at bank balance as of July 23, 2015 primarily consist of the following currencies:</w:t>
      </w:r>
    </w:p>
    <w:p>
      <w:pPr>
        <w:spacing w:after="0" w:line="193"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As of July 23, 2015</w:t>
      </w:r>
    </w:p>
    <w:p>
      <w:pPr>
        <w:ind w:left="9440"/>
        <w:spacing w:after="0" w:line="221" w:lineRule="auto"/>
        <w:rPr>
          <w:sz w:val="20"/>
          <w:szCs w:val="20"/>
          <w:color w:val="auto"/>
        </w:rPr>
      </w:pPr>
      <w:r>
        <w:rPr>
          <w:rFonts w:ascii="Arial" w:cs="Arial" w:eastAsia="Arial" w:hAnsi="Arial"/>
          <w:sz w:val="14"/>
          <w:szCs w:val="14"/>
          <w:color w:val="auto"/>
        </w:rPr>
        <w:t>US$’000</w:t>
      </w:r>
    </w:p>
    <w:p>
      <w:pPr>
        <w:ind w:left="8340"/>
        <w:spacing w:after="0"/>
        <w:tabs>
          <w:tab w:leader="none" w:pos="938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87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1"/>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movement in the allowance for doubtful accounts:</w:t>
      </w:r>
    </w:p>
    <w:p>
      <w:pPr>
        <w:spacing w:after="0" w:line="247"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Period from</w:t>
      </w:r>
    </w:p>
    <w:p>
      <w:pPr>
        <w:jc w:val="center"/>
        <w:ind w:left="6760"/>
        <w:spacing w:after="0" w:line="221" w:lineRule="auto"/>
        <w:rPr>
          <w:sz w:val="20"/>
          <w:szCs w:val="20"/>
          <w:color w:val="auto"/>
        </w:rPr>
      </w:pPr>
      <w:r>
        <w:rPr>
          <w:rFonts w:ascii="Arial" w:cs="Arial" w:eastAsia="Arial" w:hAnsi="Arial"/>
          <w:sz w:val="14"/>
          <w:szCs w:val="14"/>
          <w:color w:val="auto"/>
        </w:rPr>
        <w:t>January 1,</w:t>
      </w:r>
    </w:p>
    <w:p>
      <w:pPr>
        <w:jc w:val="center"/>
        <w:ind w:left="6760"/>
        <w:spacing w:after="0" w:line="221" w:lineRule="auto"/>
        <w:rPr>
          <w:sz w:val="20"/>
          <w:szCs w:val="20"/>
          <w:color w:val="auto"/>
        </w:rPr>
      </w:pPr>
      <w:r>
        <w:rPr>
          <w:rFonts w:ascii="Arial" w:cs="Arial" w:eastAsia="Arial" w:hAnsi="Arial"/>
          <w:sz w:val="14"/>
          <w:szCs w:val="14"/>
          <w:color w:val="auto"/>
        </w:rPr>
        <w:t>2015 to</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beginning of year</w:t>
      </w:r>
    </w:p>
    <w:p>
      <w:pPr>
        <w:spacing w:after="0" w:line="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Arial" w:cs="Arial" w:eastAsia="Arial" w:hAnsi="Arial"/>
          <w:sz w:val="18"/>
          <w:szCs w:val="18"/>
          <w:color w:val="auto"/>
        </w:rPr>
        <w:t>F-141</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49720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49720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31750</wp:posOffset>
            </wp:positionV>
            <wp:extent cx="49720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9" w:right="239" w:bottom="1440" w:gutter="0" w:footer="0" w:header="0"/>
          <w:type w:val="continuous"/>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right="30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200" w:lineRule="exact"/>
        <w:rPr>
          <w:sz w:val="20"/>
          <w:szCs w:val="20"/>
          <w:color w:val="auto"/>
        </w:rPr>
      </w:pPr>
    </w:p>
    <w:p>
      <w:pPr>
        <w:spacing w:after="0" w:line="213" w:lineRule="exact"/>
        <w:rPr>
          <w:sz w:val="20"/>
          <w:szCs w:val="20"/>
          <w:color w:val="auto"/>
        </w:rPr>
      </w:pPr>
    </w:p>
    <w:p>
      <w:pPr>
        <w:ind w:left="460" w:hanging="452"/>
        <w:spacing w:after="0"/>
        <w:tabs>
          <w:tab w:leader="none" w:pos="4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As of</w:t>
      </w:r>
    </w:p>
    <w:p>
      <w:pPr>
        <w:jc w:val="center"/>
        <w:ind w:right="439"/>
        <w:spacing w:after="0"/>
        <w:rPr>
          <w:sz w:val="20"/>
          <w:szCs w:val="20"/>
          <w:color w:val="auto"/>
        </w:rPr>
      </w:pPr>
      <w:r>
        <w:rPr>
          <w:rFonts w:ascii="Arial" w:cs="Arial" w:eastAsia="Arial" w:hAnsi="Arial"/>
          <w:sz w:val="13"/>
          <w:szCs w:val="13"/>
          <w:color w:val="auto"/>
        </w:rPr>
        <w:t>July 23,</w:t>
      </w:r>
    </w:p>
    <w:p>
      <w:pPr>
        <w:jc w:val="center"/>
        <w:ind w:right="43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366</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14605</wp:posOffset>
            </wp:positionV>
            <wp:extent cx="29146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31750</wp:posOffset>
            </wp:positionV>
            <wp:extent cx="2914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As of</w:t>
      </w:r>
    </w:p>
    <w:p>
      <w:pPr>
        <w:jc w:val="center"/>
        <w:ind w:right="559"/>
        <w:spacing w:after="0" w:line="221" w:lineRule="auto"/>
        <w:rPr>
          <w:sz w:val="20"/>
          <w:szCs w:val="20"/>
          <w:color w:val="auto"/>
        </w:rPr>
      </w:pPr>
      <w:r>
        <w:rPr>
          <w:rFonts w:ascii="Arial" w:cs="Arial" w:eastAsia="Arial" w:hAnsi="Arial"/>
          <w:sz w:val="14"/>
          <w:szCs w:val="14"/>
          <w:color w:val="auto"/>
        </w:rPr>
        <w:t>July 23,</w:t>
      </w:r>
    </w:p>
    <w:p>
      <w:pPr>
        <w:jc w:val="center"/>
        <w:ind w:right="559"/>
        <w:spacing w:after="0"/>
        <w:rPr>
          <w:sz w:val="20"/>
          <w:szCs w:val="20"/>
          <w:color w:val="auto"/>
        </w:rPr>
      </w:pPr>
      <w:r>
        <w:rPr>
          <w:rFonts w:ascii="Arial" w:cs="Arial" w:eastAsia="Arial" w:hAnsi="Arial"/>
          <w:sz w:val="14"/>
          <w:szCs w:val="14"/>
          <w:color w:val="auto"/>
        </w:rPr>
        <w:t>2015</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14605</wp:posOffset>
            </wp:positionV>
            <wp:extent cx="29146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31750</wp:posOffset>
            </wp:positionV>
            <wp:extent cx="29146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Period from</w:t>
      </w:r>
    </w:p>
    <w:p>
      <w:pPr>
        <w:jc w:val="center"/>
        <w:ind w:right="679"/>
        <w:spacing w:after="0" w:line="237" w:lineRule="auto"/>
        <w:rPr>
          <w:sz w:val="20"/>
          <w:szCs w:val="20"/>
          <w:color w:val="auto"/>
        </w:rPr>
      </w:pPr>
      <w:r>
        <w:rPr>
          <w:rFonts w:ascii="Arial" w:cs="Arial" w:eastAsia="Arial" w:hAnsi="Arial"/>
          <w:sz w:val="14"/>
          <w:szCs w:val="14"/>
          <w:color w:val="auto"/>
        </w:rPr>
        <w:t>January 1,</w:t>
      </w:r>
    </w:p>
    <w:p>
      <w:pPr>
        <w:jc w:val="center"/>
        <w:ind w:right="679"/>
        <w:spacing w:after="0" w:line="222" w:lineRule="auto"/>
        <w:rPr>
          <w:sz w:val="20"/>
          <w:szCs w:val="20"/>
          <w:color w:val="auto"/>
        </w:rPr>
      </w:pPr>
      <w:r>
        <w:rPr>
          <w:rFonts w:ascii="Arial" w:cs="Arial" w:eastAsia="Arial" w:hAnsi="Arial"/>
          <w:sz w:val="14"/>
          <w:szCs w:val="14"/>
          <w:color w:val="auto"/>
        </w:rPr>
        <w:t>2015 to</w:t>
      </w:r>
    </w:p>
    <w:p>
      <w:pPr>
        <w:jc w:val="center"/>
        <w:ind w:right="679"/>
        <w:spacing w:after="0" w:line="221" w:lineRule="auto"/>
        <w:rPr>
          <w:sz w:val="20"/>
          <w:szCs w:val="20"/>
          <w:color w:val="auto"/>
        </w:rPr>
      </w:pPr>
      <w:r>
        <w:rPr>
          <w:rFonts w:ascii="Arial" w:cs="Arial" w:eastAsia="Arial" w:hAnsi="Arial"/>
          <w:sz w:val="14"/>
          <w:szCs w:val="14"/>
          <w:color w:val="auto"/>
        </w:rPr>
        <w:t>July 23,</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457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44577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As of</w:t>
      </w:r>
    </w:p>
    <w:p>
      <w:pPr>
        <w:jc w:val="center"/>
        <w:ind w:right="499"/>
        <w:spacing w:after="0" w:line="221" w:lineRule="auto"/>
        <w:rPr>
          <w:sz w:val="20"/>
          <w:szCs w:val="20"/>
          <w:color w:val="auto"/>
        </w:rPr>
      </w:pPr>
      <w:r>
        <w:rPr>
          <w:rFonts w:ascii="Arial" w:cs="Arial" w:eastAsia="Arial" w:hAnsi="Arial"/>
          <w:sz w:val="14"/>
          <w:szCs w:val="14"/>
          <w:color w:val="auto"/>
        </w:rPr>
        <w:t>July 23,</w:t>
      </w:r>
    </w:p>
    <w:p>
      <w:pPr>
        <w:jc w:val="center"/>
        <w:ind w:right="499"/>
        <w:spacing w:after="0"/>
        <w:rPr>
          <w:sz w:val="20"/>
          <w:szCs w:val="20"/>
          <w:color w:val="auto"/>
        </w:rPr>
      </w:pPr>
      <w:r>
        <w:rPr>
          <w:rFonts w:ascii="Arial" w:cs="Arial" w:eastAsia="Arial" w:hAnsi="Arial"/>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19685</wp:posOffset>
            </wp:positionV>
            <wp:extent cx="30861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36830</wp:posOffset>
            </wp:positionV>
            <wp:extent cx="30861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9" w:right="1440"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0" w:lineRule="exact"/>
        <w:rPr>
          <w:sz w:val="20"/>
          <w:szCs w:val="20"/>
          <w:color w:val="auto"/>
        </w:rPr>
      </w:pPr>
    </w:p>
    <w:p>
      <w:pPr>
        <w:spacing w:after="0" w:line="304"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4660" w:type="dxa"/>
            <w:vAlign w:val="bottom"/>
          </w:tcPr>
          <w:p>
            <w:pPr>
              <w:spacing w:after="0"/>
              <w:rPr>
                <w:sz w:val="15"/>
                <w:szCs w:val="15"/>
                <w:color w:val="auto"/>
              </w:rPr>
            </w:pPr>
          </w:p>
        </w:tc>
        <w:tc>
          <w:tcPr>
            <w:tcW w:w="3040" w:type="dxa"/>
            <w:vAlign w:val="bottom"/>
            <w:gridSpan w:val="2"/>
          </w:tcPr>
          <w:p>
            <w:pPr>
              <w:jc w:val="center"/>
              <w:ind w:left="2497"/>
              <w:spacing w:after="0"/>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5"/>
                <w:szCs w:val="15"/>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preference shares</w:t>
      </w:r>
    </w:p>
    <w:p>
      <w:pPr>
        <w:spacing w:after="0" w:line="121" w:lineRule="exact"/>
        <w:rPr>
          <w:rFonts w:ascii="Arial" w:cs="Arial" w:eastAsia="Arial" w:hAnsi="Arial"/>
          <w:sz w:val="18"/>
          <w:szCs w:val="18"/>
          <w:b w:val="1"/>
          <w:bCs w:val="1"/>
          <w:color w:val="auto"/>
        </w:rPr>
      </w:pPr>
    </w:p>
    <w:p>
      <w:pPr>
        <w:ind w:left="460" w:right="43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As of July 23, 2015, the Company had 25,000,000 Series A-1 preferred shares outstanding. The key terms of Series A-1 preferred shares are as follows:</w:t>
      </w:r>
    </w:p>
    <w:p>
      <w:pPr>
        <w:spacing w:after="0" w:line="17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Series A-1 preferred shares is entitled to participate in any dividend pari passu with ordinary shareholders of the Company on an as-converted basis.</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 of the Series A-1 preferred shares shall be entitled to such number of votes equal to the whole number of ordinary shares into which such Series A-1 preferred shares are convertible.</w:t>
      </w:r>
    </w:p>
    <w:p>
      <w:pPr>
        <w:spacing w:after="0" w:line="2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Liquidation preference</w:t>
      </w:r>
    </w:p>
    <w:p>
      <w:pPr>
        <w:spacing w:after="0" w:line="117" w:lineRule="exact"/>
        <w:rPr>
          <w:rFonts w:ascii="Arial" w:cs="Arial" w:eastAsia="Arial" w:hAnsi="Arial"/>
          <w:sz w:val="18"/>
          <w:szCs w:val="18"/>
          <w:b w:val="1"/>
          <w:bCs w:val="1"/>
          <w:color w:val="auto"/>
        </w:rPr>
      </w:pPr>
    </w:p>
    <w:p>
      <w:pPr>
        <w:ind w:left="4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73"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F-143</w:t>
      </w:r>
    </w:p>
    <w:p>
      <w:pPr>
        <w:sectPr>
          <w:pgSz w:w="11900" w:h="16838" w:orient="portrait"/>
          <w:cols w:equalWidth="0" w:num="1">
            <w:col w:w="11360"/>
          </w:cols>
          <w:pgMar w:left="240" w:top="459" w:right="29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7680" w:hanging="452"/>
        <w:spacing w:after="0" w:line="385" w:lineRule="auto"/>
        <w:tabs>
          <w:tab w:leader="none" w:pos="449"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preference shares (Continued) </w:t>
      </w:r>
      <w:r>
        <w:rPr>
          <w:rFonts w:ascii="Arial" w:cs="Arial" w:eastAsia="Arial" w:hAnsi="Arial"/>
          <w:sz w:val="18"/>
          <w:szCs w:val="18"/>
          <w:i w:val="1"/>
          <w:iCs w:val="1"/>
          <w:color w:val="auto"/>
        </w:rPr>
        <w:t>Conversion rights</w:t>
      </w:r>
    </w:p>
    <w:p>
      <w:pPr>
        <w:spacing w:after="0" w:line="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4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460"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17" w:lineRule="exact"/>
        <w:rPr>
          <w:rFonts w:ascii="Arial" w:cs="Arial" w:eastAsia="Arial" w:hAnsi="Arial"/>
          <w:sz w:val="18"/>
          <w:szCs w:val="18"/>
          <w:b w:val="1"/>
          <w:bCs w:val="1"/>
          <w:color w:val="auto"/>
        </w:rPr>
      </w:pPr>
    </w:p>
    <w:p>
      <w:pPr>
        <w:ind w:left="460" w:hanging="452"/>
        <w:spacing w:after="0"/>
        <w:tabs>
          <w:tab w:leader="none" w:pos="4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shares</w:t>
      </w:r>
    </w:p>
    <w:p>
      <w:pPr>
        <w:spacing w:after="0" w:line="121" w:lineRule="exact"/>
        <w:rPr>
          <w:rFonts w:ascii="Arial" w:cs="Arial" w:eastAsia="Arial" w:hAnsi="Arial"/>
          <w:sz w:val="18"/>
          <w:szCs w:val="18"/>
          <w:b w:val="1"/>
          <w:bCs w:val="1"/>
          <w:color w:val="auto"/>
        </w:rPr>
      </w:pPr>
    </w:p>
    <w:p>
      <w:pPr>
        <w:jc w:val="both"/>
        <w:ind w:left="4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key terms of the Series A-2 are as follows:</w:t>
      </w:r>
    </w:p>
    <w:p>
      <w:pPr>
        <w:spacing w:after="0" w:line="33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holders of the Series A-2 are entitled to participate in any dividend pari passu with ordinary shareholders of the Company on an as-converted basis.</w:t>
      </w:r>
    </w:p>
    <w:p>
      <w:pPr>
        <w:spacing w:after="0" w:line="35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Voting rights</w:t>
      </w:r>
    </w:p>
    <w:p>
      <w:pPr>
        <w:spacing w:after="0" w:line="117"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holders of the Series A-2 preferred shares shall be entitled to such number of votes equal to the whole number of ordinary shares into which such Series A-2 preferred shares are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F-144</w:t>
      </w:r>
    </w:p>
    <w:p>
      <w:pPr>
        <w:sectPr>
          <w:pgSz w:w="11900" w:h="16838" w:orient="portrait"/>
          <w:cols w:equalWidth="0" w:num="1">
            <w:col w:w="11400"/>
          </w:cols>
          <w:pgMar w:left="240" w:top="460" w:right="2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800" w:hanging="452"/>
        <w:spacing w:after="0" w:line="385" w:lineRule="auto"/>
        <w:tabs>
          <w:tab w:leader="none" w:pos="449"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w:t>
      </w:r>
    </w:p>
    <w:p>
      <w:pPr>
        <w:spacing w:after="0" w:line="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85"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46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64"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38" w:lineRule="exact"/>
        <w:rPr>
          <w:rFonts w:ascii="Arial" w:cs="Arial" w:eastAsia="Arial" w:hAnsi="Arial"/>
          <w:sz w:val="18"/>
          <w:szCs w:val="18"/>
          <w:b w:val="1"/>
          <w:bCs w:val="1"/>
          <w:color w:val="auto"/>
        </w:rPr>
      </w:pPr>
    </w:p>
    <w:p>
      <w:pPr>
        <w:ind w:left="4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A-2 preferred shares should be classified as mezzanine equity after considering the features of the preferred shares as described above.</w:t>
      </w:r>
    </w:p>
    <w:p>
      <w:pPr>
        <w:spacing w:after="0" w:line="62" w:lineRule="exact"/>
        <w:rPr>
          <w:rFonts w:ascii="Arial" w:cs="Arial" w:eastAsia="Arial" w:hAnsi="Arial"/>
          <w:sz w:val="18"/>
          <w:szCs w:val="18"/>
          <w:b w:val="1"/>
          <w:bCs w:val="1"/>
          <w:color w:val="auto"/>
        </w:rPr>
      </w:pPr>
    </w:p>
    <w:p>
      <w:pPr>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8" w:lineRule="exact"/>
        <w:rPr>
          <w:rFonts w:ascii="Arial" w:cs="Arial" w:eastAsia="Arial" w:hAnsi="Arial"/>
          <w:sz w:val="18"/>
          <w:szCs w:val="18"/>
          <w:b w:val="1"/>
          <w:bCs w:val="1"/>
          <w:color w:val="auto"/>
        </w:rPr>
      </w:pPr>
    </w:p>
    <w:p>
      <w:pPr>
        <w:ind w:left="4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F-145</w:t>
      </w:r>
    </w:p>
    <w:p>
      <w:pPr>
        <w:sectPr>
          <w:pgSz w:w="11900" w:h="16838" w:orient="portrait"/>
          <w:cols w:equalWidth="0" w:num="1">
            <w:col w:w="11380"/>
          </w:cols>
          <w:pgMar w:left="240" w:top="459" w:right="27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460" w:right="6720" w:hanging="452"/>
        <w:spacing w:after="0" w:line="391" w:lineRule="auto"/>
        <w:tabs>
          <w:tab w:leader="none" w:pos="449"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Arial" w:cs="Arial" w:eastAsia="Arial" w:hAnsi="Arial"/>
                <w:sz w:val="14"/>
                <w:szCs w:val="14"/>
                <w:color w:val="auto"/>
                <w:w w:val="96"/>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81"/>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200" w:type="dxa"/>
            <w:vAlign w:val="bottom"/>
            <w:gridSpan w:val="2"/>
          </w:tcPr>
          <w:p>
            <w:pPr>
              <w:jc w:val="center"/>
              <w:ind w:left="2402"/>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5"/>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64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tcPr>
          <w:p>
            <w:pPr>
              <w:spacing w:after="0"/>
              <w:rPr>
                <w:sz w:val="20"/>
                <w:szCs w:val="20"/>
                <w:color w:val="auto"/>
              </w:rPr>
            </w:pPr>
            <w:r>
              <w:rPr>
                <w:rFonts w:ascii="Arial" w:cs="Arial" w:eastAsia="Arial" w:hAnsi="Arial"/>
                <w:sz w:val="14"/>
                <w:szCs w:val="14"/>
                <w:color w:val="auto"/>
              </w:rPr>
              <w:t>Grant Date</w:t>
            </w:r>
          </w:p>
        </w:tc>
        <w:tc>
          <w:tcPr>
            <w:tcW w:w="4640" w:type="dxa"/>
            <w:vAlign w:val="bottom"/>
          </w:tcPr>
          <w:p>
            <w:pPr>
              <w:jc w:val="right"/>
              <w:ind w:right="313"/>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3"/>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4"/>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January 16, 2015 (Note 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550,000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250,000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2.50</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tcPr>
          <w:p>
            <w:pPr>
              <w:jc w:val="right"/>
              <w:ind w:right="113"/>
              <w:spacing w:after="0"/>
              <w:rPr>
                <w:sz w:val="20"/>
                <w:szCs w:val="20"/>
                <w:color w:val="auto"/>
              </w:rPr>
            </w:pPr>
            <w:r>
              <w:rPr>
                <w:rFonts w:ascii="Arial" w:cs="Arial" w:eastAsia="Arial" w:hAnsi="Arial"/>
                <w:sz w:val="18"/>
                <w:szCs w:val="18"/>
                <w:color w:val="auto"/>
              </w:rPr>
              <w:t>100,000</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Arial" w:cs="Arial" w:eastAsia="Arial" w:hAnsi="Arial"/>
                <w:sz w:val="18"/>
                <w:szCs w:val="18"/>
                <w:color w:val="auto"/>
              </w:rPr>
              <w:t>F-146</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4"/>
                <w:szCs w:val="14"/>
                <w:color w:val="auto"/>
              </w:rPr>
              <w:t>Vesting</w:t>
            </w:r>
          </w:p>
        </w:tc>
        <w:tc>
          <w:tcPr>
            <w:tcW w:w="820" w:type="dxa"/>
            <w:vAlign w:val="bottom"/>
          </w:tcPr>
          <w:p>
            <w:pPr>
              <w:jc w:val="center"/>
              <w:ind w:left="34"/>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1" w:lineRule="exact"/>
              <w:rPr>
                <w:sz w:val="20"/>
                <w:szCs w:val="20"/>
                <w:color w:val="auto"/>
              </w:rPr>
            </w:pPr>
            <w:r>
              <w:rPr>
                <w:rFonts w:ascii="Arial" w:cs="Arial" w:eastAsia="Arial" w:hAnsi="Arial"/>
                <w:sz w:val="14"/>
                <w:szCs w:val="14"/>
                <w:color w:val="auto"/>
                <w:w w:val="95"/>
              </w:rPr>
              <w:t>price at</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Number of</w:t>
            </w:r>
          </w:p>
        </w:tc>
        <w:tc>
          <w:tcPr>
            <w:tcW w:w="7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Term</w:t>
            </w:r>
          </w:p>
        </w:tc>
        <w:tc>
          <w:tcPr>
            <w:tcW w:w="80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period</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20"/>
                <w:szCs w:val="20"/>
                <w:color w:val="auto"/>
              </w:rPr>
            </w:pPr>
            <w:r>
              <w:rPr>
                <w:rFonts w:ascii="Arial" w:cs="Arial" w:eastAsia="Arial" w:hAnsi="Arial"/>
                <w:sz w:val="14"/>
                <w:szCs w:val="14"/>
                <w:color w:val="auto"/>
              </w:rPr>
              <w:t>Grant Date</w:t>
            </w:r>
          </w:p>
        </w:tc>
        <w:tc>
          <w:tcPr>
            <w:tcW w:w="3460" w:type="dxa"/>
            <w:vAlign w:val="bottom"/>
          </w:tcPr>
          <w:p>
            <w:pPr>
              <w:jc w:val="right"/>
              <w:ind w:right="312"/>
              <w:spacing w:after="0"/>
              <w:rPr>
                <w:sz w:val="20"/>
                <w:szCs w:val="20"/>
                <w:color w:val="auto"/>
              </w:rPr>
            </w:pPr>
            <w:r>
              <w:rPr>
                <w:rFonts w:ascii="Arial" w:cs="Arial" w:eastAsia="Arial" w:hAnsi="Arial"/>
                <w:sz w:val="14"/>
                <w:szCs w:val="14"/>
                <w:color w:val="auto"/>
              </w:rPr>
              <w:t>shares</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(year)</w:t>
            </w:r>
          </w:p>
        </w:tc>
        <w:tc>
          <w:tcPr>
            <w:tcW w:w="800" w:type="dxa"/>
            <w:vAlign w:val="bottom"/>
          </w:tcPr>
          <w:p>
            <w:pPr>
              <w:jc w:val="right"/>
              <w:ind w:right="133"/>
              <w:spacing w:after="0"/>
              <w:rPr>
                <w:sz w:val="20"/>
                <w:szCs w:val="20"/>
                <w:color w:val="auto"/>
              </w:rPr>
            </w:pPr>
            <w:r>
              <w:rPr>
                <w:rFonts w:ascii="Arial" w:cs="Arial" w:eastAsia="Arial" w:hAnsi="Arial"/>
                <w:sz w:val="14"/>
                <w:szCs w:val="14"/>
                <w:color w:val="auto"/>
              </w:rPr>
              <w:t>(year)</w:t>
            </w:r>
          </w:p>
        </w:tc>
        <w:tc>
          <w:tcPr>
            <w:tcW w:w="820" w:type="dxa"/>
            <w:vAlign w:val="bottom"/>
          </w:tcPr>
          <w:p>
            <w:pPr>
              <w:jc w:val="center"/>
              <w:ind w:left="54"/>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970,000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tcPr>
          <w:p>
            <w:pPr>
              <w:jc w:val="right"/>
              <w:spacing w:after="0"/>
              <w:rPr>
                <w:sz w:val="20"/>
                <w:szCs w:val="20"/>
                <w:color w:val="auto"/>
              </w:rPr>
            </w:pPr>
            <w:r>
              <w:rPr>
                <w:rFonts w:ascii="Arial" w:cs="Arial" w:eastAsia="Arial" w:hAnsi="Arial"/>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3.33</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 2015 (Note xiv)</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40,000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3.83</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February 15, 2015 (Note xvi)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820" w:type="dxa"/>
            <w:vAlign w:val="bottom"/>
          </w:tcPr>
          <w:p>
            <w:pPr>
              <w:jc w:val="right"/>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March 15, 2015 (Note xviii)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20,000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June 1, 2015 (Note xx)</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3,950,000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tcPr>
          <w:p>
            <w:pPr>
              <w:jc w:val="right"/>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July 1, 2015 (Note xxii)</w:t>
            </w:r>
          </w:p>
        </w:tc>
        <w:tc>
          <w:tcPr>
            <w:tcW w:w="3460" w:type="dxa"/>
            <w:vAlign w:val="bottom"/>
          </w:tcPr>
          <w:p>
            <w:pPr>
              <w:jc w:val="right"/>
              <w:ind w:right="112"/>
              <w:spacing w:after="0"/>
              <w:rPr>
                <w:sz w:val="20"/>
                <w:szCs w:val="20"/>
                <w:color w:val="auto"/>
              </w:rPr>
            </w:pPr>
            <w:r>
              <w:rPr>
                <w:rFonts w:ascii="Arial" w:cs="Arial" w:eastAsia="Arial" w:hAnsi="Arial"/>
                <w:sz w:val="18"/>
                <w:szCs w:val="18"/>
                <w:color w:val="auto"/>
              </w:rPr>
              <w:t>35,000</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820" w:type="dxa"/>
            <w:vAlign w:val="bottom"/>
          </w:tcPr>
          <w:p>
            <w:pPr>
              <w:jc w:val="right"/>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80" w:hanging="666"/>
        <w:spacing w:after="0" w:line="264" w:lineRule="auto"/>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hanging="666"/>
        <w:spacing w:after="0" w:line="264" w:lineRule="auto"/>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180" w:hanging="666"/>
        <w:spacing w:after="0" w:line="264" w:lineRule="auto"/>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20" w:hanging="666"/>
        <w:spacing w:after="0" w:line="264" w:lineRule="auto"/>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240" w:hanging="666"/>
        <w:spacing w:after="0" w:line="264" w:lineRule="auto"/>
        <w:tabs>
          <w:tab w:leader="none" w:pos="11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F-147</w:t>
      </w:r>
    </w:p>
    <w:p>
      <w:pPr>
        <w:sectPr>
          <w:pgSz w:w="11900" w:h="16838" w:orient="portrait"/>
          <w:cols w:equalWidth="0" w:num="1">
            <w:col w:w="11400"/>
          </w:cols>
          <w:pgMar w:left="240" w:top="459" w:right="2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1120" w:right="24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42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44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18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jc w:val="both"/>
        <w:ind w:left="1120" w:right="8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32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6" w:lineRule="exact"/>
        <w:rPr>
          <w:rFonts w:ascii="Arial" w:cs="Arial" w:eastAsia="Arial" w:hAnsi="Arial"/>
          <w:sz w:val="18"/>
          <w:szCs w:val="18"/>
          <w:color w:val="auto"/>
        </w:rPr>
      </w:pPr>
    </w:p>
    <w:p>
      <w:pPr>
        <w:ind w:left="1120" w:right="580" w:hanging="666"/>
        <w:spacing w:after="0" w:line="264" w:lineRule="auto"/>
        <w:tabs>
          <w:tab w:leader="none" w:pos="11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F-148</w:t>
      </w:r>
    </w:p>
    <w:p>
      <w:pPr>
        <w:sectPr>
          <w:pgSz w:w="11900" w:h="16838" w:orient="portrait"/>
          <w:cols w:equalWidth="0" w:num="1">
            <w:col w:w="11420"/>
          </w:cols>
          <w:pgMar w:left="240" w:top="459" w:right="23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jc w:val="both"/>
        <w:ind w:left="1120" w:right="120" w:hanging="666"/>
        <w:spacing w:after="0" w:line="264" w:lineRule="auto"/>
        <w:tabs>
          <w:tab w:leader="none" w:pos="11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6" w:lineRule="exact"/>
        <w:rPr>
          <w:rFonts w:ascii="Arial" w:cs="Arial" w:eastAsia="Arial" w:hAnsi="Arial"/>
          <w:sz w:val="18"/>
          <w:szCs w:val="18"/>
          <w:color w:val="auto"/>
        </w:rPr>
      </w:pPr>
    </w:p>
    <w:p>
      <w:pPr>
        <w:ind w:left="1120" w:right="100" w:hanging="666"/>
        <w:spacing w:after="0" w:line="264" w:lineRule="auto"/>
        <w:tabs>
          <w:tab w:leader="none" w:pos="11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6" w:lineRule="exact"/>
        <w:rPr>
          <w:rFonts w:ascii="Arial" w:cs="Arial" w:eastAsia="Arial" w:hAnsi="Arial"/>
          <w:sz w:val="18"/>
          <w:szCs w:val="18"/>
          <w:color w:val="auto"/>
        </w:rPr>
      </w:pPr>
    </w:p>
    <w:p>
      <w:pPr>
        <w:ind w:left="1120" w:hanging="666"/>
        <w:spacing w:after="0" w:line="264" w:lineRule="auto"/>
        <w:tabs>
          <w:tab w:leader="none" w:pos="11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6" w:lineRule="exact"/>
        <w:rPr>
          <w:rFonts w:ascii="Arial" w:cs="Arial" w:eastAsia="Arial" w:hAnsi="Arial"/>
          <w:sz w:val="18"/>
          <w:szCs w:val="18"/>
          <w:color w:val="auto"/>
        </w:rPr>
      </w:pPr>
    </w:p>
    <w:p>
      <w:pPr>
        <w:ind w:left="1120" w:right="60" w:hanging="666"/>
        <w:spacing w:after="0" w:line="264" w:lineRule="auto"/>
        <w:tabs>
          <w:tab w:leader="none" w:pos="11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6" w:lineRule="exact"/>
        <w:rPr>
          <w:rFonts w:ascii="Arial" w:cs="Arial" w:eastAsia="Arial" w:hAnsi="Arial"/>
          <w:sz w:val="18"/>
          <w:szCs w:val="18"/>
          <w:color w:val="auto"/>
        </w:rPr>
      </w:pPr>
    </w:p>
    <w:p>
      <w:pPr>
        <w:ind w:left="1120" w:right="160" w:hanging="666"/>
        <w:spacing w:after="0" w:line="264" w:lineRule="auto"/>
        <w:tabs>
          <w:tab w:leader="none" w:pos="112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Weighted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360"/>
              <w:spacing w:after="0" w:line="141" w:lineRule="exact"/>
              <w:rPr>
                <w:sz w:val="20"/>
                <w:szCs w:val="20"/>
                <w:color w:val="auto"/>
              </w:rPr>
            </w:pPr>
            <w:r>
              <w:rPr>
                <w:rFonts w:ascii="Arial" w:cs="Arial" w:eastAsia="Arial" w:hAnsi="Arial"/>
                <w:sz w:val="14"/>
                <w:szCs w:val="14"/>
                <w:color w:val="auto"/>
                <w:w w:val="86"/>
              </w:rPr>
              <w:t>average</w:t>
            </w: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4"/>
                <w:szCs w:val="14"/>
                <w:color w:val="auto"/>
                <w:w w:val="90"/>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grant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remaining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exercise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fair value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contractual</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price (US$)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color w:val="auto"/>
                <w:w w:val="98"/>
              </w:rPr>
              <w:t>(US$)</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life (years)</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0.085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14,108,000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July 23, 2015 and the exercise price.</w:t>
      </w:r>
    </w:p>
    <w:p>
      <w:pPr>
        <w:spacing w:after="0" w:line="62" w:lineRule="exact"/>
        <w:rPr>
          <w:sz w:val="20"/>
          <w:szCs w:val="20"/>
          <w:color w:val="auto"/>
        </w:rPr>
      </w:pPr>
    </w:p>
    <w:p>
      <w:pPr>
        <w:ind w:left="460" w:right="120"/>
        <w:spacing w:after="0" w:line="342" w:lineRule="auto"/>
        <w:rPr>
          <w:sz w:val="20"/>
          <w:szCs w:val="20"/>
          <w:color w:val="auto"/>
        </w:rPr>
      </w:pPr>
      <w:r>
        <w:rPr>
          <w:rFonts w:ascii="Arial" w:cs="Arial" w:eastAsia="Arial" w:hAnsi="Arial"/>
          <w:sz w:val="16"/>
          <w:szCs w:val="16"/>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16"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F-149</w:t>
      </w:r>
    </w:p>
    <w:p>
      <w:pPr>
        <w:sectPr>
          <w:pgSz w:w="11900" w:h="16838" w:orient="portrait"/>
          <w:cols w:equalWidth="0" w:num="1">
            <w:col w:w="11340"/>
          </w:cols>
          <w:pgMar w:left="240" w:top="459" w:right="31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30" w:lineRule="exact"/>
        <w:rPr>
          <w:rFonts w:ascii="Arial" w:cs="Arial" w:eastAsia="Arial" w:hAnsi="Arial"/>
          <w:sz w:val="18"/>
          <w:szCs w:val="18"/>
          <w:color w:val="auto"/>
        </w:rPr>
      </w:pPr>
    </w:p>
    <w:p>
      <w:pPr>
        <w:ind w:left="46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96"/>
              </w:rPr>
              <w:t>Risk-free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9"/>
              </w:rPr>
              <w:t>Dividend</w:t>
            </w:r>
          </w:p>
        </w:tc>
        <w:tc>
          <w:tcPr>
            <w:tcW w:w="1260" w:type="dxa"/>
            <w:vAlign w:val="bottom"/>
          </w:tcPr>
          <w:p>
            <w:pPr>
              <w:ind w:left="28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7"/>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Arial" w:cs="Arial" w:eastAsia="Arial" w:hAnsi="Arial"/>
                <w:sz w:val="14"/>
                <w:szCs w:val="14"/>
                <w:color w:val="auto"/>
                <w:w w:val="89"/>
              </w:rPr>
              <w:t>interest rate</w:t>
            </w: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color w:val="auto"/>
              </w:rPr>
              <w:t>yield</w:t>
            </w:r>
          </w:p>
        </w:tc>
        <w:tc>
          <w:tcPr>
            <w:tcW w:w="1260" w:type="dxa"/>
            <w:vAlign w:val="bottom"/>
          </w:tcPr>
          <w:p>
            <w:pPr>
              <w:ind w:left="44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60" w:type="dxa"/>
            <w:vAlign w:val="bottom"/>
          </w:tcPr>
          <w:p>
            <w:pPr>
              <w:spacing w:after="0"/>
              <w:rPr>
                <w:sz w:val="20"/>
                <w:szCs w:val="20"/>
                <w:color w:val="auto"/>
              </w:rPr>
            </w:pPr>
            <w:r>
              <w:rPr>
                <w:rFonts w:ascii="Arial" w:cs="Arial" w:eastAsia="Arial" w:hAnsi="Arial"/>
                <w:sz w:val="14"/>
                <w:szCs w:val="14"/>
                <w:color w:val="auto"/>
              </w:rPr>
              <w:t>Grant Date</w:t>
            </w:r>
          </w:p>
        </w:tc>
        <w:tc>
          <w:tcPr>
            <w:tcW w:w="3440" w:type="dxa"/>
            <w:vAlign w:val="bottom"/>
          </w:tcPr>
          <w:p>
            <w:pPr>
              <w:jc w:val="center"/>
              <w:ind w:left="1815"/>
              <w:spacing w:after="0"/>
              <w:rPr>
                <w:sz w:val="20"/>
                <w:szCs w:val="20"/>
                <w:color w:val="auto"/>
              </w:rPr>
            </w:pPr>
            <w:r>
              <w:rPr>
                <w:rFonts w:ascii="Arial" w:cs="Arial" w:eastAsia="Arial" w:hAnsi="Arial"/>
                <w:sz w:val="14"/>
                <w:szCs w:val="14"/>
                <w:color w:val="auto"/>
              </w:rPr>
              <w:t>(Note i)</w:t>
            </w:r>
          </w:p>
        </w:tc>
        <w:tc>
          <w:tcPr>
            <w:tcW w:w="1260" w:type="dxa"/>
            <w:vAlign w:val="bottom"/>
          </w:tcPr>
          <w:p>
            <w:pPr>
              <w:jc w:val="center"/>
              <w:ind w:right="75"/>
              <w:spacing w:after="0"/>
              <w:rPr>
                <w:sz w:val="20"/>
                <w:szCs w:val="20"/>
                <w:color w:val="auto"/>
              </w:rPr>
            </w:pPr>
            <w:r>
              <w:rPr>
                <w:rFonts w:ascii="Arial" w:cs="Arial" w:eastAsia="Arial" w:hAnsi="Arial"/>
                <w:sz w:val="14"/>
                <w:szCs w:val="14"/>
                <w:color w:val="auto"/>
              </w:rPr>
              <w:t>(Note ii)</w:t>
            </w:r>
          </w:p>
        </w:tc>
        <w:tc>
          <w:tcPr>
            <w:tcW w:w="1260" w:type="dxa"/>
            <w:vAlign w:val="bottom"/>
          </w:tcPr>
          <w:p>
            <w:pPr>
              <w:ind w:left="28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February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3.510%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53.39%</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March 15,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3.450%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53.31%</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53.22%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June 1, 2015</w:t>
            </w:r>
          </w:p>
        </w:tc>
        <w:tc>
          <w:tcPr>
            <w:tcW w:w="3440" w:type="dxa"/>
            <w:vAlign w:val="bottom"/>
          </w:tcPr>
          <w:p>
            <w:pPr>
              <w:jc w:val="right"/>
              <w:ind w:right="195"/>
              <w:spacing w:after="0"/>
              <w:rPr>
                <w:sz w:val="20"/>
                <w:szCs w:val="20"/>
                <w:color w:val="auto"/>
              </w:rPr>
            </w:pPr>
            <w:r>
              <w:rPr>
                <w:rFonts w:ascii="Arial" w:cs="Arial" w:eastAsia="Arial" w:hAnsi="Arial"/>
                <w:sz w:val="18"/>
                <w:szCs w:val="18"/>
                <w:color w:val="auto"/>
              </w:rPr>
              <w:t>3.640%</w:t>
            </w: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tcPr>
          <w:p>
            <w:pPr>
              <w:ind w:left="420"/>
              <w:spacing w:after="0"/>
              <w:rPr>
                <w:sz w:val="20"/>
                <w:szCs w:val="20"/>
                <w:color w:val="auto"/>
              </w:rPr>
            </w:pPr>
            <w:r>
              <w:rPr>
                <w:rFonts w:ascii="Arial" w:cs="Arial" w:eastAsia="Arial" w:hAnsi="Arial"/>
                <w:sz w:val="18"/>
                <w:szCs w:val="18"/>
                <w:color w:val="auto"/>
              </w:rPr>
              <w:t>52.98%</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0.0%</w:t>
            </w: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52.86%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900" w:right="400" w:hanging="446"/>
        <w:spacing w:after="0" w:line="250" w:lineRule="auto"/>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900" w:right="600" w:hanging="446"/>
        <w:spacing w:after="0" w:line="250" w:lineRule="auto"/>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460" w:right="50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period from January 1, 2015 to July 23, 2015.</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460" w:right="200"/>
        <w:spacing w:after="0" w:line="264"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F-150</w:t>
      </w:r>
    </w:p>
    <w:p>
      <w:pPr>
        <w:sectPr>
          <w:pgSz w:w="11900" w:h="16838" w:orient="portrait"/>
          <w:cols w:equalWidth="0" w:num="1">
            <w:col w:w="11320"/>
          </w:cols>
          <w:pgMar w:left="240" w:top="459" w:right="3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PRC Enterprise Income Tax (“EIT”) (Continued)</w:t>
      </w:r>
    </w:p>
    <w:p>
      <w:pPr>
        <w:spacing w:after="0" w:line="130" w:lineRule="exact"/>
        <w:rPr>
          <w:rFonts w:ascii="Arial" w:cs="Arial" w:eastAsia="Arial" w:hAnsi="Arial"/>
          <w:sz w:val="18"/>
          <w:szCs w:val="18"/>
          <w:color w:val="auto"/>
        </w:rPr>
      </w:pPr>
    </w:p>
    <w:p>
      <w:pPr>
        <w:jc w:val="both"/>
        <w:ind w:left="460" w:right="80"/>
        <w:spacing w:after="0" w:line="286" w:lineRule="auto"/>
        <w:rPr>
          <w:rFonts w:ascii="Arial" w:cs="Arial" w:eastAsia="Arial" w:hAnsi="Arial"/>
          <w:sz w:val="18"/>
          <w:szCs w:val="18"/>
          <w:color w:val="auto"/>
        </w:rPr>
      </w:pPr>
      <w:r>
        <w:rPr>
          <w:rFonts w:ascii="Arial" w:cs="Arial" w:eastAsia="Arial" w:hAnsi="Arial"/>
          <w:sz w:val="17"/>
          <w:szCs w:val="17"/>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57" w:lineRule="exact"/>
        <w:rPr>
          <w:rFonts w:ascii="Arial" w:cs="Arial" w:eastAsia="Arial" w:hAnsi="Arial"/>
          <w:sz w:val="18"/>
          <w:szCs w:val="18"/>
          <w:color w:val="auto"/>
        </w:rPr>
      </w:pPr>
    </w:p>
    <w:p>
      <w:pPr>
        <w:ind w:left="460" w:right="80"/>
        <w:spacing w:after="0" w:line="276"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 of comprehensive loss are nil as of July 23, 2015 are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260" w:type="dxa"/>
            <w:vAlign w:val="bottom"/>
            <w:gridSpan w:val="3"/>
          </w:tcPr>
          <w:p>
            <w:pPr>
              <w:jc w:val="center"/>
              <w:ind w:left="2359"/>
              <w:spacing w:after="0"/>
              <w:rPr>
                <w:sz w:val="20"/>
                <w:szCs w:val="20"/>
                <w:color w:val="auto"/>
              </w:rPr>
            </w:pPr>
            <w:r>
              <w:rPr>
                <w:rFonts w:ascii="Arial" w:cs="Arial" w:eastAsia="Arial" w:hAnsi="Arial"/>
                <w:sz w:val="14"/>
                <w:szCs w:val="14"/>
                <w:color w:val="auto"/>
                <w:w w:val="96"/>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Arial" w:cs="Arial" w:eastAsia="Arial" w:hAnsi="Arial"/>
                <w:sz w:val="14"/>
                <w:szCs w:val="14"/>
                <w:color w:val="auto"/>
                <w:w w:val="89"/>
              </w:rPr>
              <w:t>2015</w:t>
            </w:r>
          </w:p>
        </w:tc>
        <w:tc>
          <w:tcPr>
            <w:tcW w:w="60" w:type="dxa"/>
            <w:vAlign w:val="bottom"/>
          </w:tcPr>
          <w:p>
            <w:pPr>
              <w:spacing w:after="0"/>
              <w:rPr>
                <w:sz w:val="14"/>
                <w:szCs w:val="14"/>
                <w:color w:val="auto"/>
              </w:rPr>
            </w:pPr>
          </w:p>
        </w:tc>
      </w:tr>
      <w:tr>
        <w:trPr>
          <w:trHeight w:val="167"/>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US$‘000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920" w:right="3260"/>
        <w:spacing w:after="0" w:line="265" w:lineRule="auto"/>
        <w:rPr>
          <w:sz w:val="20"/>
          <w:szCs w:val="20"/>
          <w:color w:val="auto"/>
        </w:rPr>
      </w:pPr>
      <w:r>
        <w:rPr>
          <w:rFonts w:ascii="Arial" w:cs="Arial" w:eastAsia="Arial" w:hAnsi="Arial"/>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-281305</wp:posOffset>
            </wp:positionV>
            <wp:extent cx="6080125"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tax assets, non-current:</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Valuation allowance (a)</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371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F-151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1020"/>
        <w:spacing w:after="0"/>
        <w:rPr>
          <w:sz w:val="20"/>
          <w:szCs w:val="20"/>
          <w:color w:val="auto"/>
        </w:rPr>
      </w:pPr>
      <w:r>
        <w:rPr>
          <w:rFonts w:ascii="Arial" w:cs="Arial" w:eastAsia="Arial" w:hAnsi="Arial"/>
          <w:sz w:val="14"/>
          <w:szCs w:val="14"/>
          <w:color w:val="auto"/>
        </w:rPr>
        <w:t>As of</w:t>
      </w:r>
    </w:p>
    <w:p>
      <w:pPr>
        <w:jc w:val="center"/>
        <w:ind w:right="1020"/>
        <w:spacing w:after="0"/>
        <w:rPr>
          <w:sz w:val="20"/>
          <w:szCs w:val="20"/>
          <w:color w:val="auto"/>
        </w:rPr>
      </w:pPr>
      <w:r>
        <w:rPr>
          <w:rFonts w:ascii="Arial" w:cs="Arial" w:eastAsia="Arial" w:hAnsi="Arial"/>
          <w:sz w:val="13"/>
          <w:szCs w:val="13"/>
          <w:color w:val="auto"/>
        </w:rPr>
        <w:t>July 23,</w:t>
      </w:r>
    </w:p>
    <w:p>
      <w:pPr>
        <w:jc w:val="center"/>
        <w:ind w:right="1020"/>
        <w:spacing w:after="0"/>
        <w:rPr>
          <w:sz w:val="20"/>
          <w:szCs w:val="20"/>
          <w:color w:val="auto"/>
        </w:rPr>
      </w:pPr>
      <w:r>
        <w:rPr>
          <w:rFonts w:ascii="Arial" w:cs="Arial" w:eastAsia="Arial" w:hAnsi="Arial"/>
          <w:sz w:val="14"/>
          <w:szCs w:val="14"/>
          <w:color w:val="auto"/>
        </w:rPr>
        <w:t>2015</w:t>
      </w:r>
    </w:p>
    <w:p>
      <w:pPr>
        <w:spacing w:after="0" w:line="2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1,310</w:t>
      </w:r>
    </w:p>
    <w:p>
      <w:pPr>
        <w:spacing w:after="0" w:line="23"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7"/>
          <w:szCs w:val="17"/>
          <w:u w:val="single" w:color="auto"/>
          <w:color w:val="auto"/>
        </w:rPr>
        <w:t>(1,407</w:t>
      </w:r>
      <w:r>
        <w:rPr>
          <w:rFonts w:ascii="Arial" w:cs="Arial" w:eastAsia="Arial" w:hAnsi="Arial"/>
          <w:sz w:val="17"/>
          <w:szCs w:val="17"/>
          <w:color w:val="auto"/>
        </w:rPr>
        <w:t>)</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575</w:t>
      </w:r>
    </w:p>
    <w:p>
      <w:pPr>
        <w:spacing w:after="0" w:line="23"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3464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31750</wp:posOffset>
            </wp:positionV>
            <wp:extent cx="33464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9" w:right="279" w:bottom="1440" w:gutter="0" w:footer="0" w:header="0"/>
          <w:type w:val="continuous"/>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right="7360" w:hanging="452"/>
        <w:spacing w:after="0" w:line="431" w:lineRule="auto"/>
        <w:tabs>
          <w:tab w:leader="none" w:pos="449" w:val="left"/>
        </w:tabs>
        <w:numPr>
          <w:ilvl w:val="0"/>
          <w:numId w:val="387"/>
        </w:numPr>
        <w:rPr>
          <w:rFonts w:ascii="Arial" w:cs="Arial" w:eastAsia="Arial" w:hAnsi="Arial"/>
          <w:sz w:val="16"/>
          <w:szCs w:val="16"/>
          <w:color w:val="auto"/>
        </w:rPr>
      </w:pPr>
      <w:r>
        <w:rPr>
          <w:rFonts w:ascii="Arial" w:cs="Arial" w:eastAsia="Arial" w:hAnsi="Arial"/>
          <w:sz w:val="16"/>
          <w:szCs w:val="16"/>
          <w:color w:val="auto"/>
        </w:rPr>
        <w:t xml:space="preserve">PRC Enterprise Income Tax (“EIT”) (Continued) </w:t>
      </w:r>
      <w:r>
        <w:rPr>
          <w:rFonts w:ascii="Arial" w:cs="Arial" w:eastAsia="Arial" w:hAnsi="Arial"/>
          <w:sz w:val="16"/>
          <w:szCs w:val="16"/>
          <w:i w:val="1"/>
          <w:iCs w:val="1"/>
          <w:color w:val="auto"/>
        </w:rPr>
        <w:t>Deferred tax assets and liabilities (Continued)</w:t>
      </w:r>
    </w:p>
    <w:p>
      <w:pPr>
        <w:ind w:left="900" w:right="100" w:hanging="446"/>
        <w:spacing w:after="0" w:line="273" w:lineRule="auto"/>
        <w:tabs>
          <w:tab w:leader="none" w:pos="90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loss carryforwards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23, 2015, the Group had tax loss carryforwards of approximately US$2,301, which can be carried forward to offset future taxable income.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operating tax loss carry forwards will begin to expire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July 23,</w:t>
            </w:r>
          </w:p>
        </w:tc>
      </w:tr>
      <w:tr>
        <w:trPr>
          <w:trHeight w:val="181"/>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F-152</w:t>
      </w:r>
    </w:p>
    <w:p>
      <w:pPr>
        <w:sectPr>
          <w:pgSz w:w="11900" w:h="16838" w:orient="portrait"/>
          <w:cols w:equalWidth="0" w:num="1">
            <w:col w:w="11360"/>
          </w:cols>
          <w:pgMar w:left="240" w:top="459" w:right="29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 (Continued)</w:t>
      </w:r>
    </w:p>
    <w:p>
      <w:pPr>
        <w:spacing w:after="0" w:line="135" w:lineRule="exact"/>
        <w:rPr>
          <w:sz w:val="20"/>
          <w:szCs w:val="20"/>
          <w:color w:val="auto"/>
        </w:rPr>
      </w:pPr>
    </w:p>
    <w:p>
      <w:pPr>
        <w:ind w:left="460" w:right="7180" w:hanging="452"/>
        <w:spacing w:after="0" w:line="431" w:lineRule="auto"/>
        <w:tabs>
          <w:tab w:leader="none" w:pos="449"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PRC Enterprise Income Tax (“EIT”) (Continued) </w:t>
      </w:r>
      <w:r>
        <w:rPr>
          <w:rFonts w:ascii="Arial" w:cs="Arial" w:eastAsia="Arial" w:hAnsi="Arial"/>
          <w:sz w:val="16"/>
          <w:szCs w:val="16"/>
          <w:i w:val="1"/>
          <w:iCs w:val="1"/>
          <w:color w:val="auto"/>
        </w:rPr>
        <w:t>Tax loss carryforwards (Continued)</w:t>
      </w:r>
    </w:p>
    <w:p>
      <w:pPr>
        <w:ind w:left="460"/>
        <w:spacing w:after="0" w:line="277" w:lineRule="auto"/>
        <w:rPr>
          <w:rFonts w:ascii="Arial" w:cs="Arial" w:eastAsia="Arial" w:hAnsi="Arial"/>
          <w:sz w:val="16"/>
          <w:szCs w:val="16"/>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4"/>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Arial" w:cs="Arial" w:eastAsia="Arial" w:hAnsi="Arial"/>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1"/>
              </w:rPr>
              <w:t>July 23,</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700" w:type="dxa"/>
            <w:vAlign w:val="bottom"/>
            <w:gridSpan w:val="2"/>
          </w:tcPr>
          <w:p>
            <w:pPr>
              <w:jc w:val="center"/>
              <w:ind w:left="258"/>
              <w:spacing w:after="0"/>
              <w:rPr>
                <w:sz w:val="20"/>
                <w:szCs w:val="20"/>
                <w:color w:val="auto"/>
              </w:rPr>
            </w:pPr>
            <w:r>
              <w:rPr>
                <w:rFonts w:ascii="Arial" w:cs="Arial" w:eastAsia="Arial" w:hAnsi="Arial"/>
                <w:sz w:val="14"/>
                <w:szCs w:val="14"/>
                <w:color w:val="auto"/>
                <w:w w:val="89"/>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Arial" w:cs="Arial" w:eastAsia="Arial" w:hAnsi="Arial"/>
                <w:sz w:val="18"/>
                <w:szCs w:val="18"/>
                <w:color w:val="auto"/>
              </w:rPr>
              <w:t>Amount due to a director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 due to a director represents cash advances from a director which was unsecured, interest-free and with no fixed repayment terms.</w:t>
      </w:r>
    </w:p>
    <w:p>
      <w:pPr>
        <w:spacing w:after="0" w:line="3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4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F-153</w:t>
      </w:r>
    </w:p>
    <w:p>
      <w:pPr>
        <w:sectPr>
          <w:pgSz w:w="11900" w:h="16838" w:orient="portrait"/>
          <w:cols w:equalWidth="0" w:num="1">
            <w:col w:w="11180"/>
          </w:cols>
          <w:pgMar w:left="240" w:top="459" w:right="47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 (Continued)</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July 23,</w:t>
            </w:r>
          </w:p>
        </w:tc>
      </w:tr>
      <w:tr>
        <w:trPr>
          <w:trHeight w:val="181"/>
        </w:trPr>
        <w:tc>
          <w:tcPr>
            <w:tcW w:w="4320" w:type="dxa"/>
            <w:vAlign w:val="bottom"/>
          </w:tcPr>
          <w:p>
            <w:pPr>
              <w:spacing w:after="0"/>
              <w:rPr>
                <w:sz w:val="15"/>
                <w:szCs w:val="15"/>
                <w:color w:val="auto"/>
              </w:rPr>
            </w:pPr>
          </w:p>
        </w:tc>
        <w:tc>
          <w:tcPr>
            <w:tcW w:w="33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5"/>
                <w:szCs w:val="15"/>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of July 23, 2015, there were no purchase commitments.</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6" w:lineRule="exact"/>
        <w:rPr>
          <w:sz w:val="20"/>
          <w:szCs w:val="20"/>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460" w:right="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27" w:lineRule="exact"/>
        <w:rPr>
          <w:rFonts w:ascii="Arial" w:cs="Arial" w:eastAsia="Arial" w:hAnsi="Arial"/>
          <w:sz w:val="18"/>
          <w:szCs w:val="18"/>
          <w:b w:val="1"/>
          <w:bCs w:val="1"/>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Optimix acquired 100% equity interest of the Company on July 24, 2015 at a consideration of approximately US$67,620 in the form of cash and shares of Optimix.</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F-154</w:t>
      </w:r>
    </w:p>
    <w:p>
      <w:pPr>
        <w:sectPr>
          <w:pgSz w:w="11900" w:h="16838" w:orient="portrait"/>
          <w:cols w:equalWidth="0" w:num="1">
            <w:col w:w="11400"/>
          </w:cols>
          <w:pgMar w:left="240" w:top="459" w:right="25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INDEMNIFICATION OF DIRECTORS AND OFFICERS.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the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Consideration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Maestro</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Holdings Limited</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2014</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1,740,653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Big Tooth Corporation</w:t>
            </w:r>
          </w:p>
        </w:tc>
        <w:tc>
          <w:tcPr>
            <w:tcW w:w="1940" w:type="dxa"/>
            <w:vAlign w:val="bottom"/>
          </w:tcPr>
          <w:p>
            <w:pPr>
              <w:spacing w:after="0"/>
              <w:rPr>
                <w:sz w:val="20"/>
                <w:szCs w:val="20"/>
                <w:color w:val="auto"/>
              </w:rPr>
            </w:pPr>
            <w:r>
              <w:rPr>
                <w:rFonts w:ascii="Arial" w:cs="Arial" w:eastAsia="Arial" w:hAnsi="Arial"/>
                <w:sz w:val="18"/>
                <w:szCs w:val="18"/>
                <w:color w:val="auto"/>
              </w:rPr>
              <w:t>December 22,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274,752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2</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December 23, 2014</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255,033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BlueFocus International Limited</w:t>
            </w:r>
          </w:p>
        </w:tc>
        <w:tc>
          <w:tcPr>
            <w:tcW w:w="1940" w:type="dxa"/>
            <w:vAlign w:val="bottom"/>
          </w:tcPr>
          <w:p>
            <w:pPr>
              <w:spacing w:after="0"/>
              <w:rPr>
                <w:sz w:val="20"/>
                <w:szCs w:val="20"/>
                <w:color w:val="auto"/>
              </w:rPr>
            </w:pPr>
            <w:r>
              <w:rPr>
                <w:rFonts w:ascii="Arial" w:cs="Arial" w:eastAsia="Arial" w:hAnsi="Arial"/>
                <w:sz w:val="18"/>
                <w:szCs w:val="18"/>
                <w:color w:val="auto"/>
              </w:rPr>
              <w:t>December 30, 2014</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742,320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US$12.0 million</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BlueFocus International Limited</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December 30, 2014</w:t>
            </w:r>
          </w:p>
        </w:tc>
        <w:tc>
          <w:tcPr>
            <w:tcW w:w="26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2,493,018 series D preferred</w:t>
            </w:r>
          </w:p>
        </w:tc>
        <w:tc>
          <w:tcPr>
            <w:tcW w:w="1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US$48.0 million</w:t>
            </w: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44"/>
        </w:trPr>
        <w:tc>
          <w:tcPr>
            <w:tcW w:w="6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Bondwa Enterprise Limited</w:t>
            </w:r>
          </w:p>
        </w:tc>
        <w:tc>
          <w:tcPr>
            <w:tcW w:w="1940" w:type="dxa"/>
            <w:vAlign w:val="bottom"/>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71,076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4</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Triwin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71,075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4</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ind w:left="420"/>
              <w:spacing w:after="0"/>
              <w:rPr>
                <w:sz w:val="20"/>
                <w:szCs w:val="20"/>
                <w:color w:val="auto"/>
              </w:rPr>
            </w:pPr>
            <w:r>
              <w:rPr>
                <w:rFonts w:ascii="Arial" w:cs="Arial" w:eastAsia="Arial" w:hAnsi="Arial"/>
                <w:sz w:val="18"/>
                <w:szCs w:val="18"/>
                <w:color w:val="auto"/>
              </w:rPr>
              <w:t>II-1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940" w:type="dxa"/>
            <w:vAlign w:val="bottom"/>
          </w:tcPr>
          <w:p>
            <w:pPr>
              <w:ind w:left="760"/>
              <w:spacing w:after="0"/>
              <w:rPr>
                <w:sz w:val="20"/>
                <w:szCs w:val="20"/>
                <w:color w:val="auto"/>
              </w:rPr>
            </w:pPr>
            <w:r>
              <w:rPr>
                <w:rFonts w:ascii="Arial" w:cs="Arial" w:eastAsia="Arial" w:hAnsi="Arial"/>
                <w:sz w:val="14"/>
                <w:szCs w:val="14"/>
                <w:b w:val="1"/>
                <w:bCs w:val="1"/>
                <w:color w:val="auto"/>
              </w:rPr>
              <w:t>Date of</w:t>
            </w:r>
          </w:p>
        </w:tc>
        <w:tc>
          <w:tcPr>
            <w:tcW w:w="120" w:type="dxa"/>
            <w:vAlign w:val="bottom"/>
          </w:tcPr>
          <w:p>
            <w:pPr>
              <w:spacing w:after="0"/>
              <w:rPr>
                <w:sz w:val="14"/>
                <w:szCs w:val="14"/>
                <w:color w:val="auto"/>
              </w:rPr>
            </w:pPr>
          </w:p>
        </w:tc>
        <w:tc>
          <w:tcPr>
            <w:tcW w:w="25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Consideration in</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auto"/>
              </w:rPr>
              <w:t>Underwriting Discounts</w:t>
            </w:r>
          </w:p>
        </w:tc>
        <w:tc>
          <w:tcPr>
            <w:tcW w:w="0" w:type="dxa"/>
            <w:vAlign w:val="bottom"/>
          </w:tcPr>
          <w:p>
            <w:pPr>
              <w:spacing w:after="0"/>
              <w:rPr>
                <w:sz w:val="1"/>
                <w:szCs w:val="1"/>
                <w:color w:val="auto"/>
              </w:rPr>
            </w:pPr>
          </w:p>
        </w:tc>
      </w:tr>
      <w:tr>
        <w:trPr>
          <w:trHeight w:val="185"/>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 Dollars</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Igomax</w:t>
            </w: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w:t>
            </w: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24, 2015</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1,496,399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Note 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Zaffre Investments, Inc.</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446,604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5</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592,088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5</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tcPr>
          <w:p>
            <w:pPr>
              <w:spacing w:after="0"/>
              <w:rPr>
                <w:sz w:val="20"/>
                <w:szCs w:val="20"/>
                <w:color w:val="auto"/>
              </w:rPr>
            </w:pPr>
            <w:r>
              <w:rPr>
                <w:rFonts w:ascii="Arial" w:cs="Arial" w:eastAsia="Arial" w:hAnsi="Arial"/>
                <w:sz w:val="18"/>
                <w:szCs w:val="18"/>
                <w:color w:val="auto"/>
              </w:rPr>
              <w:t>July 24, 2015</w:t>
            </w: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632,581 ordinary shares</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October 14, 2015</w:t>
            </w:r>
          </w:p>
        </w:tc>
        <w:tc>
          <w:tcPr>
            <w:tcW w:w="2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Note 3</w:t>
            </w: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9"/>
              </w:rPr>
              <w:t>Shenwan Hongyuan Goldspring Fund I</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December 28, 2016</w:t>
            </w:r>
          </w:p>
        </w:tc>
        <w:tc>
          <w:tcPr>
            <w:tcW w:w="26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1,068,114 series E preferred</w:t>
            </w:r>
          </w:p>
        </w:tc>
        <w:tc>
          <w:tcPr>
            <w:tcW w:w="180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US$20.0 million</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20" w:hanging="452"/>
        <w:spacing w:after="0" w:line="258" w:lineRule="auto"/>
        <w:tabs>
          <w:tab w:leader="none" w:pos="4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These ordinary shares were issued to Maestro Investment Holdings Limited in consideration for our acquisition of 49% shares in Harmanttan Capital Holdings Corporation.</w:t>
      </w:r>
    </w:p>
    <w:p>
      <w:pPr>
        <w:spacing w:after="0" w:line="1"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These ordinary shares were issued to Blue Tooth Corporation in recognition of Mr. Robert Tran’s consulting services to us.</w:t>
      </w:r>
    </w:p>
    <w:p>
      <w:pPr>
        <w:spacing w:after="0" w:line="9" w:lineRule="exact"/>
        <w:rPr>
          <w:sz w:val="20"/>
          <w:szCs w:val="20"/>
          <w:color w:val="auto"/>
        </w:rPr>
      </w:pPr>
    </w:p>
    <w:p>
      <w:pPr>
        <w:ind w:left="460" w:hanging="452"/>
        <w:spacing w:after="0"/>
        <w:tabs>
          <w:tab w:leader="none" w:pos="46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These ordinary shares were issued to Igomax Inc., Zaffre Investment, Inc., and BAI GmbH, then-shareholders of OptAim as share consideration for our acquisition of OptAim.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 The following exhibits are included herein or incorporated herein by reference: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3600" w:type="dxa"/>
            <w:vAlign w:val="bottom"/>
          </w:tcPr>
          <w:p>
            <w:pPr>
              <w:ind w:left="340"/>
              <w:spacing w:after="0"/>
              <w:rPr>
                <w:sz w:val="20"/>
                <w:szCs w:val="20"/>
                <w:color w:val="auto"/>
              </w:rPr>
            </w:pPr>
            <w:r>
              <w:rPr>
                <w:rFonts w:ascii="Arial" w:cs="Arial" w:eastAsia="Arial" w:hAnsi="Arial"/>
                <w:sz w:val="18"/>
                <w:szCs w:val="18"/>
                <w:color w:val="auto"/>
              </w:rPr>
              <w:t>Form of Underwriting Agreement</w:t>
            </w:r>
          </w:p>
        </w:tc>
        <w:tc>
          <w:tcPr>
            <w:tcW w:w="6740" w:type="dxa"/>
            <w:vAlign w:val="bottom"/>
          </w:tcPr>
          <w:p>
            <w:pPr>
              <w:spacing w:after="0"/>
              <w:rPr>
                <w:sz w:val="20"/>
                <w:szCs w:val="20"/>
                <w:color w:val="auto"/>
              </w:rPr>
            </w:pP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Seventh Amended and Restated Memorandum and Articles of Association of the Registrant, as currently in effect</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5"/>
              </w:rPr>
              <w:t>Eighth Amended and Restated Memorandum and Articles of Association of the Registrant, effective upon completion of this offering</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Registrant’s Specimen American Depositary Receipt (included in Exhibit 4.3)</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Registrant’s Specimen Certificate for Class A Ordinary Shares</w:t>
            </w:r>
          </w:p>
        </w:tc>
      </w:tr>
      <w:tr>
        <w:trPr>
          <w:trHeight w:val="310"/>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3600" w:type="dxa"/>
            <w:vAlign w:val="bottom"/>
          </w:tcPr>
          <w:p>
            <w:pPr>
              <w:ind w:left="340"/>
              <w:spacing w:after="0"/>
              <w:rPr>
                <w:sz w:val="20"/>
                <w:szCs w:val="20"/>
                <w:color w:val="auto"/>
              </w:rPr>
            </w:pPr>
            <w:r>
              <w:rPr>
                <w:rFonts w:ascii="Arial" w:cs="Arial" w:eastAsia="Arial" w:hAnsi="Arial"/>
                <w:sz w:val="18"/>
                <w:szCs w:val="18"/>
                <w:color w:val="auto"/>
              </w:rPr>
              <w:t>Form of Deposit Agreement, dated as of</w:t>
            </w:r>
          </w:p>
        </w:tc>
        <w:tc>
          <w:tcPr>
            <w:tcW w:w="6740" w:type="dxa"/>
            <w:vAlign w:val="bottom"/>
          </w:tcPr>
          <w:p>
            <w:pPr>
              <w:ind w:left="360"/>
              <w:spacing w:after="0"/>
              <w:rPr>
                <w:sz w:val="20"/>
                <w:szCs w:val="20"/>
                <w:color w:val="auto"/>
              </w:rPr>
            </w:pPr>
            <w:r>
              <w:rPr>
                <w:rFonts w:ascii="Arial" w:cs="Arial" w:eastAsia="Arial" w:hAnsi="Arial"/>
                <w:sz w:val="18"/>
                <w:szCs w:val="18"/>
                <w:color w:val="auto"/>
                <w:w w:val="95"/>
              </w:rPr>
              <w:t>, 2017 among the Registrant, the Depositary and Beneficial Owners of the American</w:t>
            </w:r>
          </w:p>
        </w:tc>
      </w:tr>
      <w:tr>
        <w:trPr>
          <w:trHeight w:val="230"/>
        </w:trPr>
        <w:tc>
          <w:tcPr>
            <w:tcW w:w="820" w:type="dxa"/>
            <w:vAlign w:val="bottom"/>
          </w:tcPr>
          <w:p>
            <w:pPr>
              <w:spacing w:after="0"/>
              <w:rPr>
                <w:sz w:val="20"/>
                <w:szCs w:val="20"/>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Depositary Receipts</w:t>
            </w:r>
          </w:p>
        </w:tc>
        <w:tc>
          <w:tcPr>
            <w:tcW w:w="6740" w:type="dxa"/>
            <w:vAlign w:val="bottom"/>
          </w:tcPr>
          <w:p>
            <w:pPr>
              <w:spacing w:after="0"/>
              <w:rPr>
                <w:sz w:val="20"/>
                <w:szCs w:val="20"/>
                <w:color w:val="auto"/>
              </w:rPr>
            </w:pPr>
          </w:p>
        </w:tc>
      </w:tr>
      <w:tr>
        <w:trPr>
          <w:trHeight w:val="310"/>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2"/>
              </w:rPr>
              <w:t>Opinion of Travers Thorp Alberga Attorneys at Law regarding the validity of the ordinary shares being registered and certain other legal</w:t>
            </w:r>
          </w:p>
        </w:tc>
      </w:tr>
      <w:tr>
        <w:trPr>
          <w:trHeight w:val="230"/>
        </w:trPr>
        <w:tc>
          <w:tcPr>
            <w:tcW w:w="820" w:type="dxa"/>
            <w:vAlign w:val="bottom"/>
          </w:tcPr>
          <w:p>
            <w:pPr>
              <w:spacing w:after="0"/>
              <w:rPr>
                <w:sz w:val="20"/>
                <w:szCs w:val="20"/>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matters</w:t>
            </w:r>
          </w:p>
        </w:tc>
        <w:tc>
          <w:tcPr>
            <w:tcW w:w="6740" w:type="dxa"/>
            <w:vAlign w:val="bottom"/>
          </w:tcPr>
          <w:p>
            <w:pPr>
              <w:spacing w:after="0"/>
              <w:rPr>
                <w:sz w:val="20"/>
                <w:szCs w:val="20"/>
                <w:color w:val="auto"/>
              </w:rPr>
            </w:pP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Opinion of Travers Thorp Alberga Attorneys at Law regarding certain Cayman Islands tax matters</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8.2†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Opinion of Jingtian &amp; Gongcheng regarding certain PRC tax matters (included in Exhibit 99.2)</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Series E Share Subscription Agreement dated December 19, 2016</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Fourth Amended and Restated Shareholders Agreement dated December 28, 2016</w:t>
            </w:r>
          </w:p>
        </w:tc>
      </w:tr>
      <w:tr>
        <w:trPr>
          <w:trHeight w:val="310"/>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10.3†</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4"/>
              </w:rPr>
              <w:t>English translation of Exclusive Business Cooperation Agreement between OptAim Beijing, OptAim Network and Zhiyunzhong dated</w:t>
            </w:r>
          </w:p>
        </w:tc>
      </w:tr>
      <w:tr>
        <w:trPr>
          <w:trHeight w:val="230"/>
        </w:trPr>
        <w:tc>
          <w:tcPr>
            <w:tcW w:w="820" w:type="dxa"/>
            <w:vAlign w:val="bottom"/>
          </w:tcPr>
          <w:p>
            <w:pPr>
              <w:spacing w:after="0"/>
              <w:rPr>
                <w:sz w:val="20"/>
                <w:szCs w:val="20"/>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January 16, 2015</w:t>
            </w:r>
          </w:p>
        </w:tc>
        <w:tc>
          <w:tcPr>
            <w:tcW w:w="6740" w:type="dxa"/>
            <w:vAlign w:val="bottom"/>
          </w:tcPr>
          <w:p>
            <w:pPr>
              <w:spacing w:after="0"/>
              <w:rPr>
                <w:sz w:val="20"/>
                <w:szCs w:val="20"/>
                <w:color w:val="auto"/>
              </w:rPr>
            </w:pPr>
          </w:p>
        </w:tc>
      </w:tr>
      <w:tr>
        <w:trPr>
          <w:trHeight w:val="310"/>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10.4†</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1"/>
              </w:rPr>
              <w:t>English translation of Second Amended and Restated Exclusive Call Option Agreement among OptAim Beijing, OptAim Network and the</w:t>
            </w:r>
          </w:p>
        </w:tc>
      </w:tr>
      <w:tr>
        <w:trPr>
          <w:trHeight w:val="230"/>
        </w:trPr>
        <w:tc>
          <w:tcPr>
            <w:tcW w:w="82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shareholders of OptAim Network dated May 26, 2017</w:t>
            </w:r>
          </w:p>
        </w:tc>
      </w:tr>
      <w:tr>
        <w:trPr>
          <w:trHeight w:val="310"/>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10.5†</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w w:val="97"/>
              </w:rPr>
              <w:t>English translation of Second Amended and Restated Equity Pledge Agreement among OptAim Beijing, OptAim Network and the</w:t>
            </w:r>
          </w:p>
        </w:tc>
      </w:tr>
      <w:tr>
        <w:trPr>
          <w:trHeight w:val="230"/>
        </w:trPr>
        <w:tc>
          <w:tcPr>
            <w:tcW w:w="82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shareholders of OptAim Network dated May 26, 2017</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10.6†</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English translation of Irrevocable Powers of Attorney granted by the Jian Tang and Jie Jiao dated May 26, 2017</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10.7†</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English translation of Spousal Consents granted by Xinyu Fan dated May 26, 2017</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10.8†</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2010 Share Option Incentive Scheme of the Registrant</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10.9†</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Form of Indemnification Agreement with Executive Officers and Directors</w:t>
            </w:r>
          </w:p>
        </w:tc>
      </w:tr>
      <w:tr>
        <w:trPr>
          <w:trHeight w:val="324"/>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10.10†</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Form of Employment Agreement and One Way Non-disclosure Agreement with Executive Officers</w:t>
            </w:r>
          </w:p>
        </w:tc>
      </w:tr>
      <w:tr>
        <w:trPr>
          <w:trHeight w:val="324"/>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92"/>
              </w:rPr>
              <w:t>10.11*</w:t>
            </w:r>
          </w:p>
        </w:tc>
        <w:tc>
          <w:tcPr>
            <w:tcW w:w="3600" w:type="dxa"/>
            <w:vAlign w:val="bottom"/>
          </w:tcPr>
          <w:p>
            <w:pPr>
              <w:ind w:left="340"/>
              <w:spacing w:after="0"/>
              <w:rPr>
                <w:sz w:val="20"/>
                <w:szCs w:val="20"/>
                <w:color w:val="auto"/>
              </w:rPr>
            </w:pPr>
            <w:r>
              <w:rPr>
                <w:rFonts w:ascii="Arial" w:cs="Arial" w:eastAsia="Arial" w:hAnsi="Arial"/>
                <w:sz w:val="18"/>
                <w:szCs w:val="18"/>
                <w:color w:val="auto"/>
              </w:rPr>
              <w:t>2017 Share Incentive Plan</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10.12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English translation of Tencent Advertising Agency Agreement for 2017</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21.1†</w:t>
            </w:r>
          </w:p>
        </w:tc>
        <w:tc>
          <w:tcPr>
            <w:tcW w:w="3600" w:type="dxa"/>
            <w:vAlign w:val="bottom"/>
          </w:tcPr>
          <w:p>
            <w:pPr>
              <w:ind w:left="340"/>
              <w:spacing w:after="0"/>
              <w:rPr>
                <w:sz w:val="20"/>
                <w:szCs w:val="20"/>
                <w:color w:val="auto"/>
              </w:rPr>
            </w:pPr>
            <w:r>
              <w:rPr>
                <w:rFonts w:ascii="Arial" w:cs="Arial" w:eastAsia="Arial" w:hAnsi="Arial"/>
                <w:sz w:val="18"/>
                <w:szCs w:val="18"/>
                <w:color w:val="auto"/>
              </w:rPr>
              <w:t>List of Subsidiaries of the Registrant</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23.1*</w:t>
            </w:r>
          </w:p>
        </w:tc>
        <w:tc>
          <w:tcPr>
            <w:tcW w:w="3600" w:type="dxa"/>
            <w:vAlign w:val="bottom"/>
          </w:tcPr>
          <w:p>
            <w:pPr>
              <w:ind w:left="340"/>
              <w:spacing w:after="0"/>
              <w:rPr>
                <w:sz w:val="20"/>
                <w:szCs w:val="20"/>
                <w:color w:val="auto"/>
              </w:rPr>
            </w:pPr>
            <w:r>
              <w:rPr>
                <w:rFonts w:ascii="Arial" w:cs="Arial" w:eastAsia="Arial" w:hAnsi="Arial"/>
                <w:sz w:val="18"/>
                <w:szCs w:val="18"/>
                <w:color w:val="auto"/>
              </w:rPr>
              <w:t>Consent of PricewaterhouseCoopers</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23.2*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Consent of Travers Thorp Alberga Attorneys at Law</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23.3†</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Consent of Jingtian &amp; Gongcheng (included in Exhibit 99.2)</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24.1*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Powers of Attorney (included on signature page in Part II of the registration statement)</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95"/>
              </w:rPr>
              <w:t>99.1*</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Code of Business Conduct and Ethics of the Registrant</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99.2†</w:t>
            </w: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Opinion of Jingtian &amp; Gongcheng regarding certain PRC law matters</w:t>
            </w:r>
          </w:p>
        </w:tc>
      </w:tr>
      <w:tr>
        <w:trPr>
          <w:trHeight w:val="324"/>
        </w:trPr>
        <w:tc>
          <w:tcPr>
            <w:tcW w:w="820" w:type="dxa"/>
            <w:vAlign w:val="bottom"/>
          </w:tcPr>
          <w:p>
            <w:pPr>
              <w:jc w:val="right"/>
              <w:ind w:right="310"/>
              <w:spacing w:after="0"/>
              <w:rPr>
                <w:sz w:val="20"/>
                <w:szCs w:val="20"/>
                <w:color w:val="auto"/>
              </w:rPr>
            </w:pPr>
            <w:r>
              <w:rPr>
                <w:rFonts w:ascii="Arial" w:cs="Arial" w:eastAsia="Arial" w:hAnsi="Arial"/>
                <w:sz w:val="18"/>
                <w:szCs w:val="18"/>
                <w:color w:val="auto"/>
                <w:w w:val="88"/>
              </w:rPr>
              <w:t>99.3†</w:t>
            </w:r>
          </w:p>
        </w:tc>
        <w:tc>
          <w:tcPr>
            <w:tcW w:w="3600" w:type="dxa"/>
            <w:vAlign w:val="bottom"/>
          </w:tcPr>
          <w:p>
            <w:pPr>
              <w:ind w:left="340"/>
              <w:spacing w:after="0"/>
              <w:rPr>
                <w:sz w:val="20"/>
                <w:szCs w:val="20"/>
                <w:color w:val="auto"/>
              </w:rPr>
            </w:pPr>
            <w:r>
              <w:rPr>
                <w:rFonts w:ascii="Arial" w:cs="Arial" w:eastAsia="Arial" w:hAnsi="Arial"/>
                <w:sz w:val="18"/>
                <w:szCs w:val="18"/>
                <w:color w:val="auto"/>
              </w:rPr>
              <w:t>Consent of Frost &amp; Sullivan</w:t>
            </w:r>
          </w:p>
        </w:tc>
        <w:tc>
          <w:tcPr>
            <w:tcW w:w="6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60"/>
          </w:cols>
          <w:pgMar w:left="240" w:top="459" w:right="49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shown in the Consolidated Financial Statements and the Notes thereto.</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UNDERTAKINGS.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ind w:right="260" w:firstLine="464"/>
        <w:spacing w:after="0" w:line="264" w:lineRule="auto"/>
        <w:tabs>
          <w:tab w:leader="none" w:pos="711" w:val="left"/>
        </w:tabs>
        <w:numPr>
          <w:ilvl w:val="0"/>
          <w:numId w:val="40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in Hong Kong, on</w:t>
            </w:r>
          </w:p>
        </w:tc>
        <w:tc>
          <w:tcPr>
            <w:tcW w:w="5840" w:type="dxa"/>
            <w:vAlign w:val="bottom"/>
          </w:tcPr>
          <w:p>
            <w:pPr>
              <w:ind w:left="380"/>
              <w:spacing w:after="0"/>
              <w:rPr>
                <w:sz w:val="20"/>
                <w:szCs w:val="20"/>
                <w:color w:val="auto"/>
              </w:rPr>
            </w:pPr>
            <w:r>
              <w:rPr>
                <w:rFonts w:ascii="Arial" w:cs="Arial" w:eastAsia="Arial" w:hAnsi="Arial"/>
                <w:sz w:val="18"/>
                <w:szCs w:val="18"/>
                <w:color w:val="auto"/>
              </w:rPr>
              <w:t>, 2017.</w:t>
            </w:r>
          </w:p>
        </w:tc>
        <w:tc>
          <w:tcPr>
            <w:tcW w:w="3880" w:type="dxa"/>
            <w:vAlign w:val="bottom"/>
          </w:tcPr>
          <w:p>
            <w:pPr>
              <w:spacing w:after="0"/>
              <w:rPr>
                <w:sz w:val="20"/>
                <w:szCs w:val="20"/>
                <w:color w:val="auto"/>
              </w:rPr>
            </w:pPr>
          </w:p>
        </w:tc>
      </w:tr>
      <w:tr>
        <w:trPr>
          <w:trHeight w:val="445"/>
        </w:trPr>
        <w:tc>
          <w:tcPr>
            <w:tcW w:w="1700" w:type="dxa"/>
            <w:vAlign w:val="bottom"/>
          </w:tcPr>
          <w:p>
            <w:pPr>
              <w:spacing w:after="0"/>
              <w:rPr>
                <w:sz w:val="24"/>
                <w:szCs w:val="24"/>
                <w:color w:val="auto"/>
              </w:rPr>
            </w:pPr>
          </w:p>
        </w:tc>
        <w:tc>
          <w:tcPr>
            <w:tcW w:w="9720" w:type="dxa"/>
            <w:vAlign w:val="bottom"/>
            <w:gridSpan w:val="2"/>
          </w:tcPr>
          <w:p>
            <w:pPr>
              <w:ind w:left="5160"/>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1700" w:type="dxa"/>
            <w:vAlign w:val="bottom"/>
          </w:tcPr>
          <w:p>
            <w:pPr>
              <w:spacing w:after="0"/>
              <w:rPr>
                <w:sz w:val="24"/>
                <w:szCs w:val="24"/>
                <w:color w:val="auto"/>
              </w:rPr>
            </w:pPr>
          </w:p>
        </w:tc>
        <w:tc>
          <w:tcPr>
            <w:tcW w:w="5840" w:type="dxa"/>
            <w:vAlign w:val="bottom"/>
          </w:tcPr>
          <w:p>
            <w:pPr>
              <w:ind w:left="5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205"/>
        </w:trPr>
        <w:tc>
          <w:tcPr>
            <w:tcW w:w="1700" w:type="dxa"/>
            <w:vAlign w:val="bottom"/>
          </w:tcPr>
          <w:p>
            <w:pPr>
              <w:spacing w:after="0"/>
              <w:rPr>
                <w:sz w:val="17"/>
                <w:szCs w:val="17"/>
                <w:color w:val="auto"/>
              </w:rPr>
            </w:pPr>
          </w:p>
        </w:tc>
        <w:tc>
          <w:tcPr>
            <w:tcW w:w="5840" w:type="dxa"/>
            <w:vAlign w:val="bottom"/>
          </w:tcPr>
          <w:p>
            <w:pPr>
              <w:ind w:left="5160"/>
              <w:spacing w:after="0" w:line="205" w:lineRule="exact"/>
              <w:rPr>
                <w:sz w:val="20"/>
                <w:szCs w:val="20"/>
                <w:color w:val="auto"/>
              </w:rPr>
            </w:pPr>
            <w:r>
              <w:rPr>
                <w:rFonts w:ascii="Arial" w:cs="Arial" w:eastAsia="Arial" w:hAnsi="Arial"/>
                <w:sz w:val="18"/>
                <w:szCs w:val="18"/>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1"/>
              </w:rPr>
              <w:t>Wing Hong Sammy Hsieh</w:t>
            </w:r>
          </w:p>
        </w:tc>
      </w:tr>
      <w:tr>
        <w:trPr>
          <w:trHeight w:val="216"/>
        </w:trPr>
        <w:tc>
          <w:tcPr>
            <w:tcW w:w="1700" w:type="dxa"/>
            <w:vAlign w:val="bottom"/>
          </w:tcPr>
          <w:p>
            <w:pPr>
              <w:spacing w:after="0"/>
              <w:rPr>
                <w:sz w:val="18"/>
                <w:szCs w:val="18"/>
                <w:color w:val="auto"/>
              </w:rPr>
            </w:pPr>
          </w:p>
        </w:tc>
        <w:tc>
          <w:tcPr>
            <w:tcW w:w="5840" w:type="dxa"/>
            <w:vAlign w:val="bottom"/>
          </w:tcPr>
          <w:p>
            <w:pPr>
              <w:ind w:left="5160"/>
              <w:spacing w:after="0"/>
              <w:rPr>
                <w:sz w:val="20"/>
                <w:szCs w:val="20"/>
                <w:color w:val="auto"/>
              </w:rPr>
            </w:pPr>
            <w:r>
              <w:rPr>
                <w:rFonts w:ascii="Arial" w:cs="Arial" w:eastAsia="Arial" w:hAnsi="Arial"/>
                <w:sz w:val="18"/>
                <w:szCs w:val="18"/>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17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Each person whose signature appears below constitutes and appoints each of Wing Hong Sammy Hsieh and Jie Jiao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8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p>
      <w:pPr>
        <w:ind w:left="2240"/>
        <w:spacing w:after="0"/>
        <w:tabs>
          <w:tab w:leader="none" w:pos="6980" w:val="left"/>
          <w:tab w:leader="none" w:pos="102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2"/>
              </w:rPr>
              <w:t>Chief Executive Officer and Executive Chairman of</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Wing Hong Sammy Hsieh</w:t>
            </w:r>
          </w:p>
        </w:tc>
        <w:tc>
          <w:tcPr>
            <w:tcW w:w="3960" w:type="dxa"/>
            <w:vAlign w:val="bottom"/>
          </w:tcPr>
          <w:p>
            <w:pPr>
              <w:jc w:val="center"/>
              <w:ind w:left="90"/>
              <w:spacing w:after="0" w:line="182" w:lineRule="exact"/>
              <w:rPr>
                <w:sz w:val="20"/>
                <w:szCs w:val="20"/>
                <w:color w:val="auto"/>
              </w:rPr>
            </w:pPr>
            <w:r>
              <w:rPr>
                <w:rFonts w:ascii="Arial" w:cs="Arial" w:eastAsia="Arial" w:hAnsi="Arial"/>
                <w:sz w:val="18"/>
                <w:szCs w:val="18"/>
                <w:color w:val="auto"/>
                <w:w w:val="89"/>
              </w:rPr>
              <w:t>the Board</w:t>
            </w:r>
          </w:p>
        </w:tc>
      </w:tr>
      <w:tr>
        <w:trPr>
          <w:trHeight w:val="230"/>
        </w:trPr>
        <w:tc>
          <w:tcPr>
            <w:tcW w:w="5080" w:type="dxa"/>
            <w:vAlign w:val="bottom"/>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5"/>
              </w:rPr>
              <w:t>Jie Jiao</w:t>
            </w:r>
          </w:p>
        </w:tc>
        <w:tc>
          <w:tcPr>
            <w:tcW w:w="3960" w:type="dxa"/>
            <w:vAlign w:val="bottom"/>
          </w:tcPr>
          <w:p>
            <w:pPr>
              <w:jc w:val="center"/>
              <w:ind w:left="90"/>
              <w:spacing w:after="0"/>
              <w:rPr>
                <w:sz w:val="20"/>
                <w:szCs w:val="20"/>
                <w:color w:val="auto"/>
              </w:rPr>
            </w:pPr>
            <w:r>
              <w:rPr>
                <w:rFonts w:ascii="Arial" w:cs="Arial" w:eastAsia="Arial" w:hAnsi="Arial"/>
                <w:sz w:val="18"/>
                <w:szCs w:val="18"/>
                <w:color w:val="auto"/>
                <w:w w:val="93"/>
              </w:rPr>
              <w:t>(principal financial and principal accounting officer)</w:t>
            </w: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5"/>
              </w:rPr>
              <w:t>Jian Tang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Yau Ping Ricky 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Francis Hun Ming Wong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Yu Long</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Antares Au</w:t>
            </w:r>
          </w:p>
        </w:tc>
        <w:tc>
          <w:tcPr>
            <w:tcW w:w="396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Anmin Pan</w:t>
            </w:r>
          </w:p>
        </w:tc>
        <w:tc>
          <w:tcPr>
            <w:tcW w:w="396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II-6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pacing w:after="0" w:line="383" w:lineRule="exact"/>
        <w:rPr>
          <w:rFonts w:ascii="Arial" w:cs="Arial" w:eastAsia="Arial" w:hAnsi="Arial"/>
          <w:sz w:val="16"/>
          <w:szCs w:val="16"/>
          <w:color w:val="auto"/>
        </w:rPr>
      </w:pPr>
    </w:p>
    <w:p>
      <w:pPr>
        <w:ind w:left="90" w:hanging="90"/>
        <w:spacing w:after="0"/>
        <w:tabs>
          <w:tab w:leader="none" w:pos="9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2017</w:t>
      </w:r>
    </w:p>
    <w:p>
      <w:pPr>
        <w:sectPr>
          <w:pgSz w:w="11900" w:h="16838" w:orient="portrait"/>
          <w:cols w:equalWidth="0" w:num="2">
            <w:col w:w="10250" w:space="720"/>
            <w:col w:w="450"/>
          </w:cols>
          <w:pgMar w:left="240" w:top="459" w:right="239" w:bottom="1440" w:gutter="0" w:footer="0" w:header="0"/>
          <w:type w:val="continuous"/>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Securities Act of 1933, the undersigned, the duly authorized representative in the United States of iClick Interactive Asia Group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1"/>
              </w:rPr>
              <w:t>Limited, has signed this registration statement or amendment thereto in the</w:t>
            </w:r>
          </w:p>
        </w:tc>
        <w:tc>
          <w:tcPr>
            <w:tcW w:w="1120" w:type="dxa"/>
            <w:vAlign w:val="bottom"/>
          </w:tcPr>
          <w:p>
            <w:pPr>
              <w:ind w:left="720"/>
              <w:spacing w:after="0"/>
              <w:rPr>
                <w:sz w:val="20"/>
                <w:szCs w:val="20"/>
                <w:color w:val="auto"/>
              </w:rPr>
            </w:pPr>
            <w:r>
              <w:rPr>
                <w:rFonts w:ascii="Arial" w:cs="Arial" w:eastAsia="Arial" w:hAnsi="Arial"/>
                <w:sz w:val="18"/>
                <w:szCs w:val="18"/>
                <w:color w:val="auto"/>
              </w:rPr>
              <w:t>on</w:t>
            </w:r>
          </w:p>
        </w:tc>
        <w:tc>
          <w:tcPr>
            <w:tcW w:w="1460" w:type="dxa"/>
            <w:vAlign w:val="bottom"/>
          </w:tcPr>
          <w:p>
            <w:pPr>
              <w:ind w:left="540"/>
              <w:spacing w:after="0"/>
              <w:rPr>
                <w:sz w:val="20"/>
                <w:szCs w:val="20"/>
                <w:color w:val="auto"/>
              </w:rPr>
            </w:pPr>
            <w:r>
              <w:rPr>
                <w:rFonts w:ascii="Arial" w:cs="Arial" w:eastAsia="Arial" w:hAnsi="Arial"/>
                <w:sz w:val="18"/>
                <w:szCs w:val="18"/>
                <w:color w:val="auto"/>
              </w:rPr>
              <w:t>, 2017.</w:t>
            </w:r>
          </w:p>
        </w:tc>
        <w:tc>
          <w:tcPr>
            <w:tcW w:w="3340" w:type="dxa"/>
            <w:vAlign w:val="bottom"/>
          </w:tcPr>
          <w:p>
            <w:pPr>
              <w:spacing w:after="0"/>
              <w:rPr>
                <w:sz w:val="20"/>
                <w:szCs w:val="20"/>
                <w:color w:val="auto"/>
              </w:rPr>
            </w:pPr>
          </w:p>
        </w:tc>
      </w:tr>
      <w:tr>
        <w:trPr>
          <w:trHeight w:val="445"/>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b w:val="1"/>
                <w:bCs w:val="1"/>
                <w:color w:val="auto"/>
              </w:rPr>
              <w:t>Authorized U.S. Representative</w:t>
            </w:r>
          </w:p>
        </w:tc>
      </w:tr>
      <w:tr>
        <w:trPr>
          <w:trHeight w:val="473"/>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By:</w:t>
            </w:r>
          </w:p>
        </w:tc>
      </w:tr>
      <w:tr>
        <w:trPr>
          <w:trHeight w:val="209"/>
        </w:trPr>
        <w:tc>
          <w:tcPr>
            <w:tcW w:w="5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ind w:left="240"/>
              <w:spacing w:after="0"/>
              <w:rPr>
                <w:sz w:val="20"/>
                <w:szCs w:val="20"/>
                <w:color w:val="auto"/>
              </w:rPr>
            </w:pPr>
            <w:r>
              <w:rPr>
                <w:rFonts w:ascii="Arial" w:cs="Arial" w:eastAsia="Arial" w:hAnsi="Arial"/>
                <w:sz w:val="18"/>
                <w:szCs w:val="18"/>
                <w:color w:val="auto"/>
              </w:rPr>
              <w:t>Name:</w:t>
            </w:r>
          </w:p>
        </w:tc>
        <w:tc>
          <w:tcPr>
            <w:tcW w:w="3340" w:type="dxa"/>
            <w:vAlign w:val="bottom"/>
            <w:tcBorders>
              <w:top w:val="single" w:sz="8" w:color="auto"/>
            </w:tcBorders>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Title:</w:t>
            </w:r>
          </w:p>
        </w:tc>
      </w:tr>
      <w:tr>
        <w:trPr>
          <w:trHeight w:val="365"/>
        </w:trPr>
        <w:tc>
          <w:tcPr>
            <w:tcW w:w="55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II-7</w:t>
            </w:r>
          </w:p>
        </w:tc>
        <w:tc>
          <w:tcPr>
            <w:tcW w:w="14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82" w:name="page383"/>
    <w:bookmarkEnd w:id="382"/>
    <w:p>
      <w:pPr>
        <w:ind w:left="10400"/>
        <w:spacing w:after="0"/>
        <w:rPr>
          <w:sz w:val="20"/>
          <w:szCs w:val="20"/>
          <w:color w:val="auto"/>
        </w:rPr>
      </w:pPr>
      <w:r>
        <w:rPr>
          <w:rFonts w:ascii="Arial" w:cs="Arial" w:eastAsia="Arial" w:hAnsi="Arial"/>
          <w:sz w:val="16"/>
          <w:szCs w:val="16"/>
          <w:b w:val="1"/>
          <w:bCs w:val="1"/>
          <w:color w:val="auto"/>
        </w:rPr>
        <w:t>Exhibit 10.12</w:t>
      </w:r>
    </w:p>
    <w:p>
      <w:pPr>
        <w:spacing w:after="0" w:line="252" w:lineRule="exact"/>
        <w:rPr>
          <w:sz w:val="20"/>
          <w:szCs w:val="20"/>
          <w:color w:val="auto"/>
        </w:rPr>
      </w:pPr>
    </w:p>
    <w:p>
      <w:pPr>
        <w:ind w:left="9800"/>
        <w:spacing w:after="0"/>
        <w:rPr>
          <w:sz w:val="20"/>
          <w:szCs w:val="20"/>
          <w:color w:val="auto"/>
        </w:rPr>
      </w:pPr>
      <w:r>
        <w:rPr>
          <w:rFonts w:ascii="Arial" w:cs="Arial" w:eastAsia="Arial" w:hAnsi="Arial"/>
          <w:sz w:val="18"/>
          <w:szCs w:val="18"/>
          <w:i w:val="1"/>
          <w:iCs w:val="1"/>
          <w:color w:val="auto"/>
        </w:rPr>
        <w:t>CW0037</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Contract No. ADT-D-HB201701060026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Tencent Advertising Agency Agreement for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Beijing Tencent Culture Media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OptAim (Beijing) Information Technology Co., Ltd.</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Through friendly negotiation, Party A agrees to appoint Party B to act as its advertising agent with respect to the advertising business of Tencent (excluding the advertising business of local websites and franchisee websites of real estate), and both parties agree as follows in respect of their cooperation:</w:t>
      </w:r>
    </w:p>
    <w:p>
      <w:pPr>
        <w:spacing w:after="0" w:line="25" w:lineRule="exact"/>
        <w:rPr>
          <w:sz w:val="20"/>
          <w:szCs w:val="20"/>
          <w:color w:val="auto"/>
        </w:rPr>
      </w:pPr>
    </w:p>
    <w:p>
      <w:pPr>
        <w:ind w:left="460" w:hanging="452"/>
        <w:spacing w:after="0"/>
        <w:tabs>
          <w:tab w:leader="none" w:pos="46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Term of Agreement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agreement becomes effective as from January 1, 2017, and expires on December 31, 2017.</w:t>
      </w:r>
    </w:p>
    <w:p>
      <w:pPr>
        <w:spacing w:after="0" w:line="370"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of Cooperation</w:t>
      </w:r>
    </w:p>
    <w:p>
      <w:pPr>
        <w:spacing w:after="0" w:line="135" w:lineRule="exact"/>
        <w:rPr>
          <w:sz w:val="20"/>
          <w:szCs w:val="20"/>
          <w:color w:val="auto"/>
        </w:rPr>
      </w:pPr>
    </w:p>
    <w:p>
      <w:pPr>
        <w:ind w:left="460" w:right="120" w:hanging="452"/>
        <w:spacing w:after="0" w:line="277" w:lineRule="auto"/>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policies, mechanisms and standards of Party A for management of agents, such as those on payment period, deposit and rebate, are set forth in the Exhibit (Measures of Tencent for Management of Advertising Agents for 2017) attached hereto.</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Before placing advertisement by Party B, Party A and Party B shall enter into a separate contract for placement of advertisement according to the specific rules for placement. The way of paying the placement charges shall be subject to the aforesaid contract.</w:t>
      </w:r>
    </w:p>
    <w:p>
      <w:pPr>
        <w:spacing w:after="0" w:line="75"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Party B may not return or replace any advertising space for prime time once it determines the date of placement, and shall pay Party A the advertising charges in full according to the execution order. For other advertising space, if Party B is unable to place the advertising on the specified date, it must notify Party A ten natural days before such date. Meanwhile, if Party B fails to place the advertising on the specified date, Party A has the right to dispose of the advertising space.</w:t>
      </w:r>
    </w:p>
    <w:p>
      <w:pPr>
        <w:spacing w:after="0" w:line="331" w:lineRule="exact"/>
        <w:rPr>
          <w:sz w:val="20"/>
          <w:szCs w:val="20"/>
          <w:color w:val="auto"/>
        </w:rPr>
      </w:pPr>
    </w:p>
    <w:p>
      <w:pPr>
        <w:ind w:left="460" w:hanging="452"/>
        <w:spacing w:after="0"/>
        <w:tabs>
          <w:tab w:leader="none" w:pos="46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Discount and Standard Price</w:t>
      </w:r>
    </w:p>
    <w:p>
      <w:pPr>
        <w:spacing w:after="0" w:line="135" w:lineRule="exact"/>
        <w:rPr>
          <w:sz w:val="20"/>
          <w:szCs w:val="20"/>
          <w:color w:val="auto"/>
        </w:rPr>
      </w:pPr>
    </w:p>
    <w:p>
      <w:pPr>
        <w:ind w:left="460" w:right="20" w:hanging="452"/>
        <w:spacing w:after="0" w:line="342" w:lineRule="auto"/>
        <w:tabs>
          <w:tab w:leader="none" w:pos="4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The discounts provided to Party B for placing advertisement are set forth in the Tencent Advertising Placement Contract for 2017 entered into between Party B and Party A. Party A has the right to change its standard price (published price) based on market demand, operating condition and other factors.</w:t>
      </w:r>
    </w:p>
    <w:p>
      <w:pPr>
        <w:spacing w:after="0" w:line="29" w:lineRule="exact"/>
        <w:rPr>
          <w:rFonts w:ascii="Arial" w:cs="Arial" w:eastAsia="Arial" w:hAnsi="Arial"/>
          <w:sz w:val="16"/>
          <w:szCs w:val="16"/>
          <w:color w:val="auto"/>
        </w:rPr>
      </w:pPr>
    </w:p>
    <w:p>
      <w:pPr>
        <w:ind w:left="460" w:right="160" w:hanging="452"/>
        <w:spacing w:after="0" w:line="342" w:lineRule="auto"/>
        <w:tabs>
          <w:tab w:leader="none" w:pos="4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Party A shall promptly notify Party B of any change to its quotation. If the advertising is executed during the period in which the new price is applied, Party B must enter into the advertising placement contract with Party A at the new price. Party A has the final right to interpret the quotation.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83" w:name="page384"/>
    <w:bookmarkEnd w:id="383"/>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w:t>
        <w:tab/>
        <w:t>Rights and Obligations</w:t>
      </w:r>
    </w:p>
    <w:p>
      <w:pPr>
        <w:spacing w:after="0" w:line="135" w:lineRule="exact"/>
        <w:rPr>
          <w:sz w:val="20"/>
          <w:szCs w:val="20"/>
          <w:color w:val="auto"/>
        </w:rPr>
      </w:pPr>
    </w:p>
    <w:p>
      <w:pPr>
        <w:ind w:left="460" w:hanging="452"/>
        <w:spacing w:after="0"/>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Party A’s Rights and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A shall publish the advertising and ensure normal operation of servers according to the advertising contract.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A shall be responsible for the internal publishing of the internet advertising, including check of vacancy, arrangement of advertising space, and supervision of advertising exposure.</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A has the right to examine the content and form of advertising, and relevant certificates. If Party A deems that any of them does not conform to laws or regulations, it has the right to request for revision or to refuse publishing of the advertising.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A has absolute right to control the construction of its website and the arrangement of advertising space.</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At the request of Party B, Party A may provide Party B with the data regarding advertising placement effect after the advertising publishing date. Party A gives no commitment on the advertising placement effect for all placements.</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Party B’s Rights and Obligations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B shall try to expand the advertising market and identify advertising clients for Party A during the term hereof according to the principles of good faith and mutual benefit.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B shall provide Party A with the power of attorney for advertising.</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The quotation of Party B to any advertising client (including adverting space, sales mode, placement time and amount etc.) shall be subject to written consent or approval of Party A, and shall not include any commitment on advertising placement effect.</w:t>
      </w:r>
    </w:p>
    <w:p>
      <w:pPr>
        <w:spacing w:after="0" w:line="75" w:lineRule="exact"/>
        <w:rPr>
          <w:rFonts w:ascii="Arial" w:cs="Arial" w:eastAsia="Arial" w:hAnsi="Arial"/>
          <w:sz w:val="18"/>
          <w:szCs w:val="18"/>
          <w:color w:val="auto"/>
        </w:rPr>
      </w:pPr>
    </w:p>
    <w:p>
      <w:pPr>
        <w:ind w:left="900" w:right="40" w:hanging="446"/>
        <w:spacing w:after="0" w:line="255"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B warrants that the advertising materials and relevant contents provided by it (except for user’s account picture and nickname resulted from the logic of the social advertising product placed) will comply with the provisions of the laws and regulations of the People’s Republic of China on advertising, the social public morals, the normative legal documents published by the administrations for industry and commercial at various places, and Party A’s advertising examination standards (including but not limited to the Standards of Tencent for Information Security of Network Media Advertising), and warrants that relevant content will not infringe other’s legitimate rights or interests and is free of any elements that may infringe the rights or interests of Tencent (including but not limited to denigration of image, horizontal competition, and marketing at Tencent’s platform by using Q-coins);</w:t>
      </w:r>
    </w:p>
    <w:p>
      <w:pPr>
        <w:spacing w:after="0" w:line="94"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Party A has the right to examine the advertising materials and contents and the link page for publishing the advertisement provided by Party B (the materials and contents should be consistent with the contents on the link page), to avoid any content in violation of this agreement as much as possible. However, if any advertising material or content or any advertising page still has the above violation after Party A’s examination, the legal liability thus caused shall be borne by Party B, and irrelevant to Party 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84" w:name="page385"/>
    <w:bookmarkEnd w:id="384"/>
    <w:p>
      <w:pPr>
        <w:ind w:left="892" w:right="20" w:hanging="446"/>
        <w:spacing w:after="0" w:line="255" w:lineRule="auto"/>
        <w:tabs>
          <w:tab w:leader="none" w:pos="892" w:val="left"/>
        </w:tabs>
        <w:numPr>
          <w:ilvl w:val="1"/>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Party B’s advertising breaches any provision of this agreement, is subject to any investigation of relevant authority for violation of law, or is complained by other party for infringement or product quality, Party A has the right to immediately stop providing advertising publishing service. The charges already paid will not be refunded, and Party B shall continue to pay the charges not paid. Meanwhile, Party B shall assume all legal and economic liabilities, and Party A is not required to assume any liability. Party B shall further compensate any loss suffered by Party A thereby. If the above circumstance occurs for three or more times, Party A has the right to terminate cooperation with Party B and seek Party B’s liability for breach of agreement.</w:t>
      </w:r>
    </w:p>
    <w:p>
      <w:pPr>
        <w:spacing w:after="0" w:line="98"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408"/>
        </w:numPr>
        <w:rPr>
          <w:rFonts w:ascii="Arial" w:cs="Arial" w:eastAsia="Arial" w:hAnsi="Arial"/>
          <w:sz w:val="18"/>
          <w:szCs w:val="18"/>
          <w:color w:val="auto"/>
        </w:rPr>
      </w:pPr>
      <w:r>
        <w:rPr>
          <w:rFonts w:ascii="Arial" w:cs="Arial" w:eastAsia="Arial" w:hAnsi="Arial"/>
          <w:sz w:val="18"/>
          <w:szCs w:val="18"/>
          <w:color w:val="auto"/>
        </w:rPr>
        <w:t>If any content examined and approved by Party A is blocked by Party B by relevant technical means in any area, and thus causes any content inconsistent with such content approved by Party A to occur in part or whole of the area, Party A has the right to immediately stop publishing the advertisement and suspend the cooperation with Party B for one year.</w:t>
      </w:r>
    </w:p>
    <w:p>
      <w:pPr>
        <w:spacing w:after="0" w:line="86" w:lineRule="exact"/>
        <w:rPr>
          <w:rFonts w:ascii="Arial" w:cs="Arial" w:eastAsia="Arial" w:hAnsi="Arial"/>
          <w:sz w:val="18"/>
          <w:szCs w:val="18"/>
          <w:color w:val="auto"/>
        </w:rPr>
      </w:pPr>
    </w:p>
    <w:p>
      <w:pPr>
        <w:ind w:left="892" w:right="200" w:hanging="446"/>
        <w:spacing w:after="0" w:line="273" w:lineRule="auto"/>
        <w:tabs>
          <w:tab w:leader="none" w:pos="892" w:val="left"/>
        </w:tabs>
        <w:numPr>
          <w:ilvl w:val="1"/>
          <w:numId w:val="408"/>
        </w:numPr>
        <w:rPr>
          <w:rFonts w:ascii="Arial" w:cs="Arial" w:eastAsia="Arial" w:hAnsi="Arial"/>
          <w:sz w:val="17"/>
          <w:szCs w:val="17"/>
          <w:color w:val="auto"/>
        </w:rPr>
      </w:pPr>
      <w:r>
        <w:rPr>
          <w:rFonts w:ascii="Arial" w:cs="Arial" w:eastAsia="Arial" w:hAnsi="Arial"/>
          <w:sz w:val="17"/>
          <w:szCs w:val="17"/>
          <w:color w:val="auto"/>
        </w:rPr>
        <w:t>If Party B breaches any provision of the above Paragraphs 4) to 7), or if any negative media report is caused because Party B breaches any provision of this agreement and thus causes damage to Tencent’s reputation, in addition to any other liability for breach of agreement to be assumed by Party B hereunder, Party A further has the right to stop publishing relevant advertising, and prohibit Party B from publishing any advertising at the network media platform of Tencent within 1 month. Moreover, during the quarter in which the breach exists, Party A has the right to deduct Party B’s agency rebate equivalent to the executed order amount for the current day regarding the direct client of the violating advertising×90. Party B shall compensate Party A fully if the rebate is insufficient to deduct.</w:t>
      </w:r>
    </w:p>
    <w:p>
      <w:pPr>
        <w:spacing w:after="0" w:line="83" w:lineRule="exact"/>
        <w:rPr>
          <w:rFonts w:ascii="Arial" w:cs="Arial" w:eastAsia="Arial" w:hAnsi="Arial"/>
          <w:sz w:val="17"/>
          <w:szCs w:val="17"/>
          <w:color w:val="auto"/>
        </w:rPr>
      </w:pPr>
    </w:p>
    <w:p>
      <w:pPr>
        <w:ind w:left="892" w:right="40" w:hanging="446"/>
        <w:spacing w:after="0" w:line="291" w:lineRule="auto"/>
        <w:tabs>
          <w:tab w:leader="none" w:pos="892" w:val="left"/>
        </w:tabs>
        <w:numPr>
          <w:ilvl w:val="1"/>
          <w:numId w:val="408"/>
        </w:numPr>
        <w:rPr>
          <w:rFonts w:ascii="Arial" w:cs="Arial" w:eastAsia="Arial" w:hAnsi="Arial"/>
          <w:sz w:val="16"/>
          <w:szCs w:val="16"/>
          <w:color w:val="auto"/>
        </w:rPr>
      </w:pPr>
      <w:r>
        <w:rPr>
          <w:rFonts w:ascii="Arial" w:cs="Arial" w:eastAsia="Arial" w:hAnsi="Arial"/>
          <w:sz w:val="16"/>
          <w:szCs w:val="16"/>
          <w:color w:val="auto"/>
        </w:rPr>
        <w:t>Where Party B receives any consumer’s complaint owing to placement of advertisement or advertisement content, but upon Party A’s final determination the complaint is resolved fast and no adverse effect or loss is caused, in addition to other liability for breach of agreement to be assumed by Party B, Party A has the right to immediately stop publishing relevant advertisement. The placement will be resumed when Party B rectifies and passes Party A’s examination (the time of publishing advertisement during the rectification period thus lost will not be made up). If Party B breaches this provision for three or less times during a natural quarter, 10% of the rebate regarding all the advertising execution amounts for the direct client relating to the breach shall be deducted for the quarter. If Party B breaches this provision for more than three times, 20% of the rebate regarding all the advertising execution amounts for the direct client relating to the breach shall be deducted for the quarter.</w:t>
      </w:r>
    </w:p>
    <w:p>
      <w:pPr>
        <w:spacing w:after="0" w:line="311" w:lineRule="exact"/>
        <w:rPr>
          <w:rFonts w:ascii="Arial" w:cs="Arial" w:eastAsia="Arial" w:hAnsi="Arial"/>
          <w:sz w:val="16"/>
          <w:szCs w:val="16"/>
          <w:color w:val="auto"/>
        </w:rPr>
      </w:pPr>
    </w:p>
    <w:p>
      <w:pPr>
        <w:ind w:left="452" w:hanging="452"/>
        <w:spacing w:after="0"/>
        <w:tabs>
          <w:tab w:leader="none" w:pos="452"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Obligation</w:t>
      </w:r>
    </w:p>
    <w:p>
      <w:pPr>
        <w:spacing w:after="0" w:line="135" w:lineRule="exact"/>
        <w:rPr>
          <w:sz w:val="20"/>
          <w:szCs w:val="20"/>
          <w:color w:val="auto"/>
        </w:rPr>
      </w:pPr>
    </w:p>
    <w:p>
      <w:pPr>
        <w:ind w:left="452" w:right="100" w:hanging="452"/>
        <w:spacing w:after="0" w:line="257" w:lineRule="auto"/>
        <w:tabs>
          <w:tab w:leader="none" w:pos="45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Each party shall keep strictly confidential this agreement and the other party’s business secret and technical information it obtains during performance of this agreement. The business secret includes but is not limited to any information relating to the other party’s network, sale, cost, and other undisclosed financial information, product and operation plan, design plan, and marketing data. Neither party may disclose any business secret of the other party to any third party without the other party’s written consent. Each party shall ensure its employee will comply with the confidentiality obligation hereof.</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confidentiality obligation hereunder shall survive the expiration of this agreement.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74" w:right="299" w:bottom="1440" w:gutter="0" w:footer="0" w:header="0"/>
        </w:sectPr>
      </w:pPr>
    </w:p>
    <w:bookmarkStart w:id="385" w:name="page386"/>
    <w:bookmarkEnd w:id="385"/>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w:t>
        <w:tab/>
        <w:t>Modification of Agreement</w:t>
      </w:r>
    </w:p>
    <w:p>
      <w:pPr>
        <w:spacing w:after="0" w:line="135" w:lineRule="exact"/>
        <w:rPr>
          <w:sz w:val="20"/>
          <w:szCs w:val="20"/>
          <w:color w:val="auto"/>
        </w:rPr>
      </w:pPr>
    </w:p>
    <w:p>
      <w:pPr>
        <w:ind w:left="460" w:right="1200" w:hanging="452"/>
        <w:spacing w:after="0" w:line="342" w:lineRule="auto"/>
        <w:tabs>
          <w:tab w:leader="none" w:pos="460" w:val="left"/>
        </w:tabs>
        <w:numPr>
          <w:ilvl w:val="0"/>
          <w:numId w:val="411"/>
        </w:numPr>
        <w:rPr>
          <w:rFonts w:ascii="Arial" w:cs="Arial" w:eastAsia="Arial" w:hAnsi="Arial"/>
          <w:sz w:val="16"/>
          <w:szCs w:val="16"/>
          <w:color w:val="auto"/>
        </w:rPr>
      </w:pPr>
      <w:r>
        <w:rPr>
          <w:rFonts w:ascii="Arial" w:cs="Arial" w:eastAsia="Arial" w:hAnsi="Arial"/>
          <w:sz w:val="16"/>
          <w:szCs w:val="16"/>
          <w:color w:val="auto"/>
        </w:rPr>
        <w:t>No amendment or supplementation to this agreement shall be made until both parties enter into a written agreement. The amendment or supplementation signed by both parties is an integral part of this agreement, and has equal legal force as this agreement.</w:t>
      </w:r>
    </w:p>
    <w:p>
      <w:pPr>
        <w:spacing w:after="0" w:line="29"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Without affecting performance of this agreement, Party A has the right to transfer all right and obligations hereunder to its affiliated company based on the actual condition of operation.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Termination of Agreement</w:t>
      </w:r>
    </w:p>
    <w:p>
      <w:pPr>
        <w:spacing w:after="0" w:line="135" w:lineRule="exact"/>
        <w:rPr>
          <w:sz w:val="20"/>
          <w:szCs w:val="20"/>
          <w:color w:val="auto"/>
        </w:rPr>
      </w:pPr>
    </w:p>
    <w:p>
      <w:pPr>
        <w:ind w:left="460" w:hanging="452"/>
        <w:spacing w:after="0"/>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Upon consensus through negotiation, both parties may terminate this agreement early at any time by a written agreement.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either party has any of the following circumstances, the other party may give written notice to terminate this agreement:</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party becomes bankrupt or goes into bankruptcy and liquidation procedure which is not revoked within 14 natural days; the party is cancelled or dissolved, or its business license is revoked.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The party is unable to perform this agreement for any force majeure event.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If either party carries out any merger or winds up its business, it shall give the other party a written notice three months in advance.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early termination of this agreement shall not affect any right or obligation of both parties accrued according hereto before such termination.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Applicable Law and Jurisdiction</w:t>
      </w:r>
    </w:p>
    <w:p>
      <w:pPr>
        <w:spacing w:after="0" w:line="135" w:lineRule="exact"/>
        <w:rPr>
          <w:sz w:val="20"/>
          <w:szCs w:val="20"/>
          <w:color w:val="auto"/>
        </w:rPr>
      </w:pPr>
    </w:p>
    <w:p>
      <w:pPr>
        <w:ind w:left="460" w:hanging="452"/>
        <w:spacing w:after="0"/>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People’s Republic of China.</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Both parties shall assume corresponding legal liabilities and obligations from the date this agreement is signed. Any party breaching this agreement shall assume the resulting legal consequences.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Both parties agree that this agreement is signed in Nanshan District, Shenzhen City, the People’s Republic of China.</w:t>
      </w:r>
    </w:p>
    <w:p>
      <w:pPr>
        <w:spacing w:after="0" w:line="130" w:lineRule="exact"/>
        <w:rPr>
          <w:rFonts w:ascii="Arial" w:cs="Arial" w:eastAsia="Arial" w:hAnsi="Arial"/>
          <w:sz w:val="18"/>
          <w:szCs w:val="18"/>
          <w:color w:val="auto"/>
        </w:rPr>
      </w:pPr>
    </w:p>
    <w:p>
      <w:pPr>
        <w:ind w:left="460" w:right="420" w:hanging="452"/>
        <w:spacing w:after="0" w:line="342" w:lineRule="auto"/>
        <w:tabs>
          <w:tab w:leader="none" w:pos="46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Both parties shall resolve any matter not covered by this agreement through friendly negotiation according to the principles of equality and mutual benefit. If negotiation fails, either party may refer the dispute to the competent people’s court at the execution place of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9" w:right="239" w:bottom="1440" w:gutter="0" w:footer="0" w:header="0"/>
        </w:sectPr>
      </w:pPr>
    </w:p>
    <w:bookmarkStart w:id="386" w:name="page387"/>
    <w:bookmarkEnd w:id="386"/>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IX.</w:t>
        <w:tab/>
        <w:t>Miscellaneous Provisions</w:t>
      </w:r>
    </w:p>
    <w:p>
      <w:pPr>
        <w:spacing w:after="0" w:line="135" w:lineRule="exact"/>
        <w:rPr>
          <w:sz w:val="20"/>
          <w:szCs w:val="20"/>
          <w:color w:val="auto"/>
        </w:rPr>
      </w:pPr>
    </w:p>
    <w:p>
      <w:pPr>
        <w:ind w:left="460" w:hanging="452"/>
        <w:spacing w:after="0"/>
        <w:tabs>
          <w:tab w:leader="none" w:pos="4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Any network service between both parties for publishing and promotion of Tencent’s information shall be governed by this agreement.</w:t>
      </w:r>
    </w:p>
    <w:p>
      <w:pPr>
        <w:spacing w:after="0" w:line="142"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Exhibit (Measures of Tencent for Management of Advertising Agents for 2017) and its supplementation constitute an integral part of this agreement, and have the same legal force as this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This agreement is signed in two original copies. Each party hold one original copy, and both original copies have the same legal force.</w:t>
      </w:r>
    </w:p>
    <w:p>
      <w:pPr>
        <w:sectPr>
          <w:pgSz w:w="11900" w:h="16838" w:orient="portrait"/>
          <w:cols w:equalWidth="0" w:num="1">
            <w:col w:w="10640"/>
          </w:cols>
          <w:pgMar w:left="240" w:top="270" w:right="1019" w:bottom="1440" w:gutter="0" w:footer="0" w:header="0"/>
        </w:sectPr>
      </w:pPr>
    </w:p>
    <w:p>
      <w:pPr>
        <w:spacing w:after="0" w:line="264" w:lineRule="exact"/>
        <w:rPr>
          <w:sz w:val="20"/>
          <w:szCs w:val="20"/>
          <w:color w:val="auto"/>
        </w:rPr>
      </w:pPr>
    </w:p>
    <w:p>
      <w:pPr>
        <w:ind w:right="2000"/>
        <w:spacing w:after="0" w:line="277" w:lineRule="auto"/>
        <w:rPr>
          <w:sz w:val="20"/>
          <w:szCs w:val="20"/>
          <w:color w:val="auto"/>
        </w:rPr>
      </w:pPr>
      <w:r>
        <w:rPr>
          <w:rFonts w:ascii="Arial" w:cs="Arial" w:eastAsia="Arial" w:hAnsi="Arial"/>
          <w:sz w:val="18"/>
          <w:szCs w:val="18"/>
          <w:color w:val="auto"/>
        </w:rPr>
        <w:t>Party A: Beijing Tencent Culture Media Co., Ltd. (seal)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Party B: OptAim (Beijing)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Technology Co., Ltd. (seal)</w:t>
      </w:r>
    </w:p>
    <w:p>
      <w:pPr>
        <w:spacing w:after="0" w:line="224" w:lineRule="exact"/>
        <w:rPr>
          <w:sz w:val="20"/>
          <w:szCs w:val="20"/>
          <w:color w:val="auto"/>
        </w:rPr>
      </w:pPr>
    </w:p>
    <w:p>
      <w:pPr>
        <w:sectPr>
          <w:pgSz w:w="11900" w:h="16838" w:orient="portrait"/>
          <w:cols w:equalWidth="0" w:num="2">
            <w:col w:w="5240" w:space="720"/>
            <w:col w:w="4680"/>
          </w:cols>
          <w:pgMar w:left="240" w:top="270" w:right="1019" w:bottom="1440" w:gutter="0" w:footer="0" w:header="0"/>
          <w:type w:val="continuous"/>
        </w:sectPr>
      </w:pPr>
    </w:p>
    <w:p>
      <w:pPr>
        <w:spacing w:after="0"/>
        <w:rPr>
          <w:sz w:val="20"/>
          <w:szCs w:val="20"/>
          <w:color w:val="auto"/>
        </w:rPr>
      </w:pP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Beijing Tencent Culture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Media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 OptAim (Beijing) Information</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Technology Co., Ltd.</w:t>
      </w:r>
    </w:p>
    <w:p>
      <w:pPr>
        <w:spacing w:after="0" w:line="200" w:lineRule="exact"/>
        <w:rPr>
          <w:sz w:val="20"/>
          <w:szCs w:val="20"/>
          <w:color w:val="auto"/>
        </w:rPr>
      </w:pPr>
    </w:p>
    <w:p>
      <w:pPr>
        <w:sectPr>
          <w:pgSz w:w="11900" w:h="16838" w:orient="portrait"/>
          <w:cols w:equalWidth="0" w:num="4">
            <w:col w:w="1580" w:space="380"/>
            <w:col w:w="3280" w:space="720"/>
            <w:col w:w="1560" w:space="380"/>
            <w:col w:w="2740"/>
          </w:cols>
          <w:pgMar w:left="240" w:top="270" w:right="1019" w:bottom="1440" w:gutter="0" w:footer="0" w:header="0"/>
          <w:type w:val="continuous"/>
        </w:sectPr>
      </w:pPr>
    </w:p>
    <w:p>
      <w:pPr>
        <w:spacing w:after="0" w:line="132" w:lineRule="exact"/>
        <w:rPr>
          <w:sz w:val="20"/>
          <w:szCs w:val="20"/>
          <w:color w:val="auto"/>
        </w:rPr>
      </w:pPr>
    </w:p>
    <w:p>
      <w:pPr>
        <w:ind w:left="5660" w:right="4880" w:hanging="5660"/>
        <w:spacing w:after="0" w:line="388" w:lineRule="auto"/>
        <w:rPr>
          <w:sz w:val="20"/>
          <w:szCs w:val="20"/>
          <w:color w:val="auto"/>
        </w:rPr>
      </w:pPr>
      <w:r>
        <w:rPr>
          <w:rFonts w:ascii="Arial" w:cs="Arial" w:eastAsia="Arial" w:hAnsi="Arial"/>
          <w:sz w:val="16"/>
          <w:szCs w:val="16"/>
          <w:color w:val="auto"/>
        </w:rPr>
        <w:t>Exhibit: Measures of Tencent for Management of Advertising Agents for 2017 5</w:t>
      </w:r>
    </w:p>
    <w:sectPr>
      <w:pgSz w:w="11900" w:h="16838" w:orient="portrait"/>
      <w:cols w:equalWidth="0" w:num="1">
        <w:col w:w="10640"/>
      </w:cols>
      <w:pgMar w:left="240" w:top="270" w:right="10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E8725A"/>
    <w:multiLevelType w:val="hybridMultilevel"/>
    <w:lvl w:ilvl="0">
      <w:lvlJc w:val="left"/>
      <w:lvlText w:val="(%1)"/>
      <w:numFmt w:val="decimal"/>
      <w:start w:val="2"/>
    </w:lvl>
  </w:abstractNum>
  <w:abstractNum w:abstractNumId="1">
    <w:nsid w:val="6A37288A"/>
    <w:multiLevelType w:val="hybridMultilevel"/>
    <w:lvl w:ilvl="0">
      <w:lvlJc w:val="left"/>
      <w:lvlText w:val="•"/>
      <w:numFmt w:val="bullet"/>
      <w:start w:val="1"/>
    </w:lvl>
  </w:abstractNum>
  <w:abstractNum w:abstractNumId="2">
    <w:nsid w:val="8F8B73F"/>
    <w:multiLevelType w:val="hybridMultilevel"/>
    <w:lvl w:ilvl="0">
      <w:lvlJc w:val="left"/>
      <w:lvlText w:val="•"/>
      <w:numFmt w:val="bullet"/>
      <w:start w:val="1"/>
    </w:lvl>
  </w:abstractNum>
  <w:abstractNum w:abstractNumId="3">
    <w:nsid w:val="CA6B462"/>
    <w:multiLevelType w:val="hybridMultilevel"/>
    <w:lvl w:ilvl="0">
      <w:lvlJc w:val="left"/>
      <w:lvlText w:val="•"/>
      <w:numFmt w:val="bullet"/>
      <w:start w:val="1"/>
    </w:lvl>
  </w:abstractNum>
  <w:abstractNum w:abstractNumId="4">
    <w:nsid w:val="763CB680"/>
    <w:multiLevelType w:val="hybridMultilevel"/>
    <w:lvl w:ilvl="0">
      <w:lvlJc w:val="left"/>
      <w:lvlText w:val="•"/>
      <w:numFmt w:val="bullet"/>
      <w:start w:val="1"/>
    </w:lvl>
  </w:abstractNum>
  <w:abstractNum w:abstractNumId="5">
    <w:nsid w:val="15B71329"/>
    <w:multiLevelType w:val="hybridMultilevel"/>
    <w:lvl w:ilvl="0">
      <w:lvlJc w:val="left"/>
      <w:lvlText w:val="•"/>
      <w:numFmt w:val="bullet"/>
      <w:start w:val="1"/>
    </w:lvl>
  </w:abstractNum>
  <w:abstractNum w:abstractNumId="6">
    <w:nsid w:val="3DA97044"/>
    <w:multiLevelType w:val="hybridMultilevel"/>
    <w:lvl w:ilvl="0">
      <w:lvlJc w:val="left"/>
      <w:lvlText w:val="•"/>
      <w:numFmt w:val="bullet"/>
      <w:start w:val="1"/>
    </w:lvl>
  </w:abstractNum>
  <w:abstractNum w:abstractNumId="7">
    <w:nsid w:val="1CDCE2DE"/>
    <w:multiLevelType w:val="hybridMultilevel"/>
    <w:lvl w:ilvl="0">
      <w:lvlJc w:val="left"/>
      <w:lvlText w:val="(%1)"/>
      <w:numFmt w:val="decimal"/>
      <w:start w:val="1"/>
    </w:lvl>
  </w:abstractNum>
  <w:abstractNum w:abstractNumId="8">
    <w:nsid w:val="69D3947C"/>
    <w:multiLevelType w:val="hybridMultilevel"/>
    <w:lvl w:ilvl="0">
      <w:lvlJc w:val="left"/>
      <w:lvlText w:val="•"/>
      <w:numFmt w:val="bullet"/>
      <w:start w:val="1"/>
    </w:lvl>
  </w:abstractNum>
  <w:abstractNum w:abstractNumId="9">
    <w:nsid w:val="2539DFA5"/>
    <w:multiLevelType w:val="hybridMultilevel"/>
    <w:lvl w:ilvl="0">
      <w:lvlJc w:val="left"/>
      <w:lvlText w:val="•"/>
      <w:numFmt w:val="bullet"/>
      <w:start w:val="1"/>
    </w:lvl>
  </w:abstractNum>
  <w:abstractNum w:abstractNumId="10">
    <w:nsid w:val="2DB88089"/>
    <w:multiLevelType w:val="hybridMultilevel"/>
    <w:lvl w:ilvl="0">
      <w:lvlJc w:val="left"/>
      <w:lvlText w:val="•"/>
      <w:numFmt w:val="bullet"/>
      <w:start w:val="1"/>
    </w:lvl>
  </w:abstractNum>
  <w:abstractNum w:abstractNumId="11">
    <w:nsid w:val="706B674E"/>
    <w:multiLevelType w:val="hybridMultilevel"/>
    <w:lvl w:ilvl="0">
      <w:lvlJc w:val="left"/>
      <w:lvlText w:val="•"/>
      <w:numFmt w:val="bullet"/>
      <w:start w:val="1"/>
    </w:lvl>
  </w:abstractNum>
  <w:abstractNum w:abstractNumId="12">
    <w:nsid w:val="2C106A57"/>
    <w:multiLevelType w:val="hybridMultilevel"/>
    <w:lvl w:ilvl="0">
      <w:lvlJc w:val="left"/>
      <w:lvlText w:val="•"/>
      <w:numFmt w:val="bullet"/>
      <w:start w:val="1"/>
    </w:lvl>
  </w:abstractNum>
  <w:abstractNum w:abstractNumId="13">
    <w:nsid w:val="684EED59"/>
    <w:multiLevelType w:val="hybridMultilevel"/>
    <w:lvl w:ilvl="0">
      <w:lvlJc w:val="left"/>
      <w:lvlText w:val="1"/>
      <w:numFmt w:val="bullet"/>
      <w:start w:val="1"/>
    </w:lvl>
  </w:abstractNum>
  <w:abstractNum w:abstractNumId="14">
    <w:nsid w:val="545EE5D3"/>
    <w:multiLevelType w:val="hybridMultilevel"/>
    <w:lvl w:ilvl="0">
      <w:lvlJc w:val="left"/>
      <w:lvlText w:val="•"/>
      <w:numFmt w:val="bullet"/>
      <w:start w:val="1"/>
    </w:lvl>
  </w:abstractNum>
  <w:abstractNum w:abstractNumId="15">
    <w:nsid w:val="4A66051"/>
    <w:multiLevelType w:val="hybridMultilevel"/>
    <w:lvl w:ilvl="0">
      <w:lvlJc w:val="left"/>
      <w:lvlText w:val="•"/>
      <w:numFmt w:val="bullet"/>
      <w:start w:val="1"/>
    </w:lvl>
  </w:abstractNum>
  <w:abstractNum w:abstractNumId="16">
    <w:nsid w:val="20F4BDAD"/>
    <w:multiLevelType w:val="hybridMultilevel"/>
    <w:lvl w:ilvl="0">
      <w:lvlJc w:val="left"/>
      <w:lvlText w:val="\emdash "/>
      <w:numFmt w:val="bullet"/>
      <w:start w:val="1"/>
    </w:lvl>
  </w:abstractNum>
  <w:abstractNum w:abstractNumId="17">
    <w:nsid w:val="639DEFAC"/>
    <w:multiLevelType w:val="hybridMultilevel"/>
    <w:lvl w:ilvl="0">
      <w:lvlJc w:val="left"/>
      <w:lvlText w:val="•"/>
      <w:numFmt w:val="bullet"/>
      <w:start w:val="1"/>
    </w:lvl>
  </w:abstractNum>
  <w:abstractNum w:abstractNumId="18">
    <w:nsid w:val="501F9786"/>
    <w:multiLevelType w:val="hybridMultilevel"/>
    <w:lvl w:ilvl="0">
      <w:lvlJc w:val="left"/>
      <w:lvlText w:val="•"/>
      <w:numFmt w:val="bullet"/>
      <w:start w:val="1"/>
    </w:lvl>
  </w:abstractNum>
  <w:abstractNum w:abstractNumId="19">
    <w:nsid w:val="6B057295"/>
    <w:multiLevelType w:val="hybridMultilevel"/>
    <w:lvl w:ilvl="0">
      <w:lvlJc w:val="left"/>
      <w:lvlText w:val="•"/>
      <w:numFmt w:val="bullet"/>
      <w:start w:val="1"/>
    </w:lvl>
  </w:abstractNum>
  <w:abstractNum w:abstractNumId="20">
    <w:nsid w:val="2771AC80"/>
    <w:multiLevelType w:val="hybridMultilevel"/>
    <w:lvl w:ilvl="0">
      <w:lvlJc w:val="left"/>
      <w:lvlText w:val="•"/>
      <w:numFmt w:val="bullet"/>
      <w:start w:val="1"/>
    </w:lvl>
  </w:abstractNum>
  <w:abstractNum w:abstractNumId="21">
    <w:nsid w:val="1C4A08EC"/>
    <w:multiLevelType w:val="hybridMultilevel"/>
    <w:lvl w:ilvl="0">
      <w:lvlJc w:val="left"/>
      <w:lvlText w:val="•"/>
      <w:numFmt w:val="bullet"/>
      <w:start w:val="1"/>
    </w:lvl>
  </w:abstractNum>
  <w:abstractNum w:abstractNumId="22">
    <w:nsid w:val="1958BD17"/>
    <w:multiLevelType w:val="hybridMultilevel"/>
    <w:lvl w:ilvl="0">
      <w:lvlJc w:val="left"/>
      <w:lvlText w:val="•"/>
      <w:numFmt w:val="bullet"/>
      <w:start w:val="1"/>
    </w:lvl>
  </w:abstractNum>
  <w:abstractNum w:abstractNumId="23">
    <w:nsid w:val="4E647FE4"/>
    <w:multiLevelType w:val="hybridMultilevel"/>
    <w:lvl w:ilvl="0">
      <w:lvlJc w:val="left"/>
      <w:lvlText w:val="•"/>
      <w:numFmt w:val="bullet"/>
      <w:start w:val="1"/>
    </w:lvl>
  </w:abstractNum>
  <w:abstractNum w:abstractNumId="24">
    <w:nsid w:val="E0BB885"/>
    <w:multiLevelType w:val="hybridMultilevel"/>
    <w:lvl w:ilvl="0">
      <w:lvlJc w:val="left"/>
      <w:lvlText w:val="•"/>
      <w:numFmt w:val="bullet"/>
      <w:start w:val="1"/>
    </w:lvl>
  </w:abstractNum>
  <w:abstractNum w:abstractNumId="25">
    <w:nsid w:val="565976F1"/>
    <w:multiLevelType w:val="hybridMultilevel"/>
    <w:lvl w:ilvl="0">
      <w:lvlJc w:val="left"/>
      <w:lvlText w:val="•"/>
      <w:numFmt w:val="bullet"/>
      <w:start w:val="1"/>
    </w:lvl>
  </w:abstractNum>
  <w:abstractNum w:abstractNumId="26">
    <w:nsid w:val="64212B8C"/>
    <w:multiLevelType w:val="hybridMultilevel"/>
    <w:lvl w:ilvl="0">
      <w:lvlJc w:val="left"/>
      <w:lvlText w:val="•"/>
      <w:numFmt w:val="bullet"/>
      <w:start w:val="1"/>
    </w:lvl>
  </w:abstractNum>
  <w:abstractNum w:abstractNumId="27">
    <w:nsid w:val="5C17530C"/>
    <w:multiLevelType w:val="hybridMultilevel"/>
    <w:lvl w:ilvl="0">
      <w:lvlJc w:val="left"/>
      <w:lvlText w:val="•"/>
      <w:numFmt w:val="bullet"/>
      <w:start w:val="1"/>
    </w:lvl>
  </w:abstractNum>
  <w:abstractNum w:abstractNumId="28">
    <w:nsid w:val="19A52566"/>
    <w:multiLevelType w:val="hybridMultilevel"/>
    <w:lvl w:ilvl="0">
      <w:lvlJc w:val="left"/>
      <w:lvlText w:val="•"/>
      <w:numFmt w:val="bullet"/>
      <w:start w:val="1"/>
    </w:lvl>
  </w:abstractNum>
  <w:abstractNum w:abstractNumId="29">
    <w:nsid w:val="335A1DF1"/>
    <w:multiLevelType w:val="hybridMultilevel"/>
    <w:lvl w:ilvl="0">
      <w:lvlJc w:val="left"/>
      <w:lvlText w:val="•"/>
      <w:numFmt w:val="bullet"/>
      <w:start w:val="1"/>
    </w:lvl>
  </w:abstractNum>
  <w:abstractNum w:abstractNumId="30">
    <w:nsid w:val="28677B7C"/>
    <w:multiLevelType w:val="hybridMultilevel"/>
    <w:lvl w:ilvl="0">
      <w:lvlJc w:val="left"/>
      <w:lvlText w:val="•"/>
      <w:numFmt w:val="bullet"/>
      <w:start w:val="1"/>
    </w:lvl>
  </w:abstractNum>
  <w:abstractNum w:abstractNumId="31">
    <w:nsid w:val="378D97C0"/>
    <w:multiLevelType w:val="hybridMultilevel"/>
    <w:lvl w:ilvl="0">
      <w:lvlJc w:val="left"/>
      <w:lvlText w:val="(%1)"/>
      <w:numFmt w:val="decimal"/>
      <w:start w:val="1"/>
    </w:lvl>
  </w:abstractNum>
  <w:abstractNum w:abstractNumId="32">
    <w:nsid w:val="1D91467C"/>
    <w:multiLevelType w:val="hybridMultilevel"/>
    <w:lvl w:ilvl="0">
      <w:lvlJc w:val="left"/>
      <w:lvlText w:val="(%1)"/>
      <w:numFmt w:val="decimal"/>
      <w:start w:val="1"/>
    </w:lvl>
  </w:abstractNum>
  <w:abstractNum w:abstractNumId="33">
    <w:nsid w:val="316032BB"/>
    <w:multiLevelType w:val="hybridMultilevel"/>
    <w:lvl w:ilvl="0">
      <w:lvlJc w:val="left"/>
      <w:lvlText w:val="(%1)"/>
      <w:numFmt w:val="decimal"/>
      <w:start w:val="1"/>
    </w:lvl>
  </w:abstractNum>
  <w:abstractNum w:abstractNumId="34">
    <w:nsid w:val="44344C22"/>
    <w:multiLevelType w:val="hybridMultilevel"/>
    <w:lvl w:ilvl="0">
      <w:lvlJc w:val="left"/>
      <w:lvlText w:val="•"/>
      <w:numFmt w:val="bullet"/>
      <w:start w:val="1"/>
    </w:lvl>
  </w:abstractNum>
  <w:abstractNum w:abstractNumId="35">
    <w:nsid w:val="13CDFCFC"/>
    <w:multiLevelType w:val="hybridMultilevel"/>
    <w:lvl w:ilvl="0">
      <w:lvlJc w:val="left"/>
      <w:lvlText w:val="•"/>
      <w:numFmt w:val="bullet"/>
      <w:start w:val="1"/>
    </w:lvl>
  </w:abstractNum>
  <w:abstractNum w:abstractNumId="36">
    <w:nsid w:val="471745E4"/>
    <w:multiLevelType w:val="hybridMultilevel"/>
    <w:lvl w:ilvl="0">
      <w:lvlJc w:val="left"/>
      <w:lvlText w:val="•"/>
      <w:numFmt w:val="bullet"/>
      <w:start w:val="1"/>
    </w:lvl>
  </w:abstractNum>
  <w:abstractNum w:abstractNumId="37">
    <w:nsid w:val="1DDBC66"/>
    <w:multiLevelType w:val="hybridMultilevel"/>
    <w:lvl w:ilvl="0">
      <w:lvlJc w:val="left"/>
      <w:lvlText w:val="•"/>
      <w:numFmt w:val="bullet"/>
      <w:start w:val="1"/>
    </w:lvl>
  </w:abstractNum>
  <w:abstractNum w:abstractNumId="38">
    <w:nsid w:val="30AADFDA"/>
    <w:multiLevelType w:val="hybridMultilevel"/>
    <w:lvl w:ilvl="0">
      <w:lvlJc w:val="left"/>
      <w:lvlText w:val="1"/>
      <w:numFmt w:val="bullet"/>
      <w:start w:val="1"/>
    </w:lvl>
  </w:abstractNum>
  <w:abstractNum w:abstractNumId="39">
    <w:nsid w:val="30EADA61"/>
    <w:multiLevelType w:val="hybridMultilevel"/>
    <w:lvl w:ilvl="0">
      <w:lvlJc w:val="left"/>
      <w:lvlText w:val="•"/>
      <w:numFmt w:val="bullet"/>
      <w:start w:val="1"/>
    </w:lvl>
  </w:abstractNum>
  <w:abstractNum w:abstractNumId="40">
    <w:nsid w:val="27179C0B"/>
    <w:multiLevelType w:val="hybridMultilevel"/>
    <w:lvl w:ilvl="0">
      <w:lvlJc w:val="left"/>
      <w:lvlText w:val="•"/>
      <w:numFmt w:val="bullet"/>
      <w:start w:val="1"/>
    </w:lvl>
  </w:abstractNum>
  <w:abstractNum w:abstractNumId="41">
    <w:nsid w:val="5E636063"/>
    <w:multiLevelType w:val="hybridMultilevel"/>
    <w:lvl w:ilvl="0">
      <w:lvlJc w:val="left"/>
      <w:lvlText w:val="(%1)"/>
      <w:numFmt w:val="decimal"/>
      <w:start w:val="4"/>
    </w:lvl>
  </w:abstractNum>
  <w:abstractNum w:abstractNumId="42">
    <w:nsid w:val="215641AF"/>
    <w:multiLevelType w:val="hybridMultilevel"/>
    <w:lvl w:ilvl="0">
      <w:lvlJc w:val="left"/>
      <w:lvlText w:val="•"/>
      <w:numFmt w:val="bullet"/>
      <w:start w:val="1"/>
    </w:lvl>
  </w:abstractNum>
  <w:abstractNum w:abstractNumId="43">
    <w:nsid w:val="53280662"/>
    <w:multiLevelType w:val="hybridMultilevel"/>
    <w:lvl w:ilvl="0">
      <w:lvlJc w:val="left"/>
      <w:lvlText w:val="(%1)"/>
      <w:numFmt w:val="decimal"/>
      <w:start w:val="1"/>
    </w:lvl>
  </w:abstractNum>
  <w:abstractNum w:abstractNumId="44">
    <w:nsid w:val="46B24DBC"/>
    <w:multiLevelType w:val="hybridMultilevel"/>
    <w:lvl w:ilvl="0">
      <w:lvlJc w:val="left"/>
      <w:lvlText w:val="(%1)"/>
      <w:numFmt w:val="decimal"/>
      <w:start w:val="1"/>
    </w:lvl>
  </w:abstractNum>
  <w:abstractNum w:abstractNumId="45">
    <w:nsid w:val="75B52783"/>
    <w:multiLevelType w:val="hybridMultilevel"/>
    <w:lvl w:ilvl="0">
      <w:lvlJc w:val="left"/>
      <w:lvlText w:val="(%1)"/>
      <w:numFmt w:val="decimal"/>
      <w:start w:val="1"/>
    </w:lvl>
  </w:abstractNum>
  <w:abstractNum w:abstractNumId="46">
    <w:nsid w:val="57CE66B4"/>
    <w:multiLevelType w:val="hybridMultilevel"/>
    <w:lvl w:ilvl="0">
      <w:lvlJc w:val="left"/>
      <w:lvlText w:val="(%1)"/>
      <w:numFmt w:val="decimal"/>
      <w:start w:val="1"/>
    </w:lvl>
  </w:abstractNum>
  <w:abstractNum w:abstractNumId="47">
    <w:nsid w:val="67A70B69"/>
    <w:multiLevelType w:val="hybridMultilevel"/>
    <w:lvl w:ilvl="0">
      <w:lvlJc w:val="left"/>
      <w:lvlText w:val="•"/>
      <w:numFmt w:val="bullet"/>
      <w:start w:val="1"/>
    </w:lvl>
  </w:abstractNum>
  <w:abstractNum w:abstractNumId="48">
    <w:nsid w:val="5953172F"/>
    <w:multiLevelType w:val="hybridMultilevel"/>
    <w:lvl w:ilvl="0">
      <w:lvlJc w:val="left"/>
      <w:lvlText w:val="•"/>
      <w:numFmt w:val="bullet"/>
      <w:start w:val="1"/>
    </w:lvl>
  </w:abstractNum>
  <w:abstractNum w:abstractNumId="49">
    <w:nsid w:val="27EDFE3A"/>
    <w:multiLevelType w:val="hybridMultilevel"/>
    <w:lvl w:ilvl="0">
      <w:lvlJc w:val="left"/>
      <w:lvlText w:val="•"/>
      <w:numFmt w:val="bullet"/>
      <w:start w:val="1"/>
    </w:lvl>
  </w:abstractNum>
  <w:abstractNum w:abstractNumId="50">
    <w:nsid w:val="52AC7DFF"/>
    <w:multiLevelType w:val="hybridMultilevel"/>
    <w:lvl w:ilvl="0">
      <w:lvlJc w:val="left"/>
      <w:lvlText w:val="•"/>
      <w:numFmt w:val="bullet"/>
      <w:start w:val="1"/>
    </w:lvl>
  </w:abstractNum>
  <w:abstractNum w:abstractNumId="51">
    <w:nsid w:val="C4C3AF"/>
    <w:multiLevelType w:val="hybridMultilevel"/>
    <w:lvl w:ilvl="0">
      <w:lvlJc w:val="left"/>
      <w:lvlText w:val="•"/>
      <w:numFmt w:val="bullet"/>
      <w:start w:val="1"/>
    </w:lvl>
  </w:abstractNum>
  <w:abstractNum w:abstractNumId="52">
    <w:nsid w:val="44380727"/>
    <w:multiLevelType w:val="hybridMultilevel"/>
    <w:lvl w:ilvl="0">
      <w:lvlJc w:val="left"/>
      <w:lvlText w:val="•"/>
      <w:numFmt w:val="bullet"/>
      <w:start w:val="1"/>
    </w:lvl>
  </w:abstractNum>
  <w:abstractNum w:abstractNumId="53">
    <w:nsid w:val="6C053B16"/>
    <w:multiLevelType w:val="hybridMultilevel"/>
    <w:lvl w:ilvl="0">
      <w:lvlJc w:val="left"/>
      <w:lvlText w:val="•"/>
      <w:numFmt w:val="bullet"/>
      <w:start w:val="1"/>
    </w:lvl>
  </w:abstractNum>
  <w:abstractNum w:abstractNumId="54">
    <w:nsid w:val="4F294393"/>
    <w:multiLevelType w:val="hybridMultilevel"/>
    <w:lvl w:ilvl="0">
      <w:lvlJc w:val="left"/>
      <w:lvlText w:val="1"/>
      <w:numFmt w:val="bullet"/>
      <w:start w:val="1"/>
    </w:lvl>
  </w:abstractNum>
  <w:abstractNum w:abstractNumId="55">
    <w:nsid w:val="5243BFAC"/>
    <w:multiLevelType w:val="hybridMultilevel"/>
    <w:lvl w:ilvl="0">
      <w:lvlJc w:val="left"/>
      <w:lvlText w:val="(%1)"/>
      <w:numFmt w:val="lowerLetter"/>
      <w:start w:val="1"/>
    </w:lvl>
  </w:abstractNum>
  <w:abstractNum w:abstractNumId="56">
    <w:nsid w:val="425EB207"/>
    <w:multiLevelType w:val="hybridMultilevel"/>
    <w:lvl w:ilvl="0">
      <w:lvlJc w:val="left"/>
      <w:lvlText w:val="•"/>
      <w:numFmt w:val="bullet"/>
      <w:start w:val="1"/>
    </w:lvl>
  </w:abstractNum>
  <w:abstractNum w:abstractNumId="57">
    <w:nsid w:val="334A6F1F"/>
    <w:multiLevelType w:val="hybridMultilevel"/>
    <w:lvl w:ilvl="0">
      <w:lvlJc w:val="left"/>
      <w:lvlText w:val="•"/>
      <w:numFmt w:val="bullet"/>
      <w:start w:val="1"/>
    </w:lvl>
  </w:abstractNum>
  <w:abstractNum w:abstractNumId="58">
    <w:nsid w:val="2E5B12B8"/>
    <w:multiLevelType w:val="hybridMultilevel"/>
    <w:lvl w:ilvl="0">
      <w:lvlJc w:val="left"/>
      <w:lvlText w:val="•"/>
      <w:numFmt w:val="bullet"/>
      <w:start w:val="1"/>
    </w:lvl>
  </w:abstractNum>
  <w:abstractNum w:abstractNumId="59">
    <w:nsid w:val="5C03D76D"/>
    <w:multiLevelType w:val="hybridMultilevel"/>
    <w:lvl w:ilvl="0">
      <w:lvlJc w:val="left"/>
      <w:lvlText w:val="•"/>
      <w:numFmt w:val="bullet"/>
      <w:start w:val="1"/>
    </w:lvl>
  </w:abstractNum>
  <w:abstractNum w:abstractNumId="60">
    <w:nsid w:val="66A48D11"/>
    <w:multiLevelType w:val="hybridMultilevel"/>
    <w:lvl w:ilvl="0">
      <w:lvlJc w:val="left"/>
      <w:lvlText w:val="•"/>
      <w:numFmt w:val="bullet"/>
      <w:start w:val="1"/>
    </w:lvl>
  </w:abstractNum>
  <w:abstractNum w:abstractNumId="61">
    <w:nsid w:val="56C28E34"/>
    <w:multiLevelType w:val="hybridMultilevel"/>
    <w:lvl w:ilvl="0">
      <w:lvlJc w:val="left"/>
      <w:lvlText w:val="•"/>
      <w:numFmt w:val="bullet"/>
      <w:start w:val="1"/>
    </w:lvl>
  </w:abstractNum>
  <w:abstractNum w:abstractNumId="62">
    <w:nsid w:val="13916F2D"/>
    <w:multiLevelType w:val="hybridMultilevel"/>
    <w:lvl w:ilvl="0">
      <w:lvlJc w:val="left"/>
      <w:lvlText w:val="•"/>
      <w:numFmt w:val="bullet"/>
      <w:start w:val="1"/>
    </w:lvl>
  </w:abstractNum>
  <w:abstractNum w:abstractNumId="63">
    <w:nsid w:val="435D38D"/>
    <w:multiLevelType w:val="hybridMultilevel"/>
    <w:lvl w:ilvl="0">
      <w:lvlJc w:val="left"/>
      <w:lvlText w:val="•"/>
      <w:numFmt w:val="bullet"/>
      <w:start w:val="1"/>
    </w:lvl>
  </w:abstractNum>
  <w:abstractNum w:abstractNumId="64">
    <w:nsid w:val="822C0EF"/>
    <w:multiLevelType w:val="hybridMultilevel"/>
    <w:lvl w:ilvl="0">
      <w:lvlJc w:val="left"/>
      <w:lvlText w:val="•"/>
      <w:numFmt w:val="bullet"/>
      <w:start w:val="1"/>
    </w:lvl>
  </w:abstractNum>
  <w:abstractNum w:abstractNumId="65">
    <w:nsid w:val="57C5BB4F"/>
    <w:multiLevelType w:val="hybridMultilevel"/>
    <w:lvl w:ilvl="0">
      <w:lvlJc w:val="left"/>
      <w:lvlText w:val="•"/>
      <w:numFmt w:val="bullet"/>
      <w:start w:val="1"/>
    </w:lvl>
  </w:abstractNum>
  <w:abstractNum w:abstractNumId="66">
    <w:nsid w:val="1803D089"/>
    <w:multiLevelType w:val="hybridMultilevel"/>
    <w:lvl w:ilvl="0">
      <w:lvlJc w:val="left"/>
      <w:lvlText w:val="•"/>
      <w:numFmt w:val="bullet"/>
      <w:start w:val="1"/>
    </w:lvl>
  </w:abstractNum>
  <w:abstractNum w:abstractNumId="67">
    <w:nsid w:val="4F3A06D4"/>
    <w:multiLevelType w:val="hybridMultilevel"/>
    <w:lvl w:ilvl="0">
      <w:lvlJc w:val="left"/>
      <w:lvlText w:val="•"/>
      <w:numFmt w:val="bullet"/>
      <w:start w:val="1"/>
    </w:lvl>
  </w:abstractNum>
  <w:abstractNum w:abstractNumId="68">
    <w:nsid w:val="59A377B6"/>
    <w:multiLevelType w:val="hybridMultilevel"/>
    <w:lvl w:ilvl="0">
      <w:lvlJc w:val="left"/>
      <w:lvlText w:val="•"/>
      <w:numFmt w:val="bullet"/>
      <w:start w:val="1"/>
    </w:lvl>
  </w:abstractNum>
  <w:abstractNum w:abstractNumId="69">
    <w:nsid w:val="48AEB063"/>
    <w:multiLevelType w:val="hybridMultilevel"/>
    <w:lvl w:ilvl="0">
      <w:lvlJc w:val="left"/>
      <w:lvlText w:val="•"/>
      <w:numFmt w:val="bullet"/>
      <w:start w:val="1"/>
    </w:lvl>
  </w:abstractNum>
  <w:abstractNum w:abstractNumId="70">
    <w:nsid w:val="24E135"/>
    <w:multiLevelType w:val="hybridMultilevel"/>
    <w:lvl w:ilvl="0">
      <w:lvlJc w:val="left"/>
      <w:lvlText w:val="•"/>
      <w:numFmt w:val="bullet"/>
      <w:start w:val="1"/>
    </w:lvl>
  </w:abstractNum>
  <w:abstractNum w:abstractNumId="71">
    <w:nsid w:val="BB13C1"/>
    <w:multiLevelType w:val="hybridMultilevel"/>
    <w:lvl w:ilvl="0">
      <w:lvlJc w:val="left"/>
      <w:lvlText w:val="•"/>
      <w:numFmt w:val="bullet"/>
      <w:start w:val="1"/>
    </w:lvl>
  </w:abstractNum>
  <w:abstractNum w:abstractNumId="72">
    <w:nsid w:val="271210C7"/>
    <w:multiLevelType w:val="hybridMultilevel"/>
    <w:lvl w:ilvl="0">
      <w:lvlJc w:val="left"/>
      <w:lvlText w:val="•"/>
      <w:numFmt w:val="bullet"/>
      <w:start w:val="1"/>
    </w:lvl>
  </w:abstractNum>
  <w:abstractNum w:abstractNumId="73">
    <w:nsid w:val="217B22E4"/>
    <w:multiLevelType w:val="hybridMultilevel"/>
    <w:lvl w:ilvl="0">
      <w:lvlJc w:val="left"/>
      <w:lvlText w:val="•"/>
      <w:numFmt w:val="bullet"/>
      <w:start w:val="1"/>
    </w:lvl>
  </w:abstractNum>
  <w:abstractNum w:abstractNumId="74">
    <w:nsid w:val="53E31A24"/>
    <w:multiLevelType w:val="hybridMultilevel"/>
    <w:lvl w:ilvl="0">
      <w:lvlJc w:val="left"/>
      <w:lvlText w:val="•"/>
      <w:numFmt w:val="bullet"/>
      <w:start w:val="1"/>
    </w:lvl>
  </w:abstractNum>
  <w:abstractNum w:abstractNumId="75">
    <w:nsid w:val="6DC45E83"/>
    <w:multiLevelType w:val="hybridMultilevel"/>
    <w:lvl w:ilvl="0">
      <w:lvlJc w:val="left"/>
      <w:lvlText w:val="(%1)"/>
      <w:numFmt w:val="lowerRoman"/>
      <w:start w:val="2"/>
    </w:lvl>
  </w:abstractNum>
  <w:abstractNum w:abstractNumId="76">
    <w:nsid w:val="17304A67"/>
    <w:multiLevelType w:val="hybridMultilevel"/>
    <w:lvl w:ilvl="0">
      <w:lvlJc w:val="left"/>
      <w:lvlText w:val="\emdash "/>
      <w:numFmt w:val="bullet"/>
      <w:start w:val="1"/>
    </w:lvl>
  </w:abstractNum>
  <w:abstractNum w:abstractNumId="77">
    <w:nsid w:val="2BB180D8"/>
    <w:multiLevelType w:val="hybridMultilevel"/>
    <w:lvl w:ilvl="0">
      <w:lvlJc w:val="left"/>
      <w:lvlText w:val="•"/>
      <w:numFmt w:val="bullet"/>
      <w:start w:val="1"/>
    </w:lvl>
  </w:abstractNum>
  <w:abstractNum w:abstractNumId="78">
    <w:nsid w:val="556B69ED"/>
    <w:multiLevelType w:val="hybridMultilevel"/>
    <w:lvl w:ilvl="0">
      <w:lvlJc w:val="left"/>
      <w:lvlText w:val="•"/>
      <w:numFmt w:val="bullet"/>
      <w:start w:val="1"/>
    </w:lvl>
  </w:abstractNum>
  <w:abstractNum w:abstractNumId="79">
    <w:nsid w:val="70836196"/>
    <w:multiLevelType w:val="hybridMultilevel"/>
    <w:lvl w:ilvl="0">
      <w:lvlJc w:val="left"/>
      <w:lvlText w:val="•"/>
      <w:numFmt w:val="bullet"/>
      <w:start w:val="1"/>
    </w:lvl>
  </w:abstractNum>
  <w:abstractNum w:abstractNumId="80">
    <w:nsid w:val="539F7F12"/>
    <w:multiLevelType w:val="hybridMultilevel"/>
    <w:lvl w:ilvl="0">
      <w:lvlJc w:val="left"/>
      <w:lvlText w:val="(%1)"/>
      <w:numFmt w:val="lowerRoman"/>
      <w:start w:val="1"/>
    </w:lvl>
  </w:abstractNum>
  <w:abstractNum w:abstractNumId="81">
    <w:nsid w:val="2817E7EC"/>
    <w:multiLevelType w:val="hybridMultilevel"/>
    <w:lvl w:ilvl="0">
      <w:lvlJc w:val="left"/>
      <w:lvlText w:val="*"/>
      <w:numFmt w:val="bullet"/>
      <w:start w:val="1"/>
    </w:lvl>
  </w:abstractNum>
  <w:abstractNum w:abstractNumId="82">
    <w:nsid w:val="71482545"/>
    <w:multiLevelType w:val="hybridMultilevel"/>
    <w:lvl w:ilvl="0">
      <w:lvlJc w:val="left"/>
      <w:lvlText w:val="•"/>
      <w:numFmt w:val="bullet"/>
      <w:start w:val="1"/>
    </w:lvl>
  </w:abstractNum>
  <w:abstractNum w:abstractNumId="83">
    <w:nsid w:val="17D78639"/>
    <w:multiLevelType w:val="hybridMultilevel"/>
    <w:lvl w:ilvl="0">
      <w:lvlJc w:val="left"/>
      <w:lvlText w:val="*"/>
      <w:numFmt w:val="bullet"/>
      <w:start w:val="1"/>
    </w:lvl>
  </w:abstractNum>
  <w:abstractNum w:abstractNumId="84">
    <w:nsid w:val="141D2302"/>
    <w:multiLevelType w:val="hybridMultilevel"/>
    <w:lvl w:ilvl="0">
      <w:lvlJc w:val="left"/>
      <w:lvlText w:val="**"/>
      <w:numFmt w:val="bullet"/>
      <w:start w:val="1"/>
    </w:lvl>
  </w:abstractNum>
  <w:abstractNum w:abstractNumId="85">
    <w:nsid w:val="407168D8"/>
    <w:multiLevelType w:val="hybridMultilevel"/>
    <w:lvl w:ilvl="0">
      <w:lvlJc w:val="left"/>
      <w:lvlText w:val="+"/>
      <w:numFmt w:val="bullet"/>
      <w:start w:val="1"/>
    </w:lvl>
  </w:abstractNum>
  <w:abstractNum w:abstractNumId="86">
    <w:nsid w:val="6A1B45E5"/>
    <w:multiLevelType w:val="hybridMultilevel"/>
    <w:lvl w:ilvl="0">
      <w:lvlJc w:val="left"/>
      <w:lvlText w:val="++"/>
      <w:numFmt w:val="bullet"/>
      <w:start w:val="1"/>
    </w:lvl>
  </w:abstractNum>
  <w:abstractNum w:abstractNumId="87">
    <w:nsid w:val="567BD50A"/>
    <w:multiLevelType w:val="hybridMultilevel"/>
    <w:lvl w:ilvl="0">
      <w:lvlJc w:val="left"/>
      <w:lvlText w:val="^"/>
      <w:numFmt w:val="bullet"/>
      <w:start w:val="1"/>
    </w:lvl>
  </w:abstractNum>
  <w:abstractNum w:abstractNumId="88">
    <w:nsid w:val="73BBD7F8"/>
    <w:multiLevelType w:val="hybridMultilevel"/>
    <w:lvl w:ilvl="0">
      <w:lvlJc w:val="left"/>
      <w:lvlText w:val="^^"/>
      <w:numFmt w:val="bullet"/>
      <w:start w:val="1"/>
    </w:lvl>
  </w:abstractNum>
  <w:abstractNum w:abstractNumId="89">
    <w:nsid w:val="1876589D"/>
    <w:multiLevelType w:val="hybridMultilevel"/>
    <w:lvl w:ilvl="0">
      <w:lvlJc w:val="left"/>
      <w:lvlText w:val="(%1)"/>
      <w:numFmt w:val="decimal"/>
      <w:start w:val="1"/>
    </w:lvl>
  </w:abstractNum>
  <w:abstractNum w:abstractNumId="90">
    <w:nsid w:val="327FAC77"/>
    <w:multiLevelType w:val="hybridMultilevel"/>
    <w:lvl w:ilvl="0">
      <w:lvlJc w:val="left"/>
      <w:lvlText w:val="(%1)"/>
      <w:numFmt w:val="decimal"/>
      <w:start w:val="4"/>
    </w:lvl>
  </w:abstractNum>
  <w:abstractNum w:abstractNumId="91">
    <w:nsid w:val="5A606509"/>
    <w:multiLevelType w:val="hybridMultilevel"/>
    <w:lvl w:ilvl="0">
      <w:lvlJc w:val="left"/>
      <w:lvlText w:val="(%1)"/>
      <w:numFmt w:val="lowerLetter"/>
      <w:start w:val="1"/>
    </w:lvl>
  </w:abstractNum>
  <w:abstractNum w:abstractNumId="92">
    <w:nsid w:val="6F38E6D1"/>
    <w:multiLevelType w:val="hybridMultilevel"/>
    <w:lvl w:ilvl="0">
      <w:lvlJc w:val="left"/>
      <w:lvlText w:val="•"/>
      <w:numFmt w:val="bullet"/>
      <w:start w:val="1"/>
    </w:lvl>
  </w:abstractNum>
  <w:abstractNum w:abstractNumId="93">
    <w:nsid w:val="46111BA5"/>
    <w:multiLevelType w:val="hybridMultilevel"/>
    <w:lvl w:ilvl="0">
      <w:lvlJc w:val="left"/>
      <w:lvlText w:val="•"/>
      <w:numFmt w:val="bullet"/>
      <w:start w:val="1"/>
    </w:lvl>
  </w:abstractNum>
  <w:abstractNum w:abstractNumId="94">
    <w:nsid w:val="5E963896"/>
    <w:multiLevelType w:val="hybridMultilevel"/>
    <w:lvl w:ilvl="0">
      <w:lvlJc w:val="left"/>
      <w:lvlText w:val="•"/>
      <w:numFmt w:val="bullet"/>
      <w:start w:val="1"/>
    </w:lvl>
  </w:abstractNum>
  <w:abstractNum w:abstractNumId="95">
    <w:nsid w:val="775BA7C1"/>
    <w:multiLevelType w:val="hybridMultilevel"/>
    <w:lvl w:ilvl="0">
      <w:lvlJc w:val="left"/>
      <w:lvlText w:val="•"/>
      <w:numFmt w:val="bullet"/>
      <w:start w:val="1"/>
    </w:lvl>
  </w:abstractNum>
  <w:abstractNum w:abstractNumId="96">
    <w:nsid w:val="1DD6D6F4"/>
    <w:multiLevelType w:val="hybridMultilevel"/>
    <w:lvl w:ilvl="0">
      <w:lvlJc w:val="left"/>
      <w:lvlText w:val="•"/>
      <w:numFmt w:val="bullet"/>
      <w:start w:val="1"/>
    </w:lvl>
  </w:abstractNum>
  <w:abstractNum w:abstractNumId="97">
    <w:nsid w:val="769A091F"/>
    <w:multiLevelType w:val="hybridMultilevel"/>
    <w:lvl w:ilvl="0">
      <w:lvlJc w:val="left"/>
      <w:lvlText w:val="(%1)"/>
      <w:numFmt w:val="lowerLetter"/>
      <w:start w:val="1"/>
    </w:lvl>
  </w:abstractNum>
  <w:abstractNum w:abstractNumId="98">
    <w:nsid w:val="4695AE95"/>
    <w:multiLevelType w:val="hybridMultilevel"/>
    <w:lvl w:ilvl="0">
      <w:lvlJc w:val="left"/>
      <w:lvlText w:val="•"/>
      <w:numFmt w:val="bullet"/>
      <w:start w:val="1"/>
    </w:lvl>
  </w:abstractNum>
  <w:abstractNum w:abstractNumId="99">
    <w:nsid w:val="777A4EAA"/>
    <w:multiLevelType w:val="hybridMultilevel"/>
    <w:lvl w:ilvl="0">
      <w:lvlJc w:val="left"/>
      <w:lvlText w:val="(%1)"/>
      <w:numFmt w:val="lowerRoman"/>
      <w:start w:val="1"/>
    </w:lvl>
  </w:abstractNum>
  <w:abstractNum w:abstractNumId="100">
    <w:nsid w:val="3F48B982"/>
    <w:multiLevelType w:val="hybridMultilevel"/>
    <w:lvl w:ilvl="0">
      <w:lvlJc w:val="left"/>
      <w:lvlText w:val="•"/>
      <w:numFmt w:val="bullet"/>
      <w:start w:val="1"/>
    </w:lvl>
  </w:abstractNum>
  <w:abstractNum w:abstractNumId="101">
    <w:nsid w:val="46BA8FCA"/>
    <w:multiLevelType w:val="hybridMultilevel"/>
    <w:lvl w:ilvl="0">
      <w:lvlJc w:val="left"/>
      <w:lvlText w:val="•"/>
      <w:numFmt w:val="bullet"/>
      <w:start w:val="1"/>
    </w:lvl>
  </w:abstractNum>
  <w:abstractNum w:abstractNumId="102">
    <w:nsid w:val="7835626C"/>
    <w:multiLevelType w:val="hybridMultilevel"/>
    <w:lvl w:ilvl="0">
      <w:lvlJc w:val="left"/>
      <w:lvlText w:val="•"/>
      <w:numFmt w:val="bullet"/>
      <w:start w:val="1"/>
    </w:lvl>
  </w:abstractNum>
  <w:abstractNum w:abstractNumId="103">
    <w:nsid w:val="665ACA49"/>
    <w:multiLevelType w:val="hybridMultilevel"/>
    <w:lvl w:ilvl="0">
      <w:lvlJc w:val="left"/>
      <w:lvlText w:val="(%1)"/>
      <w:numFmt w:val="lowerRoman"/>
      <w:start w:val="3"/>
    </w:lvl>
  </w:abstractNum>
  <w:abstractNum w:abstractNumId="104">
    <w:nsid w:val="6835B2AE"/>
    <w:multiLevelType w:val="hybridMultilevel"/>
    <w:lvl w:ilvl="0">
      <w:lvlJc w:val="left"/>
      <w:lvlText w:val="•"/>
      <w:numFmt w:val="bullet"/>
      <w:start w:val="1"/>
    </w:lvl>
  </w:abstractNum>
  <w:abstractNum w:abstractNumId="105">
    <w:nsid w:val="4C187C90"/>
    <w:multiLevelType w:val="hybridMultilevel"/>
    <w:lvl w:ilvl="0">
      <w:lvlJc w:val="left"/>
      <w:lvlText w:val="(%1)"/>
      <w:numFmt w:val="decimal"/>
      <w:start w:val="1"/>
    </w:lvl>
  </w:abstractNum>
  <w:abstractNum w:abstractNumId="106">
    <w:nsid w:val="541F28CD"/>
    <w:multiLevelType w:val="hybridMultilevel"/>
    <w:lvl w:ilvl="0">
      <w:lvlJc w:val="left"/>
      <w:lvlText w:val="(%1)"/>
      <w:numFmt w:val="decimal"/>
      <w:start w:val="2"/>
    </w:lvl>
  </w:abstractNum>
  <w:abstractNum w:abstractNumId="107">
    <w:nsid w:val="7F65FD16"/>
    <w:multiLevelType w:val="hybridMultilevel"/>
    <w:lvl w:ilvl="0">
      <w:lvlJc w:val="left"/>
      <w:lvlText w:val="(%1)"/>
      <w:numFmt w:val="lowerRoman"/>
      <w:start w:val="1"/>
    </w:lvl>
  </w:abstractNum>
  <w:abstractNum w:abstractNumId="108">
    <w:nsid w:val="77C9FD68"/>
    <w:multiLevelType w:val="hybridMultilevel"/>
    <w:lvl w:ilvl="0">
      <w:lvlJc w:val="left"/>
      <w:lvlText w:val="•"/>
      <w:numFmt w:val="bullet"/>
      <w:start w:val="1"/>
    </w:lvl>
  </w:abstractNum>
  <w:abstractNum w:abstractNumId="109">
    <w:nsid w:val="298A92BA"/>
    <w:multiLevelType w:val="hybridMultilevel"/>
    <w:lvl w:ilvl="0">
      <w:lvlJc w:val="left"/>
      <w:lvlText w:val="(%1)"/>
      <w:numFmt w:val="lowerRoman"/>
      <w:start w:val="1"/>
    </w:lvl>
  </w:abstractNum>
  <w:abstractNum w:abstractNumId="110">
    <w:nsid w:val="6FE95EAC"/>
    <w:multiLevelType w:val="hybridMultilevel"/>
    <w:lvl w:ilvl="0">
      <w:lvlJc w:val="left"/>
      <w:lvlText w:val="•"/>
      <w:numFmt w:val="bullet"/>
      <w:start w:val="1"/>
    </w:lvl>
  </w:abstractNum>
  <w:abstractNum w:abstractNumId="111">
    <w:nsid w:val="4B697C7A"/>
    <w:multiLevelType w:val="hybridMultilevel"/>
    <w:lvl w:ilvl="0">
      <w:lvlJc w:val="left"/>
      <w:lvlText w:val="•"/>
      <w:numFmt w:val="bullet"/>
      <w:start w:val="1"/>
    </w:lvl>
  </w:abstractNum>
  <w:abstractNum w:abstractNumId="112">
    <w:nsid w:val="51A27AA6"/>
    <w:multiLevelType w:val="hybridMultilevel"/>
    <w:lvl w:ilvl="0">
      <w:lvlJc w:val="left"/>
      <w:lvlText w:val="(%1)"/>
      <w:numFmt w:val="lowerLetter"/>
      <w:start w:val="3"/>
    </w:lvl>
  </w:abstractNum>
  <w:abstractNum w:abstractNumId="113">
    <w:nsid w:val="613183F2"/>
    <w:multiLevelType w:val="hybridMultilevel"/>
    <w:lvl w:ilvl="0">
      <w:lvlJc w:val="left"/>
      <w:lvlText w:val="•"/>
      <w:numFmt w:val="bullet"/>
      <w:start w:val="1"/>
    </w:lvl>
  </w:abstractNum>
  <w:abstractNum w:abstractNumId="114">
    <w:nsid w:val="634102B4"/>
    <w:multiLevelType w:val="hybridMultilevel"/>
    <w:lvl w:ilvl="0">
      <w:lvlJc w:val="left"/>
      <w:lvlText w:val="•"/>
      <w:numFmt w:val="bullet"/>
      <w:start w:val="1"/>
    </w:lvl>
  </w:abstractNum>
  <w:abstractNum w:abstractNumId="115">
    <w:nsid w:val="65BF9DA8"/>
    <w:multiLevelType w:val="hybridMultilevel"/>
    <w:lvl w:ilvl="0">
      <w:lvlJc w:val="left"/>
      <w:lvlText w:val="•"/>
      <w:numFmt w:val="bullet"/>
      <w:start w:val="1"/>
    </w:lvl>
  </w:abstractNum>
  <w:abstractNum w:abstractNumId="116">
    <w:nsid w:val="21A2ECCA"/>
    <w:multiLevelType w:val="hybridMultilevel"/>
    <w:lvl w:ilvl="0">
      <w:lvlJc w:val="left"/>
      <w:lvlText w:val="•"/>
      <w:numFmt w:val="bullet"/>
      <w:start w:val="1"/>
    </w:lvl>
  </w:abstractNum>
  <w:abstractNum w:abstractNumId="117">
    <w:nsid w:val="4D5C4899"/>
    <w:multiLevelType w:val="hybridMultilevel"/>
    <w:lvl w:ilvl="0">
      <w:lvlJc w:val="left"/>
      <w:lvlText w:val="•"/>
      <w:numFmt w:val="bullet"/>
      <w:start w:val="1"/>
    </w:lvl>
  </w:abstractNum>
  <w:abstractNum w:abstractNumId="118">
    <w:nsid w:val="3C3B72B2"/>
    <w:multiLevelType w:val="hybridMultilevel"/>
    <w:lvl w:ilvl="0">
      <w:lvlJc w:val="left"/>
      <w:lvlText w:val="•"/>
      <w:numFmt w:val="bullet"/>
      <w:start w:val="1"/>
    </w:lvl>
  </w:abstractNum>
  <w:abstractNum w:abstractNumId="119">
    <w:nsid w:val="155EC4C2"/>
    <w:multiLevelType w:val="hybridMultilevel"/>
    <w:lvl w:ilvl="0">
      <w:lvlJc w:val="left"/>
      <w:lvlText w:val="•"/>
      <w:numFmt w:val="bullet"/>
      <w:start w:val="1"/>
    </w:lvl>
  </w:abstractNum>
  <w:abstractNum w:abstractNumId="120">
    <w:nsid w:val="65D2A137"/>
    <w:multiLevelType w:val="hybridMultilevel"/>
    <w:lvl w:ilvl="0">
      <w:lvlJc w:val="left"/>
      <w:lvlText w:val="•"/>
      <w:numFmt w:val="bullet"/>
      <w:start w:val="1"/>
    </w:lvl>
  </w:abstractNum>
  <w:abstractNum w:abstractNumId="121">
    <w:nsid w:val="6EBB1F2A"/>
    <w:multiLevelType w:val="hybridMultilevel"/>
    <w:lvl w:ilvl="0">
      <w:lvlJc w:val="left"/>
      <w:lvlText w:val="•"/>
      <w:numFmt w:val="bullet"/>
      <w:start w:val="1"/>
    </w:lvl>
  </w:abstractNum>
  <w:abstractNum w:abstractNumId="122">
    <w:nsid w:val="6FBF29CB"/>
    <w:multiLevelType w:val="hybridMultilevel"/>
    <w:lvl w:ilvl="0">
      <w:lvlJc w:val="left"/>
      <w:lvlText w:val="•"/>
      <w:numFmt w:val="bullet"/>
      <w:start w:val="1"/>
    </w:lvl>
  </w:abstractNum>
  <w:abstractNum w:abstractNumId="123">
    <w:nsid w:val="550B8808"/>
    <w:multiLevelType w:val="hybridMultilevel"/>
    <w:lvl w:ilvl="0">
      <w:lvlJc w:val="left"/>
      <w:lvlText w:val="•"/>
      <w:numFmt w:val="bullet"/>
      <w:start w:val="1"/>
    </w:lvl>
  </w:abstractNum>
  <w:abstractNum w:abstractNumId="124">
    <w:nsid w:val="34CC3ACF"/>
    <w:multiLevelType w:val="hybridMultilevel"/>
    <w:lvl w:ilvl="0">
      <w:lvlJc w:val="left"/>
      <w:lvlText w:val="•"/>
      <w:numFmt w:val="bullet"/>
      <w:start w:val="1"/>
    </w:lvl>
  </w:abstractNum>
  <w:abstractNum w:abstractNumId="125">
    <w:nsid w:val="4E556261"/>
    <w:multiLevelType w:val="hybridMultilevel"/>
    <w:lvl w:ilvl="0">
      <w:lvlJc w:val="left"/>
      <w:lvlText w:val="•"/>
      <w:numFmt w:val="bullet"/>
      <w:start w:val="1"/>
    </w:lvl>
  </w:abstractNum>
  <w:abstractNum w:abstractNumId="126">
    <w:nsid w:val="4C672FC9"/>
    <w:multiLevelType w:val="hybridMultilevel"/>
    <w:lvl w:ilvl="0">
      <w:lvlJc w:val="left"/>
      <w:lvlText w:val="•"/>
      <w:numFmt w:val="bullet"/>
      <w:start w:val="1"/>
    </w:lvl>
  </w:abstractNum>
  <w:abstractNum w:abstractNumId="127">
    <w:nsid w:val="52A311C3"/>
    <w:multiLevelType w:val="hybridMultilevel"/>
    <w:lvl w:ilvl="0">
      <w:lvlJc w:val="left"/>
      <w:lvlText w:val="•"/>
      <w:numFmt w:val="bullet"/>
      <w:start w:val="1"/>
    </w:lvl>
    <w:lvl w:ilvl="1">
      <w:lvlJc w:val="left"/>
      <w:lvlText w:val="(%2)"/>
      <w:numFmt w:val="lowerRoman"/>
      <w:start w:val="1"/>
    </w:lvl>
  </w:abstractNum>
  <w:abstractNum w:abstractNumId="128">
    <w:nsid w:val="44EF6B80"/>
    <w:multiLevelType w:val="hybridMultilevel"/>
    <w:lvl w:ilvl="0">
      <w:lvlJc w:val="left"/>
      <w:lvlText w:val="•"/>
      <w:numFmt w:val="bullet"/>
      <w:start w:val="1"/>
    </w:lvl>
  </w:abstractNum>
  <w:abstractNum w:abstractNumId="129">
    <w:nsid w:val="12FCDE5E"/>
    <w:multiLevelType w:val="hybridMultilevel"/>
    <w:lvl w:ilvl="0">
      <w:lvlJc w:val="left"/>
      <w:lvlText w:val="1"/>
      <w:numFmt w:val="bullet"/>
      <w:start w:val="1"/>
    </w:lvl>
  </w:abstractNum>
  <w:abstractNum w:abstractNumId="130">
    <w:nsid w:val="4A1D606E"/>
    <w:multiLevelType w:val="hybridMultilevel"/>
    <w:lvl w:ilvl="0">
      <w:lvlJc w:val="left"/>
      <w:lvlText w:val="(%1)"/>
      <w:numFmt w:val="lowerLetter"/>
      <w:start w:val="1"/>
    </w:lvl>
  </w:abstractNum>
  <w:abstractNum w:abstractNumId="131">
    <w:nsid w:val="4382503"/>
    <w:multiLevelType w:val="hybridMultilevel"/>
    <w:lvl w:ilvl="0">
      <w:lvlJc w:val="left"/>
      <w:lvlText w:val="1"/>
      <w:numFmt w:val="bullet"/>
      <w:start w:val="1"/>
    </w:lvl>
  </w:abstractNum>
  <w:abstractNum w:abstractNumId="132">
    <w:nsid w:val="59B76E28"/>
    <w:multiLevelType w:val="hybridMultilevel"/>
    <w:lvl w:ilvl="0">
      <w:lvlJc w:val="left"/>
      <w:lvlText w:val="(%1)"/>
      <w:numFmt w:val="lowerLetter"/>
      <w:start w:val="1"/>
    </w:lvl>
  </w:abstractNum>
  <w:abstractNum w:abstractNumId="133">
    <w:nsid w:val="4252C2DA"/>
    <w:multiLevelType w:val="hybridMultilevel"/>
    <w:lvl w:ilvl="0">
      <w:lvlJc w:val="left"/>
      <w:lvlText w:val="1"/>
      <w:numFmt w:val="bullet"/>
      <w:start w:val="1"/>
    </w:lvl>
  </w:abstractNum>
  <w:abstractNum w:abstractNumId="134">
    <w:nsid w:val="6A92EF4C"/>
    <w:multiLevelType w:val="hybridMultilevel"/>
    <w:lvl w:ilvl="0">
      <w:lvlJc w:val="left"/>
      <w:lvlText w:val="(%1)"/>
      <w:numFmt w:val="lowerLetter"/>
      <w:start w:val="1"/>
    </w:lvl>
  </w:abstractNum>
  <w:abstractNum w:abstractNumId="135">
    <w:nsid w:val="41ED20D7"/>
    <w:multiLevelType w:val="hybridMultilevel"/>
    <w:lvl w:ilvl="0">
      <w:lvlJc w:val="left"/>
      <w:lvlText w:val="1"/>
      <w:numFmt w:val="bullet"/>
      <w:start w:val="1"/>
    </w:lvl>
  </w:abstractNum>
  <w:abstractNum w:abstractNumId="136">
    <w:nsid w:val="E6B3F6A"/>
    <w:multiLevelType w:val="hybridMultilevel"/>
    <w:lvl w:ilvl="0">
      <w:lvlJc w:val="left"/>
      <w:lvlText w:val="(%1)"/>
      <w:numFmt w:val="lowerLetter"/>
      <w:start w:val="2"/>
    </w:lvl>
  </w:abstractNum>
  <w:abstractNum w:abstractNumId="137">
    <w:nsid w:val="3EB21819"/>
    <w:multiLevelType w:val="hybridMultilevel"/>
    <w:lvl w:ilvl="0">
      <w:lvlJc w:val="left"/>
      <w:lvlText w:val="•"/>
      <w:numFmt w:val="bullet"/>
      <w:start w:val="1"/>
    </w:lvl>
  </w:abstractNum>
  <w:abstractNum w:abstractNumId="138">
    <w:nsid w:val="41531DED"/>
    <w:multiLevelType w:val="hybridMultilevel"/>
    <w:lvl w:ilvl="0">
      <w:lvlJc w:val="left"/>
      <w:lvlText w:val="•"/>
      <w:numFmt w:val="bullet"/>
      <w:start w:val="1"/>
    </w:lvl>
  </w:abstractNum>
  <w:abstractNum w:abstractNumId="139">
    <w:nsid w:val="6353CD2"/>
    <w:multiLevelType w:val="hybridMultilevel"/>
    <w:lvl w:ilvl="0">
      <w:lvlJc w:val="left"/>
      <w:lvlText w:val="•"/>
      <w:numFmt w:val="bullet"/>
      <w:start w:val="1"/>
    </w:lvl>
  </w:abstractNum>
  <w:abstractNum w:abstractNumId="140">
    <w:nsid w:val="683CAAD3"/>
    <w:multiLevelType w:val="hybridMultilevel"/>
    <w:lvl w:ilvl="0">
      <w:lvlJc w:val="left"/>
      <w:lvlText w:val="1"/>
      <w:numFmt w:val="bullet"/>
      <w:start w:val="1"/>
    </w:lvl>
  </w:abstractNum>
  <w:abstractNum w:abstractNumId="141">
    <w:nsid w:val="313C7C99"/>
    <w:multiLevelType w:val="hybridMultilevel"/>
    <w:lvl w:ilvl="0">
      <w:lvlJc w:val="left"/>
      <w:lvlText w:val="(%1)"/>
      <w:numFmt w:val="lowerLetter"/>
      <w:start w:val="2"/>
    </w:lvl>
  </w:abstractNum>
  <w:abstractNum w:abstractNumId="142">
    <w:nsid w:val="519EB94C"/>
    <w:multiLevelType w:val="hybridMultilevel"/>
    <w:lvl w:ilvl="0">
      <w:lvlJc w:val="left"/>
      <w:lvlText w:val="•"/>
      <w:numFmt w:val="bullet"/>
      <w:start w:val="1"/>
    </w:lvl>
  </w:abstractNum>
  <w:abstractNum w:abstractNumId="143">
    <w:nsid w:val="39DF2579"/>
    <w:multiLevelType w:val="hybridMultilevel"/>
    <w:lvl w:ilvl="0">
      <w:lvlJc w:val="left"/>
      <w:lvlText w:val="•"/>
      <w:numFmt w:val="bullet"/>
      <w:start w:val="1"/>
    </w:lvl>
  </w:abstractNum>
  <w:abstractNum w:abstractNumId="144">
    <w:nsid w:val="126E008B"/>
    <w:multiLevelType w:val="hybridMultilevel"/>
    <w:lvl w:ilvl="0">
      <w:lvlJc w:val="left"/>
      <w:lvlText w:val="1"/>
      <w:numFmt w:val="bullet"/>
      <w:start w:val="1"/>
    </w:lvl>
  </w:abstractNum>
  <w:abstractNum w:abstractNumId="145">
    <w:nsid w:val="34DFBC00"/>
    <w:multiLevelType w:val="hybridMultilevel"/>
    <w:lvl w:ilvl="0">
      <w:lvlJc w:val="left"/>
      <w:lvlText w:val="(%1)"/>
      <w:numFmt w:val="lowerLetter"/>
      <w:start w:val="2"/>
    </w:lvl>
  </w:abstractNum>
  <w:abstractNum w:abstractNumId="146">
    <w:nsid w:val="1F9EC322"/>
    <w:multiLevelType w:val="hybridMultilevel"/>
    <w:lvl w:ilvl="0">
      <w:lvlJc w:val="left"/>
      <w:lvlText w:val="2"/>
      <w:numFmt w:val="bullet"/>
      <w:start w:val="1"/>
    </w:lvl>
  </w:abstractNum>
  <w:abstractNum w:abstractNumId="147">
    <w:nsid w:val="3410ED56"/>
    <w:multiLevelType w:val="hybridMultilevel"/>
    <w:lvl w:ilvl="0">
      <w:lvlJc w:val="left"/>
      <w:lvlText w:val="(%1)"/>
      <w:numFmt w:val="lowerLetter"/>
      <w:start w:val="1"/>
    </w:lvl>
  </w:abstractNum>
  <w:abstractNum w:abstractNumId="148">
    <w:nsid w:val="23C049A"/>
    <w:multiLevelType w:val="hybridMultilevel"/>
    <w:lvl w:ilvl="0">
      <w:lvlJc w:val="left"/>
      <w:lvlText w:val="2"/>
      <w:numFmt w:val="bullet"/>
      <w:start w:val="1"/>
    </w:lvl>
  </w:abstractNum>
  <w:abstractNum w:abstractNumId="149">
    <w:nsid w:val="5BDA35D4"/>
    <w:multiLevelType w:val="hybridMultilevel"/>
    <w:lvl w:ilvl="0">
      <w:lvlJc w:val="left"/>
      <w:lvlText w:val="(%1)"/>
      <w:numFmt w:val="lowerLetter"/>
      <w:start w:val="3"/>
    </w:lvl>
  </w:abstractNum>
  <w:abstractNum w:abstractNumId="150">
    <w:nsid w:val="496FB218"/>
    <w:multiLevelType w:val="hybridMultilevel"/>
    <w:lvl w:ilvl="0">
      <w:lvlJc w:val="left"/>
      <w:lvlText w:val="2"/>
      <w:numFmt w:val="bullet"/>
      <w:start w:val="1"/>
    </w:lvl>
  </w:abstractNum>
  <w:abstractNum w:abstractNumId="151">
    <w:nsid w:val="680EA5D1"/>
    <w:multiLevelType w:val="hybridMultilevel"/>
    <w:lvl w:ilvl="0">
      <w:lvlJc w:val="left"/>
      <w:lvlText w:val="(%1)"/>
      <w:numFmt w:val="lowerLetter"/>
      <w:start w:val="5"/>
    </w:lvl>
  </w:abstractNum>
  <w:abstractNum w:abstractNumId="152">
    <w:nsid w:val="4A9554FE"/>
    <w:multiLevelType w:val="hybridMultilevel"/>
    <w:lvl w:ilvl="0">
      <w:lvlJc w:val="left"/>
      <w:lvlText w:val="2"/>
      <w:numFmt w:val="bullet"/>
      <w:start w:val="1"/>
    </w:lvl>
  </w:abstractNum>
  <w:abstractNum w:abstractNumId="153">
    <w:nsid w:val="392EDBE4"/>
    <w:multiLevelType w:val="hybridMultilevel"/>
    <w:lvl w:ilvl="0">
      <w:lvlJc w:val="left"/>
      <w:lvlText w:val="(%1)"/>
      <w:numFmt w:val="lowerLetter"/>
      <w:start w:val="9"/>
    </w:lvl>
  </w:abstractNum>
  <w:abstractNum w:abstractNumId="154">
    <w:nsid w:val="3D1A2DD9"/>
    <w:multiLevelType w:val="hybridMultilevel"/>
    <w:lvl w:ilvl="0">
      <w:lvlJc w:val="left"/>
      <w:lvlText w:val="2"/>
      <w:numFmt w:val="bullet"/>
      <w:start w:val="1"/>
    </w:lvl>
  </w:abstractNum>
  <w:abstractNum w:abstractNumId="155">
    <w:nsid w:val="7F618FCD"/>
    <w:multiLevelType w:val="hybridMultilevel"/>
    <w:lvl w:ilvl="0">
      <w:lvlJc w:val="left"/>
      <w:lvlText w:val="(%1)"/>
      <w:numFmt w:val="lowerLetter"/>
      <w:start w:val="12"/>
    </w:lvl>
  </w:abstractNum>
  <w:abstractNum w:abstractNumId="156">
    <w:nsid w:val="7843E45"/>
    <w:multiLevelType w:val="hybridMultilevel"/>
    <w:lvl w:ilvl="0">
      <w:lvlJc w:val="left"/>
      <w:lvlText w:val="(%1)"/>
      <w:numFmt w:val="lowerLetter"/>
      <w:start w:val="13"/>
    </w:lvl>
  </w:abstractNum>
  <w:abstractNum w:abstractNumId="157">
    <w:nsid w:val="9815DA3"/>
    <w:multiLevelType w:val="hybridMultilevel"/>
    <w:lvl w:ilvl="0">
      <w:lvlJc w:val="left"/>
      <w:lvlText w:val="(%1)"/>
      <w:numFmt w:val="lowerLetter"/>
      <w:start w:val="15"/>
    </w:lvl>
  </w:abstractNum>
  <w:abstractNum w:abstractNumId="158">
    <w:nsid w:val="5204A191"/>
    <w:multiLevelType w:val="hybridMultilevel"/>
    <w:lvl w:ilvl="0">
      <w:lvlJc w:val="left"/>
      <w:lvlText w:val="2"/>
      <w:numFmt w:val="bullet"/>
      <w:start w:val="1"/>
    </w:lvl>
  </w:abstractNum>
  <w:abstractNum w:abstractNumId="159">
    <w:nsid w:val="4C73A9C6"/>
    <w:multiLevelType w:val="hybridMultilevel"/>
    <w:lvl w:ilvl="0">
      <w:lvlJc w:val="left"/>
      <w:lvlText w:val="(%1)"/>
      <w:numFmt w:val="lowerLetter"/>
      <w:start w:val="17"/>
    </w:lvl>
  </w:abstractNum>
  <w:abstractNum w:abstractNumId="160">
    <w:nsid w:val="1C7E3C01"/>
    <w:multiLevelType w:val="hybridMultilevel"/>
    <w:lvl w:ilvl="0">
      <w:lvlJc w:val="left"/>
      <w:lvlText w:val="2"/>
      <w:numFmt w:val="bullet"/>
      <w:start w:val="1"/>
    </w:lvl>
  </w:abstractNum>
  <w:abstractNum w:abstractNumId="161">
    <w:nsid w:val="1C2201FF"/>
    <w:multiLevelType w:val="hybridMultilevel"/>
    <w:lvl w:ilvl="0">
      <w:lvlJc w:val="left"/>
      <w:lvlText w:val="(%1)"/>
      <w:numFmt w:val="lowerLetter"/>
      <w:start w:val="20"/>
    </w:lvl>
  </w:abstractNum>
  <w:abstractNum w:abstractNumId="162">
    <w:nsid w:val="50ABCEC9"/>
    <w:multiLevelType w:val="hybridMultilevel"/>
    <w:lvl w:ilvl="0">
      <w:lvlJc w:val="left"/>
      <w:lvlText w:val="2"/>
      <w:numFmt w:val="bullet"/>
      <w:start w:val="1"/>
    </w:lvl>
  </w:abstractNum>
  <w:abstractNum w:abstractNumId="163">
    <w:nsid w:val="7635AA2A"/>
    <w:multiLevelType w:val="hybridMultilevel"/>
    <w:lvl w:ilvl="0">
      <w:lvlJc w:val="left"/>
      <w:lvlText w:val="(%1)"/>
      <w:numFmt w:val="lowerLetter"/>
      <w:start w:val="21"/>
    </w:lvl>
  </w:abstractNum>
  <w:abstractNum w:abstractNumId="164">
    <w:nsid w:val="5E74C4D9"/>
    <w:multiLevelType w:val="hybridMultilevel"/>
    <w:lvl w:ilvl="0">
      <w:lvlJc w:val="left"/>
      <w:lvlText w:val="(%1)"/>
      <w:numFmt w:val="lowerLetter"/>
      <w:start w:val="24"/>
    </w:lvl>
  </w:abstractNum>
  <w:abstractNum w:abstractNumId="165">
    <w:nsid w:val="3B3EBE15"/>
    <w:multiLevelType w:val="hybridMultilevel"/>
    <w:lvl w:ilvl="0">
      <w:lvlJc w:val="left"/>
      <w:lvlText w:val="2"/>
      <w:numFmt w:val="bullet"/>
      <w:start w:val="1"/>
    </w:lvl>
  </w:abstractNum>
  <w:abstractNum w:abstractNumId="166">
    <w:nsid w:val="3822CB01"/>
    <w:multiLevelType w:val="hybridMultilevel"/>
    <w:lvl w:ilvl="0">
      <w:lvlJc w:val="left"/>
      <w:lvlText w:val="(%1)"/>
      <w:numFmt w:val="lowerLetter"/>
      <w:start w:val="26"/>
    </w:lvl>
  </w:abstractNum>
  <w:abstractNum w:abstractNumId="167">
    <w:nsid w:val="6CE00443"/>
    <w:multiLevelType w:val="hybridMultilevel"/>
    <w:lvl w:ilvl="0">
      <w:lvlJc w:val="left"/>
      <w:lvlText w:val="(%1)"/>
      <w:numFmt w:val="lowerLetter"/>
      <w:start w:val="27"/>
    </w:lvl>
  </w:abstractNum>
  <w:abstractNum w:abstractNumId="168">
    <w:nsid w:val="79F0D62F"/>
    <w:multiLevelType w:val="hybridMultilevel"/>
    <w:lvl w:ilvl="0">
      <w:lvlJc w:val="left"/>
      <w:lvlText w:val="2"/>
      <w:numFmt w:val="bullet"/>
      <w:start w:val="1"/>
    </w:lvl>
  </w:abstractNum>
  <w:abstractNum w:abstractNumId="169">
    <w:nsid w:val="7975E8EE"/>
    <w:multiLevelType w:val="hybridMultilevel"/>
    <w:lvl w:ilvl="0">
      <w:lvlJc w:val="left"/>
      <w:lvlText w:val="2"/>
      <w:numFmt w:val="bullet"/>
      <w:start w:val="1"/>
    </w:lvl>
  </w:abstractNum>
  <w:abstractNum w:abstractNumId="170">
    <w:nsid w:val="73154115"/>
    <w:multiLevelType w:val="hybridMultilevel"/>
    <w:lvl w:ilvl="0">
      <w:lvlJc w:val="left"/>
      <w:lvlText w:val="2"/>
      <w:numFmt w:val="bullet"/>
      <w:start w:val="1"/>
    </w:lvl>
  </w:abstractNum>
  <w:abstractNum w:abstractNumId="171">
    <w:nsid w:val="622D8102"/>
    <w:multiLevelType w:val="hybridMultilevel"/>
    <w:lvl w:ilvl="0">
      <w:lvlJc w:val="left"/>
      <w:lvlText w:val="2"/>
      <w:numFmt w:val="bullet"/>
      <w:start w:val="1"/>
    </w:lvl>
  </w:abstractNum>
  <w:abstractNum w:abstractNumId="172">
    <w:nsid w:val="2AB26587"/>
    <w:multiLevelType w:val="hybridMultilevel"/>
    <w:lvl w:ilvl="0">
      <w:lvlJc w:val="left"/>
      <w:lvlText w:val="(%1)"/>
      <w:numFmt w:val="lowerRoman"/>
      <w:start w:val="2"/>
    </w:lvl>
  </w:abstractNum>
  <w:abstractNum w:abstractNumId="173">
    <w:nsid w:val="44B3FA61"/>
    <w:multiLevelType w:val="hybridMultilevel"/>
    <w:lvl w:ilvl="0">
      <w:lvlJc w:val="left"/>
      <w:lvlText w:val="2"/>
      <w:numFmt w:val="bullet"/>
      <w:start w:val="1"/>
    </w:lvl>
  </w:abstractNum>
  <w:abstractNum w:abstractNumId="174">
    <w:nsid w:val="1C0CA67C"/>
    <w:multiLevelType w:val="hybridMultilevel"/>
    <w:lvl w:ilvl="0">
      <w:lvlJc w:val="left"/>
      <w:lvlText w:val="3"/>
      <w:numFmt w:val="bullet"/>
      <w:start w:val="1"/>
    </w:lvl>
  </w:abstractNum>
  <w:abstractNum w:abstractNumId="175">
    <w:nsid w:val="3D206613"/>
    <w:multiLevelType w:val="hybridMultilevel"/>
    <w:lvl w:ilvl="0">
      <w:lvlJc w:val="left"/>
      <w:lvlText w:val="(%1)"/>
      <w:numFmt w:val="lowerLetter"/>
      <w:start w:val="1"/>
    </w:lvl>
    <w:lvl w:ilvl="1">
      <w:lvlJc w:val="left"/>
      <w:lvlText w:val="•"/>
      <w:numFmt w:val="bullet"/>
      <w:start w:val="1"/>
    </w:lvl>
  </w:abstractNum>
  <w:abstractNum w:abstractNumId="176">
    <w:nsid w:val="7993B662"/>
    <w:multiLevelType w:val="hybridMultilevel"/>
    <w:lvl w:ilvl="0">
      <w:lvlJc w:val="left"/>
      <w:lvlText w:val="3"/>
      <w:numFmt w:val="bullet"/>
      <w:start w:val="1"/>
    </w:lvl>
  </w:abstractNum>
  <w:abstractNum w:abstractNumId="177">
    <w:nsid w:val="3BAB699E"/>
    <w:multiLevelType w:val="hybridMultilevel"/>
    <w:lvl w:ilvl="0">
      <w:lvlJc w:val="left"/>
      <w:lvlText w:val="(%1)"/>
      <w:numFmt w:val="lowerLetter"/>
      <w:start w:val="1"/>
    </w:lvl>
  </w:abstractNum>
  <w:abstractNum w:abstractNumId="178">
    <w:nsid w:val="71315369"/>
    <w:multiLevelType w:val="hybridMultilevel"/>
    <w:lvl w:ilvl="0">
      <w:lvlJc w:val="left"/>
      <w:lvlText w:val="3"/>
      <w:numFmt w:val="bullet"/>
      <w:start w:val="1"/>
    </w:lvl>
  </w:abstractNum>
  <w:abstractNum w:abstractNumId="179">
    <w:nsid w:val="7BCFBAFC"/>
    <w:multiLevelType w:val="hybridMultilevel"/>
    <w:lvl w:ilvl="0">
      <w:lvlJc w:val="left"/>
      <w:lvlText w:val="(%1)"/>
      <w:numFmt w:val="lowerLetter"/>
      <w:start w:val="1"/>
    </w:lvl>
  </w:abstractNum>
  <w:abstractNum w:abstractNumId="180">
    <w:nsid w:val="17859F72"/>
    <w:multiLevelType w:val="hybridMultilevel"/>
    <w:lvl w:ilvl="0">
      <w:lvlJc w:val="left"/>
      <w:lvlText w:val="3"/>
      <w:numFmt w:val="bullet"/>
      <w:start w:val="1"/>
    </w:lvl>
  </w:abstractNum>
  <w:abstractNum w:abstractNumId="181">
    <w:nsid w:val="3AA10581"/>
    <w:multiLevelType w:val="hybridMultilevel"/>
    <w:lvl w:ilvl="0">
      <w:lvlJc w:val="left"/>
      <w:lvlText w:val="(%1)"/>
      <w:numFmt w:val="lowerLetter"/>
      <w:start w:val="1"/>
    </w:lvl>
  </w:abstractNum>
  <w:abstractNum w:abstractNumId="182">
    <w:nsid w:val="63DE60CD"/>
    <w:multiLevelType w:val="hybridMultilevel"/>
    <w:lvl w:ilvl="0">
      <w:lvlJc w:val="left"/>
      <w:lvlText w:val="3"/>
      <w:numFmt w:val="bullet"/>
      <w:start w:val="1"/>
    </w:lvl>
  </w:abstractNum>
  <w:abstractNum w:abstractNumId="183">
    <w:nsid w:val="621AF471"/>
    <w:multiLevelType w:val="hybridMultilevel"/>
    <w:lvl w:ilvl="0">
      <w:lvlJc w:val="left"/>
      <w:lvlText w:val="(%1)"/>
      <w:numFmt w:val="lowerLetter"/>
      <w:start w:val="3"/>
    </w:lvl>
  </w:abstractNum>
  <w:abstractNum w:abstractNumId="184">
    <w:nsid w:val="73CFE165"/>
    <w:multiLevelType w:val="hybridMultilevel"/>
    <w:lvl w:ilvl="0">
      <w:lvlJc w:val="left"/>
      <w:lvlText w:val="(%1)"/>
      <w:numFmt w:val="lowerLetter"/>
      <w:start w:val="4"/>
    </w:lvl>
  </w:abstractNum>
  <w:abstractNum w:abstractNumId="185">
    <w:nsid w:val="20F88EA6"/>
    <w:multiLevelType w:val="hybridMultilevel"/>
    <w:lvl w:ilvl="0">
      <w:lvlJc w:val="left"/>
      <w:lvlText w:val="(%1)"/>
      <w:numFmt w:val="lowerRoman"/>
      <w:start w:val="1"/>
    </w:lvl>
  </w:abstractNum>
  <w:abstractNum w:abstractNumId="186">
    <w:nsid w:val="617C843E"/>
    <w:multiLevelType w:val="hybridMultilevel"/>
    <w:lvl w:ilvl="0">
      <w:lvlJc w:val="left"/>
      <w:lvlText w:val="(%1)"/>
      <w:numFmt w:val="lowerRoman"/>
      <w:start w:val="2"/>
    </w:lvl>
  </w:abstractNum>
  <w:abstractNum w:abstractNumId="187">
    <w:nsid w:val="7B541FAB"/>
    <w:multiLevelType w:val="hybridMultilevel"/>
    <w:lvl w:ilvl="0">
      <w:lvlJc w:val="left"/>
      <w:lvlText w:val="3"/>
      <w:numFmt w:val="bullet"/>
      <w:start w:val="1"/>
    </w:lvl>
  </w:abstractNum>
  <w:abstractNum w:abstractNumId="188">
    <w:nsid w:val="2A79EC49"/>
    <w:multiLevelType w:val="hybridMultilevel"/>
    <w:lvl w:ilvl="0">
      <w:lvlJc w:val="left"/>
      <w:lvlText w:val="(%1)"/>
      <w:numFmt w:val="lowerLetter"/>
      <w:start w:val="4"/>
    </w:lvl>
    <w:lvl w:ilvl="1">
      <w:lvlJc w:val="left"/>
      <w:lvlText w:val="(%2)"/>
      <w:numFmt w:val="lowerLetter"/>
      <w:start w:val="35"/>
    </w:lvl>
  </w:abstractNum>
  <w:abstractNum w:abstractNumId="189">
    <w:nsid w:val="338125CF"/>
    <w:multiLevelType w:val="hybridMultilevel"/>
    <w:lvl w:ilvl="0">
      <w:lvlJc w:val="left"/>
      <w:lvlText w:val="(%1)"/>
      <w:numFmt w:val="lowerRoman"/>
      <w:start w:val="2"/>
    </w:lvl>
  </w:abstractNum>
  <w:abstractNum w:abstractNumId="190">
    <w:nsid w:val="47C7C971"/>
    <w:multiLevelType w:val="hybridMultilevel"/>
    <w:lvl w:ilvl="0">
      <w:lvlJc w:val="left"/>
      <w:lvlText w:val="4"/>
      <w:numFmt w:val="bullet"/>
      <w:start w:val="1"/>
    </w:lvl>
  </w:abstractNum>
  <w:abstractNum w:abstractNumId="191">
    <w:nsid w:val="46F8284B"/>
    <w:multiLevelType w:val="hybridMultilevel"/>
    <w:lvl w:ilvl="0">
      <w:lvlJc w:val="left"/>
      <w:lvlText w:val="(%1)"/>
      <w:numFmt w:val="lowerLetter"/>
      <w:start w:val="1"/>
    </w:lvl>
  </w:abstractNum>
  <w:abstractNum w:abstractNumId="192">
    <w:nsid w:val="4FA327CE"/>
    <w:multiLevelType w:val="hybridMultilevel"/>
    <w:lvl w:ilvl="0">
      <w:lvlJc w:val="left"/>
      <w:lvlText w:val="4"/>
      <w:numFmt w:val="bullet"/>
      <w:start w:val="1"/>
    </w:lvl>
  </w:abstractNum>
  <w:abstractNum w:abstractNumId="193">
    <w:nsid w:val="1873983A"/>
    <w:multiLevelType w:val="hybridMultilevel"/>
    <w:lvl w:ilvl="0">
      <w:lvlJc w:val="left"/>
      <w:lvlText w:val="(%1)"/>
      <w:numFmt w:val="lowerLetter"/>
      <w:start w:val="1"/>
    </w:lvl>
  </w:abstractNum>
  <w:abstractNum w:abstractNumId="194">
    <w:nsid w:val="3D2DD275"/>
    <w:multiLevelType w:val="hybridMultilevel"/>
    <w:lvl w:ilvl="0">
      <w:lvlJc w:val="left"/>
      <w:lvlText w:val="4"/>
      <w:numFmt w:val="bullet"/>
      <w:start w:val="1"/>
    </w:lvl>
  </w:abstractNum>
  <w:abstractNum w:abstractNumId="195">
    <w:nsid w:val="2E17ECA7"/>
    <w:multiLevelType w:val="hybridMultilevel"/>
    <w:lvl w:ilvl="0">
      <w:lvlJc w:val="left"/>
      <w:lvlText w:val="(%1)"/>
      <w:numFmt w:val="lowerLetter"/>
      <w:start w:val="1"/>
    </w:lvl>
  </w:abstractNum>
  <w:abstractNum w:abstractNumId="196">
    <w:nsid w:val="53B2564F"/>
    <w:multiLevelType w:val="hybridMultilevel"/>
    <w:lvl w:ilvl="0">
      <w:lvlJc w:val="left"/>
      <w:lvlText w:val="(%1)"/>
      <w:numFmt w:val="lowerLetter"/>
      <w:start w:val="2"/>
    </w:lvl>
  </w:abstractNum>
  <w:abstractNum w:abstractNumId="197">
    <w:nsid w:val="75509D76"/>
    <w:multiLevelType w:val="hybridMultilevel"/>
    <w:lvl w:ilvl="0">
      <w:lvlJc w:val="left"/>
      <w:lvlText w:val="4"/>
      <w:numFmt w:val="bullet"/>
      <w:start w:val="1"/>
    </w:lvl>
  </w:abstractNum>
  <w:abstractNum w:abstractNumId="198">
    <w:nsid w:val="1AF7F0EA"/>
    <w:multiLevelType w:val="hybridMultilevel"/>
    <w:lvl w:ilvl="0">
      <w:lvlJc w:val="left"/>
      <w:lvlText w:val="(%1)"/>
      <w:numFmt w:val="lowerLetter"/>
      <w:start w:val="2"/>
    </w:lvl>
  </w:abstractNum>
  <w:abstractNum w:abstractNumId="199">
    <w:nsid w:val="4DA32C7E"/>
    <w:multiLevelType w:val="hybridMultilevel"/>
    <w:lvl w:ilvl="0">
      <w:lvlJc w:val="left"/>
      <w:lvlText w:val="5"/>
      <w:numFmt w:val="bullet"/>
      <w:start w:val="1"/>
    </w:lvl>
  </w:abstractNum>
  <w:abstractNum w:abstractNumId="200">
    <w:nsid w:val="6EC68664"/>
    <w:multiLevelType w:val="hybridMultilevel"/>
    <w:lvl w:ilvl="0">
      <w:lvlJc w:val="left"/>
      <w:lvlText w:val="6"/>
      <w:numFmt w:val="bullet"/>
      <w:start w:val="1"/>
    </w:lvl>
  </w:abstractNum>
  <w:abstractNum w:abstractNumId="201">
    <w:nsid w:val="E0D31FF"/>
    <w:multiLevelType w:val="hybridMultilevel"/>
    <w:lvl w:ilvl="0">
      <w:lvlJc w:val="left"/>
      <w:lvlText w:val="7"/>
      <w:numFmt w:val="bullet"/>
      <w:start w:val="1"/>
    </w:lvl>
  </w:abstractNum>
  <w:abstractNum w:abstractNumId="202">
    <w:nsid w:val="2FD0AD81"/>
    <w:multiLevelType w:val="hybridMultilevel"/>
    <w:lvl w:ilvl="0">
      <w:lvlJc w:val="left"/>
      <w:lvlText w:val="%1"/>
      <w:numFmt w:val="decimal"/>
      <w:start w:val="10"/>
    </w:lvl>
  </w:abstractNum>
  <w:abstractNum w:abstractNumId="203">
    <w:nsid w:val="1978EBEB"/>
    <w:multiLevelType w:val="hybridMultilevel"/>
    <w:lvl w:ilvl="0">
      <w:lvlJc w:val="left"/>
      <w:lvlText w:val="%1"/>
      <w:numFmt w:val="decimal"/>
      <w:start w:val="10"/>
    </w:lvl>
  </w:abstractNum>
  <w:abstractNum w:abstractNumId="204">
    <w:nsid w:val="52C12C61"/>
    <w:multiLevelType w:val="hybridMultilevel"/>
    <w:lvl w:ilvl="0">
      <w:lvlJc w:val="left"/>
      <w:lvlText w:val="(%1)"/>
      <w:numFmt w:val="lowerRoman"/>
      <w:start w:val="1"/>
    </w:lvl>
  </w:abstractNum>
  <w:abstractNum w:abstractNumId="205">
    <w:nsid w:val="4BDD53FD"/>
    <w:multiLevelType w:val="hybridMultilevel"/>
    <w:lvl w:ilvl="0">
      <w:lvlJc w:val="left"/>
      <w:lvlText w:val="(%1)"/>
      <w:numFmt w:val="lowerRoman"/>
      <w:start w:val="6"/>
    </w:lvl>
  </w:abstractNum>
  <w:abstractNum w:abstractNumId="206">
    <w:nsid w:val="569951FE"/>
    <w:multiLevelType w:val="hybridMultilevel"/>
    <w:lvl w:ilvl="0">
      <w:lvlJc w:val="left"/>
      <w:lvlText w:val="%1"/>
      <w:numFmt w:val="decimal"/>
      <w:start w:val="16"/>
    </w:lvl>
  </w:abstractNum>
  <w:abstractNum w:abstractNumId="207">
    <w:nsid w:val="4C54E2C3"/>
    <w:multiLevelType w:val="hybridMultilevel"/>
    <w:lvl w:ilvl="0">
      <w:lvlJc w:val="left"/>
      <w:lvlText w:val="%1"/>
      <w:numFmt w:val="decimal"/>
      <w:start w:val="16"/>
    </w:lvl>
  </w:abstractNum>
  <w:abstractNum w:abstractNumId="208">
    <w:nsid w:val="788BD9B"/>
    <w:multiLevelType w:val="hybridMultilevel"/>
    <w:lvl w:ilvl="0">
      <w:lvlJc w:val="left"/>
      <w:lvlText w:val="%1"/>
      <w:numFmt w:val="decimal"/>
      <w:start w:val="16"/>
    </w:lvl>
    <w:lvl w:ilvl="1">
      <w:lvlJc w:val="left"/>
      <w:lvlText w:val="•"/>
      <w:numFmt w:val="bullet"/>
      <w:start w:val="1"/>
    </w:lvl>
  </w:abstractNum>
  <w:abstractNum w:abstractNumId="209">
    <w:nsid w:val="47CAA567"/>
    <w:multiLevelType w:val="hybridMultilevel"/>
    <w:lvl w:ilvl="0">
      <w:lvlJc w:val="left"/>
      <w:lvlText w:val="%1"/>
      <w:numFmt w:val="decimal"/>
      <w:start w:val="16"/>
    </w:lvl>
  </w:abstractNum>
  <w:abstractNum w:abstractNumId="210">
    <w:nsid w:val="48249DBF"/>
    <w:multiLevelType w:val="hybridMultilevel"/>
    <w:lvl w:ilvl="0">
      <w:lvlJc w:val="left"/>
      <w:lvlText w:val="%1"/>
      <w:numFmt w:val="decimal"/>
      <w:start w:val="16"/>
    </w:lvl>
  </w:abstractNum>
  <w:abstractNum w:abstractNumId="211">
    <w:nsid w:val="1F0E5D0D"/>
    <w:multiLevelType w:val="hybridMultilevel"/>
    <w:lvl w:ilvl="0">
      <w:lvlJc w:val="left"/>
      <w:lvlText w:val="%1"/>
      <w:numFmt w:val="decimal"/>
      <w:start w:val="16"/>
    </w:lvl>
  </w:abstractNum>
  <w:abstractNum w:abstractNumId="212">
    <w:nsid w:val="26BAAE9"/>
    <w:multiLevelType w:val="hybridMultilevel"/>
    <w:lvl w:ilvl="0">
      <w:lvlJc w:val="left"/>
      <w:lvlText w:val="%1"/>
      <w:numFmt w:val="decimal"/>
      <w:start w:val="16"/>
    </w:lvl>
  </w:abstractNum>
  <w:abstractNum w:abstractNumId="213">
    <w:nsid w:val="2C02FE8C"/>
    <w:multiLevelType w:val="hybridMultilevel"/>
    <w:lvl w:ilvl="0">
      <w:lvlJc w:val="left"/>
      <w:lvlText w:val="%1"/>
      <w:numFmt w:val="decimal"/>
      <w:start w:val="17"/>
    </w:lvl>
  </w:abstractNum>
  <w:abstractNum w:abstractNumId="214">
    <w:nsid w:val="129517E"/>
    <w:multiLevelType w:val="hybridMultilevel"/>
    <w:lvl w:ilvl="0">
      <w:lvlJc w:val="left"/>
      <w:lvlText w:val="%1"/>
      <w:numFmt w:val="decimal"/>
      <w:start w:val="17"/>
    </w:lvl>
  </w:abstractNum>
  <w:abstractNum w:abstractNumId="215">
    <w:nsid w:val="763B8C4E"/>
    <w:multiLevelType w:val="hybridMultilevel"/>
    <w:lvl w:ilvl="0">
      <w:lvlJc w:val="left"/>
      <w:lvlText w:val="(%1)"/>
      <w:numFmt w:val="lowerLetter"/>
      <w:start w:val="1"/>
    </w:lvl>
  </w:abstractNum>
  <w:abstractNum w:abstractNumId="216">
    <w:nsid w:val="4CFB8D32"/>
    <w:multiLevelType w:val="hybridMultilevel"/>
    <w:lvl w:ilvl="0">
      <w:lvlJc w:val="left"/>
      <w:lvlText w:val="(%1)"/>
      <w:numFmt w:val="lowerRoman"/>
      <w:start w:val="1"/>
    </w:lvl>
  </w:abstractNum>
  <w:abstractNum w:abstractNumId="217">
    <w:nsid w:val="62A5D5BD"/>
    <w:multiLevelType w:val="hybridMultilevel"/>
    <w:lvl w:ilvl="0">
      <w:lvlJc w:val="left"/>
      <w:lvlText w:val="(%1)"/>
      <w:numFmt w:val="lowerLetter"/>
      <w:start w:val="1"/>
    </w:lvl>
    <w:lvl w:ilvl="1">
      <w:lvlJc w:val="left"/>
      <w:lvlText w:val="(%2)"/>
      <w:numFmt w:val="lowerRoman"/>
      <w:start w:val="3"/>
    </w:lvl>
  </w:abstractNum>
  <w:abstractNum w:abstractNumId="218">
    <w:nsid w:val="718FABF9"/>
    <w:multiLevelType w:val="hybridMultilevel"/>
    <w:lvl w:ilvl="0">
      <w:lvlJc w:val="left"/>
      <w:lvlText w:val="(%1)"/>
      <w:numFmt w:val="lowerLetter"/>
      <w:start w:val="1"/>
    </w:lvl>
  </w:abstractNum>
  <w:abstractNum w:abstractNumId="219">
    <w:nsid w:val="7775797C"/>
    <w:multiLevelType w:val="hybridMultilevel"/>
    <w:lvl w:ilvl="0">
      <w:lvlJc w:val="left"/>
      <w:lvlText w:val="(%1)"/>
      <w:numFmt w:val="lowerLetter"/>
      <w:start w:val="1"/>
    </w:lvl>
  </w:abstractNum>
  <w:abstractNum w:abstractNumId="220">
    <w:nsid w:val="1626FB8C"/>
    <w:multiLevelType w:val="hybridMultilevel"/>
    <w:lvl w:ilvl="0">
      <w:lvlJc w:val="left"/>
      <w:lvlText w:val="%1"/>
      <w:numFmt w:val="lowerLetter"/>
      <w:start w:val="1"/>
    </w:lvl>
    <w:lvl w:ilvl="1">
      <w:lvlJc w:val="left"/>
      <w:lvlText w:val="(%2)"/>
      <w:numFmt w:val="lowerRoman"/>
      <w:start w:val="1"/>
    </w:lvl>
  </w:abstractNum>
  <w:abstractNum w:abstractNumId="221">
    <w:nsid w:val="3957756A"/>
    <w:multiLevelType w:val="hybridMultilevel"/>
    <w:lvl w:ilvl="0">
      <w:lvlJc w:val="left"/>
      <w:lvlText w:val="(%1)"/>
      <w:numFmt w:val="lowerLetter"/>
      <w:start w:val="2"/>
    </w:lvl>
    <w:lvl w:ilvl="1">
      <w:lvlJc w:val="left"/>
      <w:lvlText w:val="%2"/>
      <w:numFmt w:val="lowerRoman"/>
      <w:start w:val="1"/>
    </w:lvl>
  </w:abstractNum>
  <w:abstractNum w:abstractNumId="222">
    <w:nsid w:val="3E6DA1C7"/>
    <w:multiLevelType w:val="hybridMultilevel"/>
    <w:lvl w:ilvl="0">
      <w:lvlJc w:val="left"/>
      <w:lvlText w:val="(%1)"/>
      <w:numFmt w:val="lowerLetter"/>
      <w:start w:val="3"/>
    </w:lvl>
  </w:abstractNum>
  <w:abstractNum w:abstractNumId="223">
    <w:nsid w:val="65CA235B"/>
    <w:multiLevelType w:val="hybridMultilevel"/>
    <w:lvl w:ilvl="0">
      <w:lvlJc w:val="left"/>
      <w:lvlText w:val="(%1)"/>
      <w:numFmt w:val="lowerRoman"/>
      <w:start w:val="1"/>
    </w:lvl>
  </w:abstractNum>
  <w:abstractNum w:abstractNumId="224">
    <w:nsid w:val="51CB0DA4"/>
    <w:multiLevelType w:val="hybridMultilevel"/>
    <w:lvl w:ilvl="0">
      <w:lvlJc w:val="left"/>
      <w:lvlText w:val="(%1)"/>
      <w:numFmt w:val="lowerRoman"/>
      <w:start w:val="3"/>
    </w:lvl>
  </w:abstractNum>
  <w:abstractNum w:abstractNumId="225">
    <w:nsid w:val="7B9B743C"/>
    <w:multiLevelType w:val="hybridMultilevel"/>
    <w:lvl w:ilvl="0">
      <w:lvlJc w:val="left"/>
      <w:lvlText w:val="(%1)"/>
      <w:numFmt w:val="lowerLetter"/>
      <w:start w:val="1"/>
    </w:lvl>
  </w:abstractNum>
  <w:abstractNum w:abstractNumId="226">
    <w:nsid w:val="13E21002"/>
    <w:multiLevelType w:val="hybridMultilevel"/>
    <w:lvl w:ilvl="0">
      <w:lvlJc w:val="left"/>
      <w:lvlText w:val="(%1)"/>
      <w:numFmt w:val="lowerRoman"/>
      <w:start w:val="3"/>
    </w:lvl>
  </w:abstractNum>
  <w:abstractNum w:abstractNumId="227">
    <w:nsid w:val="257D63F4"/>
    <w:multiLevelType w:val="hybridMultilevel"/>
    <w:lvl w:ilvl="0">
      <w:lvlJc w:val="left"/>
      <w:lvlText w:val="(%1)"/>
      <w:numFmt w:val="lowerRoman"/>
      <w:start w:val="1"/>
    </w:lvl>
  </w:abstractNum>
  <w:abstractNum w:abstractNumId="228">
    <w:nsid w:val="70EC11B2"/>
    <w:multiLevelType w:val="hybridMultilevel"/>
    <w:lvl w:ilvl="0">
      <w:lvlJc w:val="left"/>
      <w:lvlText w:val="(%1)"/>
      <w:numFmt w:val="lowerLetter"/>
      <w:start w:val="1"/>
    </w:lvl>
  </w:abstractNum>
  <w:abstractNum w:abstractNumId="229">
    <w:nsid w:val="2EDA00ED"/>
    <w:multiLevelType w:val="hybridMultilevel"/>
    <w:lvl w:ilvl="0">
      <w:lvlJc w:val="left"/>
      <w:lvlText w:val="(%1)"/>
      <w:numFmt w:val="lowerLetter"/>
      <w:start w:val="2"/>
    </w:lvl>
  </w:abstractNum>
  <w:abstractNum w:abstractNumId="230">
    <w:nsid w:val="73209072"/>
    <w:multiLevelType w:val="hybridMultilevel"/>
    <w:lvl w:ilvl="0">
      <w:lvlJc w:val="left"/>
      <w:lvlText w:val="(%1)"/>
      <w:numFmt w:val="lowerLetter"/>
      <w:start w:val="2"/>
    </w:lvl>
  </w:abstractNum>
  <w:abstractNum w:abstractNumId="231">
    <w:nsid w:val="5FB29816"/>
    <w:multiLevelType w:val="hybridMultilevel"/>
    <w:lvl w:ilvl="0">
      <w:lvlJc w:val="left"/>
      <w:lvlText w:val="%1"/>
      <w:numFmt w:val="decimal"/>
      <w:start w:val="24"/>
    </w:lvl>
  </w:abstractNum>
  <w:abstractNum w:abstractNumId="232">
    <w:nsid w:val="3CE732EC"/>
    <w:multiLevelType w:val="hybridMultilevel"/>
    <w:lvl w:ilvl="0">
      <w:lvlJc w:val="left"/>
      <w:lvlText w:val="(%1)"/>
      <w:numFmt w:val="lowerLetter"/>
      <w:start w:val="1"/>
    </w:lvl>
  </w:abstractNum>
  <w:abstractNum w:abstractNumId="233">
    <w:nsid w:val="22F13DF3"/>
    <w:multiLevelType w:val="hybridMultilevel"/>
    <w:lvl w:ilvl="0">
      <w:lvlJc w:val="left"/>
      <w:lvlText w:val="(%1)"/>
      <w:numFmt w:val="lowerLetter"/>
      <w:start w:val="2"/>
    </w:lvl>
  </w:abstractNum>
  <w:abstractNum w:abstractNumId="234">
    <w:nsid w:val="792B8401"/>
    <w:multiLevelType w:val="hybridMultilevel"/>
    <w:lvl w:ilvl="0">
      <w:lvlJc w:val="left"/>
      <w:lvlText w:val="%1"/>
      <w:numFmt w:val="decimal"/>
      <w:start w:val="26"/>
    </w:lvl>
  </w:abstractNum>
  <w:abstractNum w:abstractNumId="235">
    <w:nsid w:val="FA85F4D"/>
    <w:multiLevelType w:val="hybridMultilevel"/>
    <w:lvl w:ilvl="0">
      <w:lvlJc w:val="left"/>
      <w:lvlText w:val="%1"/>
      <w:numFmt w:val="decimal"/>
      <w:start w:val="26"/>
    </w:lvl>
  </w:abstractNum>
  <w:abstractNum w:abstractNumId="236">
    <w:nsid w:val="6ECE91F0"/>
    <w:multiLevelType w:val="hybridMultilevel"/>
    <w:lvl w:ilvl="0">
      <w:lvlJc w:val="left"/>
      <w:lvlText w:val="1"/>
      <w:numFmt w:val="bullet"/>
      <w:start w:val="1"/>
    </w:lvl>
  </w:abstractNum>
  <w:abstractNum w:abstractNumId="237">
    <w:nsid w:val="4FC4D600"/>
    <w:multiLevelType w:val="hybridMultilevel"/>
    <w:lvl w:ilvl="0">
      <w:lvlJc w:val="left"/>
      <w:lvlText w:val="(%1)"/>
      <w:numFmt w:val="lowerLetter"/>
      <w:start w:val="1"/>
    </w:lvl>
  </w:abstractNum>
  <w:abstractNum w:abstractNumId="238">
    <w:nsid w:val="5BFD4210"/>
    <w:multiLevelType w:val="hybridMultilevel"/>
    <w:lvl w:ilvl="0">
      <w:lvlJc w:val="left"/>
      <w:lvlText w:val="1"/>
      <w:numFmt w:val="bullet"/>
      <w:start w:val="1"/>
    </w:lvl>
  </w:abstractNum>
  <w:abstractNum w:abstractNumId="239">
    <w:nsid w:val="76574F8B"/>
    <w:multiLevelType w:val="hybridMultilevel"/>
    <w:lvl w:ilvl="0">
      <w:lvlJc w:val="left"/>
      <w:lvlText w:val="(%1)"/>
      <w:numFmt w:val="lowerLetter"/>
      <w:start w:val="1"/>
    </w:lvl>
  </w:abstractNum>
  <w:abstractNum w:abstractNumId="240">
    <w:nsid w:val="178F7B67"/>
    <w:multiLevelType w:val="hybridMultilevel"/>
    <w:lvl w:ilvl="0">
      <w:lvlJc w:val="left"/>
      <w:lvlText w:val="1"/>
      <w:numFmt w:val="bullet"/>
      <w:start w:val="1"/>
    </w:lvl>
  </w:abstractNum>
  <w:abstractNum w:abstractNumId="241">
    <w:nsid w:val="2421DFCF"/>
    <w:multiLevelType w:val="hybridMultilevel"/>
    <w:lvl w:ilvl="0">
      <w:lvlJc w:val="left"/>
      <w:lvlText w:val="(%1)"/>
      <w:numFmt w:val="lowerLetter"/>
      <w:start w:val="1"/>
    </w:lvl>
    <w:lvl w:ilvl="1">
      <w:lvlJc w:val="left"/>
      <w:lvlText w:val="%"/>
      <w:numFmt w:val="bullet"/>
      <w:start w:val="1"/>
    </w:lvl>
  </w:abstractNum>
  <w:abstractNum w:abstractNumId="242">
    <w:nsid w:val="1565AC99"/>
    <w:multiLevelType w:val="hybridMultilevel"/>
    <w:lvl w:ilvl="0">
      <w:lvlJc w:val="left"/>
      <w:lvlText w:val="(%1)"/>
      <w:numFmt w:val="lowerLetter"/>
      <w:start w:val="2"/>
    </w:lvl>
  </w:abstractNum>
  <w:abstractNum w:abstractNumId="243">
    <w:nsid w:val="19FB2650"/>
    <w:multiLevelType w:val="hybridMultilevel"/>
    <w:lvl w:ilvl="0">
      <w:lvlJc w:val="left"/>
      <w:lvlText w:val="1"/>
      <w:numFmt w:val="bullet"/>
      <w:start w:val="1"/>
    </w:lvl>
  </w:abstractNum>
  <w:abstractNum w:abstractNumId="244">
    <w:nsid w:val="5024DE5B"/>
    <w:multiLevelType w:val="hybridMultilevel"/>
    <w:lvl w:ilvl="0">
      <w:lvlJc w:val="left"/>
      <w:lvlText w:val="(%1)"/>
      <w:numFmt w:val="lowerLetter"/>
      <w:start w:val="2"/>
    </w:lvl>
  </w:abstractNum>
  <w:abstractNum w:abstractNumId="245">
    <w:nsid w:val="168EFE17"/>
    <w:multiLevelType w:val="hybridMultilevel"/>
    <w:lvl w:ilvl="0">
      <w:lvlJc w:val="left"/>
      <w:lvlText w:val="•"/>
      <w:numFmt w:val="bullet"/>
      <w:start w:val="1"/>
    </w:lvl>
  </w:abstractNum>
  <w:abstractNum w:abstractNumId="246">
    <w:nsid w:val="1036B29F"/>
    <w:multiLevelType w:val="hybridMultilevel"/>
    <w:lvl w:ilvl="0">
      <w:lvlJc w:val="left"/>
      <w:lvlText w:val="•"/>
      <w:numFmt w:val="bullet"/>
      <w:start w:val="1"/>
    </w:lvl>
  </w:abstractNum>
  <w:abstractNum w:abstractNumId="247">
    <w:nsid w:val="1D206B8E"/>
    <w:multiLevelType w:val="hybridMultilevel"/>
    <w:lvl w:ilvl="0">
      <w:lvlJc w:val="left"/>
      <w:lvlText w:val="•"/>
      <w:numFmt w:val="bullet"/>
      <w:start w:val="1"/>
    </w:lvl>
  </w:abstractNum>
  <w:abstractNum w:abstractNumId="248">
    <w:nsid w:val="7934D3D4"/>
    <w:multiLevelType w:val="hybridMultilevel"/>
    <w:lvl w:ilvl="0">
      <w:lvlJc w:val="left"/>
      <w:lvlText w:val="1"/>
      <w:numFmt w:val="bullet"/>
      <w:start w:val="1"/>
    </w:lvl>
  </w:abstractNum>
  <w:abstractNum w:abstractNumId="249">
    <w:nsid w:val="1C65E98"/>
    <w:multiLevelType w:val="hybridMultilevel"/>
    <w:lvl w:ilvl="0">
      <w:lvlJc w:val="left"/>
      <w:lvlText w:val="(%1)"/>
      <w:numFmt w:val="lowerLetter"/>
      <w:start w:val="2"/>
    </w:lvl>
  </w:abstractNum>
  <w:abstractNum w:abstractNumId="250">
    <w:nsid w:val="1495E50A"/>
    <w:multiLevelType w:val="hybridMultilevel"/>
    <w:lvl w:ilvl="0">
      <w:lvlJc w:val="left"/>
      <w:lvlText w:val="•"/>
      <w:numFmt w:val="bullet"/>
      <w:start w:val="1"/>
    </w:lvl>
  </w:abstractNum>
  <w:abstractNum w:abstractNumId="251">
    <w:nsid w:val="F5BCF61"/>
    <w:multiLevelType w:val="hybridMultilevel"/>
    <w:lvl w:ilvl="0">
      <w:lvlJc w:val="left"/>
      <w:lvlText w:val="•"/>
      <w:numFmt w:val="bullet"/>
      <w:start w:val="1"/>
    </w:lvl>
  </w:abstractNum>
  <w:abstractNum w:abstractNumId="252">
    <w:nsid w:val="3B1DD403"/>
    <w:multiLevelType w:val="hybridMultilevel"/>
    <w:lvl w:ilvl="0">
      <w:lvlJc w:val="left"/>
      <w:lvlText w:val="1"/>
      <w:numFmt w:val="bullet"/>
      <w:start w:val="1"/>
    </w:lvl>
  </w:abstractNum>
  <w:abstractNum w:abstractNumId="253">
    <w:nsid w:val="530386D1"/>
    <w:multiLevelType w:val="hybridMultilevel"/>
    <w:lvl w:ilvl="0">
      <w:lvlJc w:val="left"/>
      <w:lvlText w:val="(%1)"/>
      <w:numFmt w:val="lowerLetter"/>
      <w:start w:val="2"/>
    </w:lvl>
  </w:abstractNum>
  <w:abstractNum w:abstractNumId="254">
    <w:nsid w:val="7525F2BC"/>
    <w:multiLevelType w:val="hybridMultilevel"/>
    <w:lvl w:ilvl="0">
      <w:lvlJc w:val="left"/>
      <w:lvlText w:val="2"/>
      <w:numFmt w:val="bullet"/>
      <w:start w:val="1"/>
    </w:lvl>
  </w:abstractNum>
  <w:abstractNum w:abstractNumId="255">
    <w:nsid w:val="CE8E1A7"/>
    <w:multiLevelType w:val="hybridMultilevel"/>
    <w:lvl w:ilvl="0">
      <w:lvlJc w:val="left"/>
      <w:lvlText w:val="(%1)"/>
      <w:numFmt w:val="lowerLetter"/>
      <w:start w:val="1"/>
    </w:lvl>
  </w:abstractNum>
  <w:abstractNum w:abstractNumId="256">
    <w:nsid w:val="4E9EFB0D"/>
    <w:multiLevelType w:val="hybridMultilevel"/>
    <w:lvl w:ilvl="0">
      <w:lvlJc w:val="left"/>
      <w:lvlText w:val="2"/>
      <w:numFmt w:val="bullet"/>
      <w:start w:val="1"/>
    </w:lvl>
  </w:abstractNum>
  <w:abstractNum w:abstractNumId="257">
    <w:nsid w:val="90802BE"/>
    <w:multiLevelType w:val="hybridMultilevel"/>
    <w:lvl w:ilvl="0">
      <w:lvlJc w:val="left"/>
      <w:lvlText w:val="(%1)"/>
      <w:numFmt w:val="lowerLetter"/>
      <w:start w:val="2"/>
    </w:lvl>
  </w:abstractNum>
  <w:abstractNum w:abstractNumId="258">
    <w:nsid w:val="3266459B"/>
    <w:multiLevelType w:val="hybridMultilevel"/>
    <w:lvl w:ilvl="0">
      <w:lvlJc w:val="left"/>
      <w:lvlText w:val="2"/>
      <w:numFmt w:val="bullet"/>
      <w:start w:val="1"/>
    </w:lvl>
  </w:abstractNum>
  <w:abstractNum w:abstractNumId="259">
    <w:nsid w:val="3F8B0CBF"/>
    <w:multiLevelType w:val="hybridMultilevel"/>
    <w:lvl w:ilvl="0">
      <w:lvlJc w:val="left"/>
      <w:lvlText w:val="(%1)"/>
      <w:numFmt w:val="lowerLetter"/>
      <w:start w:val="2"/>
    </w:lvl>
  </w:abstractNum>
  <w:abstractNum w:abstractNumId="260">
    <w:nsid w:val="37E203AB"/>
    <w:multiLevelType w:val="hybridMultilevel"/>
    <w:lvl w:ilvl="0">
      <w:lvlJc w:val="left"/>
      <w:lvlText w:val="2"/>
      <w:numFmt w:val="bullet"/>
      <w:start w:val="1"/>
    </w:lvl>
  </w:abstractNum>
  <w:abstractNum w:abstractNumId="261">
    <w:nsid w:val="2586D60E"/>
    <w:multiLevelType w:val="hybridMultilevel"/>
    <w:lvl w:ilvl="0">
      <w:lvlJc w:val="left"/>
      <w:lvlText w:val="(%1)"/>
      <w:numFmt w:val="lowerLetter"/>
      <w:start w:val="2"/>
    </w:lvl>
  </w:abstractNum>
  <w:abstractNum w:abstractNumId="262">
    <w:nsid w:val="1F3DA4D5"/>
    <w:multiLevelType w:val="hybridMultilevel"/>
    <w:lvl w:ilvl="0">
      <w:lvlJc w:val="left"/>
      <w:lvlText w:val="3"/>
      <w:numFmt w:val="bullet"/>
      <w:start w:val="1"/>
    </w:lvl>
  </w:abstractNum>
  <w:abstractNum w:abstractNumId="263">
    <w:nsid w:val="74C93698"/>
    <w:multiLevelType w:val="hybridMultilevel"/>
    <w:lvl w:ilvl="0">
      <w:lvlJc w:val="left"/>
      <w:lvlText w:val="(%1)"/>
      <w:numFmt w:val="lowerLetter"/>
      <w:start w:val="1"/>
    </w:lvl>
  </w:abstractNum>
  <w:abstractNum w:abstractNumId="264">
    <w:nsid w:val="48781401"/>
    <w:multiLevelType w:val="hybridMultilevel"/>
    <w:lvl w:ilvl="0">
      <w:lvlJc w:val="left"/>
      <w:lvlText w:val="3"/>
      <w:numFmt w:val="bullet"/>
      <w:start w:val="1"/>
    </w:lvl>
  </w:abstractNum>
  <w:abstractNum w:abstractNumId="265">
    <w:nsid w:val="186928D6"/>
    <w:multiLevelType w:val="hybridMultilevel"/>
    <w:lvl w:ilvl="0">
      <w:lvlJc w:val="left"/>
      <w:lvlText w:val="(%1)"/>
      <w:numFmt w:val="lowerLetter"/>
      <w:start w:val="1"/>
    </w:lvl>
    <w:lvl w:ilvl="1">
      <w:lvlJc w:val="left"/>
      <w:lvlText w:val="•"/>
      <w:numFmt w:val="bullet"/>
      <w:start w:val="1"/>
    </w:lvl>
  </w:abstractNum>
  <w:abstractNum w:abstractNumId="266">
    <w:nsid w:val="47195E5"/>
    <w:multiLevelType w:val="hybridMultilevel"/>
    <w:lvl w:ilvl="0">
      <w:lvlJc w:val="left"/>
      <w:lvlText w:val="3"/>
      <w:numFmt w:val="bullet"/>
      <w:start w:val="1"/>
    </w:lvl>
  </w:abstractNum>
  <w:abstractNum w:abstractNumId="267">
    <w:nsid w:val="3746A5F2"/>
    <w:multiLevelType w:val="hybridMultilevel"/>
    <w:lvl w:ilvl="0">
      <w:lvlJc w:val="left"/>
      <w:lvlText w:val="(%1)"/>
      <w:numFmt w:val="lowerLetter"/>
      <w:start w:val="1"/>
    </w:lvl>
  </w:abstractNum>
  <w:abstractNum w:abstractNumId="268">
    <w:nsid w:val="682DFED6"/>
    <w:multiLevelType w:val="hybridMultilevel"/>
    <w:lvl w:ilvl="0">
      <w:lvlJc w:val="left"/>
      <w:lvlText w:val="3"/>
      <w:numFmt w:val="bullet"/>
      <w:start w:val="1"/>
    </w:lvl>
  </w:abstractNum>
  <w:abstractNum w:abstractNumId="269">
    <w:nsid w:val="606ED7F6"/>
    <w:multiLevelType w:val="hybridMultilevel"/>
    <w:lvl w:ilvl="0">
      <w:lvlJc w:val="left"/>
      <w:lvlText w:val="(%1)"/>
      <w:numFmt w:val="lowerLetter"/>
      <w:start w:val="1"/>
    </w:lvl>
  </w:abstractNum>
  <w:abstractNum w:abstractNumId="270">
    <w:nsid w:val="2D9DF57D"/>
    <w:multiLevelType w:val="hybridMultilevel"/>
    <w:lvl w:ilvl="0">
      <w:lvlJc w:val="left"/>
      <w:lvlText w:val="3"/>
      <w:numFmt w:val="bullet"/>
      <w:start w:val="1"/>
    </w:lvl>
  </w:abstractNum>
  <w:abstractNum w:abstractNumId="271">
    <w:nsid w:val="7FBD7A3E"/>
    <w:multiLevelType w:val="hybridMultilevel"/>
    <w:lvl w:ilvl="0">
      <w:lvlJc w:val="left"/>
      <w:lvlText w:val="(%1)"/>
      <w:numFmt w:val="lowerLetter"/>
      <w:start w:val="1"/>
    </w:lvl>
  </w:abstractNum>
  <w:abstractNum w:abstractNumId="272">
    <w:nsid w:val="490B7C5"/>
    <w:multiLevelType w:val="hybridMultilevel"/>
    <w:lvl w:ilvl="0">
      <w:lvlJc w:val="left"/>
      <w:lvlText w:val="3"/>
      <w:numFmt w:val="bullet"/>
      <w:start w:val="1"/>
    </w:lvl>
  </w:abstractNum>
  <w:abstractNum w:abstractNumId="273">
    <w:nsid w:val="4303A216"/>
    <w:multiLevelType w:val="hybridMultilevel"/>
    <w:lvl w:ilvl="0">
      <w:lvlJc w:val="left"/>
      <w:lvlText w:val="(%1)"/>
      <w:numFmt w:val="lowerLetter"/>
      <w:start w:val="2"/>
    </w:lvl>
  </w:abstractNum>
  <w:abstractNum w:abstractNumId="274">
    <w:nsid w:val="19B8A08E"/>
    <w:multiLevelType w:val="hybridMultilevel"/>
    <w:lvl w:ilvl="0">
      <w:lvlJc w:val="left"/>
      <w:lvlText w:val="(%1)"/>
      <w:numFmt w:val="lowerLetter"/>
      <w:start w:val="3"/>
    </w:lvl>
  </w:abstractNum>
  <w:abstractNum w:abstractNumId="275">
    <w:nsid w:val="54B59621"/>
    <w:multiLevelType w:val="hybridMultilevel"/>
    <w:lvl w:ilvl="0">
      <w:lvlJc w:val="left"/>
      <w:lvlText w:val="(%1)"/>
      <w:numFmt w:val="lowerRoman"/>
      <w:start w:val="1"/>
    </w:lvl>
  </w:abstractNum>
  <w:abstractNum w:abstractNumId="276">
    <w:nsid w:val="5992A02E"/>
    <w:multiLevelType w:val="hybridMultilevel"/>
    <w:lvl w:ilvl="0">
      <w:lvlJc w:val="left"/>
      <w:lvlText w:val="(%1)"/>
      <w:numFmt w:val="lowerRoman"/>
      <w:start w:val="2"/>
    </w:lvl>
  </w:abstractNum>
  <w:abstractNum w:abstractNumId="277">
    <w:nsid w:val="29EF532D"/>
    <w:multiLevelType w:val="hybridMultilevel"/>
    <w:lvl w:ilvl="0">
      <w:lvlJc w:val="left"/>
      <w:lvlText w:val="3"/>
      <w:numFmt w:val="bullet"/>
      <w:start w:val="1"/>
    </w:lvl>
  </w:abstractNum>
  <w:abstractNum w:abstractNumId="278">
    <w:nsid w:val="71D601AF"/>
    <w:multiLevelType w:val="hybridMultilevel"/>
    <w:lvl w:ilvl="0">
      <w:lvlJc w:val="left"/>
      <w:lvlText w:val="(%1)"/>
      <w:numFmt w:val="lowerLetter"/>
      <w:start w:val="3"/>
    </w:lvl>
  </w:abstractNum>
  <w:abstractNum w:abstractNumId="279">
    <w:nsid w:val="52C77402"/>
    <w:multiLevelType w:val="hybridMultilevel"/>
    <w:lvl w:ilvl="0">
      <w:lvlJc w:val="left"/>
      <w:lvlText w:val="4"/>
      <w:numFmt w:val="bullet"/>
      <w:start w:val="1"/>
    </w:lvl>
  </w:abstractNum>
  <w:abstractNum w:abstractNumId="280">
    <w:nsid w:val="2BB5B1C6"/>
    <w:multiLevelType w:val="hybridMultilevel"/>
    <w:lvl w:ilvl="0">
      <w:lvlJc w:val="left"/>
      <w:lvlText w:val="5"/>
      <w:numFmt w:val="bullet"/>
      <w:start w:val="1"/>
    </w:lvl>
  </w:abstractNum>
  <w:abstractNum w:abstractNumId="281">
    <w:nsid w:val="66BE6B9"/>
    <w:multiLevelType w:val="hybridMultilevel"/>
    <w:lvl w:ilvl="0">
      <w:lvlJc w:val="left"/>
      <w:lvlText w:val="6"/>
      <w:numFmt w:val="bullet"/>
      <w:start w:val="1"/>
    </w:lvl>
  </w:abstractNum>
  <w:abstractNum w:abstractNumId="282">
    <w:nsid w:val="62234363"/>
    <w:multiLevelType w:val="hybridMultilevel"/>
    <w:lvl w:ilvl="0">
      <w:lvlJc w:val="left"/>
      <w:lvlText w:val="9"/>
      <w:numFmt w:val="bullet"/>
      <w:start w:val="1"/>
    </w:lvl>
  </w:abstractNum>
  <w:abstractNum w:abstractNumId="283">
    <w:nsid w:val="66D385C9"/>
    <w:multiLevelType w:val="hybridMultilevel"/>
    <w:lvl w:ilvl="0">
      <w:lvlJc w:val="left"/>
      <w:lvlText w:val="%1"/>
      <w:numFmt w:val="decimal"/>
      <w:start w:val="11"/>
    </w:lvl>
  </w:abstractNum>
  <w:abstractNum w:abstractNumId="284">
    <w:nsid w:val="596F6D8A"/>
    <w:multiLevelType w:val="hybridMultilevel"/>
    <w:lvl w:ilvl="0">
      <w:lvlJc w:val="left"/>
      <w:lvlText w:val="(%1)"/>
      <w:numFmt w:val="lowerRoman"/>
      <w:start w:val="1"/>
    </w:lvl>
  </w:abstractNum>
  <w:abstractNum w:abstractNumId="285">
    <w:nsid w:val="5749361F"/>
    <w:multiLevelType w:val="hybridMultilevel"/>
    <w:lvl w:ilvl="0">
      <w:lvlJc w:val="left"/>
      <w:lvlText w:val="(%1)"/>
      <w:numFmt w:val="lowerRoman"/>
      <w:start w:val="4"/>
    </w:lvl>
  </w:abstractNum>
  <w:abstractNum w:abstractNumId="286">
    <w:nsid w:val="73BC6770"/>
    <w:multiLevelType w:val="hybridMultilevel"/>
    <w:lvl w:ilvl="0">
      <w:lvlJc w:val="left"/>
      <w:lvlText w:val="(%1)"/>
      <w:numFmt w:val="lowerRoman"/>
      <w:start w:val="8"/>
    </w:lvl>
  </w:abstractNum>
  <w:abstractNum w:abstractNumId="287">
    <w:nsid w:val="280E6897"/>
    <w:multiLevelType w:val="hybridMultilevel"/>
    <w:lvl w:ilvl="0">
      <w:lvlJc w:val="left"/>
      <w:lvlText w:val="%1"/>
      <w:numFmt w:val="decimal"/>
      <w:start w:val="15"/>
    </w:lvl>
  </w:abstractNum>
  <w:abstractNum w:abstractNumId="288">
    <w:nsid w:val="605138DE"/>
    <w:multiLevelType w:val="hybridMultilevel"/>
    <w:lvl w:ilvl="0">
      <w:lvlJc w:val="left"/>
      <w:lvlText w:val="%1"/>
      <w:numFmt w:val="decimal"/>
      <w:start w:val="15"/>
    </w:lvl>
    <w:lvl w:ilvl="1">
      <w:lvlJc w:val="left"/>
      <w:lvlText w:val="•"/>
      <w:numFmt w:val="bullet"/>
      <w:start w:val="1"/>
    </w:lvl>
  </w:abstractNum>
  <w:abstractNum w:abstractNumId="289">
    <w:nsid w:val="2622AD0C"/>
    <w:multiLevelType w:val="hybridMultilevel"/>
    <w:lvl w:ilvl="0">
      <w:lvlJc w:val="left"/>
      <w:lvlText w:val="%1"/>
      <w:numFmt w:val="decimal"/>
      <w:start w:val="15"/>
    </w:lvl>
  </w:abstractNum>
  <w:abstractNum w:abstractNumId="290">
    <w:nsid w:val="67997556"/>
    <w:multiLevelType w:val="hybridMultilevel"/>
    <w:lvl w:ilvl="0">
      <w:lvlJc w:val="left"/>
      <w:lvlText w:val="%1"/>
      <w:numFmt w:val="decimal"/>
      <w:start w:val="15"/>
    </w:lvl>
  </w:abstractNum>
  <w:abstractNum w:abstractNumId="291">
    <w:nsid w:val="18333C89"/>
    <w:multiLevelType w:val="hybridMultilevel"/>
    <w:lvl w:ilvl="0">
      <w:lvlJc w:val="left"/>
      <w:lvlText w:val="%1"/>
      <w:numFmt w:val="decimal"/>
      <w:start w:val="15"/>
    </w:lvl>
  </w:abstractNum>
  <w:abstractNum w:abstractNumId="292">
    <w:nsid w:val="4BA9831A"/>
    <w:multiLevelType w:val="hybridMultilevel"/>
    <w:lvl w:ilvl="0">
      <w:lvlJc w:val="left"/>
      <w:lvlText w:val="%1"/>
      <w:numFmt w:val="decimal"/>
      <w:start w:val="15"/>
    </w:lvl>
  </w:abstractNum>
  <w:abstractNum w:abstractNumId="293">
    <w:nsid w:val="6D71A2B"/>
    <w:multiLevelType w:val="hybridMultilevel"/>
    <w:lvl w:ilvl="0">
      <w:lvlJc w:val="left"/>
      <w:lvlText w:val="%1"/>
      <w:numFmt w:val="decimal"/>
      <w:start w:val="15"/>
    </w:lvl>
  </w:abstractNum>
  <w:abstractNum w:abstractNumId="294">
    <w:nsid w:val="CFC7321"/>
    <w:multiLevelType w:val="hybridMultilevel"/>
    <w:lvl w:ilvl="0">
      <w:lvlJc w:val="left"/>
      <w:lvlText w:val="%1"/>
      <w:numFmt w:val="decimal"/>
      <w:start w:val="15"/>
    </w:lvl>
  </w:abstractNum>
  <w:abstractNum w:abstractNumId="295">
    <w:nsid w:val="1421971B"/>
    <w:multiLevelType w:val="hybridMultilevel"/>
    <w:lvl w:ilvl="0">
      <w:lvlJc w:val="left"/>
      <w:lvlText w:val="%1"/>
      <w:numFmt w:val="decimal"/>
      <w:start w:val="16"/>
    </w:lvl>
  </w:abstractNum>
  <w:abstractNum w:abstractNumId="296">
    <w:nsid w:val="1F404301"/>
    <w:multiLevelType w:val="hybridMultilevel"/>
    <w:lvl w:ilvl="0">
      <w:lvlJc w:val="left"/>
      <w:lvlText w:val="%1"/>
      <w:numFmt w:val="decimal"/>
      <w:start w:val="17"/>
    </w:lvl>
  </w:abstractNum>
  <w:abstractNum w:abstractNumId="297">
    <w:nsid w:val="116E0907"/>
    <w:multiLevelType w:val="hybridMultilevel"/>
    <w:lvl w:ilvl="0">
      <w:lvlJc w:val="left"/>
      <w:lvlText w:val="(%1)"/>
      <w:numFmt w:val="lowerLetter"/>
      <w:start w:val="1"/>
    </w:lvl>
  </w:abstractNum>
  <w:abstractNum w:abstractNumId="298">
    <w:nsid w:val="4B683D0D"/>
    <w:multiLevelType w:val="hybridMultilevel"/>
    <w:lvl w:ilvl="0">
      <w:lvlJc w:val="left"/>
      <w:lvlText w:val="(%1)"/>
      <w:numFmt w:val="lowerLetter"/>
      <w:start w:val="1"/>
    </w:lvl>
  </w:abstractNum>
  <w:abstractNum w:abstractNumId="299">
    <w:nsid w:val="76E41D8"/>
    <w:multiLevelType w:val="hybridMultilevel"/>
    <w:lvl w:ilvl="0">
      <w:lvlJc w:val="left"/>
      <w:lvlText w:val="(%1)"/>
      <w:numFmt w:val="lowerRoman"/>
      <w:start w:val="1"/>
    </w:lvl>
  </w:abstractNum>
  <w:abstractNum w:abstractNumId="300">
    <w:nsid w:val="71DCE0FD"/>
    <w:multiLevelType w:val="hybridMultilevel"/>
    <w:lvl w:ilvl="0">
      <w:lvlJc w:val="left"/>
      <w:lvlText w:val="(%1)"/>
      <w:numFmt w:val="lowerLetter"/>
      <w:start w:val="1"/>
    </w:lvl>
    <w:lvl w:ilvl="1">
      <w:lvlJc w:val="left"/>
      <w:lvlText w:val="(%2)"/>
      <w:numFmt w:val="lowerRoman"/>
      <w:start w:val="10"/>
    </w:lvl>
  </w:abstractNum>
  <w:abstractNum w:abstractNumId="301">
    <w:nsid w:val="7906328B"/>
    <w:multiLevelType w:val="hybridMultilevel"/>
    <w:lvl w:ilvl="0">
      <w:lvlJc w:val="left"/>
      <w:lvlText w:val="(%1)"/>
      <w:numFmt w:val="lowerLetter"/>
      <w:start w:val="1"/>
    </w:lvl>
  </w:abstractNum>
  <w:abstractNum w:abstractNumId="302">
    <w:nsid w:val="72BBC16"/>
    <w:multiLevelType w:val="hybridMultilevel"/>
    <w:lvl w:ilvl="0">
      <w:lvlJc w:val="left"/>
      <w:lvlText w:val="%1"/>
      <w:numFmt w:val="lowerLetter"/>
      <w:start w:val="1"/>
    </w:lvl>
    <w:lvl w:ilvl="1">
      <w:lvlJc w:val="left"/>
      <w:lvlText w:val="(%2)"/>
      <w:numFmt w:val="lowerRoman"/>
      <w:start w:val="1"/>
    </w:lvl>
  </w:abstractNum>
  <w:abstractNum w:abstractNumId="303">
    <w:nsid w:val="766D98C2"/>
    <w:multiLevelType w:val="hybridMultilevel"/>
    <w:lvl w:ilvl="0">
      <w:lvlJc w:val="left"/>
      <w:lvlText w:val="(%1)"/>
      <w:numFmt w:val="lowerLetter"/>
      <w:start w:val="2"/>
    </w:lvl>
    <w:lvl w:ilvl="1">
      <w:lvlJc w:val="left"/>
      <w:lvlText w:val="%2"/>
      <w:numFmt w:val="lowerRoman"/>
      <w:start w:val="1"/>
    </w:lvl>
  </w:abstractNum>
  <w:abstractNum w:abstractNumId="304">
    <w:nsid w:val="3C09D4A1"/>
    <w:multiLevelType w:val="hybridMultilevel"/>
    <w:lvl w:ilvl="0">
      <w:lvlJc w:val="left"/>
      <w:lvlText w:val="(%1)"/>
      <w:numFmt w:val="lowerLetter"/>
      <w:start w:val="2"/>
    </w:lvl>
  </w:abstractNum>
  <w:abstractNum w:abstractNumId="305">
    <w:nsid w:val="20E45CA4"/>
    <w:multiLevelType w:val="hybridMultilevel"/>
    <w:lvl w:ilvl="0">
      <w:lvlJc w:val="left"/>
      <w:lvlText w:val="(%1)"/>
      <w:numFmt w:val="lowerLetter"/>
      <w:start w:val="1"/>
    </w:lvl>
  </w:abstractNum>
  <w:abstractNum w:abstractNumId="306">
    <w:nsid w:val="4B232EE3"/>
    <w:multiLevelType w:val="hybridMultilevel"/>
    <w:lvl w:ilvl="0">
      <w:lvlJc w:val="left"/>
      <w:lvlText w:val="%1"/>
      <w:numFmt w:val="decimal"/>
      <w:start w:val="20"/>
    </w:lvl>
  </w:abstractNum>
  <w:abstractNum w:abstractNumId="307">
    <w:nsid w:val="159C74CF"/>
    <w:multiLevelType w:val="hybridMultilevel"/>
    <w:lvl w:ilvl="0">
      <w:lvlJc w:val="left"/>
      <w:lvlText w:val="(%1)"/>
      <w:numFmt w:val="lowerRoman"/>
      <w:start w:val="1"/>
    </w:lvl>
  </w:abstractNum>
  <w:abstractNum w:abstractNumId="308">
    <w:nsid w:val="4AD3AFD2"/>
    <w:multiLevelType w:val="hybridMultilevel"/>
    <w:lvl w:ilvl="0">
      <w:lvlJc w:val="left"/>
      <w:lvlText w:val="(%1)"/>
      <w:numFmt w:val="lowerRoman"/>
      <w:start w:val="2"/>
    </w:lvl>
  </w:abstractNum>
  <w:abstractNum w:abstractNumId="309">
    <w:nsid w:val="3CF93092"/>
    <w:multiLevelType w:val="hybridMultilevel"/>
    <w:lvl w:ilvl="0">
      <w:lvlJc w:val="left"/>
      <w:lvlText w:val="%1"/>
      <w:numFmt w:val="decimal"/>
      <w:start w:val="20"/>
    </w:lvl>
  </w:abstractNum>
  <w:abstractNum w:abstractNumId="310">
    <w:nsid w:val="6863E8D2"/>
    <w:multiLevelType w:val="hybridMultilevel"/>
    <w:lvl w:ilvl="0">
      <w:lvlJc w:val="left"/>
      <w:lvlText w:val="%1"/>
      <w:numFmt w:val="decimal"/>
      <w:start w:val="21"/>
    </w:lvl>
  </w:abstractNum>
  <w:abstractNum w:abstractNumId="311">
    <w:nsid w:val="76896198"/>
    <w:multiLevelType w:val="hybridMultilevel"/>
    <w:lvl w:ilvl="0">
      <w:lvlJc w:val="left"/>
      <w:lvlText w:val="%1"/>
      <w:numFmt w:val="decimal"/>
      <w:start w:val="21"/>
    </w:lvl>
  </w:abstractNum>
  <w:abstractNum w:abstractNumId="312">
    <w:nsid w:val="4365174B"/>
    <w:multiLevelType w:val="hybridMultilevel"/>
    <w:lvl w:ilvl="0">
      <w:lvlJc w:val="left"/>
      <w:lvlText w:val="(%1)"/>
      <w:numFmt w:val="lowerLetter"/>
      <w:start w:val="1"/>
    </w:lvl>
  </w:abstractNum>
  <w:abstractNum w:abstractNumId="313">
    <w:nsid w:val="4A872C35"/>
    <w:multiLevelType w:val="hybridMultilevel"/>
    <w:lvl w:ilvl="0">
      <w:lvlJc w:val="left"/>
      <w:lvlText w:val="(%1)"/>
      <w:numFmt w:val="lowerLetter"/>
      <w:start w:val="2"/>
    </w:lvl>
  </w:abstractNum>
  <w:abstractNum w:abstractNumId="314">
    <w:nsid w:val="5D5CE761"/>
    <w:multiLevelType w:val="hybridMultilevel"/>
    <w:lvl w:ilvl="0">
      <w:lvlJc w:val="left"/>
      <w:lvlText w:val="%1"/>
      <w:numFmt w:val="decimal"/>
      <w:start w:val="23"/>
    </w:lvl>
  </w:abstractNum>
  <w:abstractNum w:abstractNumId="315">
    <w:nsid w:val="1CD484D5"/>
    <w:multiLevelType w:val="hybridMultilevel"/>
    <w:lvl w:ilvl="0">
      <w:lvlJc w:val="left"/>
      <w:lvlText w:val="%1"/>
      <w:numFmt w:val="decimal"/>
      <w:start w:val="24"/>
    </w:lvl>
  </w:abstractNum>
  <w:abstractNum w:abstractNumId="316">
    <w:nsid w:val="21D06255"/>
    <w:multiLevelType w:val="hybridMultilevel"/>
    <w:lvl w:ilvl="0">
      <w:lvlJc w:val="left"/>
      <w:lvlText w:val="1"/>
      <w:numFmt w:val="bullet"/>
      <w:start w:val="1"/>
    </w:lvl>
  </w:abstractNum>
  <w:abstractNum w:abstractNumId="317">
    <w:nsid w:val="51194ED1"/>
    <w:multiLevelType w:val="hybridMultilevel"/>
    <w:lvl w:ilvl="0">
      <w:lvlJc w:val="left"/>
      <w:lvlText w:val="(%1)"/>
      <w:numFmt w:val="lowerLetter"/>
      <w:start w:val="1"/>
    </w:lvl>
  </w:abstractNum>
  <w:abstractNum w:abstractNumId="318">
    <w:nsid w:val="44E2ED6C"/>
    <w:multiLevelType w:val="hybridMultilevel"/>
    <w:lvl w:ilvl="0">
      <w:lvlJc w:val="left"/>
      <w:lvlText w:val="(%1)"/>
      <w:numFmt w:val="lowerLetter"/>
      <w:start w:val="2"/>
    </w:lvl>
  </w:abstractNum>
  <w:abstractNum w:abstractNumId="319">
    <w:nsid w:val="2219B33"/>
    <w:multiLevelType w:val="hybridMultilevel"/>
    <w:lvl w:ilvl="0">
      <w:lvlJc w:val="left"/>
      <w:lvlText w:val="1"/>
      <w:numFmt w:val="bullet"/>
      <w:start w:val="1"/>
    </w:lvl>
  </w:abstractNum>
  <w:abstractNum w:abstractNumId="320">
    <w:nsid w:val="773BFBDD"/>
    <w:multiLevelType w:val="hybridMultilevel"/>
    <w:lvl w:ilvl="0">
      <w:lvlJc w:val="left"/>
      <w:lvlText w:val="(%1)"/>
      <w:numFmt w:val="lowerLetter"/>
      <w:start w:val="2"/>
    </w:lvl>
  </w:abstractNum>
  <w:abstractNum w:abstractNumId="321">
    <w:nsid w:val="2C7C62C2"/>
    <w:multiLevelType w:val="hybridMultilevel"/>
    <w:lvl w:ilvl="0">
      <w:lvlJc w:val="left"/>
      <w:lvlText w:val="•"/>
      <w:numFmt w:val="bullet"/>
      <w:start w:val="1"/>
    </w:lvl>
  </w:abstractNum>
  <w:abstractNum w:abstractNumId="322">
    <w:nsid w:val="1A54D7BC"/>
    <w:multiLevelType w:val="hybridMultilevel"/>
    <w:lvl w:ilvl="0">
      <w:lvlJc w:val="left"/>
      <w:lvlText w:val="•"/>
      <w:numFmt w:val="bullet"/>
      <w:start w:val="1"/>
    </w:lvl>
  </w:abstractNum>
  <w:abstractNum w:abstractNumId="323">
    <w:nsid w:val="42E57EF7"/>
    <w:multiLevelType w:val="hybridMultilevel"/>
    <w:lvl w:ilvl="0">
      <w:lvlJc w:val="left"/>
      <w:lvlText w:val="•"/>
      <w:numFmt w:val="bullet"/>
      <w:start w:val="1"/>
    </w:lvl>
  </w:abstractNum>
  <w:abstractNum w:abstractNumId="324">
    <w:nsid w:val="33537CED"/>
    <w:multiLevelType w:val="hybridMultilevel"/>
    <w:lvl w:ilvl="0">
      <w:lvlJc w:val="left"/>
      <w:lvlText w:val="1"/>
      <w:numFmt w:val="bullet"/>
      <w:start w:val="1"/>
    </w:lvl>
  </w:abstractNum>
  <w:abstractNum w:abstractNumId="325">
    <w:nsid w:val="27514ADE"/>
    <w:multiLevelType w:val="hybridMultilevel"/>
    <w:lvl w:ilvl="0">
      <w:lvlJc w:val="left"/>
      <w:lvlText w:val="(%1)"/>
      <w:numFmt w:val="lowerLetter"/>
      <w:start w:val="3"/>
    </w:lvl>
  </w:abstractNum>
  <w:abstractNum w:abstractNumId="326">
    <w:nsid w:val="57071613"/>
    <w:multiLevelType w:val="hybridMultilevel"/>
    <w:lvl w:ilvl="0">
      <w:lvlJc w:val="left"/>
      <w:lvlText w:val="•"/>
      <w:numFmt w:val="bullet"/>
      <w:start w:val="1"/>
    </w:lvl>
  </w:abstractNum>
  <w:abstractNum w:abstractNumId="327">
    <w:nsid w:val="5293BFEF"/>
    <w:multiLevelType w:val="hybridMultilevel"/>
    <w:lvl w:ilvl="0">
      <w:lvlJc w:val="left"/>
      <w:lvlText w:val="•"/>
      <w:numFmt w:val="bullet"/>
      <w:start w:val="1"/>
    </w:lvl>
  </w:abstractNum>
  <w:abstractNum w:abstractNumId="328">
    <w:nsid w:val="38BF53E5"/>
    <w:multiLevelType w:val="hybridMultilevel"/>
    <w:lvl w:ilvl="0">
      <w:lvlJc w:val="left"/>
      <w:lvlText w:val="1"/>
      <w:numFmt w:val="bullet"/>
      <w:start w:val="1"/>
    </w:lvl>
  </w:abstractNum>
  <w:abstractNum w:abstractNumId="329">
    <w:nsid w:val="226F5320"/>
    <w:multiLevelType w:val="hybridMultilevel"/>
    <w:lvl w:ilvl="0">
      <w:lvlJc w:val="left"/>
      <w:lvlText w:val="(%1)"/>
      <w:numFmt w:val="lowerLetter"/>
      <w:start w:val="3"/>
    </w:lvl>
  </w:abstractNum>
  <w:abstractNum w:abstractNumId="330">
    <w:nsid w:val="5A0201C7"/>
    <w:multiLevelType w:val="hybridMultilevel"/>
    <w:lvl w:ilvl="0">
      <w:lvlJc w:val="left"/>
      <w:lvlText w:val="2"/>
      <w:numFmt w:val="bullet"/>
      <w:start w:val="1"/>
    </w:lvl>
  </w:abstractNum>
  <w:abstractNum w:abstractNumId="331">
    <w:nsid w:val="2A9C34E2"/>
    <w:multiLevelType w:val="hybridMultilevel"/>
    <w:lvl w:ilvl="0">
      <w:lvlJc w:val="left"/>
      <w:lvlText w:val="(%1)"/>
      <w:numFmt w:val="lowerLetter"/>
      <w:start w:val="1"/>
    </w:lvl>
  </w:abstractNum>
  <w:abstractNum w:abstractNumId="332">
    <w:nsid w:val="1B7585AB"/>
    <w:multiLevelType w:val="hybridMultilevel"/>
    <w:lvl w:ilvl="0">
      <w:lvlJc w:val="left"/>
      <w:lvlText w:val="2"/>
      <w:numFmt w:val="bullet"/>
      <w:start w:val="1"/>
    </w:lvl>
  </w:abstractNum>
  <w:abstractNum w:abstractNumId="333">
    <w:nsid w:val="612DBDDD"/>
    <w:multiLevelType w:val="hybridMultilevel"/>
    <w:lvl w:ilvl="0">
      <w:lvlJc w:val="left"/>
      <w:lvlText w:val="(%1)"/>
      <w:numFmt w:val="lowerLetter"/>
      <w:start w:val="3"/>
    </w:lvl>
  </w:abstractNum>
  <w:abstractNum w:abstractNumId="334">
    <w:nsid w:val="2109CDA4"/>
    <w:multiLevelType w:val="hybridMultilevel"/>
    <w:lvl w:ilvl="0">
      <w:lvlJc w:val="left"/>
      <w:lvlText w:val="2"/>
      <w:numFmt w:val="bullet"/>
      <w:start w:val="1"/>
    </w:lvl>
  </w:abstractNum>
  <w:abstractNum w:abstractNumId="335">
    <w:nsid w:val="577F5A4D"/>
    <w:multiLevelType w:val="hybridMultilevel"/>
    <w:lvl w:ilvl="0">
      <w:lvlJc w:val="left"/>
      <w:lvlText w:val="(%1)"/>
      <w:numFmt w:val="lowerLetter"/>
      <w:start w:val="5"/>
    </w:lvl>
  </w:abstractNum>
  <w:abstractNum w:abstractNumId="336">
    <w:nsid w:val="2121A81"/>
    <w:multiLevelType w:val="hybridMultilevel"/>
    <w:lvl w:ilvl="0">
      <w:lvlJc w:val="left"/>
      <w:lvlText w:val="2"/>
      <w:numFmt w:val="bullet"/>
      <w:start w:val="1"/>
    </w:lvl>
  </w:abstractNum>
  <w:abstractNum w:abstractNumId="337">
    <w:nsid w:val="6C2CFC88"/>
    <w:multiLevelType w:val="hybridMultilevel"/>
    <w:lvl w:ilvl="0">
      <w:lvlJc w:val="left"/>
      <w:lvlText w:val="(%1)"/>
      <w:numFmt w:val="lowerLetter"/>
      <w:start w:val="8"/>
    </w:lvl>
  </w:abstractNum>
  <w:abstractNum w:abstractNumId="338">
    <w:nsid w:val="6D1BCF1C"/>
    <w:multiLevelType w:val="hybridMultilevel"/>
    <w:lvl w:ilvl="0">
      <w:lvlJc w:val="left"/>
      <w:lvlText w:val="2"/>
      <w:numFmt w:val="bullet"/>
      <w:start w:val="1"/>
    </w:lvl>
  </w:abstractNum>
  <w:abstractNum w:abstractNumId="339">
    <w:nsid w:val="4CE5CA53"/>
    <w:multiLevelType w:val="hybridMultilevel"/>
    <w:lvl w:ilvl="0">
      <w:lvlJc w:val="left"/>
      <w:lvlText w:val="(%1)"/>
      <w:numFmt w:val="lowerLetter"/>
      <w:start w:val="11"/>
    </w:lvl>
  </w:abstractNum>
  <w:abstractNum w:abstractNumId="340">
    <w:nsid w:val="29262D1A"/>
    <w:multiLevelType w:val="hybridMultilevel"/>
    <w:lvl w:ilvl="0">
      <w:lvlJc w:val="left"/>
      <w:lvlText w:val="2"/>
      <w:numFmt w:val="bullet"/>
      <w:start w:val="1"/>
    </w:lvl>
  </w:abstractNum>
  <w:abstractNum w:abstractNumId="341">
    <w:nsid w:val="557FB7EE"/>
    <w:multiLevelType w:val="hybridMultilevel"/>
    <w:lvl w:ilvl="0">
      <w:lvlJc w:val="left"/>
      <w:lvlText w:val="(%1)"/>
      <w:numFmt w:val="lowerLetter"/>
      <w:start w:val="13"/>
    </w:lvl>
  </w:abstractNum>
  <w:abstractNum w:abstractNumId="342">
    <w:nsid w:val="436F2BEB"/>
    <w:multiLevelType w:val="hybridMultilevel"/>
    <w:lvl w:ilvl="0">
      <w:lvlJc w:val="left"/>
      <w:lvlText w:val="(%1)"/>
      <w:numFmt w:val="lowerLetter"/>
      <w:start w:val="15"/>
    </w:lvl>
  </w:abstractNum>
  <w:abstractNum w:abstractNumId="343">
    <w:nsid w:val="6C8B4466"/>
    <w:multiLevelType w:val="hybridMultilevel"/>
    <w:lvl w:ilvl="0">
      <w:lvlJc w:val="left"/>
      <w:lvlText w:val="2"/>
      <w:numFmt w:val="bullet"/>
      <w:start w:val="1"/>
    </w:lvl>
  </w:abstractNum>
  <w:abstractNum w:abstractNumId="344">
    <w:nsid w:val="2006E424"/>
    <w:multiLevelType w:val="hybridMultilevel"/>
    <w:lvl w:ilvl="0">
      <w:lvlJc w:val="left"/>
      <w:lvlText w:val="(%1)"/>
      <w:numFmt w:val="lowerLetter"/>
      <w:start w:val="18"/>
    </w:lvl>
  </w:abstractNum>
  <w:abstractNum w:abstractNumId="345">
    <w:nsid w:val="20CC134C"/>
    <w:multiLevelType w:val="hybridMultilevel"/>
    <w:lvl w:ilvl="0">
      <w:lvlJc w:val="left"/>
      <w:lvlText w:val="2"/>
      <w:numFmt w:val="bullet"/>
      <w:start w:val="1"/>
    </w:lvl>
  </w:abstractNum>
  <w:abstractNum w:abstractNumId="346">
    <w:nsid w:val="95FC93B"/>
    <w:multiLevelType w:val="hybridMultilevel"/>
    <w:lvl w:ilvl="0">
      <w:lvlJc w:val="left"/>
      <w:lvlText w:val="(%1)"/>
      <w:numFmt w:val="lowerLetter"/>
      <w:start w:val="20"/>
    </w:lvl>
  </w:abstractNum>
  <w:abstractNum w:abstractNumId="347">
    <w:nsid w:val="41D74679"/>
    <w:multiLevelType w:val="hybridMultilevel"/>
    <w:lvl w:ilvl="0">
      <w:lvlJc w:val="left"/>
      <w:lvlText w:val="2"/>
      <w:numFmt w:val="bullet"/>
      <w:start w:val="1"/>
    </w:lvl>
  </w:abstractNum>
  <w:abstractNum w:abstractNumId="348">
    <w:nsid w:val="71E5621E"/>
    <w:multiLevelType w:val="hybridMultilevel"/>
    <w:lvl w:ilvl="0">
      <w:lvlJc w:val="left"/>
      <w:lvlText w:val="(%1)"/>
      <w:numFmt w:val="lowerLetter"/>
      <w:start w:val="22"/>
    </w:lvl>
  </w:abstractNum>
  <w:abstractNum w:abstractNumId="349">
    <w:nsid w:val="4E42B6A8"/>
    <w:multiLevelType w:val="hybridMultilevel"/>
    <w:lvl w:ilvl="0">
      <w:lvlJc w:val="left"/>
      <w:lvlText w:val="2"/>
      <w:numFmt w:val="bullet"/>
      <w:start w:val="1"/>
    </w:lvl>
  </w:abstractNum>
  <w:abstractNum w:abstractNumId="350">
    <w:nsid w:val="43F8E1AC"/>
    <w:multiLevelType w:val="hybridMultilevel"/>
    <w:lvl w:ilvl="0">
      <w:lvlJc w:val="left"/>
      <w:lvlText w:val="(%1)"/>
      <w:numFmt w:val="lowerLetter"/>
      <w:start w:val="26"/>
    </w:lvl>
  </w:abstractNum>
  <w:abstractNum w:abstractNumId="351">
    <w:nsid w:val="69215DFB"/>
    <w:multiLevelType w:val="hybridMultilevel"/>
    <w:lvl w:ilvl="0">
      <w:lvlJc w:val="left"/>
      <w:lvlText w:val="2"/>
      <w:numFmt w:val="bullet"/>
      <w:start w:val="1"/>
    </w:lvl>
  </w:abstractNum>
  <w:abstractNum w:abstractNumId="352">
    <w:nsid w:val="7ABF196A"/>
    <w:multiLevelType w:val="hybridMultilevel"/>
    <w:lvl w:ilvl="0">
      <w:lvlJc w:val="left"/>
      <w:lvlText w:val="(%1)"/>
      <w:numFmt w:val="lowerLetter"/>
      <w:start w:val="26"/>
    </w:lvl>
  </w:abstractNum>
  <w:abstractNum w:abstractNumId="353">
    <w:nsid w:val="5E4DB968"/>
    <w:multiLevelType w:val="hybridMultilevel"/>
    <w:lvl w:ilvl="0">
      <w:lvlJc w:val="left"/>
      <w:lvlText w:val="2"/>
      <w:numFmt w:val="bullet"/>
      <w:start w:val="1"/>
    </w:lvl>
  </w:abstractNum>
  <w:abstractNum w:abstractNumId="354">
    <w:nsid w:val="2C06DCF3"/>
    <w:multiLevelType w:val="hybridMultilevel"/>
    <w:lvl w:ilvl="0">
      <w:lvlJc w:val="left"/>
      <w:lvlText w:val="(%1)"/>
      <w:numFmt w:val="lowerLetter"/>
      <w:start w:val="26"/>
    </w:lvl>
  </w:abstractNum>
  <w:abstractNum w:abstractNumId="355">
    <w:nsid w:val="2E129658"/>
    <w:multiLevelType w:val="hybridMultilevel"/>
    <w:lvl w:ilvl="0">
      <w:lvlJc w:val="left"/>
      <w:lvlText w:val="3"/>
      <w:numFmt w:val="bullet"/>
      <w:start w:val="1"/>
    </w:lvl>
  </w:abstractNum>
  <w:abstractNum w:abstractNumId="356">
    <w:nsid w:val="59F0446"/>
    <w:multiLevelType w:val="hybridMultilevel"/>
    <w:lvl w:ilvl="0">
      <w:lvlJc w:val="left"/>
      <w:lvlText w:val="(%1)"/>
      <w:numFmt w:val="lowerLetter"/>
      <w:start w:val="1"/>
    </w:lvl>
    <w:lvl w:ilvl="1">
      <w:lvlJc w:val="left"/>
      <w:lvlText w:val="•"/>
      <w:numFmt w:val="bullet"/>
      <w:start w:val="1"/>
    </w:lvl>
  </w:abstractNum>
  <w:abstractNum w:abstractNumId="357">
    <w:nsid w:val="30DF306"/>
    <w:multiLevelType w:val="hybridMultilevel"/>
    <w:lvl w:ilvl="0">
      <w:lvlJc w:val="left"/>
      <w:lvlText w:val="3"/>
      <w:numFmt w:val="bullet"/>
      <w:start w:val="1"/>
    </w:lvl>
  </w:abstractNum>
  <w:abstractNum w:abstractNumId="358">
    <w:nsid w:val="A65647"/>
    <w:multiLevelType w:val="hybridMultilevel"/>
    <w:lvl w:ilvl="0">
      <w:lvlJc w:val="left"/>
      <w:lvlText w:val="(%1)"/>
      <w:numFmt w:val="lowerLetter"/>
      <w:start w:val="1"/>
    </w:lvl>
  </w:abstractNum>
  <w:abstractNum w:abstractNumId="359">
    <w:nsid w:val="3E5E582B"/>
    <w:multiLevelType w:val="hybridMultilevel"/>
    <w:lvl w:ilvl="0">
      <w:lvlJc w:val="left"/>
      <w:lvlText w:val="•"/>
      <w:numFmt w:val="bullet"/>
      <w:start w:val="1"/>
    </w:lvl>
  </w:abstractNum>
  <w:abstractNum w:abstractNumId="360">
    <w:nsid w:val="257D4626"/>
    <w:multiLevelType w:val="hybridMultilevel"/>
    <w:lvl w:ilvl="0">
      <w:lvlJc w:val="left"/>
      <w:lvlText w:val="3"/>
      <w:numFmt w:val="bullet"/>
      <w:start w:val="1"/>
    </w:lvl>
  </w:abstractNum>
  <w:abstractNum w:abstractNumId="361">
    <w:nsid w:val="5AA8580E"/>
    <w:multiLevelType w:val="hybridMultilevel"/>
    <w:lvl w:ilvl="0">
      <w:lvlJc w:val="left"/>
      <w:lvlText w:val="(%1)"/>
      <w:numFmt w:val="lowerLetter"/>
      <w:start w:val="1"/>
    </w:lvl>
  </w:abstractNum>
  <w:abstractNum w:abstractNumId="362">
    <w:nsid w:val="68FA8D0D"/>
    <w:multiLevelType w:val="hybridMultilevel"/>
    <w:lvl w:ilvl="0">
      <w:lvlJc w:val="left"/>
      <w:lvlText w:val="3"/>
      <w:numFmt w:val="bullet"/>
      <w:start w:val="1"/>
    </w:lvl>
  </w:abstractNum>
  <w:abstractNum w:abstractNumId="363">
    <w:nsid w:val="40F2CBD2"/>
    <w:multiLevelType w:val="hybridMultilevel"/>
    <w:lvl w:ilvl="0">
      <w:lvlJc w:val="left"/>
      <w:lvlText w:val="(%1)"/>
      <w:numFmt w:val="lowerLetter"/>
      <w:start w:val="2"/>
    </w:lvl>
  </w:abstractNum>
  <w:abstractNum w:abstractNumId="364">
    <w:nsid w:val="3BD615EB"/>
    <w:multiLevelType w:val="hybridMultilevel"/>
    <w:lvl w:ilvl="0">
      <w:lvlJc w:val="left"/>
      <w:lvlText w:val="(%1)"/>
      <w:numFmt w:val="lowerRoman"/>
      <w:start w:val="1"/>
    </w:lvl>
  </w:abstractNum>
  <w:abstractNum w:abstractNumId="365">
    <w:nsid w:val="A045AB2"/>
    <w:multiLevelType w:val="hybridMultilevel"/>
    <w:lvl w:ilvl="0">
      <w:lvlJc w:val="left"/>
      <w:lvlText w:val="(%1)"/>
      <w:numFmt w:val="lowerRoman"/>
      <w:start w:val="2"/>
    </w:lvl>
  </w:abstractNum>
  <w:abstractNum w:abstractNumId="366">
    <w:nsid w:val="1872261F"/>
    <w:multiLevelType w:val="hybridMultilevel"/>
    <w:lvl w:ilvl="0">
      <w:lvlJc w:val="left"/>
      <w:lvlText w:val="3"/>
      <w:numFmt w:val="bullet"/>
      <w:start w:val="1"/>
    </w:lvl>
  </w:abstractNum>
  <w:abstractNum w:abstractNumId="367">
    <w:nsid w:val="3DE8306C"/>
    <w:multiLevelType w:val="hybridMultilevel"/>
    <w:lvl w:ilvl="0">
      <w:lvlJc w:val="left"/>
      <w:lvlText w:val="(%1)"/>
      <w:numFmt w:val="lowerLetter"/>
      <w:start w:val="3"/>
    </w:lvl>
  </w:abstractNum>
  <w:abstractNum w:abstractNumId="368">
    <w:nsid w:val="7631573A"/>
    <w:multiLevelType w:val="hybridMultilevel"/>
    <w:lvl w:ilvl="0">
      <w:lvlJc w:val="left"/>
      <w:lvlText w:val="4"/>
      <w:numFmt w:val="bullet"/>
      <w:start w:val="1"/>
    </w:lvl>
  </w:abstractNum>
  <w:abstractNum w:abstractNumId="369">
    <w:nsid w:val="58DF53B"/>
    <w:multiLevelType w:val="hybridMultilevel"/>
    <w:lvl w:ilvl="0">
      <w:lvlJc w:val="left"/>
      <w:lvlText w:val="6"/>
      <w:numFmt w:val="bullet"/>
      <w:start w:val="1"/>
    </w:lvl>
  </w:abstractNum>
  <w:abstractNum w:abstractNumId="370">
    <w:nsid w:val="ACDFAC0"/>
    <w:multiLevelType w:val="hybridMultilevel"/>
    <w:lvl w:ilvl="0">
      <w:lvlJc w:val="left"/>
      <w:lvlText w:val="7"/>
      <w:numFmt w:val="bullet"/>
      <w:start w:val="1"/>
    </w:lvl>
  </w:abstractNum>
  <w:abstractNum w:abstractNumId="371">
    <w:nsid w:val="1F578454"/>
    <w:multiLevelType w:val="hybridMultilevel"/>
    <w:lvl w:ilvl="0">
      <w:lvlJc w:val="left"/>
      <w:lvlText w:val="8"/>
      <w:numFmt w:val="bullet"/>
      <w:start w:val="1"/>
    </w:lvl>
  </w:abstractNum>
  <w:abstractNum w:abstractNumId="372">
    <w:nsid w:val="5B0DAD2A"/>
    <w:multiLevelType w:val="hybridMultilevel"/>
    <w:lvl w:ilvl="0">
      <w:lvlJc w:val="left"/>
      <w:lvlText w:val="9"/>
      <w:numFmt w:val="bullet"/>
      <w:start w:val="1"/>
    </w:lvl>
  </w:abstractNum>
  <w:abstractNum w:abstractNumId="373">
    <w:nsid w:val="4E3D26AB"/>
    <w:multiLevelType w:val="hybridMultilevel"/>
    <w:lvl w:ilvl="0">
      <w:lvlJc w:val="left"/>
      <w:lvlText w:val="%1"/>
      <w:numFmt w:val="decimal"/>
      <w:start w:val="10"/>
    </w:lvl>
  </w:abstractNum>
  <w:abstractNum w:abstractNumId="374">
    <w:nsid w:val="BE2C8BA"/>
    <w:multiLevelType w:val="hybridMultilevel"/>
    <w:lvl w:ilvl="0">
      <w:lvlJc w:val="left"/>
      <w:lvlText w:val="%1"/>
      <w:numFmt w:val="decimal"/>
      <w:start w:val="10"/>
    </w:lvl>
  </w:abstractNum>
  <w:abstractNum w:abstractNumId="375">
    <w:nsid w:val="7B14914E"/>
    <w:multiLevelType w:val="hybridMultilevel"/>
    <w:lvl w:ilvl="0">
      <w:lvlJc w:val="left"/>
      <w:lvlText w:val="%1"/>
      <w:numFmt w:val="decimal"/>
      <w:start w:val="12"/>
    </w:lvl>
  </w:abstractNum>
  <w:abstractNum w:abstractNumId="376">
    <w:nsid w:val="6F0939F8"/>
    <w:multiLevelType w:val="hybridMultilevel"/>
    <w:lvl w:ilvl="0">
      <w:lvlJc w:val="left"/>
      <w:lvlText w:val="%1"/>
      <w:numFmt w:val="decimal"/>
      <w:start w:val="12"/>
    </w:lvl>
  </w:abstractNum>
  <w:abstractNum w:abstractNumId="377">
    <w:nsid w:val="154291F6"/>
    <w:multiLevelType w:val="hybridMultilevel"/>
    <w:lvl w:ilvl="0">
      <w:lvlJc w:val="left"/>
      <w:lvlText w:val="(%1)"/>
      <w:numFmt w:val="lowerLetter"/>
      <w:start w:val="1"/>
    </w:lvl>
  </w:abstractNum>
  <w:abstractNum w:abstractNumId="378">
    <w:nsid w:val="3CEBD7C7"/>
    <w:multiLevelType w:val="hybridMultilevel"/>
    <w:lvl w:ilvl="0">
      <w:lvlJc w:val="left"/>
      <w:lvlText w:val="(%1)"/>
      <w:numFmt w:val="lowerLetter"/>
      <w:start w:val="1"/>
    </w:lvl>
  </w:abstractNum>
  <w:abstractNum w:abstractNumId="379">
    <w:nsid w:val="60EE9C16"/>
    <w:multiLevelType w:val="hybridMultilevel"/>
    <w:lvl w:ilvl="0">
      <w:lvlJc w:val="left"/>
      <w:lvlText w:val="(%1)"/>
      <w:numFmt w:val="lowerRoman"/>
      <w:start w:val="1"/>
    </w:lvl>
  </w:abstractNum>
  <w:abstractNum w:abstractNumId="380">
    <w:nsid w:val="6385489E"/>
    <w:multiLevelType w:val="hybridMultilevel"/>
    <w:lvl w:ilvl="0">
      <w:lvlJc w:val="left"/>
      <w:lvlText w:val="(%1)"/>
      <w:numFmt w:val="lowerLetter"/>
      <w:start w:val="1"/>
    </w:lvl>
    <w:lvl w:ilvl="1">
      <w:lvlJc w:val="left"/>
      <w:lvlText w:val="(%2)"/>
      <w:numFmt w:val="lowerRoman"/>
      <w:start w:val="7"/>
    </w:lvl>
  </w:abstractNum>
  <w:abstractNum w:abstractNumId="381">
    <w:nsid w:val="E4B973"/>
    <w:multiLevelType w:val="hybridMultilevel"/>
    <w:lvl w:ilvl="0">
      <w:lvlJc w:val="left"/>
      <w:lvlText w:val="(%1)"/>
      <w:numFmt w:val="lowerLetter"/>
      <w:start w:val="1"/>
    </w:lvl>
    <w:lvl w:ilvl="1">
      <w:lvlJc w:val="left"/>
      <w:lvlText w:val="(%2)"/>
      <w:numFmt w:val="lowerRoman"/>
      <w:start w:val="18"/>
    </w:lvl>
  </w:abstractNum>
  <w:abstractNum w:abstractNumId="382">
    <w:nsid w:val="4A0FFA11"/>
    <w:multiLevelType w:val="hybridMultilevel"/>
    <w:lvl w:ilvl="0">
      <w:lvlJc w:val="left"/>
      <w:lvlText w:val="(%1)"/>
      <w:numFmt w:val="lowerLetter"/>
      <w:start w:val="1"/>
    </w:lvl>
  </w:abstractNum>
  <w:abstractNum w:abstractNumId="383">
    <w:nsid w:val="5E446208"/>
    <w:multiLevelType w:val="hybridMultilevel"/>
    <w:lvl w:ilvl="0">
      <w:lvlJc w:val="left"/>
      <w:lvlText w:val="(%1)"/>
      <w:numFmt w:val="lowerRoman"/>
      <w:start w:val="1"/>
    </w:lvl>
  </w:abstractNum>
  <w:abstractNum w:abstractNumId="384">
    <w:nsid w:val="5F3272DB"/>
    <w:multiLevelType w:val="hybridMultilevel"/>
    <w:lvl w:ilvl="0">
      <w:lvlJc w:val="left"/>
      <w:lvlText w:val="(%1)"/>
      <w:numFmt w:val="lowerRoman"/>
      <w:start w:val="1"/>
    </w:lvl>
  </w:abstractNum>
  <w:abstractNum w:abstractNumId="385">
    <w:nsid w:val="7616D704"/>
    <w:multiLevelType w:val="hybridMultilevel"/>
    <w:lvl w:ilvl="0">
      <w:lvlJc w:val="left"/>
      <w:lvlText w:val="(%1)"/>
      <w:numFmt w:val="lowerRoman"/>
      <w:start w:val="3"/>
    </w:lvl>
  </w:abstractNum>
  <w:abstractNum w:abstractNumId="386">
    <w:nsid w:val="C56F860"/>
    <w:multiLevelType w:val="hybridMultilevel"/>
    <w:lvl w:ilvl="0">
      <w:lvlJc w:val="left"/>
      <w:lvlText w:val="(%1)"/>
      <w:numFmt w:val="lowerLetter"/>
      <w:start w:val="61"/>
    </w:lvl>
    <w:lvl w:ilvl="1">
      <w:lvlJc w:val="left"/>
      <w:lvlText w:val="(%2)"/>
      <w:numFmt w:val="lowerLetter"/>
      <w:start w:val="1"/>
    </w:lvl>
  </w:abstractNum>
  <w:abstractNum w:abstractNumId="387">
    <w:nsid w:val="64D17722"/>
    <w:multiLevelType w:val="hybridMultilevel"/>
    <w:lvl w:ilvl="0">
      <w:lvlJc w:val="left"/>
      <w:lvlText w:val="(%1)"/>
      <w:numFmt w:val="lowerRoman"/>
      <w:start w:val="3"/>
    </w:lvl>
  </w:abstractNum>
  <w:abstractNum w:abstractNumId="388">
    <w:nsid w:val="7924CA0A"/>
    <w:multiLevelType w:val="hybridMultilevel"/>
    <w:lvl w:ilvl="0">
      <w:lvlJc w:val="left"/>
      <w:lvlText w:val="(%1)"/>
      <w:numFmt w:val="lowerLetter"/>
      <w:start w:val="1"/>
    </w:lvl>
  </w:abstractNum>
  <w:abstractNum w:abstractNumId="389">
    <w:nsid w:val="CFD4EA7"/>
    <w:multiLevelType w:val="hybridMultilevel"/>
    <w:lvl w:ilvl="0">
      <w:lvlJc w:val="left"/>
      <w:lvlText w:val="(%1)"/>
      <w:numFmt w:val="lowerLetter"/>
      <w:start w:val="1"/>
    </w:lvl>
  </w:abstractNum>
  <w:abstractNum w:abstractNumId="390">
    <w:nsid w:val="232FCF4D"/>
    <w:multiLevelType w:val="hybridMultilevel"/>
    <w:lvl w:ilvl="0">
      <w:lvlJc w:val="left"/>
      <w:lvlText w:val="(%1)"/>
      <w:numFmt w:val="lowerLetter"/>
      <w:start w:val="2"/>
    </w:lvl>
  </w:abstractNum>
  <w:abstractNum w:abstractNumId="391">
    <w:nsid w:val="1EA21031"/>
    <w:multiLevelType w:val="hybridMultilevel"/>
    <w:lvl w:ilvl="0">
      <w:lvlJc w:val="left"/>
      <w:lvlText w:val="%1"/>
      <w:numFmt w:val="decimal"/>
      <w:start w:val="17"/>
    </w:lvl>
  </w:abstractNum>
  <w:abstractNum w:abstractNumId="392">
    <w:nsid w:val="67A5A6B5"/>
    <w:multiLevelType w:val="hybridMultilevel"/>
    <w:lvl w:ilvl="0">
      <w:lvlJc w:val="left"/>
      <w:lvlText w:val="(%1)"/>
      <w:numFmt w:val="decimal"/>
      <w:start w:val="2"/>
    </w:lvl>
  </w:abstractNum>
  <w:abstractNum w:abstractNumId="393">
    <w:nsid w:val="C2A5C5B"/>
    <w:multiLevelType w:val="hybridMultilevel"/>
    <w:lvl w:ilvl="0">
      <w:lvlJc w:val="left"/>
      <w:lvlText w:val="1"/>
      <w:numFmt w:val="bullet"/>
      <w:start w:val="1"/>
    </w:lvl>
  </w:abstractNum>
  <w:abstractNum w:abstractNumId="394">
    <w:nsid w:val="5F94DC03"/>
    <w:multiLevelType w:val="hybridMultilevel"/>
    <w:lvl w:ilvl="0">
      <w:lvlJc w:val="left"/>
      <w:lvlText w:val="2"/>
      <w:numFmt w:val="bullet"/>
      <w:start w:val="1"/>
    </w:lvl>
  </w:abstractNum>
  <w:abstractNum w:abstractNumId="395">
    <w:nsid w:val="237BBCA0"/>
    <w:multiLevelType w:val="hybridMultilevel"/>
    <w:lvl w:ilvl="0">
      <w:lvlJc w:val="left"/>
      <w:lvlText w:val="3"/>
      <w:numFmt w:val="bullet"/>
      <w:start w:val="1"/>
    </w:lvl>
  </w:abstractNum>
  <w:abstractNum w:abstractNumId="396">
    <w:nsid w:val="162EB70D"/>
    <w:multiLevelType w:val="hybridMultilevel"/>
    <w:lvl w:ilvl="0">
      <w:lvlJc w:val="left"/>
      <w:lvlText w:val="4"/>
      <w:numFmt w:val="bullet"/>
      <w:start w:val="1"/>
    </w:lvl>
  </w:abstractNum>
  <w:abstractNum w:abstractNumId="397">
    <w:nsid w:val="78070222"/>
    <w:multiLevelType w:val="hybridMultilevel"/>
    <w:lvl w:ilvl="0">
      <w:lvlJc w:val="left"/>
      <w:lvlText w:val="5"/>
      <w:numFmt w:val="bullet"/>
      <w:start w:val="1"/>
    </w:lvl>
  </w:abstractNum>
  <w:abstractNum w:abstractNumId="398">
    <w:nsid w:val="6163ED0D"/>
    <w:multiLevelType w:val="hybridMultilevel"/>
    <w:lvl w:ilvl="0">
      <w:lvlJc w:val="left"/>
      <w:lvlText w:val="*"/>
      <w:numFmt w:val="bullet"/>
      <w:start w:val="1"/>
    </w:lvl>
  </w:abstractNum>
  <w:abstractNum w:abstractNumId="399">
    <w:nsid w:val="C600E47"/>
    <w:multiLevelType w:val="hybridMultilevel"/>
    <w:lvl w:ilvl="0">
      <w:lvlJc w:val="left"/>
      <w:lvlText w:val="(%1)"/>
      <w:numFmt w:val="decimal"/>
      <w:start w:val="1"/>
    </w:lvl>
  </w:abstractNum>
  <w:abstractNum w:abstractNumId="400">
    <w:nsid w:val="7D94F75D"/>
    <w:multiLevelType w:val="hybridMultilevel"/>
    <w:lvl w:ilvl="0">
      <w:lvlJc w:val="left"/>
      <w:lvlText w:val=","/>
      <w:numFmt w:val="bullet"/>
      <w:start w:val="1"/>
    </w:lvl>
  </w:abstractNum>
  <w:abstractNum w:abstractNumId="401">
    <w:nsid w:val="6C31E7CD"/>
    <w:multiLevelType w:val="hybridMultilevel"/>
    <w:lvl w:ilvl="0">
      <w:lvlJc w:val="left"/>
      <w:lvlText w:val="%1."/>
      <w:numFmt w:val="upperLetter"/>
      <w:start w:val="9"/>
    </w:lvl>
  </w:abstractNum>
  <w:abstractNum w:abstractNumId="402">
    <w:nsid w:val="2BB7929B"/>
    <w:multiLevelType w:val="hybridMultilevel"/>
    <w:lvl w:ilvl="0">
      <w:lvlJc w:val="left"/>
      <w:lvlText w:val="%1."/>
      <w:numFmt w:val="upperLetter"/>
      <w:start w:val="35"/>
    </w:lvl>
  </w:abstractNum>
  <w:abstractNum w:abstractNumId="403">
    <w:nsid w:val="58A2A487"/>
    <w:multiLevelType w:val="hybridMultilevel"/>
    <w:lvl w:ilvl="0">
      <w:lvlJc w:val="left"/>
      <w:lvlText w:val="%1."/>
      <w:numFmt w:val="decimal"/>
      <w:start w:val="1"/>
    </w:lvl>
  </w:abstractNum>
  <w:abstractNum w:abstractNumId="404">
    <w:nsid w:val="3A6F0E78"/>
    <w:multiLevelType w:val="hybridMultilevel"/>
    <w:lvl w:ilvl="0">
      <w:lvlJc w:val="left"/>
      <w:lvlText w:val="%1."/>
      <w:numFmt w:val="upperLetter"/>
      <w:start w:val="61"/>
    </w:lvl>
  </w:abstractNum>
  <w:abstractNum w:abstractNumId="405">
    <w:nsid w:val="379A5B56"/>
    <w:multiLevelType w:val="hybridMultilevel"/>
    <w:lvl w:ilvl="0">
      <w:lvlJc w:val="left"/>
      <w:lvlText w:val="%1."/>
      <w:numFmt w:val="decimal"/>
      <w:start w:val="1"/>
    </w:lvl>
  </w:abstractNum>
  <w:abstractNum w:abstractNumId="406">
    <w:nsid w:val="53B735D5"/>
    <w:multiLevelType w:val="hybridMultilevel"/>
    <w:lvl w:ilvl="0">
      <w:lvlJc w:val="left"/>
      <w:lvlText w:val="%1."/>
      <w:numFmt w:val="decimal"/>
      <w:start w:val="1"/>
    </w:lvl>
    <w:lvl w:ilvl="1">
      <w:lvlJc w:val="left"/>
      <w:lvlText w:val="%2)"/>
      <w:numFmt w:val="decimal"/>
      <w:start w:val="1"/>
    </w:lvl>
  </w:abstractNum>
  <w:abstractNum w:abstractNumId="407">
    <w:nsid w:val="29784870"/>
    <w:multiLevelType w:val="hybridMultilevel"/>
    <w:lvl w:ilvl="0">
      <w:lvlJc w:val="left"/>
      <w:lvlText w:val="%1"/>
      <w:numFmt w:val="upperLetter"/>
      <w:start w:val="1"/>
    </w:lvl>
    <w:lvl w:ilvl="1">
      <w:lvlJc w:val="left"/>
      <w:lvlText w:val="%2)"/>
      <w:numFmt w:val="decimal"/>
      <w:start w:val="6"/>
    </w:lvl>
  </w:abstractNum>
  <w:abstractNum w:abstractNumId="408">
    <w:nsid w:val="4CDCED4C"/>
    <w:multiLevelType w:val="hybridMultilevel"/>
    <w:lvl w:ilvl="0">
      <w:lvlJc w:val="left"/>
      <w:lvlText w:val="%1."/>
      <w:numFmt w:val="upperLetter"/>
      <w:start w:val="22"/>
    </w:lvl>
    <w:lvl w:ilvl="1">
      <w:lvlJc w:val="left"/>
      <w:lvlText w:val="%2"/>
      <w:numFmt w:val="decimal"/>
      <w:start w:val="1"/>
    </w:lvl>
  </w:abstractNum>
  <w:abstractNum w:abstractNumId="409">
    <w:nsid w:val="10A30D9C"/>
    <w:multiLevelType w:val="hybridMultilevel"/>
    <w:lvl w:ilvl="0">
      <w:lvlJc w:val="left"/>
      <w:lvlText w:val="%1."/>
      <w:numFmt w:val="decimal"/>
      <w:start w:val="1"/>
    </w:lvl>
  </w:abstractNum>
  <w:abstractNum w:abstractNumId="410">
    <w:nsid w:val="A66E486"/>
    <w:multiLevelType w:val="hybridMultilevel"/>
    <w:lvl w:ilvl="0">
      <w:lvlJc w:val="left"/>
      <w:lvlText w:val="%1."/>
      <w:numFmt w:val="decimal"/>
      <w:start w:val="1"/>
    </w:lvl>
  </w:abstractNum>
  <w:abstractNum w:abstractNumId="411">
    <w:nsid w:val="306235EA"/>
    <w:multiLevelType w:val="hybridMultilevel"/>
    <w:lvl w:ilvl="0">
      <w:lvlJc w:val="left"/>
      <w:lvlText w:val="%1."/>
      <w:numFmt w:val="decimal"/>
      <w:start w:val="1"/>
    </w:lvl>
    <w:lvl w:ilvl="1">
      <w:lvlJc w:val="left"/>
      <w:lvlText w:val="%2)"/>
      <w:numFmt w:val="decimal"/>
      <w:start w:val="1"/>
    </w:lvl>
  </w:abstractNum>
  <w:abstractNum w:abstractNumId="412">
    <w:nsid w:val="1187C70F"/>
    <w:multiLevelType w:val="hybridMultilevel"/>
    <w:lvl w:ilvl="0">
      <w:lvlJc w:val="left"/>
      <w:lvlText w:val="%1."/>
      <w:numFmt w:val="decimal"/>
      <w:start w:val="1"/>
    </w:lvl>
  </w:abstractNum>
  <w:abstractNum w:abstractNumId="413">
    <w:nsid w:val="5476DE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2019-12-08T07:57:00Z</dcterms:created>
  <dcterms:modified xsi:type="dcterms:W3CDTF">2019-12-08T07:57:00Z</dcterms:modified>
</cp:coreProperties>
</file>