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February 26, 2021</w:t>
      </w:r>
    </w:p>
    <w:p>
      <w:pPr>
        <w:spacing w:after="0" w:line="32" w:lineRule="exact"/>
        <w:rPr>
          <w:sz w:val="24"/>
          <w:szCs w:val="24"/>
          <w:color w:val="auto"/>
        </w:rPr>
      </w:pPr>
    </w:p>
    <w:p>
      <w:pPr>
        <w:ind w:left="9400"/>
        <w:spacing w:after="0"/>
        <w:rPr>
          <w:sz w:val="20"/>
          <w:szCs w:val="20"/>
          <w:color w:val="auto"/>
        </w:rPr>
      </w:pPr>
      <w:r>
        <w:rPr>
          <w:rFonts w:ascii="Times New Roman" w:cs="Times New Roman" w:eastAsia="Times New Roman" w:hAnsi="Times New Roman"/>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wp:posOffset>
            </wp:positionH>
            <wp:positionV relativeFrom="paragraph">
              <wp:posOffset>30480</wp:posOffset>
            </wp:positionV>
            <wp:extent cx="69437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725" cy="3429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73025</wp:posOffset>
            </wp:positionV>
            <wp:extent cx="69437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1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S-8</w:t>
      </w:r>
    </w:p>
    <w:p>
      <w:pPr>
        <w:spacing w:after="0" w:line="9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REGISTRATION STATEMENT UNDER THE SECURITIES ACT OF 1933</w:t>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iClick Interactive Asia Group Limited</w:t>
      </w:r>
    </w:p>
    <w:p>
      <w:pPr>
        <w:spacing w:after="0" w:line="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74" w:lineRule="exact"/>
        <w:rPr>
          <w:sz w:val="24"/>
          <w:szCs w:val="24"/>
          <w:color w:val="auto"/>
        </w:rPr>
      </w:pPr>
    </w:p>
    <w:tbl>
      <w:tblPr>
        <w:tblLayout w:type="fixed"/>
        <w:tblInd w:w="1780" w:type="dxa"/>
        <w:tblCellMar>
          <w:top w:w="0" w:type="dxa"/>
          <w:left w:w="0" w:type="dxa"/>
          <w:bottom w:w="0" w:type="dxa"/>
          <w:right w:w="0" w:type="dxa"/>
        </w:tblCellMar>
      </w:tblPr>
      <w:tr>
        <w:trPr>
          <w:trHeight w:val="204"/>
        </w:trPr>
        <w:tc>
          <w:tcPr>
            <w:tcW w:w="3960" w:type="dxa"/>
            <w:vAlign w:val="bottom"/>
          </w:tcPr>
          <w:p>
            <w:pPr>
              <w:jc w:val="center"/>
              <w:ind w:right="1919"/>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3500" w:type="dxa"/>
            <w:vAlign w:val="bottom"/>
          </w:tcPr>
          <w:p>
            <w:pPr>
              <w:jc w:val="center"/>
              <w:ind w:left="1939"/>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203"/>
        </w:trPr>
        <w:tc>
          <w:tcPr>
            <w:tcW w:w="3960" w:type="dxa"/>
            <w:vAlign w:val="bottom"/>
          </w:tcPr>
          <w:p>
            <w:pPr>
              <w:jc w:val="center"/>
              <w:ind w:right="191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500" w:type="dxa"/>
            <w:vAlign w:val="bottom"/>
          </w:tcPr>
          <w:p>
            <w:pPr>
              <w:jc w:val="center"/>
              <w:ind w:left="191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3960" w:type="dxa"/>
            <w:vAlign w:val="bottom"/>
          </w:tcPr>
          <w:p>
            <w:pPr>
              <w:jc w:val="center"/>
              <w:ind w:right="19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500" w:type="dxa"/>
            <w:vAlign w:val="bottom"/>
          </w:tcPr>
          <w:p>
            <w:pPr>
              <w:jc w:val="center"/>
              <w:ind w:left="1919"/>
              <w:spacing w:after="0"/>
              <w:rPr>
                <w:sz w:val="20"/>
                <w:szCs w:val="20"/>
                <w:color w:val="auto"/>
              </w:rPr>
            </w:pPr>
            <w:r>
              <w:rPr>
                <w:rFonts w:ascii="Times New Roman" w:cs="Times New Roman" w:eastAsia="Times New Roman" w:hAnsi="Times New Roman"/>
                <w:sz w:val="16"/>
                <w:szCs w:val="16"/>
                <w:color w:val="auto"/>
              </w:rPr>
              <w:t>Identification Number)</w:t>
            </w:r>
          </w:p>
        </w:tc>
      </w:tr>
    </w:tbl>
    <w:p>
      <w:pPr>
        <w:spacing w:after="0" w:line="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15/F</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Prosperity Millennia Plaza</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663 King’s Road, Quarry Bay</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Hong Kong S.A.R., People’s Republic of China</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+852 3700 9000</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10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Post-IPO Share Incentive Plan</w:t>
      </w:r>
    </w:p>
    <w:p>
      <w:pPr>
        <w:spacing w:after="0" w:line="2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6"/>
          <w:szCs w:val="16"/>
          <w:color w:val="auto"/>
        </w:rPr>
        <w:t>(Full title of the plan)</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Cogency Global Inc.</w:t>
      </w:r>
    </w:p>
    <w:p>
      <w:pPr>
        <w:jc w:val="center"/>
        <w:ind w:right="20"/>
        <w:spacing w:after="0" w:line="186" w:lineRule="auto"/>
        <w:rPr>
          <w:sz w:val="20"/>
          <w:szCs w:val="20"/>
          <w:color w:val="auto"/>
        </w:rPr>
      </w:pPr>
      <w:r>
        <w:rPr>
          <w:rFonts w:ascii="Times New Roman" w:cs="Times New Roman" w:eastAsia="Times New Roman" w:hAnsi="Times New Roman"/>
          <w:sz w:val="16"/>
          <w:szCs w:val="16"/>
          <w:b w:val="1"/>
          <w:bCs w:val="1"/>
          <w:color w:val="auto"/>
        </w:rPr>
        <w:t>122 East 42nd Street, 18</w:t>
      </w:r>
      <w:r>
        <w:rPr>
          <w:rFonts w:ascii="Times New Roman" w:cs="Times New Roman" w:eastAsia="Times New Roman" w:hAnsi="Times New Roman"/>
          <w:sz w:val="27"/>
          <w:szCs w:val="27"/>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New York, N.Y. 10168</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+1 (800) 221-0102</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(Name, address, including zip code, and telephone number, including area code, of agent for service)</w:t>
      </w:r>
    </w:p>
    <w:p>
      <w:pPr>
        <w:spacing w:after="0" w:line="105" w:lineRule="exact"/>
        <w:rPr>
          <w:sz w:val="24"/>
          <w:szCs w:val="24"/>
          <w:color w:val="auto"/>
        </w:rPr>
      </w:pPr>
    </w:p>
    <w:p>
      <w:pPr>
        <w:ind w:right="20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Pr>
          <w:p>
            <w:pPr>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4"/>
                <w:szCs w:val="14"/>
                <w:color w:val="auto"/>
              </w:rPr>
              <w:t>☐</w:t>
            </w:r>
          </w:p>
        </w:tc>
        <w:tc>
          <w:tcPr>
            <w:tcW w:w="3960" w:type="dxa"/>
            <w:vAlign w:val="bottom"/>
          </w:tcPr>
          <w:p>
            <w:pPr>
              <w:ind w:left="1140"/>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4"/>
                <w:szCs w:val="14"/>
                <w:color w:val="auto"/>
              </w:rPr>
              <w:t>☒</w:t>
            </w:r>
          </w:p>
        </w:tc>
        <w:tc>
          <w:tcPr>
            <w:tcW w:w="2820" w:type="dxa"/>
            <w:vAlign w:val="bottom"/>
            <w:vMerge w:val="restart"/>
          </w:tcPr>
          <w:p>
            <w:pPr>
              <w:ind w:left="98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2700" w:type="dxa"/>
            <w:vAlign w:val="bottom"/>
          </w:tcPr>
          <w:p>
            <w:pPr>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4"/>
                <w:szCs w:val="14"/>
                <w:color w:val="auto"/>
              </w:rPr>
              <w:t>☐</w:t>
            </w:r>
          </w:p>
        </w:tc>
        <w:tc>
          <w:tcPr>
            <w:tcW w:w="3960" w:type="dxa"/>
            <w:vAlign w:val="bottom"/>
          </w:tcPr>
          <w:p>
            <w:pPr>
              <w:ind w:left="1140"/>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4"/>
                <w:szCs w:val="14"/>
                <w:color w:val="auto"/>
              </w:rPr>
              <w:t>☐</w:t>
            </w:r>
          </w:p>
        </w:tc>
        <w:tc>
          <w:tcPr>
            <w:tcW w:w="28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right="6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64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Copies to:</w:t>
            </w:r>
          </w:p>
        </w:tc>
      </w:tr>
      <w:tr>
        <w:trPr>
          <w:trHeight w:val="274"/>
        </w:trPr>
        <w:tc>
          <w:tcPr>
            <w:tcW w:w="4840" w:type="dxa"/>
            <w:vAlign w:val="bottom"/>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w w:val="98"/>
              </w:rPr>
              <w:t>Jian Tang</w:t>
            </w:r>
          </w:p>
        </w:tc>
        <w:tc>
          <w:tcPr>
            <w:tcW w:w="6420" w:type="dxa"/>
            <w:vAlign w:val="bottom"/>
          </w:tcPr>
          <w:p>
            <w:pPr>
              <w:jc w:val="center"/>
              <w:ind w:left="799"/>
              <w:spacing w:after="0"/>
              <w:rPr>
                <w:sz w:val="20"/>
                <w:szCs w:val="20"/>
                <w:color w:val="auto"/>
              </w:rPr>
            </w:pPr>
            <w:r>
              <w:rPr>
                <w:rFonts w:ascii="Times New Roman" w:cs="Times New Roman" w:eastAsia="Times New Roman" w:hAnsi="Times New Roman"/>
                <w:sz w:val="16"/>
                <w:szCs w:val="16"/>
                <w:b w:val="1"/>
                <w:bCs w:val="1"/>
                <w:color w:val="auto"/>
              </w:rPr>
              <w:t>Shuang Zhao, Esq.</w:t>
            </w:r>
          </w:p>
        </w:tc>
      </w:tr>
      <w:tr>
        <w:trPr>
          <w:trHeight w:val="203"/>
        </w:trPr>
        <w:tc>
          <w:tcPr>
            <w:tcW w:w="4840" w:type="dxa"/>
            <w:vAlign w:val="bottom"/>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Chief Executive Officer</w:t>
            </w:r>
          </w:p>
        </w:tc>
        <w:tc>
          <w:tcPr>
            <w:tcW w:w="6420" w:type="dxa"/>
            <w:vAlign w:val="bottom"/>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Cleary Gottlieb Steen &amp; Hamilton LLP</w:t>
            </w:r>
          </w:p>
        </w:tc>
      </w:tr>
      <w:tr>
        <w:trPr>
          <w:trHeight w:val="202"/>
        </w:trPr>
        <w:tc>
          <w:tcPr>
            <w:tcW w:w="4840" w:type="dxa"/>
            <w:vAlign w:val="bottom"/>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iClick Interactive Asia Group Limited</w:t>
            </w:r>
          </w:p>
        </w:tc>
        <w:tc>
          <w:tcPr>
            <w:tcW w:w="6420" w:type="dxa"/>
            <w:vAlign w:val="bottom"/>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c/o 37th Floor, Hysan Place</w:t>
            </w:r>
          </w:p>
        </w:tc>
      </w:tr>
      <w:tr>
        <w:trPr>
          <w:trHeight w:val="203"/>
        </w:trPr>
        <w:tc>
          <w:tcPr>
            <w:tcW w:w="484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15/F, Prosperity Millennia Plaza</w:t>
            </w:r>
          </w:p>
        </w:tc>
        <w:tc>
          <w:tcPr>
            <w:tcW w:w="6420" w:type="dxa"/>
            <w:vAlign w:val="bottom"/>
          </w:tcPr>
          <w:p>
            <w:pPr>
              <w:jc w:val="center"/>
              <w:ind w:left="799"/>
              <w:spacing w:after="0"/>
              <w:rPr>
                <w:sz w:val="20"/>
                <w:szCs w:val="20"/>
                <w:color w:val="auto"/>
              </w:rPr>
            </w:pPr>
            <w:r>
              <w:rPr>
                <w:rFonts w:ascii="Times New Roman" w:cs="Times New Roman" w:eastAsia="Times New Roman" w:hAnsi="Times New Roman"/>
                <w:sz w:val="16"/>
                <w:szCs w:val="16"/>
                <w:b w:val="1"/>
                <w:bCs w:val="1"/>
                <w:color w:val="auto"/>
              </w:rPr>
              <w:t>500 Hennessy Road</w:t>
            </w:r>
          </w:p>
        </w:tc>
      </w:tr>
      <w:tr>
        <w:trPr>
          <w:trHeight w:val="203"/>
        </w:trPr>
        <w:tc>
          <w:tcPr>
            <w:tcW w:w="4840" w:type="dxa"/>
            <w:vAlign w:val="bottom"/>
          </w:tcPr>
          <w:p>
            <w:pPr>
              <w:jc w:val="center"/>
              <w:ind w:left="619"/>
              <w:spacing w:after="0"/>
              <w:rPr>
                <w:sz w:val="20"/>
                <w:szCs w:val="20"/>
                <w:color w:val="auto"/>
              </w:rPr>
            </w:pPr>
            <w:r>
              <w:rPr>
                <w:rFonts w:ascii="Times New Roman" w:cs="Times New Roman" w:eastAsia="Times New Roman" w:hAnsi="Times New Roman"/>
                <w:sz w:val="16"/>
                <w:szCs w:val="16"/>
                <w:b w:val="1"/>
                <w:bCs w:val="1"/>
                <w:color w:val="auto"/>
              </w:rPr>
              <w:t>663 King’s Road, Quarry Bay</w:t>
            </w:r>
          </w:p>
        </w:tc>
        <w:tc>
          <w:tcPr>
            <w:tcW w:w="6420" w:type="dxa"/>
            <w:vAlign w:val="bottom"/>
          </w:tcPr>
          <w:p>
            <w:pPr>
              <w:jc w:val="center"/>
              <w:ind w:left="819"/>
              <w:spacing w:after="0"/>
              <w:rPr>
                <w:sz w:val="20"/>
                <w:szCs w:val="20"/>
                <w:color w:val="auto"/>
              </w:rPr>
            </w:pPr>
            <w:r>
              <w:rPr>
                <w:rFonts w:ascii="Times New Roman" w:cs="Times New Roman" w:eastAsia="Times New Roman" w:hAnsi="Times New Roman"/>
                <w:sz w:val="16"/>
                <w:szCs w:val="16"/>
                <w:b w:val="1"/>
                <w:bCs w:val="1"/>
                <w:color w:val="auto"/>
              </w:rPr>
              <w:t>Causeway Bay, Hong Kong</w:t>
            </w:r>
          </w:p>
        </w:tc>
      </w:tr>
      <w:tr>
        <w:trPr>
          <w:trHeight w:val="203"/>
        </w:trPr>
        <w:tc>
          <w:tcPr>
            <w:tcW w:w="4840" w:type="dxa"/>
            <w:vAlign w:val="bottom"/>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Hong Kong S.A.R., People’s Republic of China</w:t>
            </w:r>
          </w:p>
        </w:tc>
        <w:tc>
          <w:tcPr>
            <w:tcW w:w="6420" w:type="dxa"/>
            <w:vAlign w:val="bottom"/>
          </w:tcPr>
          <w:p>
            <w:pPr>
              <w:jc w:val="center"/>
              <w:ind w:left="799"/>
              <w:spacing w:after="0"/>
              <w:rPr>
                <w:sz w:val="20"/>
                <w:szCs w:val="20"/>
                <w:color w:val="auto"/>
              </w:rPr>
            </w:pPr>
            <w:r>
              <w:rPr>
                <w:rFonts w:ascii="Times New Roman" w:cs="Times New Roman" w:eastAsia="Times New Roman" w:hAnsi="Times New Roman"/>
                <w:sz w:val="16"/>
                <w:szCs w:val="16"/>
                <w:b w:val="1"/>
                <w:bCs w:val="1"/>
                <w:color w:val="auto"/>
              </w:rPr>
              <w:t>+852 2521 4122</w:t>
            </w:r>
          </w:p>
        </w:tc>
      </w:tr>
      <w:tr>
        <w:trPr>
          <w:trHeight w:val="212"/>
        </w:trPr>
        <w:tc>
          <w:tcPr>
            <w:tcW w:w="4840" w:type="dxa"/>
            <w:vAlign w:val="bottom"/>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+852 3700 9000</w:t>
            </w:r>
          </w:p>
        </w:tc>
        <w:tc>
          <w:tcPr>
            <w:tcW w:w="6420" w:type="dxa"/>
            <w:vAlign w:val="bottom"/>
          </w:tcPr>
          <w:p>
            <w:pPr>
              <w:spacing w:after="0"/>
              <w:rPr>
                <w:sz w:val="18"/>
                <w:szCs w:val="18"/>
                <w:color w:val="auto"/>
              </w:rPr>
            </w:pPr>
          </w:p>
        </w:tc>
      </w:tr>
      <w:tr>
        <w:trPr>
          <w:trHeight w:val="1295"/>
        </w:trPr>
        <w:tc>
          <w:tcPr>
            <w:tcW w:w="484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8"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19685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36830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7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 to be</w:t>
            </w:r>
          </w:p>
        </w:tc>
        <w:tc>
          <w:tcPr>
            <w:tcW w:w="21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Proposed Maximum Offering</w:t>
            </w:r>
          </w:p>
        </w:tc>
        <w:tc>
          <w:tcPr>
            <w:tcW w:w="23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Proposed Maximum Aggregate</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0" w:type="dxa"/>
            <w:vAlign w:val="bottom"/>
          </w:tcPr>
          <w:p>
            <w:pPr>
              <w:spacing w:after="0"/>
              <w:rPr>
                <w:sz w:val="1"/>
                <w:szCs w:val="1"/>
                <w:color w:val="auto"/>
              </w:rPr>
            </w:pPr>
          </w:p>
        </w:tc>
      </w:tr>
      <w:tr>
        <w:trPr>
          <w:trHeight w:val="81"/>
        </w:trPr>
        <w:tc>
          <w:tcPr>
            <w:tcW w:w="3860" w:type="dxa"/>
            <w:vAlign w:val="bottom"/>
            <w:vMerge w:val="restart"/>
          </w:tcPr>
          <w:p>
            <w:pPr>
              <w:ind w:left="1000"/>
              <w:spacing w:after="0" w:line="149" w:lineRule="exact"/>
              <w:rPr>
                <w:sz w:val="20"/>
                <w:szCs w:val="20"/>
                <w:color w:val="auto"/>
              </w:rPr>
            </w:pPr>
            <w:r>
              <w:rPr>
                <w:rFonts w:ascii="Times New Roman" w:cs="Times New Roman" w:eastAsia="Times New Roman" w:hAnsi="Times New Roman"/>
                <w:sz w:val="14"/>
                <w:szCs w:val="14"/>
                <w:b w:val="1"/>
                <w:bCs w:val="1"/>
                <w:color w:val="auto"/>
              </w:rPr>
              <w:t>Title of Securities to be Registered</w:t>
            </w:r>
            <w:r>
              <w:rPr>
                <w:rFonts w:ascii="Times New Roman" w:cs="Times New Roman" w:eastAsia="Times New Roman" w:hAnsi="Times New Roman"/>
                <w:sz w:val="12"/>
                <w:szCs w:val="12"/>
                <w:b w:val="1"/>
                <w:bCs w:val="1"/>
                <w:color w:val="auto"/>
              </w:rPr>
              <w:t>(1)</w:t>
            </w:r>
          </w:p>
        </w:tc>
        <w:tc>
          <w:tcPr>
            <w:tcW w:w="1780" w:type="dxa"/>
            <w:vAlign w:val="bottom"/>
            <w:vMerge w:val="continue"/>
          </w:tcPr>
          <w:p>
            <w:pPr>
              <w:spacing w:after="0"/>
              <w:rPr>
                <w:sz w:val="7"/>
                <w:szCs w:val="7"/>
                <w:color w:val="auto"/>
              </w:rPr>
            </w:pPr>
          </w:p>
        </w:tc>
        <w:tc>
          <w:tcPr>
            <w:tcW w:w="2140" w:type="dxa"/>
            <w:vAlign w:val="bottom"/>
            <w:vMerge w:val="continue"/>
          </w:tcPr>
          <w:p>
            <w:pPr>
              <w:spacing w:after="0"/>
              <w:rPr>
                <w:sz w:val="7"/>
                <w:szCs w:val="7"/>
                <w:color w:val="auto"/>
              </w:rPr>
            </w:pPr>
          </w:p>
        </w:tc>
        <w:tc>
          <w:tcPr>
            <w:tcW w:w="2300" w:type="dxa"/>
            <w:vAlign w:val="bottom"/>
            <w:vMerge w:val="continue"/>
          </w:tcPr>
          <w:p>
            <w:pPr>
              <w:spacing w:after="0"/>
              <w:rPr>
                <w:sz w:val="7"/>
                <w:szCs w:val="7"/>
                <w:color w:val="auto"/>
              </w:rPr>
            </w:pPr>
          </w:p>
        </w:tc>
        <w:tc>
          <w:tcPr>
            <w:tcW w:w="9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68"/>
        </w:trPr>
        <w:tc>
          <w:tcPr>
            <w:tcW w:w="3860" w:type="dxa"/>
            <w:vAlign w:val="bottom"/>
            <w:vMerge w:val="continue"/>
          </w:tcPr>
          <w:p>
            <w:pPr>
              <w:spacing w:after="0"/>
              <w:rPr>
                <w:sz w:val="5"/>
                <w:szCs w:val="5"/>
                <w:color w:val="auto"/>
              </w:rPr>
            </w:pPr>
          </w:p>
        </w:tc>
        <w:tc>
          <w:tcPr>
            <w:tcW w:w="17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Registered</w:t>
            </w:r>
            <w:r>
              <w:rPr>
                <w:rFonts w:ascii="Times New Roman" w:cs="Times New Roman" w:eastAsia="Times New Roman" w:hAnsi="Times New Roman"/>
                <w:sz w:val="12"/>
                <w:szCs w:val="12"/>
                <w:b w:val="1"/>
                <w:bCs w:val="1"/>
                <w:color w:val="auto"/>
              </w:rPr>
              <w:t>(2)</w:t>
            </w:r>
          </w:p>
        </w:tc>
        <w:tc>
          <w:tcPr>
            <w:tcW w:w="2140" w:type="dxa"/>
            <w:vAlign w:val="bottom"/>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300" w:type="dxa"/>
            <w:vAlign w:val="bottom"/>
            <w:vMerge w:val="restart"/>
          </w:tcPr>
          <w:p>
            <w:pPr>
              <w:jc w:val="right"/>
              <w:ind w:right="728"/>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86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2140" w:type="dxa"/>
            <w:vAlign w:val="bottom"/>
            <w:vMerge w:val="continue"/>
          </w:tcPr>
          <w:p>
            <w:pPr>
              <w:spacing w:after="0"/>
              <w:rPr>
                <w:sz w:val="10"/>
                <w:szCs w:val="10"/>
                <w:color w:val="auto"/>
              </w:rPr>
            </w:pPr>
          </w:p>
        </w:tc>
        <w:tc>
          <w:tcPr>
            <w:tcW w:w="2300" w:type="dxa"/>
            <w:vAlign w:val="bottom"/>
            <w:vMerge w:val="continue"/>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68"/>
        </w:trPr>
        <w:tc>
          <w:tcPr>
            <w:tcW w:w="386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23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86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214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7"/>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Class A ordinary shares, par value $0.001 per share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115,830</w:t>
            </w:r>
            <w:r>
              <w:rPr>
                <w:rFonts w:ascii="Times New Roman" w:cs="Times New Roman" w:eastAsia="Times New Roman" w:hAnsi="Times New Roman"/>
                <w:sz w:val="12"/>
                <w:szCs w:val="12"/>
                <w:color w:val="auto"/>
              </w:rPr>
              <w:t>(3)</w:t>
            </w:r>
          </w:p>
        </w:tc>
        <w:tc>
          <w:tcPr>
            <w:tcW w:w="2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$26.26</w:t>
            </w:r>
            <w:r>
              <w:rPr>
                <w:rFonts w:ascii="Times New Roman" w:cs="Times New Roman" w:eastAsia="Times New Roman" w:hAnsi="Times New Roman"/>
                <w:sz w:val="12"/>
                <w:szCs w:val="12"/>
                <w:color w:val="auto"/>
              </w:rPr>
              <w:t>(7)</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$3,041,695.80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$331.85</w:t>
            </w:r>
          </w:p>
        </w:tc>
        <w:tc>
          <w:tcPr>
            <w:tcW w:w="0" w:type="dxa"/>
            <w:vAlign w:val="bottom"/>
          </w:tcPr>
          <w:p>
            <w:pPr>
              <w:spacing w:after="0"/>
              <w:rPr>
                <w:sz w:val="1"/>
                <w:szCs w:val="1"/>
                <w:color w:val="auto"/>
              </w:rPr>
            </w:pPr>
          </w:p>
        </w:tc>
      </w:tr>
      <w:tr>
        <w:trPr>
          <w:trHeight w:val="64"/>
        </w:trPr>
        <w:tc>
          <w:tcPr>
            <w:tcW w:w="38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Class A ordinary shares, par value $0.001 per share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119,350</w:t>
            </w:r>
            <w:r>
              <w:rPr>
                <w:rFonts w:ascii="Times New Roman" w:cs="Times New Roman" w:eastAsia="Times New Roman" w:hAnsi="Times New Roman"/>
                <w:sz w:val="12"/>
                <w:szCs w:val="12"/>
                <w:color w:val="auto"/>
              </w:rPr>
              <w:t>(3)</w:t>
            </w:r>
          </w:p>
        </w:tc>
        <w:tc>
          <w:tcPr>
            <w:tcW w:w="2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$26.26</w:t>
            </w:r>
            <w:r>
              <w:rPr>
                <w:rFonts w:ascii="Times New Roman" w:cs="Times New Roman" w:eastAsia="Times New Roman" w:hAnsi="Times New Roman"/>
                <w:sz w:val="12"/>
                <w:szCs w:val="12"/>
                <w:color w:val="auto"/>
              </w:rPr>
              <w:t>(7)</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$3,134,131.00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$341.93</w:t>
            </w:r>
          </w:p>
        </w:tc>
        <w:tc>
          <w:tcPr>
            <w:tcW w:w="0" w:type="dxa"/>
            <w:vAlign w:val="bottom"/>
          </w:tcPr>
          <w:p>
            <w:pPr>
              <w:spacing w:after="0"/>
              <w:rPr>
                <w:sz w:val="1"/>
                <w:szCs w:val="1"/>
                <w:color w:val="auto"/>
              </w:rPr>
            </w:pPr>
          </w:p>
        </w:tc>
      </w:tr>
      <w:tr>
        <w:trPr>
          <w:trHeight w:val="64"/>
        </w:trPr>
        <w:tc>
          <w:tcPr>
            <w:tcW w:w="38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Class A ordinary shares, par value $0.001 per share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r>
              <w:rPr>
                <w:rFonts w:ascii="Times New Roman" w:cs="Times New Roman" w:eastAsia="Times New Roman" w:hAnsi="Times New Roman"/>
                <w:sz w:val="12"/>
                <w:szCs w:val="12"/>
                <w:color w:val="auto"/>
              </w:rPr>
              <w:t>(4)</w:t>
            </w:r>
          </w:p>
        </w:tc>
        <w:tc>
          <w:tcPr>
            <w:tcW w:w="2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$26.26</w:t>
            </w:r>
            <w:r>
              <w:rPr>
                <w:rFonts w:ascii="Times New Roman" w:cs="Times New Roman" w:eastAsia="Times New Roman" w:hAnsi="Times New Roman"/>
                <w:sz w:val="12"/>
                <w:szCs w:val="12"/>
                <w:color w:val="auto"/>
              </w:rPr>
              <w:t>(7)</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$26,260,000.00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$2,864.97</w:t>
            </w:r>
          </w:p>
        </w:tc>
        <w:tc>
          <w:tcPr>
            <w:tcW w:w="0" w:type="dxa"/>
            <w:vAlign w:val="bottom"/>
          </w:tcPr>
          <w:p>
            <w:pPr>
              <w:spacing w:after="0"/>
              <w:rPr>
                <w:sz w:val="1"/>
                <w:szCs w:val="1"/>
                <w:color w:val="auto"/>
              </w:rPr>
            </w:pPr>
          </w:p>
        </w:tc>
      </w:tr>
      <w:tr>
        <w:trPr>
          <w:trHeight w:val="64"/>
        </w:trPr>
        <w:tc>
          <w:tcPr>
            <w:tcW w:w="38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Class A ordinary shares, par value $0.001 per share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r>
              <w:rPr>
                <w:rFonts w:ascii="Times New Roman" w:cs="Times New Roman" w:eastAsia="Times New Roman" w:hAnsi="Times New Roman"/>
                <w:sz w:val="12"/>
                <w:szCs w:val="12"/>
                <w:color w:val="auto"/>
              </w:rPr>
              <w:t>(5)</w:t>
            </w:r>
          </w:p>
        </w:tc>
        <w:tc>
          <w:tcPr>
            <w:tcW w:w="2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$26.26</w:t>
            </w:r>
            <w:r>
              <w:rPr>
                <w:rFonts w:ascii="Times New Roman" w:cs="Times New Roman" w:eastAsia="Times New Roman" w:hAnsi="Times New Roman"/>
                <w:sz w:val="12"/>
                <w:szCs w:val="12"/>
                <w:color w:val="auto"/>
              </w:rPr>
              <w:t>(7)</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$3,939,000.00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$429.74</w:t>
            </w:r>
          </w:p>
        </w:tc>
        <w:tc>
          <w:tcPr>
            <w:tcW w:w="0" w:type="dxa"/>
            <w:vAlign w:val="bottom"/>
          </w:tcPr>
          <w:p>
            <w:pPr>
              <w:spacing w:after="0"/>
              <w:rPr>
                <w:sz w:val="1"/>
                <w:szCs w:val="1"/>
                <w:color w:val="auto"/>
              </w:rPr>
            </w:pPr>
          </w:p>
        </w:tc>
      </w:tr>
      <w:tr>
        <w:trPr>
          <w:trHeight w:val="64"/>
        </w:trPr>
        <w:tc>
          <w:tcPr>
            <w:tcW w:w="38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Class A ordinary shares, par value $0.001 per share</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r>
              <w:rPr>
                <w:rFonts w:ascii="Times New Roman" w:cs="Times New Roman" w:eastAsia="Times New Roman" w:hAnsi="Times New Roman"/>
                <w:sz w:val="12"/>
                <w:szCs w:val="12"/>
                <w:color w:val="auto"/>
              </w:rPr>
              <w:t>(6)</w:t>
            </w:r>
          </w:p>
        </w:tc>
        <w:tc>
          <w:tcPr>
            <w:tcW w:w="2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$26.26</w:t>
            </w:r>
            <w:r>
              <w:rPr>
                <w:rFonts w:ascii="Times New Roman" w:cs="Times New Roman" w:eastAsia="Times New Roman" w:hAnsi="Times New Roman"/>
                <w:sz w:val="12"/>
                <w:szCs w:val="12"/>
                <w:color w:val="auto"/>
              </w:rPr>
              <w:t>(7)</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$26,260,000.00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$2,864.97</w:t>
            </w:r>
          </w:p>
        </w:tc>
        <w:tc>
          <w:tcPr>
            <w:tcW w:w="0" w:type="dxa"/>
            <w:vAlign w:val="bottom"/>
          </w:tcPr>
          <w:p>
            <w:pPr>
              <w:spacing w:after="0"/>
              <w:rPr>
                <w:sz w:val="1"/>
                <w:szCs w:val="1"/>
                <w:color w:val="auto"/>
              </w:rPr>
            </w:pPr>
          </w:p>
        </w:tc>
      </w:tr>
      <w:tr>
        <w:trPr>
          <w:trHeight w:val="64"/>
        </w:trPr>
        <w:tc>
          <w:tcPr>
            <w:tcW w:w="386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2,385,180</w:t>
            </w:r>
          </w:p>
        </w:tc>
        <w:tc>
          <w:tcPr>
            <w:tcW w:w="2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$62,634,826.80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$6,833.46</w:t>
            </w:r>
          </w:p>
        </w:tc>
        <w:tc>
          <w:tcPr>
            <w:tcW w:w="0" w:type="dxa"/>
            <w:vAlign w:val="bottom"/>
          </w:tcPr>
          <w:p>
            <w:pPr>
              <w:spacing w:after="0"/>
              <w:rPr>
                <w:sz w:val="1"/>
                <w:szCs w:val="1"/>
                <w:color w:val="auto"/>
              </w:rPr>
            </w:pPr>
          </w:p>
        </w:tc>
      </w:tr>
      <w:tr>
        <w:trPr>
          <w:trHeight w:val="51"/>
        </w:trPr>
        <w:tc>
          <w:tcPr>
            <w:tcW w:w="38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640" w:right="200" w:hanging="538"/>
        <w:spacing w:after="0" w:line="281" w:lineRule="auto"/>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may be represented by American deposit shares (“ADSs”) of iClick Interactive Asia Group Limited (the “Registrant”), two ADSs representing one Class A ordinary share. The Registrant’s ADSs issuable upon deposit of the Class A ordinary shares registered hereby have been registered under a separate registration statement on Form F-6 (333-221860).</w:t>
      </w:r>
    </w:p>
    <w:p>
      <w:pPr>
        <w:spacing w:after="0" w:line="177" w:lineRule="exact"/>
        <w:rPr>
          <w:rFonts w:ascii="Times New Roman" w:cs="Times New Roman" w:eastAsia="Times New Roman" w:hAnsi="Times New Roman"/>
          <w:sz w:val="16"/>
          <w:szCs w:val="16"/>
          <w:color w:val="auto"/>
        </w:rPr>
      </w:pPr>
    </w:p>
    <w:p>
      <w:pPr>
        <w:ind w:left="640" w:right="280" w:hanging="538"/>
        <w:spacing w:after="0" w:line="298" w:lineRule="auto"/>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Pursuant to Rule 416(a) under the Securities Act of 1933, as amended (the “Securities Act”), this registration statement also covers an indeterminate number of additional shares which may be offered and issued to prevent dilution from share splits, share dividends or similar transactions as provided in the Plan.</w:t>
      </w:r>
    </w:p>
    <w:p>
      <w:pPr>
        <w:spacing w:after="0" w:line="164" w:lineRule="exact"/>
        <w:rPr>
          <w:rFonts w:ascii="Times New Roman" w:cs="Times New Roman" w:eastAsia="Times New Roman" w:hAnsi="Times New Roman"/>
          <w:sz w:val="16"/>
          <w:szCs w:val="16"/>
          <w:color w:val="auto"/>
        </w:rPr>
      </w:pPr>
    </w:p>
    <w:p>
      <w:pPr>
        <w:ind w:left="640" w:right="80" w:hanging="538"/>
        <w:spacing w:after="0" w:line="275" w:lineRule="auto"/>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115,830 and 119,350 Class A ordinary shares that have been added to the Post-IPO Share Incentive Plan, as last amended and restated on February 26, 2021 (the “Post-IPO Share Incentive Plan”), in 2018 and 2019, respectively, pursuant to the Evergreen Provision, as defined below, and are subject to restricted share units outstanding as of the date of this registration statement. These Class A ordinary shares were not previously registered under the Prior Registration Statements, as defined below.</w:t>
      </w:r>
    </w:p>
    <w:p>
      <w:pPr>
        <w:spacing w:after="0" w:line="182" w:lineRule="exact"/>
        <w:rPr>
          <w:rFonts w:ascii="Times New Roman" w:cs="Times New Roman" w:eastAsia="Times New Roman" w:hAnsi="Times New Roman"/>
          <w:sz w:val="16"/>
          <w:szCs w:val="16"/>
          <w:color w:val="auto"/>
        </w:rPr>
      </w:pPr>
    </w:p>
    <w:p>
      <w:pPr>
        <w:ind w:left="640" w:right="200" w:hanging="538"/>
        <w:spacing w:after="0" w:line="298" w:lineRule="auto"/>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1,000,000 Class A ordinary shares that have been added to the Post-IPO Share Incentive Plan pursuant to the 2020 Amendment, as defined below, of which 393,325 are subject to restricted share units outstanding as of the date of this registration statement and 606,675 are reserved for future award grants.</w:t>
      </w:r>
    </w:p>
    <w:p>
      <w:pPr>
        <w:spacing w:after="0" w:line="164" w:lineRule="exact"/>
        <w:rPr>
          <w:rFonts w:ascii="Times New Roman" w:cs="Times New Roman" w:eastAsia="Times New Roman" w:hAnsi="Times New Roman"/>
          <w:sz w:val="16"/>
          <w:szCs w:val="16"/>
          <w:color w:val="auto"/>
        </w:rPr>
      </w:pPr>
    </w:p>
    <w:p>
      <w:pPr>
        <w:ind w:left="640" w:right="420" w:hanging="538"/>
        <w:spacing w:after="0" w:line="298" w:lineRule="auto"/>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150,000 Class A ordinary shares that have been added to the Post-IPO Share Incentive Plan in 2020, pursuant to the Evergreen Provision, and are reserved for future award grants.</w:t>
      </w:r>
    </w:p>
    <w:p>
      <w:pPr>
        <w:spacing w:after="0" w:line="164" w:lineRule="exact"/>
        <w:rPr>
          <w:rFonts w:ascii="Times New Roman" w:cs="Times New Roman" w:eastAsia="Times New Roman" w:hAnsi="Times New Roman"/>
          <w:sz w:val="16"/>
          <w:szCs w:val="16"/>
          <w:color w:val="auto"/>
        </w:rPr>
      </w:pPr>
    </w:p>
    <w:p>
      <w:pPr>
        <w:ind w:left="640" w:right="580" w:hanging="538"/>
        <w:spacing w:after="0" w:line="298" w:lineRule="auto"/>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1,000,000 Class A ordinary shares that have been added to the Plan pursuant to the 2021 Amendment, as defined below. All of these shares are reserved for future award grants.</w:t>
      </w:r>
    </w:p>
    <w:p>
      <w:pPr>
        <w:spacing w:after="0" w:line="164" w:lineRule="exact"/>
        <w:rPr>
          <w:rFonts w:ascii="Times New Roman" w:cs="Times New Roman" w:eastAsia="Times New Roman" w:hAnsi="Times New Roman"/>
          <w:sz w:val="16"/>
          <w:szCs w:val="16"/>
          <w:color w:val="auto"/>
        </w:rPr>
      </w:pPr>
    </w:p>
    <w:p>
      <w:pPr>
        <w:ind w:left="640" w:right="240" w:hanging="538"/>
        <w:spacing w:after="0" w:line="282" w:lineRule="auto"/>
        <w:tabs>
          <w:tab w:leader="none" w:pos="6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Estimated solely for the purposes of calculating the registration fee pursuant to Rule 457(h) and Rule 457(c) under the Securities Act based on $13.13 per ADS, the average of the high and low prices for the Registrant’s ADSs as quoted on the Nasdaq Global Market on </w:t>
      </w:r>
      <w:r>
        <w:rPr>
          <w:rFonts w:ascii="Times New Roman" w:cs="Times New Roman" w:eastAsia="Times New Roman" w:hAnsi="Times New Roman"/>
          <w:sz w:val="17"/>
          <w:szCs w:val="17"/>
          <w:color w:val="auto"/>
        </w:rPr>
        <w:t>February</w:t>
      </w:r>
      <w:r>
        <w:rPr>
          <w:rFonts w:ascii="Times New Roman" w:cs="Times New Roman" w:eastAsia="Times New Roman" w:hAnsi="Times New Roman"/>
          <w:sz w:val="16"/>
          <w:szCs w:val="16"/>
          <w:color w:val="auto"/>
        </w:rPr>
        <w:t xml:space="preserve"> 23, 2021 and adjusted for the Class A ordinary share-to-ADS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188595</wp:posOffset>
            </wp:positionV>
            <wp:extent cx="6943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205740</wp:posOffset>
            </wp:positionV>
            <wp:extent cx="694372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3725" cy="342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registration statement on Form S-8 is filed pursuant to General Instruction E to Form S-8 for the purposes of registering an aggregate of 2,385,180 Class A ordinary shares of the Registrant that have been added to the award pool of the Post-IPO Share Incentive Plan.</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Previously, an aggregate of 4,106,155 Class A ordinary shares of the Registrant were registered for issuance under the 2018 Share Incentive and the Post-IPO Share Incentive Plan pursuant to the Registrant’s registration statements on Form S-8 filed on June 12, 2018 (File No. 333-225568) and Form S-8 filed on October 9, 2018 (File No. 333-227747) (the “Prior Registration Statements”). In accordance with General Instruction E to Form S-8, the contents of the Prior Registration Statements are incorporated herein by reference, except as otherwise set forth herein.</w:t>
      </w:r>
    </w:p>
    <w:p>
      <w:pPr>
        <w:spacing w:after="0" w:line="13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On August 31, 2020 and February 26, 2021, the board of directors of the Registrant approved an increase of 1,000,000 Class A ordinary shares and 1,000,000 Class A ordinary shares, respectively (the “2020 Amendment”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 w:name="page3"/>
    <w:bookmarkEnd w:id="2"/>
    <w:p>
      <w:pPr>
        <w:ind w:right="500"/>
        <w:spacing w:after="0" w:line="282" w:lineRule="auto"/>
        <w:rPr>
          <w:sz w:val="20"/>
          <w:szCs w:val="20"/>
          <w:color w:val="auto"/>
        </w:rPr>
      </w:pPr>
      <w:r>
        <w:rPr>
          <w:rFonts w:ascii="Times New Roman" w:cs="Times New Roman" w:eastAsia="Times New Roman" w:hAnsi="Times New Roman"/>
          <w:sz w:val="18"/>
          <w:szCs w:val="18"/>
          <w:color w:val="auto"/>
        </w:rPr>
        <w:t>“2021 Amendment”, respectively), to the award pool under the Post-IPO Share Incentive Plan. The aggregate of the newly added 2,000,000 Class A ordinary shares are being registered on this registration statement.</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Under the Post-IPO Share Incentive Plan, the maximum aggregate number of Shares which may be issued pursuant to all awards will be subject to an annual increase for each fiscal year of the Registrant during the term of this Post-IPO Share Incentive Plan commencing with the fiscal year beginning January 1, 2018, by an amount equal to the least of (i) 0.5% of the total number of shares issued and outstanding on the last day of the immediately preceding fiscal year; (ii) 150,000 Shares or (iii) such number of shares as may be determined by the board of directors of the Registrant, the size of the award pool to be equitably adjusted in the event of any share dividend, subdivision, reclassification, recapitalization, split, reverse split, combination, consolidation or similar transactions (the “Evergreen Provision”).</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Evergreen Provision, the maximum aggregate number of shares which may be issued under the Post-IPO Share Incentive Plan increased by an aggregate of 385,180 Class A ordinary shares in 2018, 2019 and 2020. The newly added 385,180 Class A ordinary shares are being registered on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688975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Registrant is not filing or including in this Registration Statement the information called for in Part I of Form S-8 (by incorporation, by reference or otherwise) in accordance with the rules and regulations of the Securities and Exchange Commission (the “Commission”).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85"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documents previously filed by the Registrant with the Commission are incorporated by reference herein:</w:t>
      </w:r>
    </w:p>
    <w:p>
      <w:pPr>
        <w:spacing w:after="0" w:line="185" w:lineRule="exact"/>
        <w:rPr>
          <w:sz w:val="20"/>
          <w:szCs w:val="20"/>
          <w:color w:val="auto"/>
        </w:rPr>
      </w:pPr>
    </w:p>
    <w:p>
      <w:pPr>
        <w:ind w:left="1300" w:hanging="86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Registration Statements;</w:t>
      </w:r>
    </w:p>
    <w:p>
      <w:pPr>
        <w:spacing w:after="0" w:line="252" w:lineRule="exact"/>
        <w:rPr>
          <w:rFonts w:ascii="Times New Roman" w:cs="Times New Roman" w:eastAsia="Times New Roman" w:hAnsi="Times New Roman"/>
          <w:sz w:val="18"/>
          <w:szCs w:val="18"/>
          <w:color w:val="auto"/>
        </w:rPr>
      </w:pPr>
    </w:p>
    <w:p>
      <w:pPr>
        <w:ind w:left="1300" w:hanging="86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8">
        <w:r>
          <w:rPr>
            <w:rFonts w:ascii="Times New Roman" w:cs="Times New Roman" w:eastAsia="Times New Roman" w:hAnsi="Times New Roman"/>
            <w:sz w:val="18"/>
            <w:szCs w:val="18"/>
            <w:u w:val="single" w:color="auto"/>
            <w:color w:val="auto"/>
          </w:rPr>
          <w:t xml:space="preserve">Form 20-F </w:t>
        </w:r>
      </w:hyperlink>
      <w:r>
        <w:rPr>
          <w:rFonts w:ascii="Times New Roman" w:cs="Times New Roman" w:eastAsia="Times New Roman" w:hAnsi="Times New Roman"/>
          <w:sz w:val="18"/>
          <w:szCs w:val="18"/>
          <w:color w:val="auto"/>
        </w:rPr>
        <w:t>for the year ended December 31, 2019, filed with the Commission on April 30, 2020;</w:t>
      </w:r>
    </w:p>
    <w:p>
      <w:pPr>
        <w:spacing w:after="0" w:line="252" w:lineRule="exact"/>
        <w:rPr>
          <w:rFonts w:ascii="Times New Roman" w:cs="Times New Roman" w:eastAsia="Times New Roman" w:hAnsi="Times New Roman"/>
          <w:sz w:val="18"/>
          <w:szCs w:val="18"/>
          <w:color w:val="auto"/>
        </w:rPr>
      </w:pPr>
    </w:p>
    <w:p>
      <w:pPr>
        <w:ind w:left="1300" w:right="20" w:hanging="860"/>
        <w:spacing w:after="0" w:line="28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hyperlink r:id="rId19">
        <w:r>
          <w:rPr>
            <w:rFonts w:ascii="Times New Roman" w:cs="Times New Roman" w:eastAsia="Times New Roman" w:hAnsi="Times New Roman"/>
            <w:sz w:val="18"/>
            <w:szCs w:val="18"/>
            <w:u w:val="single" w:color="auto"/>
            <w:color w:val="auto"/>
          </w:rPr>
          <w:t xml:space="preserve">Registrant’s prospectus </w:t>
        </w:r>
      </w:hyperlink>
      <w:r>
        <w:rPr>
          <w:rFonts w:ascii="Times New Roman" w:cs="Times New Roman" w:eastAsia="Times New Roman" w:hAnsi="Times New Roman"/>
          <w:sz w:val="18"/>
          <w:szCs w:val="18"/>
          <w:color w:val="auto"/>
        </w:rPr>
        <w:t>dated September 2, 2020 (File No. 333-232435) filed with the Commission on September 4, 2020 pursuant to Rule 424(b)(5) under the Securities Act; and</w:t>
      </w:r>
    </w:p>
    <w:p>
      <w:pPr>
        <w:spacing w:after="0" w:line="161" w:lineRule="exact"/>
        <w:rPr>
          <w:rFonts w:ascii="Times New Roman" w:cs="Times New Roman" w:eastAsia="Times New Roman" w:hAnsi="Times New Roman"/>
          <w:sz w:val="18"/>
          <w:szCs w:val="18"/>
          <w:color w:val="auto"/>
        </w:rPr>
      </w:pPr>
    </w:p>
    <w:p>
      <w:pPr>
        <w:ind w:left="1300" w:right="80" w:hanging="860"/>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Class A ordinary shares and ADSs incorporated by reference in the Registrant’s registration statement on </w:t>
      </w:r>
      <w:hyperlink r:id="rId20">
        <w:r>
          <w:rPr>
            <w:rFonts w:ascii="Times New Roman" w:cs="Times New Roman" w:eastAsia="Times New Roman" w:hAnsi="Times New Roman"/>
            <w:sz w:val="18"/>
            <w:szCs w:val="18"/>
            <w:u w:val="single" w:color="auto"/>
            <w:color w:val="auto"/>
          </w:rPr>
          <w:t xml:space="preserve">Form 8-A </w:t>
        </w:r>
      </w:hyperlink>
      <w:r>
        <w:rPr>
          <w:rFonts w:ascii="Times New Roman" w:cs="Times New Roman" w:eastAsia="Times New Roman" w:hAnsi="Times New Roman"/>
          <w:sz w:val="18"/>
          <w:szCs w:val="18"/>
          <w:color w:val="auto"/>
        </w:rPr>
        <w:t>(File No. 001-38313) filed with the Commission on December 1, 2017, including any amendment and report subsequently filed for the purpose of updating that description.</w:t>
      </w:r>
    </w:p>
    <w:p>
      <w:pPr>
        <w:spacing w:after="0" w:line="135" w:lineRule="exact"/>
        <w:rPr>
          <w:rFonts w:ascii="Times New Roman" w:cs="Times New Roman" w:eastAsia="Times New Roman" w:hAnsi="Times New Roman"/>
          <w:sz w:val="18"/>
          <w:szCs w:val="18"/>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All documents subsequently filed by the Registrant pursuant to Sections 13(a), 13(c), 14 or 15(d) of the Securities Exchange Act of 1934, as amended (the “Exchange Act”),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in this registration statement and to be part hereof from the date of filing of such documents. Any statement in a document incorporated or deemed to be incorporated by reference in this registration statement will be deemed to be modified or superseded to the extent that a statement contained in this registration statement or in any other later filed document that also is or is deemed to be incorporated by reference modifies or supersedes such statement. Any such statement so modified or superseded will not be deemed, except as so modified or superseded, to be a part of this registration statement.</w:t>
      </w:r>
    </w:p>
    <w:p>
      <w:pPr>
        <w:spacing w:after="0" w:line="360" w:lineRule="exact"/>
        <w:rPr>
          <w:rFonts w:ascii="Times New Roman" w:cs="Times New Roman" w:eastAsia="Times New Roman" w:hAnsi="Times New Roman"/>
          <w:sz w:val="18"/>
          <w:szCs w:val="18"/>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2"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See the Index to Exhibits attached hereto.</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702945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160" w:type="dxa"/>
            <w:vAlign w:val="bottom"/>
            <w:gridSpan w:val="6"/>
          </w:tcPr>
          <w:p>
            <w:pPr>
              <w:ind w:left="1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85"/>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160" w:type="dxa"/>
            <w:vAlign w:val="bottom"/>
            <w:tcBorders>
              <w:bottom w:val="single" w:sz="8" w:color="auto"/>
            </w:tcBorders>
            <w:gridSpan w:val="6"/>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9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Pr>
          <w:p>
            <w:pPr>
              <w:spacing w:after="0"/>
              <w:rPr>
                <w:sz w:val="24"/>
                <w:szCs w:val="24"/>
                <w:color w:val="auto"/>
              </w:rPr>
            </w:pPr>
          </w:p>
        </w:tc>
        <w:tc>
          <w:tcPr>
            <w:tcW w:w="95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Ninth Amended and Restated Memorandum and Articles of Association, as currently in effect (incorporated by reference to Exhibit</w:t>
              </w:r>
            </w:hyperlink>
          </w:p>
        </w:tc>
        <w:tc>
          <w:tcPr>
            <w:tcW w:w="24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1.</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of the Registrant’s annual report on Form 20-F (File No. 001-38313) filed with the Securities and Exchange Commission on April</w:t>
              </w:r>
            </w:hyperlink>
          </w:p>
        </w:tc>
        <w:tc>
          <w:tcPr>
            <w:tcW w:w="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25, 2019)</w:t>
              </w:r>
            </w:hyperlink>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24"/>
                <w:szCs w:val="24"/>
                <w:color w:val="auto"/>
              </w:rPr>
            </w:pPr>
          </w:p>
        </w:tc>
        <w:tc>
          <w:tcPr>
            <w:tcW w:w="96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Registrant’s Specimen Certificate for Class A Ordinary Shares (incorporated by reference to Exhibit 4.2 of the Registration Statement</w:t>
              </w:r>
            </w:hyperlink>
          </w:p>
        </w:tc>
        <w:tc>
          <w:tcPr>
            <w:tcW w:w="100" w:type="dxa"/>
            <w:vAlign w:val="bottom"/>
            <w:gridSpan w:val="2"/>
          </w:tcPr>
          <w:p>
            <w:pPr>
              <w:spacing w:after="0"/>
              <w:rPr>
                <w:sz w:val="24"/>
                <w:szCs w:val="24"/>
                <w:color w:val="auto"/>
              </w:rPr>
            </w:pPr>
          </w:p>
        </w:tc>
      </w:tr>
      <w:tr>
        <w:trPr>
          <w:trHeight w:val="237"/>
        </w:trPr>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740" w:type="dxa"/>
            <w:vAlign w:val="bottom"/>
            <w:gridSpan w:val="9"/>
          </w:tcPr>
          <w:p>
            <w:pPr>
              <w:spacing w:after="0"/>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on Form F-1 (File No. 333-221034) filed with the Securities and Exchange Commission on October 20, 2017)</w:t>
              </w:r>
            </w:hyperlink>
          </w:p>
        </w:tc>
      </w:tr>
      <w:tr>
        <w:trPr>
          <w:trHeight w:val="29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spacing w:after="0"/>
              <w:rPr>
                <w:sz w:val="24"/>
                <w:szCs w:val="24"/>
                <w:color w:val="auto"/>
              </w:rPr>
            </w:pPr>
          </w:p>
        </w:tc>
        <w:tc>
          <w:tcPr>
            <w:tcW w:w="95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Form of Deposit Agreement among the Registrant, the depositary and holder of the American Depositary Receipts (incorporated by</w:t>
              </w:r>
            </w:hyperlink>
          </w:p>
        </w:tc>
        <w:tc>
          <w:tcPr>
            <w:tcW w:w="240" w:type="dxa"/>
            <w:vAlign w:val="bottom"/>
            <w:gridSpan w:val="4"/>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reference to Exhibit 4.3 of the Registration Statement on Form F-1/A (File No. 333-221034) filed with the Securities and Exchange</w:t>
              </w:r>
            </w:hyperlink>
          </w:p>
        </w:tc>
        <w:tc>
          <w:tcPr>
            <w:tcW w:w="260" w:type="dxa"/>
            <w:vAlign w:val="bottom"/>
            <w:gridSpan w:val="5"/>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Commission on December 1, 2017)</w:t>
              </w:r>
            </w:hyperlink>
          </w:p>
        </w:tc>
        <w:tc>
          <w:tcPr>
            <w:tcW w:w="7160" w:type="dxa"/>
            <w:vAlign w:val="bottom"/>
            <w:gridSpan w:val="6"/>
          </w:tcPr>
          <w:p>
            <w:pPr>
              <w:spacing w:after="0"/>
              <w:rPr>
                <w:sz w:val="17"/>
                <w:szCs w:val="17"/>
                <w:color w:val="auto"/>
              </w:rPr>
            </w:pPr>
          </w:p>
        </w:tc>
      </w:tr>
      <w:tr>
        <w:trPr>
          <w:trHeight w:val="35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tcPr>
          <w:p>
            <w:pPr>
              <w:spacing w:after="0"/>
              <w:rPr>
                <w:sz w:val="24"/>
                <w:szCs w:val="24"/>
                <w:color w:val="auto"/>
              </w:rPr>
            </w:pPr>
          </w:p>
        </w:tc>
        <w:tc>
          <w:tcPr>
            <w:tcW w:w="9740" w:type="dxa"/>
            <w:vAlign w:val="bottom"/>
            <w:gridSpan w:val="9"/>
          </w:tcPr>
          <w:p>
            <w:pPr>
              <w:spacing w:after="0"/>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Registrant’s Specimen American Depositary Receipt (included in Exhibit 4.3 to this Registration Statement)</w:t>
              </w:r>
            </w:hyperlink>
          </w:p>
        </w:tc>
      </w:tr>
      <w:tr>
        <w:trPr>
          <w:trHeight w:val="4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620" w:type="dxa"/>
            <w:vAlign w:val="bottom"/>
          </w:tcPr>
          <w:p>
            <w:pPr>
              <w:spacing w:after="0"/>
              <w:rPr>
                <w:sz w:val="24"/>
                <w:szCs w:val="24"/>
                <w:color w:val="auto"/>
              </w:rPr>
            </w:pPr>
          </w:p>
        </w:tc>
        <w:tc>
          <w:tcPr>
            <w:tcW w:w="960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Opinion of Travers Thorp Alberga Attorneys at Law, Cayman Islands counsel to the Registrant, regarding the validity of the ordinary</w:t>
              </w:r>
            </w:hyperlink>
          </w:p>
        </w:tc>
        <w:tc>
          <w:tcPr>
            <w:tcW w:w="140" w:type="dxa"/>
            <w:vAlign w:val="bottom"/>
            <w:gridSpan w:val="3"/>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shares being registered</w:t>
              </w:r>
            </w:hyperlink>
          </w:p>
        </w:tc>
        <w:tc>
          <w:tcPr>
            <w:tcW w:w="8080" w:type="dxa"/>
            <w:vAlign w:val="bottom"/>
            <w:gridSpan w:val="7"/>
          </w:tcPr>
          <w:p>
            <w:pPr>
              <w:spacing w:after="0"/>
              <w:rPr>
                <w:sz w:val="17"/>
                <w:szCs w:val="17"/>
                <w:color w:val="auto"/>
              </w:rPr>
            </w:pPr>
          </w:p>
        </w:tc>
      </w:tr>
      <w:tr>
        <w:trPr>
          <w:trHeight w:val="45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24"/>
                <w:szCs w:val="24"/>
                <w:color w:val="auto"/>
              </w:rPr>
            </w:pPr>
          </w:p>
        </w:tc>
        <w:tc>
          <w:tcPr>
            <w:tcW w:w="9740" w:type="dxa"/>
            <w:vAlign w:val="bottom"/>
            <w:gridSpan w:val="9"/>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Post-IPO Share Incentive Plan of the Registrant, as last amended and restated on February 26, 2021</w:t>
              </w:r>
            </w:hyperlink>
          </w:p>
        </w:tc>
      </w:tr>
      <w:tr>
        <w:trPr>
          <w:trHeight w:val="45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20" w:type="dxa"/>
            <w:vAlign w:val="bottom"/>
          </w:tcPr>
          <w:p>
            <w:pPr>
              <w:spacing w:after="0"/>
              <w:rPr>
                <w:sz w:val="24"/>
                <w:szCs w:val="24"/>
                <w:color w:val="auto"/>
              </w:rPr>
            </w:pPr>
          </w:p>
        </w:tc>
        <w:tc>
          <w:tcPr>
            <w:tcW w:w="9740" w:type="dxa"/>
            <w:vAlign w:val="bottom"/>
            <w:gridSpan w:val="9"/>
          </w:tcPr>
          <w:p>
            <w:pPr>
              <w:spacing w:after="0"/>
              <w:rPr>
                <w:rFonts w:ascii="Times New Roman" w:cs="Times New Roman" w:eastAsia="Times New Roman" w:hAnsi="Times New Roman"/>
                <w:sz w:val="18"/>
                <w:szCs w:val="18"/>
                <w:u w:val="single" w:color="auto"/>
                <w:color w:val="0000EE"/>
              </w:rPr>
            </w:pPr>
            <w:hyperlink w:anchor="page30">
              <w:r>
                <w:rPr>
                  <w:rFonts w:ascii="Times New Roman" w:cs="Times New Roman" w:eastAsia="Times New Roman" w:hAnsi="Times New Roman"/>
                  <w:sz w:val="18"/>
                  <w:szCs w:val="18"/>
                  <w:u w:val="single" w:color="auto"/>
                  <w:color w:val="0000EE"/>
                </w:rPr>
                <w:t>Consent of PricewaterhouseCoopers, an independent registered public accounting firm</w:t>
              </w:r>
            </w:hyperlink>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20" w:type="dxa"/>
            <w:vAlign w:val="bottom"/>
          </w:tcPr>
          <w:p>
            <w:pPr>
              <w:spacing w:after="0"/>
              <w:rPr>
                <w:sz w:val="24"/>
                <w:szCs w:val="24"/>
                <w:color w:val="auto"/>
              </w:rPr>
            </w:pPr>
          </w:p>
        </w:tc>
        <w:tc>
          <w:tcPr>
            <w:tcW w:w="9740" w:type="dxa"/>
            <w:vAlign w:val="bottom"/>
            <w:gridSpan w:val="9"/>
          </w:tcPr>
          <w:p>
            <w:pPr>
              <w:spacing w:after="0"/>
              <w:rPr>
                <w:rFonts w:ascii="Times New Roman" w:cs="Times New Roman" w:eastAsia="Times New Roman" w:hAnsi="Times New Roman"/>
                <w:sz w:val="18"/>
                <w:szCs w:val="18"/>
                <w:u w:val="single" w:color="auto"/>
                <w:color w:val="0000EE"/>
              </w:rPr>
            </w:pPr>
            <w:hyperlink w:anchor="page9">
              <w:r>
                <w:rPr>
                  <w:rFonts w:ascii="Times New Roman" w:cs="Times New Roman" w:eastAsia="Times New Roman" w:hAnsi="Times New Roman"/>
                  <w:sz w:val="18"/>
                  <w:szCs w:val="18"/>
                  <w:u w:val="single" w:color="auto"/>
                  <w:color w:val="0000EE"/>
                </w:rPr>
                <w:t>Consent of Travers Thorp Alberga Attorneys at Law (included in Exhibit 5.1)</w:t>
              </w:r>
            </w:hyperlink>
          </w:p>
        </w:tc>
      </w:tr>
      <w:tr>
        <w:trPr>
          <w:trHeight w:val="33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20" w:type="dxa"/>
            <w:vAlign w:val="bottom"/>
          </w:tcPr>
          <w:p>
            <w:pPr>
              <w:spacing w:after="0"/>
              <w:rPr>
                <w:sz w:val="24"/>
                <w:szCs w:val="24"/>
                <w:color w:val="auto"/>
              </w:rPr>
            </w:pPr>
          </w:p>
        </w:tc>
        <w:tc>
          <w:tcPr>
            <w:tcW w:w="9740" w:type="dxa"/>
            <w:vAlign w:val="bottom"/>
            <w:gridSpan w:val="9"/>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Power of Attorney (included on the signature page of this registration statement)</w:t>
              </w:r>
            </w:hyperlink>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822960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86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Hong Kong, on February 26, 2021.</w:t>
      </w:r>
    </w:p>
    <w:p>
      <w:pPr>
        <w:spacing w:after="0" w:line="19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b w:val="1"/>
          <w:bCs w:val="1"/>
          <w:color w:val="auto"/>
        </w:rPr>
        <w:t>iClick Interactive Asia Group Limited</w:t>
      </w:r>
    </w:p>
    <w:p>
      <w:pPr>
        <w:spacing w:after="0" w:line="229"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By: /s/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26035</wp:posOffset>
            </wp:positionV>
            <wp:extent cx="22802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5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Name:Jian Tang</w:t>
      </w:r>
    </w:p>
    <w:p>
      <w:pPr>
        <w:spacing w:after="0" w:line="2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549" w:right="5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864"/>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severally and not jointly, each of Jian Tang and Terence Li, with full power to act alone, as his or her true and lawful attorney-in-fact, with the power of 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each said attorney-in-fact full power and authority to do and perform each and every act and thing requisite and necessary to be done as fully to all intents and purposes as he or she might or could do in person, hereby ratifying and confirming all that each said attorney-in-fact may lawfully do or cause to be done by virtue hereof.</w:t>
      </w:r>
    </w:p>
    <w:p>
      <w:pPr>
        <w:spacing w:after="0" w:line="3" w:lineRule="exact"/>
        <w:rPr>
          <w:sz w:val="20"/>
          <w:szCs w:val="20"/>
          <w:color w:val="auto"/>
        </w:rPr>
      </w:pPr>
    </w:p>
    <w:p>
      <w:pPr>
        <w:ind w:right="700" w:firstLine="864"/>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February 26, 2021.</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560" w:type="dxa"/>
            <w:vAlign w:val="bottom"/>
          </w:tcPr>
          <w:p>
            <w:pPr>
              <w:spacing w:after="0"/>
              <w:rPr>
                <w:sz w:val="16"/>
                <w:szCs w:val="16"/>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4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156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Jian Tang</w:t>
            </w:r>
          </w:p>
        </w:tc>
        <w:tc>
          <w:tcPr>
            <w:tcW w:w="20" w:type="dxa"/>
            <w:vAlign w:val="bottom"/>
          </w:tcPr>
          <w:p>
            <w:pPr>
              <w:spacing w:after="0"/>
              <w:rPr>
                <w:sz w:val="24"/>
                <w:szCs w:val="24"/>
                <w:color w:val="auto"/>
              </w:rPr>
            </w:pPr>
          </w:p>
        </w:tc>
        <w:tc>
          <w:tcPr>
            <w:tcW w:w="3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Chief Executive Officer (principal executive</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56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officer)</w:t>
            </w: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4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Jian Tang</w:t>
            </w:r>
          </w:p>
        </w:tc>
        <w:tc>
          <w:tcPr>
            <w:tcW w:w="20" w:type="dxa"/>
            <w:vAlign w:val="bottom"/>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42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1"/>
        </w:trPr>
        <w:tc>
          <w:tcPr>
            <w:tcW w:w="1560" w:type="dxa"/>
            <w:vAlign w:val="bottom"/>
          </w:tcPr>
          <w:p>
            <w:pPr>
              <w:spacing w:after="0"/>
              <w:rPr>
                <w:sz w:val="24"/>
                <w:szCs w:val="24"/>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Wing Hong Sammy Hsieh</w:t>
            </w:r>
          </w:p>
        </w:tc>
        <w:tc>
          <w:tcPr>
            <w:tcW w:w="20" w:type="dxa"/>
            <w:vAlign w:val="bottom"/>
            <w:tcBorders>
              <w:bottom w:val="single" w:sz="8" w:color="auto"/>
            </w:tcBorders>
          </w:tcPr>
          <w:p>
            <w:pPr>
              <w:spacing w:after="0"/>
              <w:rPr>
                <w:sz w:val="24"/>
                <w:szCs w:val="24"/>
                <w:color w:val="auto"/>
              </w:rPr>
            </w:pPr>
          </w:p>
        </w:tc>
        <w:tc>
          <w:tcPr>
            <w:tcW w:w="3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60" w:type="dxa"/>
            <w:vAlign w:val="bottom"/>
          </w:tcPr>
          <w:p>
            <w:pPr>
              <w:spacing w:after="0"/>
              <w:rPr>
                <w:sz w:val="22"/>
                <w:szCs w:val="22"/>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Wing Hong Sammy Hsieh</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0"/>
        </w:trPr>
        <w:tc>
          <w:tcPr>
            <w:tcW w:w="1560" w:type="dxa"/>
            <w:vAlign w:val="bottom"/>
          </w:tcPr>
          <w:p>
            <w:pPr>
              <w:spacing w:after="0"/>
              <w:rPr>
                <w:sz w:val="24"/>
                <w:szCs w:val="24"/>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Lub Bun Chong</w:t>
            </w:r>
          </w:p>
        </w:tc>
        <w:tc>
          <w:tcPr>
            <w:tcW w:w="20" w:type="dxa"/>
            <w:vAlign w:val="bottom"/>
            <w:tcBorders>
              <w:bottom w:val="single" w:sz="8" w:color="auto"/>
            </w:tcBorders>
          </w:tcPr>
          <w:p>
            <w:pPr>
              <w:spacing w:after="0"/>
              <w:rPr>
                <w:sz w:val="24"/>
                <w:szCs w:val="24"/>
                <w:color w:val="auto"/>
              </w:rPr>
            </w:pPr>
          </w:p>
        </w:tc>
        <w:tc>
          <w:tcPr>
            <w:tcW w:w="3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60" w:type="dxa"/>
            <w:vAlign w:val="bottom"/>
          </w:tcPr>
          <w:p>
            <w:pPr>
              <w:spacing w:after="0"/>
              <w:rPr>
                <w:sz w:val="22"/>
                <w:szCs w:val="22"/>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Lub Bun Chong</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1560" w:type="dxa"/>
            <w:vAlign w:val="bottom"/>
          </w:tcPr>
          <w:p>
            <w:pPr>
              <w:spacing w:after="0"/>
              <w:rPr>
                <w:sz w:val="24"/>
                <w:szCs w:val="24"/>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Matthew Chu Pong Fong</w:t>
            </w:r>
          </w:p>
        </w:tc>
        <w:tc>
          <w:tcPr>
            <w:tcW w:w="20" w:type="dxa"/>
            <w:vAlign w:val="bottom"/>
            <w:tcBorders>
              <w:bottom w:val="single" w:sz="8" w:color="auto"/>
            </w:tcBorders>
          </w:tcPr>
          <w:p>
            <w:pPr>
              <w:spacing w:after="0"/>
              <w:rPr>
                <w:sz w:val="24"/>
                <w:szCs w:val="24"/>
                <w:color w:val="auto"/>
              </w:rPr>
            </w:pPr>
          </w:p>
        </w:tc>
        <w:tc>
          <w:tcPr>
            <w:tcW w:w="3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60" w:type="dxa"/>
            <w:vAlign w:val="bottom"/>
          </w:tcPr>
          <w:p>
            <w:pPr>
              <w:spacing w:after="0"/>
              <w:rPr>
                <w:sz w:val="22"/>
                <w:szCs w:val="22"/>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Matthew Chu Pong Fong</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2"/>
        </w:trPr>
        <w:tc>
          <w:tcPr>
            <w:tcW w:w="1560" w:type="dxa"/>
            <w:vAlign w:val="bottom"/>
          </w:tcPr>
          <w:p>
            <w:pPr>
              <w:spacing w:after="0"/>
              <w:rPr>
                <w:sz w:val="24"/>
                <w:szCs w:val="24"/>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Dylan Huang</w:t>
            </w:r>
          </w:p>
        </w:tc>
        <w:tc>
          <w:tcPr>
            <w:tcW w:w="20" w:type="dxa"/>
            <w:vAlign w:val="bottom"/>
            <w:tcBorders>
              <w:bottom w:val="single" w:sz="8" w:color="auto"/>
            </w:tcBorders>
          </w:tcPr>
          <w:p>
            <w:pPr>
              <w:spacing w:after="0"/>
              <w:rPr>
                <w:sz w:val="24"/>
                <w:szCs w:val="24"/>
                <w:color w:val="auto"/>
              </w:rPr>
            </w:pPr>
          </w:p>
        </w:tc>
        <w:tc>
          <w:tcPr>
            <w:tcW w:w="3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60" w:type="dxa"/>
            <w:vAlign w:val="bottom"/>
          </w:tcPr>
          <w:p>
            <w:pPr>
              <w:spacing w:after="0"/>
              <w:rPr>
                <w:sz w:val="22"/>
                <w:szCs w:val="22"/>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Dylan Huang</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0"/>
        </w:trPr>
        <w:tc>
          <w:tcPr>
            <w:tcW w:w="1560" w:type="dxa"/>
            <w:vAlign w:val="bottom"/>
          </w:tcPr>
          <w:p>
            <w:pPr>
              <w:spacing w:after="0"/>
              <w:rPr>
                <w:sz w:val="24"/>
                <w:szCs w:val="24"/>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Philip Kan</w:t>
            </w:r>
          </w:p>
        </w:tc>
        <w:tc>
          <w:tcPr>
            <w:tcW w:w="20" w:type="dxa"/>
            <w:vAlign w:val="bottom"/>
            <w:tcBorders>
              <w:bottom w:val="single" w:sz="8" w:color="auto"/>
            </w:tcBorders>
          </w:tcPr>
          <w:p>
            <w:pPr>
              <w:spacing w:after="0"/>
              <w:rPr>
                <w:sz w:val="24"/>
                <w:szCs w:val="24"/>
                <w:color w:val="auto"/>
              </w:rPr>
            </w:pPr>
          </w:p>
        </w:tc>
        <w:tc>
          <w:tcPr>
            <w:tcW w:w="3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560" w:type="dxa"/>
            <w:vAlign w:val="bottom"/>
          </w:tcPr>
          <w:p>
            <w:pPr>
              <w:spacing w:after="0"/>
              <w:rPr>
                <w:sz w:val="22"/>
                <w:szCs w:val="22"/>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Philip Kan</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3"/>
        </w:trPr>
        <w:tc>
          <w:tcPr>
            <w:tcW w:w="1560" w:type="dxa"/>
            <w:vAlign w:val="bottom"/>
          </w:tcPr>
          <w:p>
            <w:pPr>
              <w:spacing w:after="0"/>
              <w:rPr>
                <w:sz w:val="24"/>
                <w:szCs w:val="24"/>
                <w:color w:val="auto"/>
              </w:rPr>
            </w:pP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 Terence Li</w:t>
            </w:r>
          </w:p>
        </w:tc>
        <w:tc>
          <w:tcPr>
            <w:tcW w:w="20" w:type="dxa"/>
            <w:vAlign w:val="bottom"/>
          </w:tcPr>
          <w:p>
            <w:pPr>
              <w:spacing w:after="0"/>
              <w:rPr>
                <w:sz w:val="24"/>
                <w:szCs w:val="24"/>
                <w:color w:val="auto"/>
              </w:rPr>
            </w:pPr>
          </w:p>
        </w:tc>
        <w:tc>
          <w:tcPr>
            <w:tcW w:w="3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Director and Chief Financial Officer (principal</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156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financial officer and principal accounting officer)</w:t>
            </w: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4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Terence Li</w:t>
            </w:r>
          </w:p>
        </w:tc>
        <w:tc>
          <w:tcPr>
            <w:tcW w:w="20" w:type="dxa"/>
            <w:vAlign w:val="bottom"/>
          </w:tcPr>
          <w:p>
            <w:pPr>
              <w:spacing w:after="0"/>
              <w:rPr>
                <w:sz w:val="15"/>
                <w:szCs w:val="15"/>
                <w:color w:val="auto"/>
              </w:rPr>
            </w:pPr>
          </w:p>
        </w:tc>
        <w:tc>
          <w:tcPr>
            <w:tcW w:w="386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560" w:type="dxa"/>
            <w:vAlign w:val="bottom"/>
          </w:tcPr>
          <w:p>
            <w:pPr>
              <w:spacing w:after="0"/>
              <w:rPr>
                <w:sz w:val="5"/>
                <w:szCs w:val="5"/>
                <w:color w:val="auto"/>
              </w:rPr>
            </w:pPr>
          </w:p>
        </w:tc>
        <w:tc>
          <w:tcPr>
            <w:tcW w:w="42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5"/>
        </w:trPr>
        <w:tc>
          <w:tcPr>
            <w:tcW w:w="156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7" w:name="page8"/>
    <w:bookmarkEnd w:id="7"/>
    <w:p>
      <w:pPr>
        <w:ind w:left="2420"/>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589"/>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iClick Interactive Asia Group Limited has signed this registration statement or amendment thereto in New York on February 26, 2021.</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3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43" w:lineRule="exact"/>
        <w:rPr>
          <w:sz w:val="20"/>
          <w:szCs w:val="20"/>
          <w:color w:val="auto"/>
        </w:rPr>
      </w:pPr>
    </w:p>
    <w:p>
      <w:pPr>
        <w:ind w:left="594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26035</wp:posOffset>
            </wp:positionV>
            <wp:extent cx="2794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5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Title: Senior Vice President</w:t>
      </w:r>
    </w:p>
    <w:p>
      <w:pPr>
        <w:sectPr>
          <w:pgSz w:w="11900" w:h="16838" w:orient="portrait"/>
          <w:cols w:equalWidth="0" w:num="1">
            <w:col w:w="10940"/>
          </w:cols>
          <w:pgMar w:left="320" w:top="117" w:right="639" w:bottom="1440" w:gutter="0" w:footer="0" w:header="0"/>
        </w:sectPr>
      </w:pPr>
    </w:p>
    <w:bookmarkStart w:id="8" w:name="page9"/>
    <w:bookmarkEnd w:id="8"/>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90170</wp:posOffset>
            </wp:positionV>
            <wp:extent cx="1508760" cy="908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508760"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Office: </w:t>
      </w:r>
      <w:r>
        <w:rPr>
          <w:rFonts w:ascii="Arial" w:cs="Arial" w:eastAsia="Arial" w:hAnsi="Arial"/>
          <w:sz w:val="16"/>
          <w:szCs w:val="16"/>
          <w:color w:val="auto"/>
        </w:rPr>
        <w:t>+852 2801 6066</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Mobile: </w:t>
      </w:r>
      <w:r>
        <w:rPr>
          <w:rFonts w:ascii="Arial" w:cs="Arial" w:eastAsia="Arial" w:hAnsi="Arial"/>
          <w:sz w:val="16"/>
          <w:szCs w:val="16"/>
          <w:color w:val="auto"/>
        </w:rPr>
        <w:t>+852 9718 8740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Email: </w:t>
      </w:r>
      <w:r>
        <w:rPr>
          <w:rFonts w:ascii="Arial" w:cs="Arial" w:eastAsia="Arial" w:hAnsi="Arial"/>
          <w:sz w:val="16"/>
          <w:szCs w:val="16"/>
          <w:u w:val="single" w:color="auto"/>
          <w:color w:val="auto"/>
        </w:rPr>
        <w:t>rthorp@tta.lawyer</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iClick Interactive Asia Group Limited</w:t>
      </w:r>
    </w:p>
    <w:p>
      <w:pPr>
        <w:spacing w:after="0" w:line="237" w:lineRule="auto"/>
        <w:rPr>
          <w:sz w:val="20"/>
          <w:szCs w:val="20"/>
          <w:color w:val="auto"/>
        </w:rPr>
      </w:pPr>
      <w:r>
        <w:rPr>
          <w:rFonts w:ascii="Arial" w:cs="Arial" w:eastAsia="Arial" w:hAnsi="Arial"/>
          <w:sz w:val="20"/>
          <w:szCs w:val="20"/>
          <w:color w:val="auto"/>
        </w:rPr>
        <w:t>15/F, Prosperity Millennia Plaza</w:t>
      </w:r>
    </w:p>
    <w:p>
      <w:pPr>
        <w:spacing w:after="0" w:line="226" w:lineRule="auto"/>
        <w:rPr>
          <w:sz w:val="20"/>
          <w:szCs w:val="20"/>
          <w:color w:val="auto"/>
        </w:rPr>
      </w:pPr>
      <w:r>
        <w:rPr>
          <w:rFonts w:ascii="Arial" w:cs="Arial" w:eastAsia="Arial" w:hAnsi="Arial"/>
          <w:sz w:val="20"/>
          <w:szCs w:val="20"/>
          <w:color w:val="auto"/>
        </w:rPr>
        <w:t>663 King’s Road, Quarry Bay</w:t>
      </w:r>
    </w:p>
    <w:p>
      <w:pPr>
        <w:spacing w:after="0"/>
        <w:rPr>
          <w:sz w:val="20"/>
          <w:szCs w:val="20"/>
          <w:color w:val="auto"/>
        </w:rPr>
      </w:pPr>
      <w:r>
        <w:rPr>
          <w:rFonts w:ascii="Arial" w:cs="Arial" w:eastAsia="Arial" w:hAnsi="Arial"/>
          <w:sz w:val="20"/>
          <w:szCs w:val="20"/>
          <w:color w:val="auto"/>
        </w:rPr>
        <w:t>Hong Kong S.A.R., People’s Republic of China</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 February 2021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iClick Interactive Asia Group Limited</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We have examined the Registration Statement on Form S-8 to be filed by iClick Interactive Asia Group Limited, a Cayman Islands exempted company incorporated with limited liability (the "</w:t>
      </w:r>
      <w:r>
        <w:rPr>
          <w:rFonts w:ascii="Arial" w:cs="Arial" w:eastAsia="Arial" w:hAnsi="Arial"/>
          <w:sz w:val="20"/>
          <w:szCs w:val="20"/>
          <w:b w:val="1"/>
          <w:bCs w:val="1"/>
          <w:color w:val="auto"/>
        </w:rPr>
        <w:t>Registrant</w:t>
      </w:r>
      <w:r>
        <w:rPr>
          <w:rFonts w:ascii="Arial" w:cs="Arial" w:eastAsia="Arial" w:hAnsi="Arial"/>
          <w:sz w:val="20"/>
          <w:szCs w:val="20"/>
          <w:color w:val="auto"/>
        </w:rPr>
        <w:t>"), with the Securities and Exchange Commission (the "</w:t>
      </w:r>
      <w:r>
        <w:rPr>
          <w:rFonts w:ascii="Arial" w:cs="Arial" w:eastAsia="Arial" w:hAnsi="Arial"/>
          <w:sz w:val="20"/>
          <w:szCs w:val="20"/>
          <w:b w:val="1"/>
          <w:bCs w:val="1"/>
          <w:color w:val="auto"/>
        </w:rPr>
        <w:t>Registration Statement</w:t>
      </w:r>
      <w:r>
        <w:rPr>
          <w:rFonts w:ascii="Arial" w:cs="Arial" w:eastAsia="Arial" w:hAnsi="Arial"/>
          <w:sz w:val="20"/>
          <w:szCs w:val="20"/>
          <w:color w:val="auto"/>
        </w:rPr>
        <w:t>"), relating to the registration under the Securities Act of 1933, as amended, of an amount of Class A Ordinary Shares of the Registrant (the "</w:t>
      </w:r>
      <w:r>
        <w:rPr>
          <w:rFonts w:ascii="Arial" w:cs="Arial" w:eastAsia="Arial" w:hAnsi="Arial"/>
          <w:sz w:val="20"/>
          <w:szCs w:val="20"/>
          <w:b w:val="1"/>
          <w:bCs w:val="1"/>
          <w:color w:val="auto"/>
        </w:rPr>
        <w:t>Shares</w:t>
      </w:r>
      <w:r>
        <w:rPr>
          <w:rFonts w:ascii="Arial" w:cs="Arial" w:eastAsia="Arial" w:hAnsi="Arial"/>
          <w:sz w:val="20"/>
          <w:szCs w:val="20"/>
          <w:color w:val="auto"/>
        </w:rPr>
        <w:t>") for issuance pursuant to the iClick Interactive Asia Group Limited Post-IPO Share Incentive Plan, as last amended and restated on February 26, 2021 (the "</w:t>
      </w:r>
      <w:r>
        <w:rPr>
          <w:rFonts w:ascii="Arial" w:cs="Arial" w:eastAsia="Arial" w:hAnsi="Arial"/>
          <w:sz w:val="20"/>
          <w:szCs w:val="20"/>
          <w:b w:val="1"/>
          <w:bCs w:val="1"/>
          <w:color w:val="auto"/>
        </w:rPr>
        <w:t>Plan</w:t>
      </w:r>
      <w:r>
        <w:rPr>
          <w:rFonts w:ascii="Arial" w:cs="Arial" w:eastAsia="Arial" w:hAnsi="Arial"/>
          <w:sz w:val="20"/>
          <w:szCs w:val="20"/>
          <w:color w:val="auto"/>
        </w:rPr>
        <w:t>").</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As Cayman Islands counsel to the Registrant, we have examined the corporate authorisations of the Registrant in connection with the Plan and the issue of the Shares by the Registrant and have assumed that the Shares will be issued in accordance with the Plan and the resolutions authorizing the issue.</w:t>
      </w:r>
    </w:p>
    <w:p>
      <w:pPr>
        <w:spacing w:after="0" w:line="16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It is our opinion that the Shares to be issued by the Registrant have been duly and validly authorised, and when issued, sold and paid for in the manner described in the Plan and in accordance with the relevant resolutions adopted by the Board of Directors of the Registrant (or any committee to whom the Board of Directors have delegated their powers with respect to administration of the Plan) and when appropriate entries have been made in the Register of Members of the Registrant, will be legally issued, fully paid and nonassessable.</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consent to the use of this opinion as an exhibit to the Registration Statement and further consent to all references to us in the Registration Statement and any amendments thereto.</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TRAVERS THORP ALBERGA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80010</wp:posOffset>
            </wp:positionV>
            <wp:extent cx="159448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594485" cy="51435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color w:val="auto"/>
        </w:rPr>
        <w:t>Exhibit 10.1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ICLICK INTERACTIVE ASIA GROUP LIMITED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POST-IPO SHARE INCENTIVE PLAN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PURPOSE</w:t>
      </w:r>
    </w:p>
    <w:p>
      <w:pPr>
        <w:spacing w:after="0" w:line="196" w:lineRule="exact"/>
        <w:rPr>
          <w:sz w:val="20"/>
          <w:szCs w:val="20"/>
          <w:color w:val="auto"/>
        </w:rPr>
      </w:pPr>
    </w:p>
    <w:p>
      <w:pPr>
        <w:ind w:right="180" w:firstLine="447"/>
        <w:spacing w:after="0" w:line="255" w:lineRule="auto"/>
        <w:rPr>
          <w:sz w:val="20"/>
          <w:szCs w:val="20"/>
          <w:color w:val="auto"/>
        </w:rPr>
      </w:pPr>
      <w:r>
        <w:rPr>
          <w:rFonts w:ascii="Arial" w:cs="Arial" w:eastAsia="Arial" w:hAnsi="Arial"/>
          <w:sz w:val="16"/>
          <w:szCs w:val="16"/>
          <w:color w:val="auto"/>
        </w:rPr>
        <w:t>The purpose of this Post-IPO Share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is to promote the success and enhance the value of iClick Interactive Asia Group Limited, an exempted company formed under the laws of the Cayman Islands (the “</w:t>
      </w:r>
      <w:r>
        <w:rPr>
          <w:rFonts w:ascii="Arial" w:cs="Arial" w:eastAsia="Arial" w:hAnsi="Arial"/>
          <w:sz w:val="16"/>
          <w:szCs w:val="16"/>
          <w:u w:val="single" w:color="auto"/>
          <w:color w:val="auto"/>
        </w:rPr>
        <w:t>Company</w:t>
      </w:r>
      <w:r>
        <w:rPr>
          <w:rFonts w:ascii="Arial" w:cs="Arial" w:eastAsia="Arial" w:hAnsi="Arial"/>
          <w:sz w:val="16"/>
          <w:szCs w:val="16"/>
          <w:color w:val="auto"/>
        </w:rPr>
        <w:t>”), by linking the personal interests of the Directors, Employees, and Consultants to those of the Company’s shareholders and by providing such individuals with an incentive for outstanding performance to generate superior returns to the Company’s shareholders. The Plan is further intended to provide flexibility to the Company in its ability to motivate, attract, and retain the services of the Directors, Employees, and Consultants upon whose judgment, interest, and special effort the successful conduct of the Company’s operation is largely dependent.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 AND CONSTRUCTION</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Wherever the following terms are used in the Plan they shall have the meanings specified below, unless the context clearly indicates otherwise.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singular pronoun shall include the plural where the context so indicates.</w:t>
      </w:r>
    </w:p>
    <w:p>
      <w:pPr>
        <w:spacing w:after="0" w:line="39" w:lineRule="exact"/>
        <w:rPr>
          <w:sz w:val="20"/>
          <w:szCs w:val="20"/>
          <w:color w:val="auto"/>
        </w:rPr>
      </w:pPr>
    </w:p>
    <w:p>
      <w:pPr>
        <w:ind w:left="240" w:right="280" w:firstLine="637"/>
        <w:spacing w:after="0" w:line="269" w:lineRule="auto"/>
        <w:rPr>
          <w:sz w:val="20"/>
          <w:szCs w:val="20"/>
          <w:color w:val="auto"/>
        </w:rPr>
      </w:pPr>
      <w:r>
        <w:rPr>
          <w:rFonts w:ascii="Arial" w:cs="Arial" w:eastAsia="Arial" w:hAnsi="Arial"/>
          <w:sz w:val="16"/>
          <w:szCs w:val="16"/>
          <w:color w:val="auto"/>
        </w:rPr>
        <w:t>2.1 “</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legal requirements relating to the Plan and the Awards under applicable provisions of the corporate, securities, tax and other laws, rules, regulations and government orders, and the rules of any applicable stock exchange or national market system, of any jurisdiction applicable to Awards granted to residents therein.</w:t>
      </w:r>
    </w:p>
    <w:p>
      <w:pPr>
        <w:spacing w:after="0" w:line="16" w:lineRule="exact"/>
        <w:rPr>
          <w:sz w:val="20"/>
          <w:szCs w:val="20"/>
          <w:color w:val="auto"/>
        </w:rPr>
      </w:pPr>
    </w:p>
    <w:p>
      <w:pPr>
        <w:ind w:left="900"/>
        <w:spacing w:after="0"/>
        <w:rPr>
          <w:sz w:val="20"/>
          <w:szCs w:val="20"/>
          <w:color w:val="auto"/>
        </w:rPr>
      </w:pPr>
      <w:r>
        <w:rPr>
          <w:rFonts w:ascii="Arial" w:cs="Arial" w:eastAsia="Arial" w:hAnsi="Arial"/>
          <w:sz w:val="16"/>
          <w:szCs w:val="16"/>
          <w:color w:val="auto"/>
        </w:rPr>
        <w:t>2.2 “</w:t>
      </w:r>
      <w:r>
        <w:rPr>
          <w:rFonts w:ascii="Arial" w:cs="Arial" w:eastAsia="Arial" w:hAnsi="Arial"/>
          <w:sz w:val="16"/>
          <w:szCs w:val="16"/>
          <w:u w:val="single" w:color="auto"/>
          <w:color w:val="auto"/>
        </w:rPr>
        <w:t>Award</w:t>
      </w:r>
      <w:r>
        <w:rPr>
          <w:rFonts w:ascii="Arial" w:cs="Arial" w:eastAsia="Arial" w:hAnsi="Arial"/>
          <w:sz w:val="16"/>
          <w:szCs w:val="16"/>
          <w:color w:val="auto"/>
        </w:rPr>
        <w:t>” means an Option, Restricted Share or Restricted Share Unit award granted to a Participant pursuant to the Plan.</w:t>
      </w:r>
    </w:p>
    <w:p>
      <w:pPr>
        <w:spacing w:after="0" w:line="100" w:lineRule="exact"/>
        <w:rPr>
          <w:sz w:val="20"/>
          <w:szCs w:val="20"/>
          <w:color w:val="auto"/>
        </w:rPr>
      </w:pPr>
    </w:p>
    <w:p>
      <w:pPr>
        <w:ind w:left="240" w:right="560" w:firstLine="643"/>
        <w:spacing w:after="0" w:line="281"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any written agreement, contract, or other instrument or document evidencing an Award, including through electronic medium.</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ind w:left="240" w:right="460" w:firstLine="643"/>
        <w:spacing w:after="0" w:line="261" w:lineRule="auto"/>
        <w:rPr>
          <w:sz w:val="20"/>
          <w:szCs w:val="20"/>
          <w:color w:val="auto"/>
        </w:rPr>
      </w:pPr>
      <w:r>
        <w:rPr>
          <w:rFonts w:ascii="Arial" w:cs="Arial" w:eastAsia="Arial" w:hAnsi="Arial"/>
          <w:sz w:val="16"/>
          <w:szCs w:val="16"/>
          <w:color w:val="auto"/>
        </w:rPr>
        <w:t>2.5 “</w:t>
      </w:r>
      <w:r>
        <w:rPr>
          <w:rFonts w:ascii="Arial" w:cs="Arial" w:eastAsia="Arial" w:hAnsi="Arial"/>
          <w:sz w:val="16"/>
          <w:szCs w:val="16"/>
          <w:u w:val="single" w:color="auto"/>
          <w:color w:val="auto"/>
        </w:rPr>
        <w:t>Cause</w:t>
      </w:r>
      <w:r>
        <w:rPr>
          <w:rFonts w:ascii="Arial" w:cs="Arial" w:eastAsia="Arial" w:hAnsi="Arial"/>
          <w:sz w:val="16"/>
          <w:szCs w:val="16"/>
          <w:color w:val="auto"/>
        </w:rPr>
        <w:t>” with respect to a Participant means (unless otherwise expressly provided in the applicable Award Agreement, or another applicable contract with the Participant that defines such term for purposes of determining the effect that a “for cause” termination has on the Participant’s Awards) a termination of employment or service based upon a finding by the Service Recipient, acting in good faith and based on its reasonable belief at the time, that the Participant:</w:t>
      </w:r>
    </w:p>
    <w:p>
      <w:pPr>
        <w:spacing w:after="0" w:line="118" w:lineRule="exact"/>
        <w:rPr>
          <w:sz w:val="20"/>
          <w:szCs w:val="20"/>
          <w:color w:val="auto"/>
        </w:rPr>
      </w:pPr>
    </w:p>
    <w:p>
      <w:pPr>
        <w:ind w:left="1620" w:right="400" w:hanging="357"/>
        <w:spacing w:after="0" w:line="259"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has been negligent in the discharge of his or her duties to the Service Recipient, has refused to perform stated or assigned duties or is incompetent in or (other than by reason of a disability or analogous condition) incapable of performing those duties;</w:t>
      </w:r>
    </w:p>
    <w:p>
      <w:pPr>
        <w:ind w:left="1620" w:right="1080" w:hanging="357"/>
        <w:spacing w:after="0" w:line="246"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has been dishonest or committed or engaged in an act of theft, embezzlement or fraud, a breach of confidentiality, an unauthorized disclosure or use of inside information, customer lists, trade secrets or other confidential information;</w:t>
      </w:r>
    </w:p>
    <w:p>
      <w:pPr>
        <w:jc w:val="both"/>
        <w:ind w:left="1620" w:right="680" w:hanging="357"/>
        <w:spacing w:after="0" w:line="246"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has breached a fiduciary duty, or willfully and materially violated any other duty, law, rule, regulation or policy of the Service Recipient; or has been convicted of, or plead guilty or nolo contendere to, a felony or misdemeanor (other than minor traffic violations or similar offenses);</w:t>
      </w:r>
    </w:p>
    <w:p>
      <w:pPr>
        <w:spacing w:after="0" w:line="1" w:lineRule="exact"/>
        <w:rPr>
          <w:rFonts w:ascii="Arial" w:cs="Arial" w:eastAsia="Arial" w:hAnsi="Arial"/>
          <w:sz w:val="16"/>
          <w:szCs w:val="16"/>
          <w:color w:val="auto"/>
        </w:rPr>
      </w:pPr>
    </w:p>
    <w:p>
      <w:pPr>
        <w:ind w:left="1620" w:hanging="357"/>
        <w:spacing w:after="0"/>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has materially breached any of the provisions of any agreement with the Service Recipient;</w:t>
      </w:r>
    </w:p>
    <w:p>
      <w:pPr>
        <w:spacing w:after="0" w:line="25" w:lineRule="exact"/>
        <w:rPr>
          <w:rFonts w:ascii="Arial" w:cs="Arial" w:eastAsia="Arial" w:hAnsi="Arial"/>
          <w:sz w:val="16"/>
          <w:szCs w:val="16"/>
          <w:color w:val="auto"/>
        </w:rPr>
      </w:pPr>
    </w:p>
    <w:p>
      <w:pPr>
        <w:ind w:left="1620" w:right="700" w:hanging="357"/>
        <w:spacing w:after="0" w:line="259"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has engaged in unfair competition with, or otherwise acted intentionally in a manner injurious to the reputation, business or assets of, the Service Recipient; or</w:t>
      </w:r>
    </w:p>
    <w:p>
      <w:pPr>
        <w:ind w:left="1620" w:right="900" w:hanging="357"/>
        <w:spacing w:after="0" w:line="265" w:lineRule="auto"/>
        <w:tabs>
          <w:tab w:leader="none" w:pos="1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has improperly induced a vendor or customer to break or terminate any contract with the Service Recipient or induced a principal for whom the Service Recipient acts as agent to terminate such agency relationship.</w:t>
      </w:r>
    </w:p>
    <w:p>
      <w:pPr>
        <w:spacing w:after="0" w:line="222" w:lineRule="exact"/>
        <w:rPr>
          <w:sz w:val="20"/>
          <w:szCs w:val="20"/>
          <w:color w:val="auto"/>
        </w:rPr>
      </w:pPr>
    </w:p>
    <w:p>
      <w:pPr>
        <w:ind w:right="260" w:firstLine="448"/>
        <w:spacing w:after="0" w:line="281" w:lineRule="auto"/>
        <w:rPr>
          <w:sz w:val="20"/>
          <w:szCs w:val="20"/>
          <w:color w:val="auto"/>
        </w:rPr>
      </w:pPr>
      <w:r>
        <w:rPr>
          <w:rFonts w:ascii="Arial" w:cs="Arial" w:eastAsia="Arial" w:hAnsi="Arial"/>
          <w:sz w:val="16"/>
          <w:szCs w:val="16"/>
          <w:color w:val="auto"/>
        </w:rPr>
        <w:t>A termination for Cause shall be deemed to occur (subject to reinstatement upon a contrary final determination by the Committee) on the date on which the Service Recipient first delivers written notice to the Participant of a finding of termination for Cause.</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2.6 “</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of the United States, as amended.</w:t>
      </w:r>
    </w:p>
    <w:p>
      <w:pPr>
        <w:spacing w:after="0" w:line="10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2.7 “</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of the Board described in Article 10.</w:t>
      </w:r>
    </w:p>
    <w:p>
      <w:pPr>
        <w:spacing w:after="0" w:line="100" w:lineRule="exact"/>
        <w:rPr>
          <w:sz w:val="20"/>
          <w:szCs w:val="20"/>
          <w:color w:val="auto"/>
        </w:rPr>
      </w:pPr>
    </w:p>
    <w:p>
      <w:pPr>
        <w:ind w:left="240" w:firstLine="643"/>
        <w:spacing w:after="0" w:line="261" w:lineRule="auto"/>
        <w:rPr>
          <w:sz w:val="20"/>
          <w:szCs w:val="20"/>
          <w:color w:val="auto"/>
        </w:rPr>
      </w:pPr>
      <w:r>
        <w:rPr>
          <w:rFonts w:ascii="Arial" w:cs="Arial" w:eastAsia="Arial" w:hAnsi="Arial"/>
          <w:sz w:val="16"/>
          <w:szCs w:val="16"/>
          <w:color w:val="auto"/>
        </w:rPr>
        <w:t>2.8 “</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consultant or adviser if: (a) the consultant or adviser renders bona fide services to a Service Recipient;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spacing w:after="0" w:line="3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553" w:right="499" w:bottom="1440" w:gutter="0" w:footer="0" w:header="0"/>
        </w:sectPr>
      </w:pPr>
    </w:p>
    <w:bookmarkStart w:id="11" w:name="page12"/>
    <w:bookmarkEnd w:id="11"/>
    <w:p>
      <w:pPr>
        <w:ind w:right="240" w:firstLine="643"/>
        <w:spacing w:after="0" w:line="269"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unless otherwise defined in an Award Agreement, means any of the following transactions, provided, however, that the Committee shall determine under (d) and (e) whether multiple transactions are related, and its determination shall be final, binding and conclusive:</w:t>
      </w:r>
    </w:p>
    <w:p>
      <w:pPr>
        <w:spacing w:after="0" w:line="151" w:lineRule="exact"/>
        <w:rPr>
          <w:sz w:val="20"/>
          <w:szCs w:val="20"/>
          <w:color w:val="auto"/>
        </w:rPr>
      </w:pPr>
    </w:p>
    <w:p>
      <w:pPr>
        <w:ind w:left="1380" w:right="200" w:hanging="357"/>
        <w:spacing w:after="0" w:line="253"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amalgamation, arrangement or consolidation or scheme of arrangement (i) in which the Company is not the surviving entity, except for a transaction the principal 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ind w:left="1380" w:hanging="357"/>
        <w:spacing w:after="0"/>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he sale, transfer or other disposition of all or substantially all of the assets of the Company;</w:t>
      </w:r>
    </w:p>
    <w:p>
      <w:pPr>
        <w:spacing w:after="0" w:line="25" w:lineRule="exact"/>
        <w:rPr>
          <w:rFonts w:ascii="Arial" w:cs="Arial" w:eastAsia="Arial" w:hAnsi="Arial"/>
          <w:sz w:val="16"/>
          <w:szCs w:val="16"/>
          <w:color w:val="auto"/>
        </w:rPr>
      </w:pPr>
    </w:p>
    <w:p>
      <w:pPr>
        <w:ind w:left="1380" w:hanging="357"/>
        <w:spacing w:after="0"/>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complete liquidation or dissolution of the Company;</w:t>
      </w:r>
    </w:p>
    <w:p>
      <w:pPr>
        <w:spacing w:after="0" w:line="45" w:lineRule="exact"/>
        <w:rPr>
          <w:rFonts w:ascii="Arial" w:cs="Arial" w:eastAsia="Arial" w:hAnsi="Arial"/>
          <w:sz w:val="16"/>
          <w:szCs w:val="16"/>
          <w:color w:val="auto"/>
        </w:rPr>
      </w:pPr>
    </w:p>
    <w:p>
      <w:pPr>
        <w:ind w:left="1380" w:right="80" w:hanging="357"/>
        <w:spacing w:after="0" w:line="250"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 or</w:t>
      </w:r>
    </w:p>
    <w:p>
      <w:pPr>
        <w:spacing w:after="0" w:line="1" w:lineRule="exact"/>
        <w:rPr>
          <w:rFonts w:ascii="Arial" w:cs="Arial" w:eastAsia="Arial" w:hAnsi="Arial"/>
          <w:sz w:val="16"/>
          <w:szCs w:val="16"/>
          <w:color w:val="auto"/>
        </w:rPr>
      </w:pPr>
    </w:p>
    <w:p>
      <w:pPr>
        <w:ind w:left="1380" w:hanging="357"/>
        <w:spacing w:after="0" w:line="246"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2.10 “</w:t>
      </w:r>
      <w:r>
        <w:rPr>
          <w:rFonts w:ascii="Arial" w:cs="Arial" w:eastAsia="Arial" w:hAnsi="Arial"/>
          <w:sz w:val="16"/>
          <w:szCs w:val="16"/>
          <w:u w:val="single" w:color="auto"/>
          <w:color w:val="auto"/>
        </w:rPr>
        <w:t>Director”, means a member of the Board or a member of the board of directors of any Subsidiary of the Company.</w:t>
      </w:r>
    </w:p>
    <w:p>
      <w:pPr>
        <w:spacing w:after="0" w:line="80" w:lineRule="exact"/>
        <w:rPr>
          <w:sz w:val="20"/>
          <w:szCs w:val="20"/>
          <w:color w:val="auto"/>
        </w:rPr>
      </w:pPr>
    </w:p>
    <w:p>
      <w:pPr>
        <w:ind w:right="320" w:firstLine="643"/>
        <w:spacing w:after="0" w:line="254"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Disability</w:t>
      </w:r>
      <w:r>
        <w:rPr>
          <w:rFonts w:ascii="Arial" w:cs="Arial" w:eastAsia="Arial" w:hAnsi="Arial"/>
          <w:sz w:val="16"/>
          <w:szCs w:val="16"/>
          <w:color w:val="auto"/>
        </w:rPr>
        <w:t>”, unless otherwise defined in an Award Agreement, means that the Participant qualifies to receive long-term disability payments under the Service Recipient’s long-term disability insurance program, as it may be amended from time to time, to which the Participant provides services regardless of whether the Participant is covered by such policy. If the Service Recipient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of not less than ninety (90) consecutive days. A Participant will not be considered to have incurred a Disability unless he or she furnishes proof of such impairment sufficient to satisfy the Committee in its discretion.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2.12 “</w:t>
      </w:r>
      <w:r>
        <w:rPr>
          <w:rFonts w:ascii="Arial" w:cs="Arial" w:eastAsia="Arial" w:hAnsi="Arial"/>
          <w:sz w:val="16"/>
          <w:szCs w:val="16"/>
          <w:u w:val="single" w:color="auto"/>
          <w:color w:val="auto"/>
        </w:rPr>
        <w:t>Effective Date</w:t>
      </w:r>
      <w:r>
        <w:rPr>
          <w:rFonts w:ascii="Arial" w:cs="Arial" w:eastAsia="Arial" w:hAnsi="Arial"/>
          <w:sz w:val="16"/>
          <w:szCs w:val="16"/>
          <w:color w:val="auto"/>
        </w:rPr>
        <w:t>” shall have the meaning set forth in Section 11.1.</w:t>
      </w:r>
    </w:p>
    <w:p>
      <w:pPr>
        <w:spacing w:after="0" w:line="140"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0"/>
          </w:cols>
          <w:pgMar w:left="560" w:top="553" w:right="479" w:bottom="1440" w:gutter="0" w:footer="0" w:header="0"/>
        </w:sectPr>
      </w:pPr>
    </w:p>
    <w:bookmarkStart w:id="12" w:name="page13"/>
    <w:bookmarkEnd w:id="12"/>
    <w:p>
      <w:pPr>
        <w:jc w:val="both"/>
        <w:ind w:firstLine="643"/>
        <w:spacing w:after="0" w:line="269"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Employee</w:t>
      </w:r>
      <w:r>
        <w:rPr>
          <w:rFonts w:ascii="Arial" w:cs="Arial" w:eastAsia="Arial" w:hAnsi="Arial"/>
          <w:sz w:val="16"/>
          <w:szCs w:val="16"/>
          <w:color w:val="auto"/>
        </w:rPr>
        <w:t>” means any person, including an officer or a Director,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of the United States, as amended.</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2.15 “Fair Market Value” means, as of any date, the value of Shares determined as follows:</w:t>
      </w:r>
    </w:p>
    <w:p>
      <w:pPr>
        <w:spacing w:after="0" w:line="208" w:lineRule="exact"/>
        <w:rPr>
          <w:sz w:val="20"/>
          <w:szCs w:val="20"/>
          <w:color w:val="auto"/>
        </w:rPr>
      </w:pPr>
    </w:p>
    <w:p>
      <w:pPr>
        <w:ind w:left="1380" w:right="100" w:hanging="357"/>
        <w:spacing w:after="0" w:line="250" w:lineRule="auto"/>
        <w:tabs>
          <w:tab w:leader="none" w:pos="1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Shares are listed on one or more established stock exchanges or national market systems, including without limitation, the New York Stock Exchange or the NASDAQ Stock Market, its Fair Market Value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on the website maintained by such exchange or market system or such other source as the Committee deems reliable;</w:t>
      </w:r>
    </w:p>
    <w:p>
      <w:pPr>
        <w:spacing w:after="0" w:line="4" w:lineRule="exact"/>
        <w:rPr>
          <w:rFonts w:ascii="Arial" w:cs="Arial" w:eastAsia="Arial" w:hAnsi="Arial"/>
          <w:sz w:val="16"/>
          <w:szCs w:val="16"/>
          <w:color w:val="auto"/>
        </w:rPr>
      </w:pPr>
    </w:p>
    <w:p>
      <w:pPr>
        <w:ind w:left="1380" w:right="40" w:hanging="357"/>
        <w:spacing w:after="0" w:line="248" w:lineRule="auto"/>
        <w:tabs>
          <w:tab w:leader="none" w:pos="1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the Shares are regularly quoted on an automated quotation system (including the OTC Bulletin Board) or by a recognized securities dealer, its Fair Market Value shall be the closing sales price for such Shares as quoted on such system or by such securities dealer on the date of determination, but if selling prices are not reported, the Fair Market Value of a Share shall be the mean between the high bid and low asked prices for the Shares on the date of determination (or, if no such prices were reported on that date, on the last date such prices were reported), as reported in The Wall Street Journal or such other source as the Committee deems reliable; or</w:t>
      </w:r>
    </w:p>
    <w:p>
      <w:pPr>
        <w:spacing w:after="0" w:line="183" w:lineRule="exact"/>
        <w:rPr>
          <w:rFonts w:ascii="Arial" w:cs="Arial" w:eastAsia="Arial" w:hAnsi="Arial"/>
          <w:sz w:val="16"/>
          <w:szCs w:val="16"/>
          <w:color w:val="auto"/>
        </w:rPr>
      </w:pPr>
    </w:p>
    <w:p>
      <w:pPr>
        <w:ind w:left="1380" w:right="60" w:hanging="357"/>
        <w:spacing w:after="0" w:line="249" w:lineRule="auto"/>
        <w:tabs>
          <w:tab w:leader="none" w:pos="1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the absence of an established market for the Shares of the type described in (a) and (b), above, the Fair Market Value thereof shall be determined by the Committee in good faith and in its discretion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transaction, (iii) an independent valuation of the Shares, or (iv) such other methodologies or information as the Committee determines to be indicative of Fair Market Value.</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2.16 “</w:t>
      </w:r>
      <w:r>
        <w:rPr>
          <w:rFonts w:ascii="Arial" w:cs="Arial" w:eastAsia="Arial" w:hAnsi="Arial"/>
          <w:sz w:val="16"/>
          <w:szCs w:val="16"/>
          <w:u w:val="single" w:color="auto"/>
          <w:color w:val="auto"/>
        </w:rPr>
        <w:t>Group Entity” means any of the Company and Subsidiaries of the Company.</w:t>
      </w:r>
    </w:p>
    <w:p>
      <w:pPr>
        <w:spacing w:after="0" w:line="100" w:lineRule="exact"/>
        <w:rPr>
          <w:sz w:val="20"/>
          <w:szCs w:val="20"/>
          <w:color w:val="auto"/>
        </w:rPr>
      </w:pPr>
    </w:p>
    <w:p>
      <w:pPr>
        <w:ind w:right="600" w:firstLine="643"/>
        <w:spacing w:after="0" w:line="309"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Incentive Share Option</w:t>
      </w:r>
      <w:r>
        <w:rPr>
          <w:rFonts w:ascii="Arial" w:cs="Arial" w:eastAsia="Arial" w:hAnsi="Arial"/>
          <w:sz w:val="16"/>
          <w:szCs w:val="16"/>
          <w:color w:val="auto"/>
        </w:rPr>
        <w:t>” means an Option that is intended to meet the requirements of Section 422 of the Code or any successor provision thereto.</w:t>
      </w:r>
    </w:p>
    <w:p>
      <w:pPr>
        <w:spacing w:after="0" w:line="12" w:lineRule="exact"/>
        <w:rPr>
          <w:sz w:val="20"/>
          <w:szCs w:val="20"/>
          <w:color w:val="auto"/>
        </w:rPr>
      </w:pPr>
    </w:p>
    <w:p>
      <w:pPr>
        <w:ind w:right="140" w:firstLine="643"/>
        <w:spacing w:after="0" w:line="261" w:lineRule="auto"/>
        <w:rPr>
          <w:sz w:val="20"/>
          <w:szCs w:val="20"/>
          <w:color w:val="auto"/>
        </w:rPr>
      </w:pPr>
      <w:r>
        <w:rPr>
          <w:rFonts w:ascii="Arial" w:cs="Arial" w:eastAsia="Arial" w:hAnsi="Arial"/>
          <w:sz w:val="16"/>
          <w:szCs w:val="16"/>
          <w:color w:val="auto"/>
        </w:rPr>
        <w:t>2.18 “</w:t>
      </w:r>
      <w:r>
        <w:rPr>
          <w:rFonts w:ascii="Arial" w:cs="Arial" w:eastAsia="Arial" w:hAnsi="Arial"/>
          <w:sz w:val="16"/>
          <w:szCs w:val="16"/>
          <w:u w:val="single" w:color="auto"/>
          <w:color w:val="auto"/>
        </w:rPr>
        <w:t>Independent Director</w:t>
      </w:r>
      <w:r>
        <w:rPr>
          <w:rFonts w:ascii="Arial" w:cs="Arial" w:eastAsia="Arial" w:hAnsi="Arial"/>
          <w:sz w:val="16"/>
          <w:szCs w:val="16"/>
          <w:color w:val="auto"/>
        </w:rPr>
        <w:t>” means (i) if the Shares or other securities representing the Shares are not listed on a stock exchange, a Director of the Company who is a Non-Employee Director; and (ii) if the Shares or other securities representing the Shares are listed on one or more stock exchange, a Director of the Company who meets the independence standards under the applicable corporate governance rules of the stock exchange(s).</w:t>
      </w:r>
    </w:p>
    <w:p>
      <w:pPr>
        <w:spacing w:after="0" w:line="1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0"/>
          </w:cols>
          <w:pgMar w:left="560" w:top="553" w:right="479" w:bottom="1440" w:gutter="0" w:footer="0" w:header="0"/>
        </w:sectPr>
      </w:pPr>
    </w:p>
    <w:bookmarkStart w:id="13" w:name="page14"/>
    <w:bookmarkEnd w:id="13"/>
    <w:p>
      <w:pPr>
        <w:ind w:firstLine="643"/>
        <w:spacing w:after="0" w:line="281" w:lineRule="auto"/>
        <w:rPr>
          <w:sz w:val="20"/>
          <w:szCs w:val="20"/>
          <w:color w:val="auto"/>
        </w:rPr>
      </w:pPr>
      <w:r>
        <w:rPr>
          <w:rFonts w:ascii="Arial" w:cs="Arial" w:eastAsia="Arial" w:hAnsi="Arial"/>
          <w:sz w:val="16"/>
          <w:szCs w:val="16"/>
          <w:color w:val="auto"/>
        </w:rPr>
        <w:t>2.19 “</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 member of the Board who qualifies as a “Non-Employee Director” as defined in Rule 16b-3(b)(3) of the Exchange Act, or any successor definition adopted by the Board.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2.20 “</w:t>
      </w:r>
      <w:r>
        <w:rPr>
          <w:rFonts w:ascii="Arial" w:cs="Arial" w:eastAsia="Arial" w:hAnsi="Arial"/>
          <w:sz w:val="16"/>
          <w:szCs w:val="16"/>
          <w:u w:val="single" w:color="auto"/>
          <w:color w:val="auto"/>
        </w:rPr>
        <w:t>Non-Qualified Share Option</w:t>
      </w:r>
      <w:r>
        <w:rPr>
          <w:rFonts w:ascii="Arial" w:cs="Arial" w:eastAsia="Arial" w:hAnsi="Arial"/>
          <w:sz w:val="16"/>
          <w:szCs w:val="16"/>
          <w:color w:val="auto"/>
        </w:rPr>
        <w:t>” means an Option that is not intended to be an Incentive Share Option.</w:t>
      </w:r>
    </w:p>
    <w:p>
      <w:pPr>
        <w:spacing w:after="0" w:line="221" w:lineRule="exact"/>
        <w:rPr>
          <w:sz w:val="20"/>
          <w:szCs w:val="20"/>
          <w:color w:val="auto"/>
        </w:rPr>
      </w:pPr>
    </w:p>
    <w:p>
      <w:pPr>
        <w:ind w:right="160" w:firstLine="643"/>
        <w:spacing w:after="0" w:line="291" w:lineRule="auto"/>
        <w:rPr>
          <w:sz w:val="20"/>
          <w:szCs w:val="20"/>
          <w:color w:val="auto"/>
        </w:rPr>
      </w:pPr>
      <w:r>
        <w:rPr>
          <w:rFonts w:ascii="Arial" w:cs="Arial" w:eastAsia="Arial" w:hAnsi="Arial"/>
          <w:sz w:val="16"/>
          <w:szCs w:val="16"/>
          <w:color w:val="auto"/>
        </w:rPr>
        <w:t>2.21 “</w:t>
      </w:r>
      <w:r>
        <w:rPr>
          <w:rFonts w:ascii="Arial" w:cs="Arial" w:eastAsia="Arial" w:hAnsi="Arial"/>
          <w:sz w:val="16"/>
          <w:szCs w:val="16"/>
          <w:u w:val="single" w:color="auto"/>
          <w:color w:val="auto"/>
        </w:rPr>
        <w:t>Option</w:t>
      </w:r>
      <w:r>
        <w:rPr>
          <w:rFonts w:ascii="Arial" w:cs="Arial" w:eastAsia="Arial" w:hAnsi="Arial"/>
          <w:sz w:val="16"/>
          <w:szCs w:val="16"/>
          <w:color w:val="auto"/>
        </w:rPr>
        <w:t>” means a right granted to a Participant pursuant to Article 5 of the Plan to purchase a specified number of Shares at a specified price during specified time periods. An Option may be either an Incentive Share Option or a Non-Qualified Share Option.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2.22 “</w:t>
      </w:r>
      <w:r>
        <w:rPr>
          <w:rFonts w:ascii="Arial" w:cs="Arial" w:eastAsia="Arial" w:hAnsi="Arial"/>
          <w:sz w:val="16"/>
          <w:szCs w:val="16"/>
          <w:u w:val="single" w:color="auto"/>
          <w:color w:val="auto"/>
        </w:rPr>
        <w:t>Participant</w:t>
      </w:r>
      <w:r>
        <w:rPr>
          <w:rFonts w:ascii="Arial" w:cs="Arial" w:eastAsia="Arial" w:hAnsi="Arial"/>
          <w:sz w:val="16"/>
          <w:szCs w:val="16"/>
          <w:color w:val="auto"/>
        </w:rPr>
        <w:t>” means a person who, as a Director, Consultant or Employee, has been granted an Award pursuant to the Plan.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2.23 “</w:t>
      </w:r>
      <w:r>
        <w:rPr>
          <w:rFonts w:ascii="Arial" w:cs="Arial" w:eastAsia="Arial" w:hAnsi="Arial"/>
          <w:sz w:val="16"/>
          <w:szCs w:val="16"/>
          <w:u w:val="single" w:color="auto"/>
          <w:color w:val="auto"/>
        </w:rPr>
        <w:t>Parent</w:t>
      </w:r>
      <w:r>
        <w:rPr>
          <w:rFonts w:ascii="Arial" w:cs="Arial" w:eastAsia="Arial" w:hAnsi="Arial"/>
          <w:sz w:val="16"/>
          <w:szCs w:val="16"/>
          <w:color w:val="auto"/>
        </w:rPr>
        <w:t>” means a parent corporation under Section 424(e) of the Code.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2.24 “</w:t>
      </w:r>
      <w:r>
        <w:rPr>
          <w:rFonts w:ascii="Arial" w:cs="Arial" w:eastAsia="Arial" w:hAnsi="Arial"/>
          <w:sz w:val="16"/>
          <w:szCs w:val="16"/>
          <w:u w:val="single" w:color="auto"/>
          <w:color w:val="auto"/>
        </w:rPr>
        <w:t>Plan</w:t>
      </w:r>
      <w:r>
        <w:rPr>
          <w:rFonts w:ascii="Arial" w:cs="Arial" w:eastAsia="Arial" w:hAnsi="Arial"/>
          <w:sz w:val="16"/>
          <w:szCs w:val="16"/>
          <w:color w:val="auto"/>
        </w:rPr>
        <w:t>” means this Post-IPO Share Incentive Plan of iClick Interactive Asia Group Limited, as amended and/or restated from time to time.</w:t>
      </w:r>
    </w:p>
    <w:p>
      <w:pPr>
        <w:spacing w:after="0" w:line="221" w:lineRule="exact"/>
        <w:rPr>
          <w:sz w:val="20"/>
          <w:szCs w:val="20"/>
          <w:color w:val="auto"/>
        </w:rPr>
      </w:pPr>
    </w:p>
    <w:p>
      <w:pPr>
        <w:jc w:val="both"/>
        <w:ind w:right="40" w:firstLine="643"/>
        <w:spacing w:after="0" w:line="261" w:lineRule="auto"/>
        <w:rPr>
          <w:sz w:val="20"/>
          <w:szCs w:val="20"/>
          <w:color w:val="auto"/>
        </w:rPr>
      </w:pPr>
      <w:r>
        <w:rPr>
          <w:rFonts w:ascii="Arial" w:cs="Arial" w:eastAsia="Arial" w:hAnsi="Arial"/>
          <w:sz w:val="16"/>
          <w:szCs w:val="16"/>
          <w:color w:val="auto"/>
        </w:rPr>
        <w:t>2.25 “</w:t>
      </w:r>
      <w:r>
        <w:rPr>
          <w:rFonts w:ascii="Arial" w:cs="Arial" w:eastAsia="Arial" w:hAnsi="Arial"/>
          <w:sz w:val="16"/>
          <w:szCs w:val="16"/>
          <w:u w:val="single" w:color="auto"/>
          <w:color w:val="auto"/>
        </w:rPr>
        <w:t>Related Entity</w:t>
      </w:r>
      <w:r>
        <w:rPr>
          <w:rFonts w:ascii="Arial" w:cs="Arial" w:eastAsia="Arial" w:hAnsi="Arial"/>
          <w:sz w:val="16"/>
          <w:szCs w:val="16"/>
          <w:color w:val="auto"/>
        </w:rPr>
        <w:t>” means any business, corporation, partnership, limited liability company or other entity in which the Company, a Parent or Subsidiary of the Company holds a substantial ownership interest, directly or indirectly, or controls through contractual arrangements and consolidates the financial results according to applicable accounting standards, but which is not a Subsidiary and which the Board designates as a Related Entity for purposes of the Plan.</w:t>
      </w:r>
    </w:p>
    <w:p>
      <w:pPr>
        <w:spacing w:after="0" w:line="158" w:lineRule="exact"/>
        <w:rPr>
          <w:sz w:val="20"/>
          <w:szCs w:val="20"/>
          <w:color w:val="auto"/>
        </w:rPr>
      </w:pPr>
    </w:p>
    <w:p>
      <w:pPr>
        <w:ind w:right="80" w:firstLine="643"/>
        <w:spacing w:after="0" w:line="291"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Restricted Share</w:t>
      </w:r>
      <w:r>
        <w:rPr>
          <w:rFonts w:ascii="Arial" w:cs="Arial" w:eastAsia="Arial" w:hAnsi="Arial"/>
          <w:sz w:val="16"/>
          <w:szCs w:val="16"/>
          <w:color w:val="auto"/>
        </w:rPr>
        <w:t>” means a Share awarded to a Participant pursuant to Article 6 that is subject to certain restrictions and may be subject to risk of forfeiture.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2.27 “</w:t>
      </w:r>
      <w:r>
        <w:rPr>
          <w:rFonts w:ascii="Arial" w:cs="Arial" w:eastAsia="Arial" w:hAnsi="Arial"/>
          <w:sz w:val="16"/>
          <w:szCs w:val="16"/>
          <w:u w:val="single" w:color="auto"/>
          <w:color w:val="auto"/>
        </w:rPr>
        <w:t>Restricted Share Unit</w:t>
      </w:r>
      <w:r>
        <w:rPr>
          <w:rFonts w:ascii="Arial" w:cs="Arial" w:eastAsia="Arial" w:hAnsi="Arial"/>
          <w:sz w:val="16"/>
          <w:szCs w:val="16"/>
          <w:color w:val="auto"/>
        </w:rPr>
        <w:t>” means an Award granted pursuant to Article 7.</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2.28 “</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of the United States, as amended.</w:t>
      </w:r>
    </w:p>
    <w:p>
      <w:pPr>
        <w:spacing w:after="0" w:line="221" w:lineRule="exact"/>
        <w:rPr>
          <w:sz w:val="20"/>
          <w:szCs w:val="20"/>
          <w:color w:val="auto"/>
        </w:rPr>
      </w:pPr>
    </w:p>
    <w:p>
      <w:pPr>
        <w:ind w:right="500" w:firstLine="643"/>
        <w:spacing w:after="0" w:line="291" w:lineRule="auto"/>
        <w:rPr>
          <w:sz w:val="20"/>
          <w:szCs w:val="20"/>
          <w:color w:val="auto"/>
        </w:rPr>
      </w:pPr>
      <w:r>
        <w:rPr>
          <w:rFonts w:ascii="Arial" w:cs="Arial" w:eastAsia="Arial" w:hAnsi="Arial"/>
          <w:sz w:val="16"/>
          <w:szCs w:val="16"/>
          <w:color w:val="auto"/>
        </w:rPr>
        <w:t>2.29 “</w:t>
      </w:r>
      <w:r>
        <w:rPr>
          <w:rFonts w:ascii="Arial" w:cs="Arial" w:eastAsia="Arial" w:hAnsi="Arial"/>
          <w:sz w:val="16"/>
          <w:szCs w:val="16"/>
          <w:u w:val="single" w:color="auto"/>
          <w:color w:val="auto"/>
        </w:rPr>
        <w:t>Service Recipient</w:t>
      </w:r>
      <w:r>
        <w:rPr>
          <w:rFonts w:ascii="Arial" w:cs="Arial" w:eastAsia="Arial" w:hAnsi="Arial"/>
          <w:sz w:val="16"/>
          <w:szCs w:val="16"/>
          <w:color w:val="auto"/>
        </w:rPr>
        <w:t>” means the Company or Subsidiary of the Company to which a Participant provides services as an Employee, a Consultant or a Director.</w:t>
      </w:r>
    </w:p>
    <w:p>
      <w:pPr>
        <w:spacing w:after="0" w:line="134" w:lineRule="exact"/>
        <w:rPr>
          <w:sz w:val="20"/>
          <w:szCs w:val="20"/>
          <w:color w:val="auto"/>
        </w:rPr>
      </w:pPr>
    </w:p>
    <w:p>
      <w:pPr>
        <w:ind w:right="240" w:firstLine="643"/>
        <w:spacing w:after="0" w:line="291" w:lineRule="auto"/>
        <w:rPr>
          <w:sz w:val="20"/>
          <w:szCs w:val="20"/>
          <w:color w:val="auto"/>
        </w:rPr>
      </w:pPr>
      <w:r>
        <w:rPr>
          <w:rFonts w:ascii="Arial" w:cs="Arial" w:eastAsia="Arial" w:hAnsi="Arial"/>
          <w:sz w:val="16"/>
          <w:szCs w:val="16"/>
          <w:color w:val="auto"/>
        </w:rPr>
        <w:t>2.30 “</w:t>
      </w:r>
      <w:r>
        <w:rPr>
          <w:rFonts w:ascii="Arial" w:cs="Arial" w:eastAsia="Arial" w:hAnsi="Arial"/>
          <w:sz w:val="16"/>
          <w:szCs w:val="16"/>
          <w:u w:val="single" w:color="auto"/>
          <w:color w:val="auto"/>
        </w:rPr>
        <w:t>Share</w:t>
      </w:r>
      <w:r>
        <w:rPr>
          <w:rFonts w:ascii="Arial" w:cs="Arial" w:eastAsia="Arial" w:hAnsi="Arial"/>
          <w:sz w:val="16"/>
          <w:szCs w:val="16"/>
          <w:color w:val="auto"/>
        </w:rPr>
        <w:t>” means the Class A ordinary shares of the Company, par value US$0.001 per share, and such other securities of the Company that may be substituted for Shares pursuant to Article 9.</w:t>
      </w:r>
    </w:p>
    <w:p>
      <w:pPr>
        <w:spacing w:after="0" w:line="134" w:lineRule="exact"/>
        <w:rPr>
          <w:sz w:val="20"/>
          <w:szCs w:val="20"/>
          <w:color w:val="auto"/>
        </w:rPr>
      </w:pPr>
    </w:p>
    <w:p>
      <w:pPr>
        <w:ind w:right="360" w:firstLine="643"/>
        <w:spacing w:after="0" w:line="291"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corporation or other entity of which a majority of the outstanding voting shares or voting power is beneficially owned directly or indirectly by the Company.</w:t>
      </w:r>
    </w:p>
    <w:p>
      <w:pPr>
        <w:spacing w:after="0" w:line="134" w:lineRule="exact"/>
        <w:rPr>
          <w:sz w:val="20"/>
          <w:szCs w:val="20"/>
          <w:color w:val="auto"/>
        </w:rPr>
      </w:pPr>
    </w:p>
    <w:p>
      <w:pPr>
        <w:ind w:right="260" w:firstLine="643"/>
        <w:spacing w:after="0" w:line="291" w:lineRule="auto"/>
        <w:rPr>
          <w:sz w:val="20"/>
          <w:szCs w:val="20"/>
          <w:color w:val="auto"/>
        </w:rPr>
      </w:pPr>
      <w:r>
        <w:rPr>
          <w:rFonts w:ascii="Arial" w:cs="Arial" w:eastAsia="Arial" w:hAnsi="Arial"/>
          <w:sz w:val="16"/>
          <w:szCs w:val="16"/>
          <w:color w:val="auto"/>
        </w:rPr>
        <w:t>2.32 “</w:t>
      </w:r>
      <w:r>
        <w:rPr>
          <w:rFonts w:ascii="Arial" w:cs="Arial" w:eastAsia="Arial" w:hAnsi="Arial"/>
          <w:sz w:val="16"/>
          <w:szCs w:val="16"/>
          <w:u w:val="single" w:color="auto"/>
          <w:color w:val="auto"/>
        </w:rPr>
        <w:t>Trading Date</w:t>
      </w:r>
      <w:r>
        <w:rPr>
          <w:rFonts w:ascii="Arial" w:cs="Arial" w:eastAsia="Arial" w:hAnsi="Arial"/>
          <w:sz w:val="16"/>
          <w:szCs w:val="16"/>
          <w:color w:val="auto"/>
        </w:rPr>
        <w:t>” means the closing of the first sale to the general public of the Shares pursuant to a registration statement filed with and declared effective by the U.S. Securities and Exchange Commission under the Securities Act.</w:t>
      </w:r>
    </w:p>
    <w:p>
      <w:pPr>
        <w:spacing w:after="0" w:line="148"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0"/>
          </w:cols>
          <w:pgMar w:left="560" w:top="553" w:right="479" w:bottom="1440" w:gutter="0" w:footer="0" w:header="0"/>
        </w:sectPr>
      </w:pPr>
    </w:p>
    <w:bookmarkStart w:id="14" w:name="page15"/>
    <w:bookmarkEnd w:id="14"/>
    <w:p>
      <w:pPr>
        <w:jc w:val="center"/>
        <w:ind w:right="80"/>
        <w:spacing w:after="0"/>
        <w:rPr>
          <w:sz w:val="20"/>
          <w:szCs w:val="20"/>
          <w:color w:val="auto"/>
        </w:rPr>
      </w:pPr>
      <w:r>
        <w:rPr>
          <w:rFonts w:ascii="Arial" w:cs="Arial" w:eastAsia="Arial" w:hAnsi="Arial"/>
          <w:sz w:val="16"/>
          <w:szCs w:val="16"/>
          <w:b w:val="1"/>
          <w:bCs w:val="1"/>
          <w:color w:val="auto"/>
        </w:rPr>
        <w:t>ARTICLE 3</w:t>
      </w:r>
    </w:p>
    <w:p>
      <w:pPr>
        <w:spacing w:after="0" w:line="19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SHARES SUBJECT TO THE PLAN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Number of Shares</w:t>
      </w:r>
      <w:r>
        <w:rPr>
          <w:rFonts w:ascii="Arial" w:cs="Arial" w:eastAsia="Arial" w:hAnsi="Arial"/>
          <w:sz w:val="16"/>
          <w:szCs w:val="16"/>
          <w:color w:val="auto"/>
        </w:rPr>
        <w:t>.</w:t>
      </w:r>
    </w:p>
    <w:p>
      <w:pPr>
        <w:spacing w:after="0" w:line="208" w:lineRule="exact"/>
        <w:rPr>
          <w:sz w:val="20"/>
          <w:szCs w:val="20"/>
          <w:color w:val="auto"/>
        </w:rPr>
      </w:pPr>
    </w:p>
    <w:p>
      <w:pPr>
        <w:ind w:left="1380" w:hanging="357"/>
        <w:spacing w:after="0" w:line="250" w:lineRule="auto"/>
        <w:tabs>
          <w:tab w:leader="none" w:pos="1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Subject to the provisions of Article 9 and Section 3.1(b), the maximum aggregate number of Shares which may be issued pursuant to all Awards (including Incentive Share Options) (the “Award Pool”) shall initially be 4,500,000 Shares, plus an annual increase on the first day of each fiscal year of the Company during the term of this Plan commencing with the fiscal year beginning January 1, 2018, by an amount equal to the least of (i) 0.5% of the total number of Shares issued and outstanding on the last day of the immediately preceding fiscal year; (ii) 150,000 Shares or (iii) such number of Shares as may be determined by the Board, the size of the Award Pool to be equitably adjusted in the event of any share dividend, subdivision, reclassification, recapitalization, split, reverse split, combination, consolidation or similar transactions.</w:t>
      </w:r>
    </w:p>
    <w:p>
      <w:pPr>
        <w:spacing w:after="0" w:line="1" w:lineRule="exact"/>
        <w:rPr>
          <w:rFonts w:ascii="Arial" w:cs="Arial" w:eastAsia="Arial" w:hAnsi="Arial"/>
          <w:sz w:val="16"/>
          <w:szCs w:val="16"/>
          <w:color w:val="auto"/>
        </w:rPr>
      </w:pPr>
    </w:p>
    <w:p>
      <w:pPr>
        <w:ind w:left="1380" w:right="20" w:hanging="357"/>
        <w:spacing w:after="0" w:line="248" w:lineRule="auto"/>
        <w:tabs>
          <w:tab w:leader="none" w:pos="1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the extent that an Award terminates, expires, or lapses for any reason, any Shares subject to the Award shall again be available for the grant of an Award pursuant to the Plan. To the extent permitted by Applicable Laws, Shares issued in assumption of, or in substitution for, any outstanding awards of any entity acquired in any form or combination by a Group Entity shall not be counted against Shares available for grant pursuant to the Plan. Shares delivered by the Participant or withheld by the Company upon the exercise of any Award under the Plan, in payment of the exercise price thereof or tax withholding thereon, may again be optioned, granted or awarded hereunder, subject to the limitations of Section 3.1(a). If any Restricted Shares are forfeited by the Participant or repurchased by the Company, such Shares may again be optioned, granted or awarded hereunder, subject to the limitations of Section 3.1(a). Notwithstanding the provisions of this Section 3.1(b), no Shares may again be optioned, granted or awarded if such action would cause an Incentive Share Option to fail to qualify as an incentive share option under Section 422 of the Code.</w:t>
      </w:r>
    </w:p>
    <w:p>
      <w:pPr>
        <w:spacing w:after="0" w:line="105" w:lineRule="exact"/>
        <w:rPr>
          <w:sz w:val="20"/>
          <w:szCs w:val="20"/>
          <w:color w:val="auto"/>
        </w:rPr>
      </w:pPr>
    </w:p>
    <w:p>
      <w:pPr>
        <w:ind w:right="20" w:firstLine="643"/>
        <w:spacing w:after="0" w:line="25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Shares Distributed</w:t>
      </w:r>
      <w:r>
        <w:rPr>
          <w:rFonts w:ascii="Arial" w:cs="Arial" w:eastAsia="Arial" w:hAnsi="Arial"/>
          <w:sz w:val="16"/>
          <w:szCs w:val="16"/>
          <w:color w:val="auto"/>
        </w:rPr>
        <w:t>. Any Shares distributed pursuant to an Award may consist, in whole or in part, of authorized and unissued Shares, treasury Shares (subject to Applicable Laws) or Shares purchased on the open market. Additionally, at the discretion of the Committee, any Shares distributed pursuant to an Award may be represented by American Depository Shares. If the number of Shares represented by an American Depository Share is other than on a one-to-one basis, the limitations of Section 3.1 shall be adjusted to reflect the distribution of American Depository Shares in lieu of Shares.</w:t>
      </w:r>
    </w:p>
    <w:p>
      <w:pPr>
        <w:spacing w:after="0" w:line="28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ARTICLE 4</w:t>
      </w:r>
    </w:p>
    <w:p>
      <w:pPr>
        <w:spacing w:after="0" w:line="19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ELIGIBILITY AND PARTICIPATION</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Eligibility</w:t>
      </w:r>
      <w:r>
        <w:rPr>
          <w:rFonts w:ascii="Arial" w:cs="Arial" w:eastAsia="Arial" w:hAnsi="Arial"/>
          <w:sz w:val="16"/>
          <w:szCs w:val="16"/>
          <w:color w:val="auto"/>
        </w:rPr>
        <w:t>. Persons eligible to participate in this Plan include Employees, Consultants, and Directors, as determined by the Committee.</w:t>
      </w:r>
    </w:p>
    <w:p>
      <w:pPr>
        <w:spacing w:after="0" w:line="1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560" w:top="551" w:right="499" w:bottom="1440" w:gutter="0" w:footer="0" w:header="0"/>
        </w:sectPr>
      </w:pPr>
    </w:p>
    <w:bookmarkStart w:id="15" w:name="page16"/>
    <w:bookmarkEnd w:id="15"/>
    <w:p>
      <w:pPr>
        <w:jc w:val="both"/>
        <w:ind w:right="100" w:firstLine="643"/>
        <w:spacing w:after="0" w:line="269"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Participation</w:t>
      </w:r>
      <w:r>
        <w:rPr>
          <w:rFonts w:ascii="Arial" w:cs="Arial" w:eastAsia="Arial" w:hAnsi="Arial"/>
          <w:sz w:val="16"/>
          <w:szCs w:val="16"/>
          <w:color w:val="auto"/>
        </w:rPr>
        <w:t xml:space="preserve"> . Subject to the provisions of the Plan, the Committee may, from time to time, select from among all eligible individuals, those to whom Awards shall be granted and shall determine the nature and amount of each Award. No individual shall have any right to be granted an Award pursuant to this Plan.</w:t>
      </w:r>
    </w:p>
    <w:p>
      <w:pPr>
        <w:spacing w:after="0" w:line="151" w:lineRule="exact"/>
        <w:rPr>
          <w:sz w:val="20"/>
          <w:szCs w:val="20"/>
          <w:color w:val="auto"/>
        </w:rPr>
      </w:pPr>
    </w:p>
    <w:p>
      <w:pPr>
        <w:ind w:right="140" w:firstLine="643"/>
        <w:spacing w:after="0" w:line="254"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Jurisdictions</w:t>
      </w:r>
      <w:r>
        <w:rPr>
          <w:rFonts w:ascii="Arial" w:cs="Arial" w:eastAsia="Arial" w:hAnsi="Arial"/>
          <w:sz w:val="16"/>
          <w:szCs w:val="16"/>
          <w:color w:val="auto"/>
        </w:rPr>
        <w:t xml:space="preserve">. In order to assure the viability of Awards granted to Participants employed in various jurisdictions, the Committee may provide for such special terms as it may consider necessary or appropriate to accommodate differences in local law, tax policy, or custom applicable in the jurisdiction in which the Participant resides, is employed, operates or is incorporated. Moreover, the Committee may approve such supplements to, or amendments, restatements, or alternative versions of, the Plan as it may consider necessary or appropriate for such purposes without thereby affecting the terms of the Plan as in effect for any other purpose;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such supplements, amendments, restatements, or alternative versions shall increase the share limitations contained in Section 3.1 of the Plan. Notwithstanding the foregoing, the Committee may not take any actions hereunder, and no Awards shall be granted, that would violate any Applicable Laws.</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5</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OPTIONS</w:t>
      </w:r>
    </w:p>
    <w:p>
      <w:pPr>
        <w:spacing w:after="0" w:line="196" w:lineRule="exact"/>
        <w:rPr>
          <w:sz w:val="20"/>
          <w:szCs w:val="20"/>
          <w:color w:val="auto"/>
        </w:rPr>
      </w:pPr>
    </w:p>
    <w:p>
      <w:pPr>
        <w:ind w:left="740"/>
        <w:spacing w:after="0"/>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General</w:t>
      </w:r>
      <w:r>
        <w:rPr>
          <w:rFonts w:ascii="Arial" w:cs="Arial" w:eastAsia="Arial" w:hAnsi="Arial"/>
          <w:sz w:val="16"/>
          <w:szCs w:val="16"/>
          <w:color w:val="auto"/>
        </w:rPr>
        <w:t>. The Committee is authorized to grant Options to Participants on the following terms and conditions:</w:t>
      </w:r>
    </w:p>
    <w:p>
      <w:pPr>
        <w:spacing w:after="0" w:line="208" w:lineRule="exact"/>
        <w:rPr>
          <w:sz w:val="20"/>
          <w:szCs w:val="20"/>
          <w:color w:val="auto"/>
        </w:rPr>
      </w:pPr>
    </w:p>
    <w:p>
      <w:pPr>
        <w:ind w:left="1460" w:right="100" w:hanging="357"/>
        <w:spacing w:after="0" w:line="250" w:lineRule="auto"/>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subject to an Option shall be determined by the Committee and set forth in the Award Agreement which may be a fixed price or a variable price related to the Fair Market Value of the Shares. The exercise price per Share subject to an Option may be amended or adjusted in the absolute discretion of the Committee, the determination of which shall be final, binding and conclusive. For the avoidance of doubt, to the extent not prohibited by Applicable Laws or any exchange rule, a downward adjustment of the exercise prices of Options mentioned in the preceding sentence shall be effective without the approval of the Company’s shareholders or the approval of the affected Participants.</w:t>
      </w:r>
    </w:p>
    <w:p>
      <w:pPr>
        <w:spacing w:after="0" w:line="4" w:lineRule="exact"/>
        <w:rPr>
          <w:rFonts w:ascii="Arial" w:cs="Arial" w:eastAsia="Arial" w:hAnsi="Arial"/>
          <w:sz w:val="16"/>
          <w:szCs w:val="16"/>
          <w:color w:val="auto"/>
        </w:rPr>
      </w:pPr>
    </w:p>
    <w:p>
      <w:pPr>
        <w:ind w:left="1460" w:hanging="357"/>
        <w:spacing w:after="0" w:line="252" w:lineRule="auto"/>
        <w:tabs>
          <w:tab w:leader="none" w:pos="146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Time and Conditions of Exercise</w:t>
      </w:r>
      <w:r>
        <w:rPr>
          <w:rFonts w:ascii="Arial" w:cs="Arial" w:eastAsia="Arial" w:hAnsi="Arial"/>
          <w:sz w:val="16"/>
          <w:szCs w:val="16"/>
          <w:color w:val="auto"/>
        </w:rPr>
        <w:t xml:space="preserve">. The Committee shall determine the time or times at which an Option may be exercised in whole or in part, including exercise prior to vesting;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of any Option granted under the Plan shall not exceed ten years, except as provided in Section 12.1. The Committee shall also determine any conditions, if any, that must be satisfied before all or part of an Option may be exercised.</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229235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00"/>
          </w:cols>
          <w:pgMar w:left="480" w:top="553" w:right="519" w:bottom="1440" w:gutter="0" w:footer="0" w:header="0"/>
        </w:sectPr>
      </w:pPr>
    </w:p>
    <w:bookmarkStart w:id="16" w:name="page17"/>
    <w:bookmarkEnd w:id="16"/>
    <w:p>
      <w:pPr>
        <w:ind w:left="500" w:right="100" w:hanging="357"/>
        <w:spacing w:after="0" w:line="248"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The Committee shall determine the methods by which the exercise price of an Option may be paid, the form of payment, including, without limitation (i) cash or check denominated in U.S. Dollars, (ii) to the extent permissible under the Applicable Laws, cash or check in Chinese Renminbi, (iii) cash or check denominated in any other local currency as approved by the Committee, (iv) Shares held for such period of time as may be required by the Committee in order to avoid adverse financial accounting consequences and having a Fair Market Value on the date of delivery equal to the aggregate exercise price of the Option or exercised portion thereof, (v) after the Trading Date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provided that payment of such proceeds is then made to the Company upon settlement of such sale, (vi) other property acceptable to the Committee with a Fair Market Value equal to the exercise price, or (vii) any combination of the foregoing. Notwithstanding any other provision of the Plan to the contrary, no Participant who is a member of the Board or an “executive officer” of the Company within the meaning of Section 13(k) of the Exchange Act shall be permitted to pay the exercise price of an Option in any method which would violate Section 13(k) of the Exchange Act.</w:t>
      </w:r>
    </w:p>
    <w:p>
      <w:pPr>
        <w:spacing w:after="0" w:line="5" w:lineRule="exact"/>
        <w:rPr>
          <w:rFonts w:ascii="Arial" w:cs="Arial" w:eastAsia="Arial" w:hAnsi="Arial"/>
          <w:sz w:val="16"/>
          <w:szCs w:val="16"/>
          <w:color w:val="auto"/>
        </w:rPr>
      </w:pPr>
    </w:p>
    <w:p>
      <w:pPr>
        <w:ind w:left="500" w:right="300" w:hanging="357"/>
        <w:spacing w:after="0" w:line="246"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Evidence of Grant</w:t>
      </w:r>
      <w:r>
        <w:rPr>
          <w:rFonts w:ascii="Arial" w:cs="Arial" w:eastAsia="Arial" w:hAnsi="Arial"/>
          <w:sz w:val="16"/>
          <w:szCs w:val="16"/>
          <w:color w:val="auto"/>
        </w:rPr>
        <w:t>. All Options shall be evidenced by an Award Agreement between the Company and the Participant. The Award Agreement shall include such additional provisions as may be specified by the Committee.</w:t>
      </w:r>
    </w:p>
    <w:p>
      <w:pPr>
        <w:ind w:left="500" w:right="260" w:hanging="357"/>
        <w:spacing w:after="0" w:line="265"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Effects of Termination of Employment or Service on Options</w:t>
      </w:r>
      <w:r>
        <w:rPr>
          <w:rFonts w:ascii="Arial" w:cs="Arial" w:eastAsia="Arial" w:hAnsi="Arial"/>
          <w:sz w:val="16"/>
          <w:szCs w:val="16"/>
          <w:color w:val="auto"/>
        </w:rPr>
        <w:t>. Termination of employment or service shall have the following effects on Options granted to the Participants:</w:t>
      </w:r>
    </w:p>
    <w:p>
      <w:pPr>
        <w:spacing w:after="0" w:line="87" w:lineRule="exact"/>
        <w:rPr>
          <w:sz w:val="20"/>
          <w:szCs w:val="20"/>
          <w:color w:val="auto"/>
        </w:rPr>
      </w:pPr>
    </w:p>
    <w:p>
      <w:pPr>
        <w:ind w:left="560" w:right="120"/>
        <w:spacing w:after="0" w:line="269"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Dismissal for Cause</w:t>
      </w:r>
      <w:r>
        <w:rPr>
          <w:rFonts w:ascii="Arial" w:cs="Arial" w:eastAsia="Arial" w:hAnsi="Arial"/>
          <w:sz w:val="16"/>
          <w:szCs w:val="16"/>
          <w:color w:val="auto"/>
        </w:rPr>
        <w:t>. Unless otherwise provided in the Award Agreement, if a Participant’s employment by or service to the Service Recipient is terminated by the Service Recipient for Cause, the Participant’s Options will terminate upon such termination, whether or not the Option is then vested and/or exercisable;</w:t>
      </w:r>
    </w:p>
    <w:p>
      <w:pPr>
        <w:spacing w:after="0" w:line="106"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1880" w:type="dxa"/>
            <w:vAlign w:val="bottom"/>
          </w:tcPr>
          <w:p>
            <w:pPr>
              <w:spacing w:after="0"/>
              <w:rPr>
                <w:sz w:val="20"/>
                <w:szCs w:val="20"/>
                <w:color w:val="auto"/>
              </w:rPr>
            </w:pPr>
            <w:r>
              <w:rPr>
                <w:rFonts w:ascii="Arial" w:cs="Arial" w:eastAsia="Arial" w:hAnsi="Arial"/>
                <w:sz w:val="16"/>
                <w:szCs w:val="16"/>
                <w:color w:val="auto"/>
              </w:rPr>
              <w:t>(ii)</w:t>
            </w:r>
          </w:p>
        </w:tc>
        <w:tc>
          <w:tcPr>
            <w:tcW w:w="7540" w:type="dxa"/>
            <w:vAlign w:val="bottom"/>
            <w:gridSpan w:val="2"/>
          </w:tcPr>
          <w:p>
            <w:pPr>
              <w:spacing w:after="0"/>
              <w:rPr>
                <w:sz w:val="20"/>
                <w:szCs w:val="20"/>
                <w:color w:val="auto"/>
              </w:rPr>
            </w:pPr>
            <w:r>
              <w:rPr>
                <w:rFonts w:ascii="Arial" w:cs="Arial" w:eastAsia="Arial" w:hAnsi="Arial"/>
                <w:sz w:val="16"/>
                <w:szCs w:val="16"/>
                <w:color w:val="auto"/>
              </w:rPr>
              <w:t>Death or Disability. Unless otherwise provided in the Award Agreement, if a Participant’s employment by</w:t>
            </w:r>
          </w:p>
        </w:tc>
      </w:tr>
      <w:tr>
        <w:trPr>
          <w:trHeight w:val="212"/>
        </w:trPr>
        <w:tc>
          <w:tcPr>
            <w:tcW w:w="1880" w:type="dxa"/>
            <w:vAlign w:val="bottom"/>
          </w:tcPr>
          <w:p>
            <w:pPr>
              <w:spacing w:after="0"/>
              <w:rPr>
                <w:sz w:val="20"/>
                <w:szCs w:val="20"/>
                <w:color w:val="auto"/>
              </w:rPr>
            </w:pPr>
            <w:r>
              <w:rPr>
                <w:rFonts w:ascii="Arial" w:cs="Arial" w:eastAsia="Arial" w:hAnsi="Arial"/>
                <w:sz w:val="16"/>
                <w:szCs w:val="16"/>
                <w:color w:val="auto"/>
              </w:rPr>
              <w:t>or service to the Service</w:t>
            </w:r>
          </w:p>
        </w:tc>
        <w:tc>
          <w:tcPr>
            <w:tcW w:w="132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89"/>
              </w:rPr>
              <w:t>Recipient terminates</w:t>
            </w:r>
          </w:p>
        </w:tc>
        <w:tc>
          <w:tcPr>
            <w:tcW w:w="6220" w:type="dxa"/>
            <w:vAlign w:val="bottom"/>
          </w:tcPr>
          <w:p>
            <w:pPr>
              <w:ind w:left="120"/>
              <w:spacing w:after="0"/>
              <w:rPr>
                <w:sz w:val="20"/>
                <w:szCs w:val="20"/>
                <w:color w:val="auto"/>
              </w:rPr>
            </w:pPr>
            <w:r>
              <w:rPr>
                <w:rFonts w:ascii="Arial" w:cs="Arial" w:eastAsia="Arial" w:hAnsi="Arial"/>
                <w:sz w:val="16"/>
                <w:szCs w:val="16"/>
                <w:color w:val="auto"/>
              </w:rPr>
              <w:t>as a result of the Participant’s death or Disability:</w:t>
            </w:r>
          </w:p>
        </w:tc>
      </w:tr>
      <w:tr>
        <w:trPr>
          <w:trHeight w:val="209"/>
        </w:trPr>
        <w:tc>
          <w:tcPr>
            <w:tcW w:w="1880" w:type="dxa"/>
            <w:vAlign w:val="bottom"/>
          </w:tcPr>
          <w:p>
            <w:pPr>
              <w:ind w:left="460"/>
              <w:spacing w:after="0"/>
              <w:rPr>
                <w:sz w:val="20"/>
                <w:szCs w:val="20"/>
                <w:color w:val="auto"/>
              </w:rPr>
            </w:pPr>
            <w:r>
              <w:rPr>
                <w:rFonts w:ascii="Arial" w:cs="Arial" w:eastAsia="Arial" w:hAnsi="Arial"/>
                <w:sz w:val="16"/>
                <w:szCs w:val="16"/>
                <w:color w:val="auto"/>
              </w:rPr>
              <w:t>(a)</w:t>
            </w:r>
          </w:p>
        </w:tc>
        <w:tc>
          <w:tcPr>
            <w:tcW w:w="7540" w:type="dxa"/>
            <w:vAlign w:val="bottom"/>
            <w:gridSpan w:val="2"/>
          </w:tcPr>
          <w:p>
            <w:pPr>
              <w:ind w:left="720"/>
              <w:spacing w:after="0"/>
              <w:rPr>
                <w:sz w:val="20"/>
                <w:szCs w:val="20"/>
                <w:color w:val="auto"/>
              </w:rPr>
            </w:pPr>
            <w:r>
              <w:rPr>
                <w:rFonts w:ascii="Arial" w:cs="Arial" w:eastAsia="Arial" w:hAnsi="Arial"/>
                <w:sz w:val="16"/>
                <w:szCs w:val="16"/>
                <w:color w:val="auto"/>
              </w:rPr>
              <w:t>the Participant (or his or her legal representative or beneficiary, in the case of the Participant’s</w:t>
            </w:r>
          </w:p>
        </w:tc>
      </w:tr>
      <w:tr>
        <w:trPr>
          <w:trHeight w:val="209"/>
        </w:trPr>
        <w:tc>
          <w:tcPr>
            <w:tcW w:w="9420" w:type="dxa"/>
            <w:vAlign w:val="bottom"/>
            <w:gridSpan w:val="3"/>
          </w:tcPr>
          <w:p>
            <w:pPr>
              <w:ind w:left="460"/>
              <w:spacing w:after="0"/>
              <w:rPr>
                <w:sz w:val="20"/>
                <w:szCs w:val="20"/>
                <w:color w:val="auto"/>
              </w:rPr>
            </w:pPr>
            <w:r>
              <w:rPr>
                <w:rFonts w:ascii="Arial" w:cs="Arial" w:eastAsia="Arial" w:hAnsi="Arial"/>
                <w:sz w:val="16"/>
                <w:szCs w:val="16"/>
                <w:color w:val="auto"/>
              </w:rPr>
              <w:t>Disability or death, respectively), will have until the date that is 12 months after the Participant’s termination of Employment to</w:t>
            </w:r>
          </w:p>
        </w:tc>
      </w:tr>
    </w:tbl>
    <w:p>
      <w:pPr>
        <w:ind w:left="1020" w:right="60"/>
        <w:spacing w:after="0" w:line="265" w:lineRule="auto"/>
        <w:rPr>
          <w:sz w:val="20"/>
          <w:szCs w:val="20"/>
          <w:color w:val="auto"/>
        </w:rPr>
      </w:pPr>
      <w:r>
        <w:rPr>
          <w:rFonts w:ascii="Arial" w:cs="Arial" w:eastAsia="Arial" w:hAnsi="Arial"/>
          <w:sz w:val="16"/>
          <w:szCs w:val="16"/>
          <w:color w:val="auto"/>
        </w:rPr>
        <w:t>exercise the Participant’s Options (or portion thereof) to the extent that such Options were vested and exercisable on the date of the Participant’s termination of Employment on account of death or Disability;</w:t>
      </w:r>
    </w:p>
    <w:p>
      <w:pPr>
        <w:spacing w:after="0" w:line="19" w:lineRule="exact"/>
        <w:rPr>
          <w:sz w:val="20"/>
          <w:szCs w:val="20"/>
          <w:color w:val="auto"/>
        </w:rPr>
      </w:pPr>
    </w:p>
    <w:p>
      <w:pPr>
        <w:jc w:val="both"/>
        <w:ind w:left="1020" w:right="40"/>
        <w:spacing w:after="0" w:line="270" w:lineRule="auto"/>
        <w:rPr>
          <w:sz w:val="20"/>
          <w:szCs w:val="20"/>
          <w:color w:val="auto"/>
        </w:rPr>
      </w:pPr>
      <w:r>
        <w:rPr>
          <w:rFonts w:ascii="Arial" w:cs="Arial" w:eastAsia="Arial" w:hAnsi="Arial"/>
          <w:sz w:val="16"/>
          <w:szCs w:val="16"/>
          <w:color w:val="auto"/>
        </w:rPr>
        <w:t>(b) the Options, to the extent not vested and exercisable on the date of the Participant’s termination of Employment or service, shall terminate upon the Participant’s termination of Employment or service on account of death or Disability; and</w:t>
      </w:r>
    </w:p>
    <w:p>
      <w:pPr>
        <w:spacing w:after="0" w:line="173" w:lineRule="exact"/>
        <w:rPr>
          <w:sz w:val="20"/>
          <w:szCs w:val="20"/>
          <w:color w:val="auto"/>
        </w:rPr>
      </w:pPr>
    </w:p>
    <w:p>
      <w:pPr>
        <w:ind w:left="1020"/>
        <w:spacing w:after="0"/>
        <w:tabs>
          <w:tab w:leader="none" w:pos="312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the Options, to the extent exercisable for the 12-month period following the Participant’s</w:t>
      </w:r>
    </w:p>
    <w:p>
      <w:pPr>
        <w:spacing w:after="0" w:line="5" w:lineRule="exact"/>
        <w:rPr>
          <w:sz w:val="20"/>
          <w:szCs w:val="20"/>
          <w:color w:val="auto"/>
        </w:rPr>
      </w:pPr>
    </w:p>
    <w:p>
      <w:pPr>
        <w:ind w:left="1020"/>
        <w:spacing w:after="0" w:line="265" w:lineRule="auto"/>
        <w:rPr>
          <w:sz w:val="20"/>
          <w:szCs w:val="20"/>
          <w:color w:val="auto"/>
        </w:rPr>
      </w:pPr>
      <w:r>
        <w:rPr>
          <w:rFonts w:ascii="Arial" w:cs="Arial" w:eastAsia="Arial" w:hAnsi="Arial"/>
          <w:sz w:val="16"/>
          <w:szCs w:val="16"/>
          <w:color w:val="auto"/>
        </w:rPr>
        <w:t>termination of Employment or service and not exercised during such period, shall terminate at the close of business on the last day of the 12-month period.</w:t>
      </w:r>
    </w:p>
    <w:p>
      <w:pPr>
        <w:spacing w:after="0" w:line="6"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229235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60"/>
          </w:cols>
          <w:pgMar w:left="1440" w:top="553" w:right="399" w:bottom="1440" w:gutter="0" w:footer="0" w:header="0"/>
        </w:sectPr>
      </w:pPr>
    </w:p>
    <w:bookmarkStart w:id="17" w:name="page18"/>
    <w:bookmarkEnd w:id="17"/>
    <w:tbl>
      <w:tblPr>
        <w:tblLayout w:type="fixed"/>
        <w:tblInd w:w="1180" w:type="dxa"/>
        <w:tblCellMar>
          <w:top w:w="0" w:type="dxa"/>
          <w:left w:w="0" w:type="dxa"/>
          <w:bottom w:w="0" w:type="dxa"/>
          <w:right w:w="0" w:type="dxa"/>
        </w:tblCellMar>
      </w:tblPr>
      <w:tr>
        <w:trPr>
          <w:trHeight w:val="184"/>
        </w:trPr>
        <w:tc>
          <w:tcPr>
            <w:tcW w:w="1920" w:type="dxa"/>
            <w:vAlign w:val="bottom"/>
          </w:tcPr>
          <w:p>
            <w:pPr>
              <w:spacing w:after="0"/>
              <w:rPr>
                <w:sz w:val="20"/>
                <w:szCs w:val="20"/>
                <w:color w:val="auto"/>
              </w:rPr>
            </w:pPr>
            <w:r>
              <w:rPr>
                <w:rFonts w:ascii="Arial" w:cs="Arial" w:eastAsia="Arial" w:hAnsi="Arial"/>
                <w:sz w:val="16"/>
                <w:szCs w:val="16"/>
                <w:color w:val="auto"/>
              </w:rPr>
              <w:t>(iii)</w:t>
            </w:r>
          </w:p>
        </w:tc>
        <w:tc>
          <w:tcPr>
            <w:tcW w:w="7860" w:type="dxa"/>
            <w:vAlign w:val="bottom"/>
            <w:gridSpan w:val="2"/>
          </w:tcPr>
          <w:p>
            <w:pPr>
              <w:spacing w:after="0"/>
              <w:rPr>
                <w:sz w:val="20"/>
                <w:szCs w:val="20"/>
                <w:color w:val="auto"/>
              </w:rPr>
            </w:pPr>
            <w:r>
              <w:rPr>
                <w:rFonts w:ascii="Arial" w:cs="Arial" w:eastAsia="Arial" w:hAnsi="Arial"/>
                <w:sz w:val="16"/>
                <w:szCs w:val="16"/>
                <w:color w:val="auto"/>
              </w:rPr>
              <w:t>Other Terminations of Employment or Service. Unless otherwise provided in the Award Agreement, if a</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4580" w:type="dxa"/>
            <w:vAlign w:val="bottom"/>
            <w:vMerge w:val="restart"/>
          </w:tcPr>
          <w:p>
            <w:pPr>
              <w:ind w:left="180"/>
              <w:spacing w:after="0"/>
              <w:rPr>
                <w:sz w:val="20"/>
                <w:szCs w:val="20"/>
                <w:color w:val="auto"/>
              </w:rPr>
            </w:pPr>
            <w:r>
              <w:rPr>
                <w:rFonts w:ascii="Arial" w:cs="Arial" w:eastAsia="Arial" w:hAnsi="Arial"/>
                <w:sz w:val="16"/>
                <w:szCs w:val="16"/>
                <w:color w:val="auto"/>
              </w:rPr>
              <w:t>for any reason other than a termination by the Service</w:t>
            </w:r>
          </w:p>
        </w:tc>
        <w:tc>
          <w:tcPr>
            <w:tcW w:w="0" w:type="dxa"/>
            <w:vAlign w:val="bottom"/>
          </w:tcPr>
          <w:p>
            <w:pPr>
              <w:spacing w:after="0" w:line="20" w:lineRule="exact"/>
              <w:rPr>
                <w:sz w:val="1"/>
                <w:szCs w:val="1"/>
                <w:color w:val="auto"/>
              </w:rPr>
            </w:pPr>
          </w:p>
        </w:tc>
      </w:tr>
      <w:tr>
        <w:trPr>
          <w:trHeight w:val="178"/>
        </w:trPr>
        <w:tc>
          <w:tcPr>
            <w:tcW w:w="5200" w:type="dxa"/>
            <w:vAlign w:val="bottom"/>
            <w:gridSpan w:val="2"/>
          </w:tcPr>
          <w:p>
            <w:pPr>
              <w:spacing w:after="0" w:line="178" w:lineRule="exact"/>
              <w:rPr>
                <w:sz w:val="20"/>
                <w:szCs w:val="20"/>
                <w:color w:val="auto"/>
              </w:rPr>
            </w:pPr>
            <w:r>
              <w:rPr>
                <w:rFonts w:ascii="Arial" w:cs="Arial" w:eastAsia="Arial" w:hAnsi="Arial"/>
                <w:sz w:val="16"/>
                <w:szCs w:val="16"/>
                <w:color w:val="auto"/>
                <w:w w:val="98"/>
              </w:rPr>
              <w:t>Participant’s employment by or service to the Service Recipient terminates</w:t>
            </w:r>
          </w:p>
        </w:tc>
        <w:tc>
          <w:tcPr>
            <w:tcW w:w="4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9780" w:type="dxa"/>
            <w:vAlign w:val="bottom"/>
            <w:gridSpan w:val="3"/>
          </w:tcPr>
          <w:p>
            <w:pPr>
              <w:spacing w:after="0"/>
              <w:rPr>
                <w:sz w:val="20"/>
                <w:szCs w:val="20"/>
                <w:color w:val="auto"/>
              </w:rPr>
            </w:pPr>
            <w:r>
              <w:rPr>
                <w:rFonts w:ascii="Arial" w:cs="Arial" w:eastAsia="Arial" w:hAnsi="Arial"/>
                <w:sz w:val="16"/>
                <w:szCs w:val="16"/>
                <w:color w:val="auto"/>
              </w:rPr>
              <w:t>Recipient for Cause or because of the Participant’s death or Disability:</w:t>
            </w:r>
          </w:p>
        </w:tc>
        <w:tc>
          <w:tcPr>
            <w:tcW w:w="0" w:type="dxa"/>
            <w:vAlign w:val="bottom"/>
          </w:tcPr>
          <w:p>
            <w:pPr>
              <w:spacing w:after="0"/>
              <w:rPr>
                <w:sz w:val="1"/>
                <w:szCs w:val="1"/>
                <w:color w:val="auto"/>
              </w:rPr>
            </w:pPr>
          </w:p>
        </w:tc>
      </w:tr>
      <w:tr>
        <w:trPr>
          <w:trHeight w:val="227"/>
        </w:trPr>
        <w:tc>
          <w:tcPr>
            <w:tcW w:w="1920" w:type="dxa"/>
            <w:vAlign w:val="bottom"/>
          </w:tcPr>
          <w:p>
            <w:pPr>
              <w:ind w:left="720"/>
              <w:spacing w:after="0"/>
              <w:rPr>
                <w:sz w:val="20"/>
                <w:szCs w:val="20"/>
                <w:color w:val="auto"/>
              </w:rPr>
            </w:pPr>
            <w:r>
              <w:rPr>
                <w:rFonts w:ascii="Arial" w:cs="Arial" w:eastAsia="Arial" w:hAnsi="Arial"/>
                <w:sz w:val="16"/>
                <w:szCs w:val="16"/>
                <w:color w:val="auto"/>
              </w:rPr>
              <w:t>(a)</w:t>
            </w:r>
          </w:p>
        </w:tc>
        <w:tc>
          <w:tcPr>
            <w:tcW w:w="7860" w:type="dxa"/>
            <w:vAlign w:val="bottom"/>
            <w:gridSpan w:val="2"/>
          </w:tcPr>
          <w:p>
            <w:pPr>
              <w:ind w:left="940"/>
              <w:spacing w:after="0"/>
              <w:rPr>
                <w:sz w:val="20"/>
                <w:szCs w:val="20"/>
                <w:color w:val="auto"/>
              </w:rPr>
            </w:pPr>
            <w:r>
              <w:rPr>
                <w:rFonts w:ascii="Arial" w:cs="Arial" w:eastAsia="Arial" w:hAnsi="Arial"/>
                <w:sz w:val="16"/>
                <w:szCs w:val="16"/>
                <w:color w:val="auto"/>
              </w:rPr>
              <w:t>the Participant will have until the date that is 90 days after the Participant’s termination of</w:t>
            </w:r>
          </w:p>
        </w:tc>
        <w:tc>
          <w:tcPr>
            <w:tcW w:w="0" w:type="dxa"/>
            <w:vAlign w:val="bottom"/>
          </w:tcPr>
          <w:p>
            <w:pPr>
              <w:spacing w:after="0"/>
              <w:rPr>
                <w:sz w:val="1"/>
                <w:szCs w:val="1"/>
                <w:color w:val="auto"/>
              </w:rPr>
            </w:pPr>
          </w:p>
        </w:tc>
      </w:tr>
      <w:tr>
        <w:trPr>
          <w:trHeight w:val="189"/>
        </w:trPr>
        <w:tc>
          <w:tcPr>
            <w:tcW w:w="9780" w:type="dxa"/>
            <w:vAlign w:val="bottom"/>
            <w:gridSpan w:val="3"/>
          </w:tcPr>
          <w:p>
            <w:pPr>
              <w:ind w:left="720"/>
              <w:spacing w:after="0"/>
              <w:rPr>
                <w:sz w:val="20"/>
                <w:szCs w:val="20"/>
                <w:color w:val="auto"/>
              </w:rPr>
            </w:pPr>
            <w:r>
              <w:rPr>
                <w:rFonts w:ascii="Arial" w:cs="Arial" w:eastAsia="Arial" w:hAnsi="Arial"/>
                <w:sz w:val="16"/>
                <w:szCs w:val="16"/>
                <w:color w:val="auto"/>
              </w:rPr>
              <w:t>Employment or service to exercise his or her Options (or portion thereof) to the extent that such Options were vested and</w:t>
            </w:r>
          </w:p>
        </w:tc>
        <w:tc>
          <w:tcPr>
            <w:tcW w:w="0" w:type="dxa"/>
            <w:vAlign w:val="bottom"/>
          </w:tcPr>
          <w:p>
            <w:pPr>
              <w:spacing w:after="0"/>
              <w:rPr>
                <w:sz w:val="1"/>
                <w:szCs w:val="1"/>
                <w:color w:val="auto"/>
              </w:rPr>
            </w:pPr>
          </w:p>
        </w:tc>
      </w:tr>
      <w:tr>
        <w:trPr>
          <w:trHeight w:val="189"/>
        </w:trPr>
        <w:tc>
          <w:tcPr>
            <w:tcW w:w="9780" w:type="dxa"/>
            <w:vAlign w:val="bottom"/>
            <w:gridSpan w:val="3"/>
          </w:tcPr>
          <w:p>
            <w:pPr>
              <w:ind w:left="720"/>
              <w:spacing w:after="0"/>
              <w:rPr>
                <w:sz w:val="20"/>
                <w:szCs w:val="20"/>
                <w:color w:val="auto"/>
              </w:rPr>
            </w:pPr>
            <w:r>
              <w:rPr>
                <w:rFonts w:ascii="Arial" w:cs="Arial" w:eastAsia="Arial" w:hAnsi="Arial"/>
                <w:sz w:val="16"/>
                <w:szCs w:val="16"/>
                <w:color w:val="auto"/>
              </w:rPr>
              <w:t>exercisable on the date of the Participant’s termination of Employment or service;</w:t>
            </w:r>
          </w:p>
        </w:tc>
        <w:tc>
          <w:tcPr>
            <w:tcW w:w="0" w:type="dxa"/>
            <w:vAlign w:val="bottom"/>
          </w:tcPr>
          <w:p>
            <w:pPr>
              <w:spacing w:after="0"/>
              <w:rPr>
                <w:sz w:val="1"/>
                <w:szCs w:val="1"/>
                <w:color w:val="auto"/>
              </w:rPr>
            </w:pPr>
          </w:p>
        </w:tc>
      </w:tr>
      <w:tr>
        <w:trPr>
          <w:trHeight w:val="189"/>
        </w:trPr>
        <w:tc>
          <w:tcPr>
            <w:tcW w:w="1920" w:type="dxa"/>
            <w:vAlign w:val="bottom"/>
          </w:tcPr>
          <w:p>
            <w:pPr>
              <w:ind w:left="720"/>
              <w:spacing w:after="0"/>
              <w:rPr>
                <w:sz w:val="20"/>
                <w:szCs w:val="20"/>
                <w:color w:val="auto"/>
              </w:rPr>
            </w:pPr>
            <w:r>
              <w:rPr>
                <w:rFonts w:ascii="Arial" w:cs="Arial" w:eastAsia="Arial" w:hAnsi="Arial"/>
                <w:sz w:val="16"/>
                <w:szCs w:val="16"/>
                <w:color w:val="auto"/>
              </w:rPr>
              <w:t>(b)</w:t>
            </w:r>
          </w:p>
        </w:tc>
        <w:tc>
          <w:tcPr>
            <w:tcW w:w="7860" w:type="dxa"/>
            <w:vAlign w:val="bottom"/>
            <w:gridSpan w:val="2"/>
          </w:tcPr>
          <w:p>
            <w:pPr>
              <w:ind w:left="940"/>
              <w:spacing w:after="0"/>
              <w:rPr>
                <w:sz w:val="20"/>
                <w:szCs w:val="20"/>
                <w:color w:val="auto"/>
              </w:rPr>
            </w:pPr>
            <w:r>
              <w:rPr>
                <w:rFonts w:ascii="Arial" w:cs="Arial" w:eastAsia="Arial" w:hAnsi="Arial"/>
                <w:sz w:val="16"/>
                <w:szCs w:val="16"/>
                <w:color w:val="auto"/>
              </w:rPr>
              <w:t>the Options, to the extent not vested and exercisable on the date of the Participant’s termination</w:t>
            </w:r>
          </w:p>
        </w:tc>
        <w:tc>
          <w:tcPr>
            <w:tcW w:w="0" w:type="dxa"/>
            <w:vAlign w:val="bottom"/>
          </w:tcPr>
          <w:p>
            <w:pPr>
              <w:spacing w:after="0"/>
              <w:rPr>
                <w:sz w:val="1"/>
                <w:szCs w:val="1"/>
                <w:color w:val="auto"/>
              </w:rPr>
            </w:pPr>
          </w:p>
        </w:tc>
      </w:tr>
      <w:tr>
        <w:trPr>
          <w:trHeight w:val="189"/>
        </w:trPr>
        <w:tc>
          <w:tcPr>
            <w:tcW w:w="9780" w:type="dxa"/>
            <w:vAlign w:val="bottom"/>
            <w:gridSpan w:val="3"/>
          </w:tcPr>
          <w:p>
            <w:pPr>
              <w:ind w:left="720"/>
              <w:spacing w:after="0"/>
              <w:rPr>
                <w:sz w:val="20"/>
                <w:szCs w:val="20"/>
                <w:color w:val="auto"/>
              </w:rPr>
            </w:pPr>
            <w:r>
              <w:rPr>
                <w:rFonts w:ascii="Arial" w:cs="Arial" w:eastAsia="Arial" w:hAnsi="Arial"/>
                <w:sz w:val="16"/>
                <w:szCs w:val="16"/>
                <w:color w:val="auto"/>
              </w:rPr>
              <w:t>of Employment or service, shall terminate upon the Participant’s termination of Employment or service; and</w:t>
            </w:r>
          </w:p>
        </w:tc>
        <w:tc>
          <w:tcPr>
            <w:tcW w:w="0" w:type="dxa"/>
            <w:vAlign w:val="bottom"/>
          </w:tcPr>
          <w:p>
            <w:pPr>
              <w:spacing w:after="0"/>
              <w:rPr>
                <w:sz w:val="1"/>
                <w:szCs w:val="1"/>
                <w:color w:val="auto"/>
              </w:rPr>
            </w:pPr>
          </w:p>
        </w:tc>
      </w:tr>
      <w:tr>
        <w:trPr>
          <w:trHeight w:val="209"/>
        </w:trPr>
        <w:tc>
          <w:tcPr>
            <w:tcW w:w="1920" w:type="dxa"/>
            <w:vAlign w:val="bottom"/>
          </w:tcPr>
          <w:p>
            <w:pPr>
              <w:ind w:left="720"/>
              <w:spacing w:after="0"/>
              <w:rPr>
                <w:sz w:val="20"/>
                <w:szCs w:val="20"/>
                <w:color w:val="auto"/>
              </w:rPr>
            </w:pPr>
            <w:r>
              <w:rPr>
                <w:rFonts w:ascii="Arial" w:cs="Arial" w:eastAsia="Arial" w:hAnsi="Arial"/>
                <w:sz w:val="16"/>
                <w:szCs w:val="16"/>
                <w:color w:val="auto"/>
              </w:rPr>
              <w:t>(c)</w:t>
            </w:r>
          </w:p>
        </w:tc>
        <w:tc>
          <w:tcPr>
            <w:tcW w:w="7860" w:type="dxa"/>
            <w:vAlign w:val="bottom"/>
            <w:gridSpan w:val="2"/>
          </w:tcPr>
          <w:p>
            <w:pPr>
              <w:ind w:left="920"/>
              <w:spacing w:after="0"/>
              <w:rPr>
                <w:sz w:val="20"/>
                <w:szCs w:val="20"/>
                <w:color w:val="auto"/>
              </w:rPr>
            </w:pPr>
            <w:r>
              <w:rPr>
                <w:rFonts w:ascii="Arial" w:cs="Arial" w:eastAsia="Arial" w:hAnsi="Arial"/>
                <w:sz w:val="16"/>
                <w:szCs w:val="16"/>
                <w:color w:val="auto"/>
              </w:rPr>
              <w:t>the Options, to the extent exercisable for the 90-day period following the Participant’s termination</w:t>
            </w:r>
          </w:p>
        </w:tc>
        <w:tc>
          <w:tcPr>
            <w:tcW w:w="0" w:type="dxa"/>
            <w:vAlign w:val="bottom"/>
          </w:tcPr>
          <w:p>
            <w:pPr>
              <w:spacing w:after="0"/>
              <w:rPr>
                <w:sz w:val="1"/>
                <w:szCs w:val="1"/>
                <w:color w:val="auto"/>
              </w:rPr>
            </w:pPr>
          </w:p>
        </w:tc>
      </w:tr>
    </w:tbl>
    <w:p>
      <w:pPr>
        <w:ind w:left="1900" w:right="100"/>
        <w:spacing w:after="0" w:line="252" w:lineRule="auto"/>
        <w:rPr>
          <w:sz w:val="20"/>
          <w:szCs w:val="20"/>
          <w:color w:val="auto"/>
        </w:rPr>
      </w:pPr>
      <w:r>
        <w:rPr>
          <w:rFonts w:ascii="Arial" w:cs="Arial" w:eastAsia="Arial" w:hAnsi="Arial"/>
          <w:sz w:val="16"/>
          <w:szCs w:val="16"/>
          <w:color w:val="auto"/>
        </w:rPr>
        <w:t>of Employment or service and not exercised during such period, shall terminate at the close of business on the last day of the 90-day period.</w:t>
      </w:r>
    </w:p>
    <w:p>
      <w:pPr>
        <w:spacing w:after="0" w:line="1" w:lineRule="exact"/>
        <w:rPr>
          <w:sz w:val="20"/>
          <w:szCs w:val="20"/>
          <w:color w:val="auto"/>
        </w:rPr>
      </w:pPr>
    </w:p>
    <w:p>
      <w:pPr>
        <w:ind w:right="260" w:firstLine="643"/>
        <w:spacing w:after="0" w:line="25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Incentive Share Options</w:t>
      </w:r>
      <w:r>
        <w:rPr>
          <w:rFonts w:ascii="Arial" w:cs="Arial" w:eastAsia="Arial" w:hAnsi="Arial"/>
          <w:sz w:val="16"/>
          <w:szCs w:val="16"/>
          <w:color w:val="auto"/>
        </w:rPr>
        <w:t>. Incentive Share Options may be granted to Employees of the Company or a Subsidiary of the Company. Incentive Share Options may not be granted to employees of a Related Entity or to Independent Directors or Consultants. The terms of any Incentive Share Options granted pursuant to the Plan, in addition to the requirements of Section 5.1, must comply with the following additional provisions of this Section 5.2:</w:t>
      </w:r>
    </w:p>
    <w:p>
      <w:pPr>
        <w:spacing w:after="0" w:line="123" w:lineRule="exact"/>
        <w:rPr>
          <w:sz w:val="20"/>
          <w:szCs w:val="20"/>
          <w:color w:val="auto"/>
        </w:rPr>
      </w:pPr>
    </w:p>
    <w:p>
      <w:pPr>
        <w:ind w:left="1380" w:right="420" w:hanging="357"/>
        <w:spacing w:after="0" w:line="251" w:lineRule="auto"/>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Individual Dollar Limitation</w:t>
      </w:r>
      <w:r>
        <w:rPr>
          <w:rFonts w:ascii="Arial" w:cs="Arial" w:eastAsia="Arial" w:hAnsi="Arial"/>
          <w:sz w:val="16"/>
          <w:szCs w:val="16"/>
          <w:color w:val="auto"/>
        </w:rPr>
        <w:t>. The aggregate Fair Market Value (determined as of the time the Option is granted) of all Shares with respect to which Incentive Share Options are first exercisable by a Participant in any calendar year may not exceed $100,000 or such other limitation as imposed by Section 422(d) of the Code, or any successor provision. To the extent that Incentive Share Options are first exercisable by a Participant in excess of such limitation, the excess shall be considered Non-Qualified Share Options.</w:t>
      </w:r>
    </w:p>
    <w:p>
      <w:pPr>
        <w:spacing w:after="0" w:line="2" w:lineRule="exact"/>
        <w:rPr>
          <w:rFonts w:ascii="Arial" w:cs="Arial" w:eastAsia="Arial" w:hAnsi="Arial"/>
          <w:sz w:val="16"/>
          <w:szCs w:val="16"/>
          <w:color w:val="auto"/>
        </w:rPr>
      </w:pPr>
    </w:p>
    <w:p>
      <w:pPr>
        <w:ind w:left="1380" w:right="560" w:hanging="357"/>
        <w:spacing w:after="0" w:line="246" w:lineRule="auto"/>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of an Incentive Share Option shall be equal to the Fair Market Value on the date of grant. However, the exercise price of any Incentive Share Option granted to any individual who, at the date of grant, owns Shares possessing more than ten percent of the total combined voting power of all classes of shares of the Company or any Parent or Subsidiary of the Company may not be less than 110% of Fair Market Value on the date of grant and such Option may not be exercisable for more than five years from the date of grant.</w:t>
      </w:r>
    </w:p>
    <w:p>
      <w:pPr>
        <w:spacing w:after="0" w:line="2" w:lineRule="exact"/>
        <w:rPr>
          <w:rFonts w:ascii="Arial" w:cs="Arial" w:eastAsia="Arial" w:hAnsi="Arial"/>
          <w:sz w:val="16"/>
          <w:szCs w:val="16"/>
          <w:color w:val="auto"/>
        </w:rPr>
      </w:pPr>
    </w:p>
    <w:p>
      <w:pPr>
        <w:ind w:left="1380" w:right="200" w:hanging="357"/>
        <w:spacing w:after="0" w:line="246" w:lineRule="auto"/>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Transfer Restriction</w:t>
      </w:r>
      <w:r>
        <w:rPr>
          <w:rFonts w:ascii="Arial" w:cs="Arial" w:eastAsia="Arial" w:hAnsi="Arial"/>
          <w:sz w:val="16"/>
          <w:szCs w:val="16"/>
          <w:color w:val="auto"/>
        </w:rPr>
        <w:t>. The Participant shall give the Company prompt notice of any disposition of Shares acquired by exercise of an Incentive Share Option within (i) two years from the date of grant of such Incentive Share Option or (ii) one year after the transfer of such Shares to the Participant.</w:t>
      </w:r>
    </w:p>
    <w:p>
      <w:pPr>
        <w:spacing w:after="0" w:line="1" w:lineRule="exact"/>
        <w:rPr>
          <w:rFonts w:ascii="Arial" w:cs="Arial" w:eastAsia="Arial" w:hAnsi="Arial"/>
          <w:sz w:val="16"/>
          <w:szCs w:val="16"/>
          <w:color w:val="auto"/>
        </w:rPr>
      </w:pPr>
    </w:p>
    <w:p>
      <w:pPr>
        <w:ind w:left="1380" w:right="420" w:hanging="357"/>
        <w:spacing w:after="0" w:line="246" w:lineRule="auto"/>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Expiration of Incentive Share Options</w:t>
      </w:r>
      <w:r>
        <w:rPr>
          <w:rFonts w:ascii="Arial" w:cs="Arial" w:eastAsia="Arial" w:hAnsi="Arial"/>
          <w:sz w:val="16"/>
          <w:szCs w:val="16"/>
          <w:color w:val="auto"/>
        </w:rPr>
        <w:t>. No Award of an Incentive Share Option may be made pursuant to this Plan after the tenth anniversary of the Effective Date.</w:t>
      </w:r>
    </w:p>
    <w:p>
      <w:pPr>
        <w:ind w:left="1380" w:hanging="357"/>
        <w:spacing w:after="0"/>
        <w:tabs>
          <w:tab w:leader="none" w:pos="13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Right to Exercise</w:t>
      </w:r>
      <w:r>
        <w:rPr>
          <w:rFonts w:ascii="Arial" w:cs="Arial" w:eastAsia="Arial" w:hAnsi="Arial"/>
          <w:sz w:val="16"/>
          <w:szCs w:val="16"/>
          <w:color w:val="auto"/>
        </w:rPr>
        <w:t>. During a Participant’s lifetime, an Incentive Share Option may be exercised only by the Participant.</w:t>
      </w:r>
    </w:p>
    <w:p>
      <w:pPr>
        <w:spacing w:after="0" w:line="147"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60"/>
          </w:cols>
          <w:pgMar w:left="560" w:top="550" w:right="379" w:bottom="1440" w:gutter="0" w:footer="0" w:header="0"/>
        </w:sectPr>
      </w:pPr>
    </w:p>
    <w:bookmarkStart w:id="18" w:name="page19"/>
    <w:bookmarkEnd w:id="18"/>
    <w:p>
      <w:pPr>
        <w:jc w:val="center"/>
        <w:ind w:right="80"/>
        <w:spacing w:after="0"/>
        <w:rPr>
          <w:sz w:val="20"/>
          <w:szCs w:val="20"/>
          <w:color w:val="auto"/>
        </w:rPr>
      </w:pPr>
      <w:r>
        <w:rPr>
          <w:rFonts w:ascii="Arial" w:cs="Arial" w:eastAsia="Arial" w:hAnsi="Arial"/>
          <w:sz w:val="16"/>
          <w:szCs w:val="16"/>
          <w:b w:val="1"/>
          <w:bCs w:val="1"/>
          <w:color w:val="auto"/>
        </w:rPr>
        <w:t>ARTICLE 6</w:t>
      </w:r>
    </w:p>
    <w:p>
      <w:pPr>
        <w:spacing w:after="0" w:line="19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RESTRICTED SHARES</w:t>
      </w:r>
    </w:p>
    <w:p>
      <w:pPr>
        <w:spacing w:after="0" w:line="196" w:lineRule="exact"/>
        <w:rPr>
          <w:sz w:val="20"/>
          <w:szCs w:val="20"/>
          <w:color w:val="auto"/>
        </w:rPr>
      </w:pPr>
    </w:p>
    <w:p>
      <w:pPr>
        <w:ind w:right="80" w:firstLine="643"/>
        <w:spacing w:after="0" w:line="26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 of Restricted Shares</w:t>
      </w:r>
      <w:r>
        <w:rPr>
          <w:rFonts w:ascii="Arial" w:cs="Arial" w:eastAsia="Arial" w:hAnsi="Arial"/>
          <w:sz w:val="16"/>
          <w:szCs w:val="16"/>
          <w:color w:val="auto"/>
        </w:rPr>
        <w:t>. The Committee, at any time and from time to time, may grant Restricted Shares to Participants as the Committee, in its sole discretion, shall determine. The Committee, in its sole discretion, shall determine the number of Restricted Shares to be granted to each Participant.</w:t>
      </w:r>
    </w:p>
    <w:p>
      <w:pPr>
        <w:spacing w:after="0" w:line="151" w:lineRule="exact"/>
        <w:rPr>
          <w:sz w:val="20"/>
          <w:szCs w:val="20"/>
          <w:color w:val="auto"/>
        </w:rPr>
      </w:pPr>
    </w:p>
    <w:p>
      <w:pPr>
        <w:ind w:firstLine="643"/>
        <w:spacing w:after="0" w:line="26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Restricted Shares Award Agreement</w:t>
      </w:r>
      <w:r>
        <w:rPr>
          <w:rFonts w:ascii="Arial" w:cs="Arial" w:eastAsia="Arial" w:hAnsi="Arial"/>
          <w:sz w:val="16"/>
          <w:szCs w:val="16"/>
          <w:color w:val="auto"/>
        </w:rPr>
        <w:t>. Each Award of Restricted Shares shall be evidenced by an Award Agreement that shall specify the period of restriction, the number of Restricted Shares granted, and such other terms and conditions as the Committee, in its sole discretion, shall determine. Unless the Committee determines otherwise, Restricted Shares shall be held by the Company as escrow agent until the restrictions on such Restricted Shares have lapsed.</w:t>
      </w:r>
    </w:p>
    <w:p>
      <w:pPr>
        <w:spacing w:after="0" w:line="158" w:lineRule="exact"/>
        <w:rPr>
          <w:sz w:val="20"/>
          <w:szCs w:val="20"/>
          <w:color w:val="auto"/>
        </w:rPr>
      </w:pPr>
    </w:p>
    <w:p>
      <w:pPr>
        <w:ind w:right="20" w:firstLine="643"/>
        <w:spacing w:after="0" w:line="26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Issuance and Restrictions</w:t>
      </w:r>
      <w:r>
        <w:rPr>
          <w:rFonts w:ascii="Arial" w:cs="Arial" w:eastAsia="Arial" w:hAnsi="Arial"/>
          <w:sz w:val="16"/>
          <w:szCs w:val="16"/>
          <w:color w:val="auto"/>
        </w:rPr>
        <w:t>. Restricted Shares shall be subject to such restrictions on transferability and other restrictions as the Committee may impose (including, without limitation, limitations on the right to vote Restricted Shares or the right to receive dividends on the Restricted Shares). These restrictions may lapse separately or in combination at such times, pursuant to such circumstances, in such installments, or otherwise, as the Committee determines at the time of the grant of the Award or thereafter.</w:t>
      </w:r>
    </w:p>
    <w:p>
      <w:pPr>
        <w:spacing w:after="0" w:line="158" w:lineRule="exact"/>
        <w:rPr>
          <w:sz w:val="20"/>
          <w:szCs w:val="20"/>
          <w:color w:val="auto"/>
        </w:rPr>
      </w:pPr>
    </w:p>
    <w:p>
      <w:pPr>
        <w:ind w:right="20" w:firstLine="643"/>
        <w:spacing w:after="0" w:line="255"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Forfeiture/Repurchase</w:t>
      </w:r>
      <w:r>
        <w:rPr>
          <w:rFonts w:ascii="Arial" w:cs="Arial" w:eastAsia="Arial" w:hAnsi="Arial"/>
          <w:sz w:val="16"/>
          <w:szCs w:val="16"/>
          <w:color w:val="auto"/>
        </w:rPr>
        <w:t xml:space="preserve">. Except as otherwise determined by the Committee at the time of the grant of the Award or thereafter, upon termination of employment or service during the applicable restriction period, Restricted Shares that are at that time subject to restrictions shall be forfeited or repurchased in accordance with the Award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the Committee may (a) provide in any Restricted Share Award Agreement that restrictions or forfeiture and repurchase conditions relating to Restricted Shares will be waived in whole or in part in the event of terminations resulting from specified causes, and (b) in other cases waive in whole or in part restrictions or forfeiture and repurchase conditions relating to Restricted Shares.</w:t>
      </w:r>
    </w:p>
    <w:p>
      <w:pPr>
        <w:spacing w:after="0" w:line="164" w:lineRule="exact"/>
        <w:rPr>
          <w:sz w:val="20"/>
          <w:szCs w:val="20"/>
          <w:color w:val="auto"/>
        </w:rPr>
      </w:pPr>
    </w:p>
    <w:p>
      <w:pPr>
        <w:ind w:firstLine="643"/>
        <w:spacing w:after="0" w:line="26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Certificates for Restricted Shares</w:t>
      </w:r>
      <w:r>
        <w:rPr>
          <w:rFonts w:ascii="Arial" w:cs="Arial" w:eastAsia="Arial" w:hAnsi="Arial"/>
          <w:sz w:val="16"/>
          <w:szCs w:val="16"/>
          <w:color w:val="auto"/>
        </w:rPr>
        <w:t>. Restricted Shares granted pursuant to the Plan may be evidenced in such manner as the Committee 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158" w:lineRule="exact"/>
        <w:rPr>
          <w:sz w:val="20"/>
          <w:szCs w:val="20"/>
          <w:color w:val="auto"/>
        </w:rPr>
      </w:pPr>
    </w:p>
    <w:p>
      <w:pPr>
        <w:ind w:right="60" w:firstLine="643"/>
        <w:spacing w:after="0" w:line="255"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Removal of Restrictions</w:t>
      </w:r>
      <w:r>
        <w:rPr>
          <w:rFonts w:ascii="Arial" w:cs="Arial" w:eastAsia="Arial" w:hAnsi="Arial"/>
          <w:sz w:val="16"/>
          <w:szCs w:val="16"/>
          <w:color w:val="auto"/>
        </w:rPr>
        <w:t>. Except as otherwise provided in this Article 6, Restricted Shares granted under the Plan shall be released from escrow as soon as practicable after the last day of the period of restriction. The Committee, in its discretion, may accelerate the time at which any restrictions shall lapse or be removed. After the restrictions have lapsed, the Participant shall be entitled to have any legend or legends under Section 6.5 removed from his or her Share certificate, and the Shares shall be freely transferable by the Participant, subject to applicable legal restrictions. The Committee (in its discretion) may establish procedures regarding the release of Shares from escrow and the removal of legends, as necessary or appropriate to minimize administrative burdens on the Company.</w:t>
      </w:r>
    </w:p>
    <w:p>
      <w:pPr>
        <w:spacing w:after="0" w:line="6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560" w:top="551" w:right="499" w:bottom="1440" w:gutter="0" w:footer="0" w:header="0"/>
        </w:sectPr>
      </w:pPr>
    </w:p>
    <w:bookmarkStart w:id="19" w:name="page20"/>
    <w:bookmarkEnd w:id="19"/>
    <w:p>
      <w:pPr>
        <w:jc w:val="center"/>
        <w:ind w:right="100"/>
        <w:spacing w:after="0"/>
        <w:rPr>
          <w:sz w:val="20"/>
          <w:szCs w:val="20"/>
          <w:color w:val="auto"/>
        </w:rPr>
      </w:pPr>
      <w:r>
        <w:rPr>
          <w:rFonts w:ascii="Arial" w:cs="Arial" w:eastAsia="Arial" w:hAnsi="Arial"/>
          <w:sz w:val="16"/>
          <w:szCs w:val="16"/>
          <w:b w:val="1"/>
          <w:bCs w:val="1"/>
          <w:color w:val="auto"/>
        </w:rPr>
        <w:t>ARTICLE 7</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RESTRICTED SHARE UNITS</w:t>
      </w:r>
    </w:p>
    <w:p>
      <w:pPr>
        <w:spacing w:after="0" w:line="196" w:lineRule="exact"/>
        <w:rPr>
          <w:sz w:val="20"/>
          <w:szCs w:val="20"/>
          <w:color w:val="auto"/>
        </w:rPr>
      </w:pPr>
    </w:p>
    <w:p>
      <w:pPr>
        <w:ind w:firstLine="643"/>
        <w:spacing w:after="0" w:line="269"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Grant of Restricted Share Units</w:t>
      </w:r>
      <w:r>
        <w:rPr>
          <w:rFonts w:ascii="Arial" w:cs="Arial" w:eastAsia="Arial" w:hAnsi="Arial"/>
          <w:sz w:val="16"/>
          <w:szCs w:val="16"/>
          <w:color w:val="auto"/>
        </w:rPr>
        <w:t>. The Committee, at any time and from time to time, may grant Restricted Share Units to Participants as the Committee, in its sole discretion, shall determine. The Committee, in its sole discretion, shall determine the number of Restricted Share Units to be granted to each Participant.</w:t>
      </w:r>
    </w:p>
    <w:p>
      <w:pPr>
        <w:spacing w:after="0" w:line="151" w:lineRule="exact"/>
        <w:rPr>
          <w:sz w:val="20"/>
          <w:szCs w:val="20"/>
          <w:color w:val="auto"/>
        </w:rPr>
      </w:pPr>
    </w:p>
    <w:p>
      <w:pPr>
        <w:ind w:right="320" w:firstLine="643"/>
        <w:spacing w:after="0" w:line="269"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Restricted Share Units Award Agreement</w:t>
      </w:r>
      <w:r>
        <w:rPr>
          <w:rFonts w:ascii="Arial" w:cs="Arial" w:eastAsia="Arial" w:hAnsi="Arial"/>
          <w:sz w:val="16"/>
          <w:szCs w:val="16"/>
          <w:color w:val="auto"/>
        </w:rPr>
        <w:t>. Each Award of Restricted Share Units shall be evidenced by an Award Agreement that shall specify any vesting conditions, the number of Restricted Share Units granted, and such other terms and conditions as the Committee, in its sole discretion, shall determine.</w:t>
      </w:r>
    </w:p>
    <w:p>
      <w:pPr>
        <w:spacing w:after="0" w:line="151" w:lineRule="exact"/>
        <w:rPr>
          <w:sz w:val="20"/>
          <w:szCs w:val="20"/>
          <w:color w:val="auto"/>
        </w:rPr>
      </w:pPr>
    </w:p>
    <w:p>
      <w:pPr>
        <w:ind w:right="260" w:firstLine="643"/>
        <w:spacing w:after="0" w:line="26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Form and Timing of Payment of Restricted Share Units</w:t>
      </w:r>
      <w:r>
        <w:rPr>
          <w:rFonts w:ascii="Arial" w:cs="Arial" w:eastAsia="Arial" w:hAnsi="Arial"/>
          <w:sz w:val="16"/>
          <w:szCs w:val="16"/>
          <w:color w:val="auto"/>
        </w:rPr>
        <w:t>. At the time of grant, the Committee shall specify the date or dates on which the Restricted Share Units shall become fully vested and nonforfeitable. Upon vesting, the Committee, in its sole discretion, may pay Restricted Share Units in the form of cash, Shares or a combination thereof.</w:t>
      </w:r>
    </w:p>
    <w:p>
      <w:pPr>
        <w:spacing w:after="0" w:line="151" w:lineRule="exact"/>
        <w:rPr>
          <w:sz w:val="20"/>
          <w:szCs w:val="20"/>
          <w:color w:val="auto"/>
        </w:rPr>
      </w:pPr>
    </w:p>
    <w:p>
      <w:pPr>
        <w:ind w:right="40" w:firstLine="643"/>
        <w:spacing w:after="0" w:line="25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Forfeiture/Repurchase</w:t>
      </w:r>
      <w:r>
        <w:rPr>
          <w:rFonts w:ascii="Arial" w:cs="Arial" w:eastAsia="Arial" w:hAnsi="Arial"/>
          <w:sz w:val="16"/>
          <w:szCs w:val="16"/>
          <w:color w:val="auto"/>
        </w:rPr>
        <w:t xml:space="preserve">. Except as otherwise determined by the Committee at the time of the grant of the Award or thereafter, upon termination of employment or service during the applicable restriction period, Restricted Share Units that are at that time unvested shall be forfeited or repurchased in accordance with the Award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the Committee may (a) provide in any Restricted Share Unit Award Agreement that restrictions or forfeiture and repurchase conditions relating to Restricted Share Units will be waived in whole or in part in the event of terminations resulting from specified causes, and (b) in other cases waive in whole or in part restrictions or forfeiture and repurchase conditions relating to Restricted Share Units.</w:t>
      </w: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ARTICLE 8</w:t>
      </w:r>
    </w:p>
    <w:p>
      <w:pPr>
        <w:spacing w:after="0" w:line="194"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PROVISIONS APPLICABLE TO AWARDS</w:t>
      </w:r>
    </w:p>
    <w:p>
      <w:pPr>
        <w:spacing w:after="0" w:line="196" w:lineRule="exact"/>
        <w:rPr>
          <w:sz w:val="20"/>
          <w:szCs w:val="20"/>
          <w:color w:val="auto"/>
        </w:rPr>
      </w:pPr>
    </w:p>
    <w:p>
      <w:pPr>
        <w:jc w:val="both"/>
        <w:ind w:right="40" w:firstLine="643"/>
        <w:spacing w:after="0" w:line="269"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Award Agreement</w:t>
      </w:r>
      <w:r>
        <w:rPr>
          <w:rFonts w:ascii="Arial" w:cs="Arial" w:eastAsia="Arial" w:hAnsi="Arial"/>
          <w:sz w:val="16"/>
          <w:szCs w:val="16"/>
          <w:color w:val="auto"/>
        </w:rPr>
        <w:t>. Awards under the Plan shall be evidenced by Award Agreements that set forth the terms, conditions and 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No Transferability</w:t>
      </w:r>
      <w:r>
        <w:rPr>
          <w:rFonts w:ascii="Arial" w:cs="Arial" w:eastAsia="Arial" w:hAnsi="Arial"/>
          <w:sz w:val="16"/>
          <w:szCs w:val="16"/>
          <w:color w:val="auto"/>
        </w:rPr>
        <w:t>; Limited Exception to Transfer Restrictions.</w:t>
      </w:r>
    </w:p>
    <w:p>
      <w:pPr>
        <w:spacing w:after="0" w:line="14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0"/>
          </w:cols>
          <w:pgMar w:left="560" w:top="551" w:right="479" w:bottom="1440" w:gutter="0" w:footer="0" w:header="0"/>
        </w:sectPr>
      </w:pPr>
    </w:p>
    <w:bookmarkStart w:id="20" w:name="page21"/>
    <w:bookmarkEnd w:id="20"/>
    <w:p>
      <w:pPr>
        <w:ind w:right="640" w:firstLine="643"/>
        <w:spacing w:after="0" w:line="291"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Limits on Transfer</w:t>
      </w:r>
      <w:r>
        <w:rPr>
          <w:rFonts w:ascii="Arial" w:cs="Arial" w:eastAsia="Arial" w:hAnsi="Arial"/>
          <w:sz w:val="16"/>
          <w:szCs w:val="16"/>
          <w:color w:val="auto"/>
        </w:rPr>
        <w:t>. Unless otherwise expressly provided in (or pursuant to) this Section 8.2, by applicable law and by the Award Agreement, as the same may be amended:</w:t>
      </w:r>
    </w:p>
    <w:p>
      <w:pPr>
        <w:spacing w:after="0" w:line="134" w:lineRule="exact"/>
        <w:rPr>
          <w:sz w:val="20"/>
          <w:szCs w:val="20"/>
          <w:color w:val="auto"/>
        </w:rPr>
      </w:pPr>
    </w:p>
    <w:p>
      <w:pPr>
        <w:ind w:left="1380" w:right="100" w:hanging="357"/>
        <w:spacing w:after="0" w:line="259" w:lineRule="auto"/>
        <w:tabs>
          <w:tab w:leader="none" w:pos="1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Awards are non-transferable and will not be subject in any manner to sale, transfer, anticipation, alienation, assignment, pledge, encumbrance or charge;</w:t>
      </w:r>
    </w:p>
    <w:p>
      <w:pPr>
        <w:ind w:left="1380" w:hanging="357"/>
        <w:spacing w:after="0"/>
        <w:tabs>
          <w:tab w:leader="none" w:pos="1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Awards will be exercised only by the Participant; and</w:t>
      </w:r>
    </w:p>
    <w:p>
      <w:pPr>
        <w:spacing w:after="0" w:line="25" w:lineRule="exact"/>
        <w:rPr>
          <w:rFonts w:ascii="Arial" w:cs="Arial" w:eastAsia="Arial" w:hAnsi="Arial"/>
          <w:sz w:val="16"/>
          <w:szCs w:val="16"/>
          <w:color w:val="auto"/>
        </w:rPr>
      </w:pPr>
    </w:p>
    <w:p>
      <w:pPr>
        <w:ind w:left="1380" w:right="540" w:hanging="357"/>
        <w:spacing w:after="0" w:line="291" w:lineRule="auto"/>
        <w:tabs>
          <w:tab w:leader="none" w:pos="1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amounts payable or shares issuable pursuant to an Award will be delivered only to (or for the account of), and, in the case of Shares, registered in the name of, the Participant.</w:t>
      </w:r>
    </w:p>
    <w:p>
      <w:pPr>
        <w:spacing w:after="0" w:line="40"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In addition, the shares shall be subject to the restrictions set forth in the applicable Award Agreement.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Further Exceptions to Limits on Transfer</w:t>
      </w:r>
      <w:r>
        <w:rPr>
          <w:rFonts w:ascii="Arial" w:cs="Arial" w:eastAsia="Arial" w:hAnsi="Arial"/>
          <w:sz w:val="16"/>
          <w:szCs w:val="16"/>
          <w:color w:val="auto"/>
        </w:rPr>
        <w:t>. The exercise and transfer restrictions in Section 8.2.1 will not apply to:</w:t>
      </w:r>
    </w:p>
    <w:p>
      <w:pPr>
        <w:spacing w:after="0" w:line="208" w:lineRule="exact"/>
        <w:rPr>
          <w:sz w:val="20"/>
          <w:szCs w:val="20"/>
          <w:color w:val="auto"/>
        </w:rPr>
      </w:pPr>
    </w:p>
    <w:p>
      <w:pPr>
        <w:ind w:left="1380" w:hanging="357"/>
        <w:spacing w:after="0"/>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transfers to the Company or a Subsidiary;</w:t>
      </w:r>
    </w:p>
    <w:p>
      <w:pPr>
        <w:spacing w:after="0" w:line="45" w:lineRule="exact"/>
        <w:rPr>
          <w:rFonts w:ascii="Arial" w:cs="Arial" w:eastAsia="Arial" w:hAnsi="Arial"/>
          <w:sz w:val="16"/>
          <w:szCs w:val="16"/>
          <w:color w:val="auto"/>
        </w:rPr>
      </w:pPr>
    </w:p>
    <w:p>
      <w:pPr>
        <w:ind w:left="1380" w:hanging="357"/>
        <w:spacing w:after="0"/>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transfers by gift to “immediate family” as that term is defined in SEC Rule 16a-1(e) promulgated under the Exchange Act;</w:t>
      </w:r>
    </w:p>
    <w:p>
      <w:pPr>
        <w:spacing w:after="0" w:line="45" w:lineRule="exact"/>
        <w:rPr>
          <w:rFonts w:ascii="Arial" w:cs="Arial" w:eastAsia="Arial" w:hAnsi="Arial"/>
          <w:sz w:val="16"/>
          <w:szCs w:val="16"/>
          <w:color w:val="auto"/>
        </w:rPr>
      </w:pPr>
    </w:p>
    <w:p>
      <w:pPr>
        <w:ind w:left="1380" w:right="180" w:hanging="357"/>
        <w:spacing w:after="0" w:line="255" w:lineRule="auto"/>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designation of a beneficiary to receive benefits if the Participant dies or, if the Participant has died, transfers to or exercises by the Participant’s beneficiary, or, in the absence of a validly designated beneficiary, transfers by will or the laws of descent and distribution; or</w:t>
      </w:r>
    </w:p>
    <w:p>
      <w:pPr>
        <w:ind w:left="1380" w:right="480" w:hanging="357"/>
        <w:spacing w:after="0" w:line="246" w:lineRule="auto"/>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the Participant has suffered a disability, permitted transfers or exercises on behalf of the Participant by the Participant’s duly authorized legal representative; or</w:t>
      </w:r>
    </w:p>
    <w:p>
      <w:pPr>
        <w:ind w:left="1380" w:hanging="357"/>
        <w:spacing w:after="0" w:line="249" w:lineRule="auto"/>
        <w:tabs>
          <w:tab w:leader="none" w:pos="1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subject to the prior approval of the Committee or an executive officer or director of the Company authorized by the Committee, transfer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Committee, pursuant to such conditions and procedures as the Committee or may establish. Any permitted transfer shall be subject to the condition that the Committee receives evidence satisfactory to it that the transfer is being made for estate and/or tax planning purposes and on a basis consistent with the Company’s lawful issue of securities.</w:t>
      </w: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20"/>
          </w:cols>
          <w:pgMar w:left="560" w:top="553" w:right="519" w:bottom="1440" w:gutter="0" w:footer="0" w:header="0"/>
        </w:sectPr>
      </w:pPr>
    </w:p>
    <w:bookmarkStart w:id="21" w:name="page22"/>
    <w:bookmarkEnd w:id="21"/>
    <w:p>
      <w:pPr>
        <w:ind w:firstLine="643"/>
        <w:spacing w:after="0" w:line="257" w:lineRule="auto"/>
        <w:rPr>
          <w:sz w:val="20"/>
          <w:szCs w:val="20"/>
          <w:color w:val="auto"/>
        </w:rPr>
      </w:pPr>
      <w:r>
        <w:rPr>
          <w:rFonts w:ascii="Arial" w:cs="Arial" w:eastAsia="Arial" w:hAnsi="Arial"/>
          <w:sz w:val="16"/>
          <w:szCs w:val="16"/>
          <w:color w:val="auto"/>
        </w:rPr>
        <w:t>Notwithstanding anything else in this Section 8.2.2 to the contrary, but subject to compliance with all Applicable Laws, Incentive Share Options, Restricted Shares and Restricted Share Units will be subject to any and all transfer restrictions under the Code applicable to such Awards or necessary to maintain the intended tax consequences of such Awards. Notwithstanding clause (b) above but subject to compliance with all Applicable Laws, any contemplated transfer by gift to “immediate family” as referenced in clause (b) above is subject to the condition precedent that the transfer be approved by the Administrator in order for it to be effective.</w:t>
      </w:r>
    </w:p>
    <w:p>
      <w:pPr>
        <w:spacing w:after="0" w:line="162" w:lineRule="exact"/>
        <w:rPr>
          <w:sz w:val="20"/>
          <w:szCs w:val="20"/>
          <w:color w:val="auto"/>
        </w:rPr>
      </w:pPr>
    </w:p>
    <w:p>
      <w:pPr>
        <w:ind w:right="60" w:firstLine="643"/>
        <w:spacing w:after="0" w:line="252"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Beneficiaries</w:t>
      </w:r>
      <w:r>
        <w:rPr>
          <w:rFonts w:ascii="Arial" w:cs="Arial" w:eastAsia="Arial" w:hAnsi="Arial"/>
          <w:sz w:val="16"/>
          <w:szCs w:val="16"/>
          <w:color w:val="auto"/>
        </w:rPr>
        <w:t>. Notwithstanding Section 8.2,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165" w:lineRule="exact"/>
        <w:rPr>
          <w:sz w:val="20"/>
          <w:szCs w:val="20"/>
          <w:color w:val="auto"/>
        </w:rPr>
      </w:pPr>
    </w:p>
    <w:p>
      <w:pPr>
        <w:ind w:right="500" w:firstLine="643"/>
        <w:spacing w:after="0" w:line="269"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Performance Objectives and Other Terms</w:t>
      </w:r>
      <w:r>
        <w:rPr>
          <w:rFonts w:ascii="Arial" w:cs="Arial" w:eastAsia="Arial" w:hAnsi="Arial"/>
          <w:sz w:val="16"/>
          <w:szCs w:val="16"/>
          <w:color w:val="auto"/>
        </w:rPr>
        <w:t>. The Committee, in its discretion, shall set performance objectives or other vesting criteria which, depending on the extent to which they are met, will determine the number or value of the Awards that will be granted or paid out to the Participants.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Share Certificates</w:t>
      </w:r>
      <w:r>
        <w:rPr>
          <w:rFonts w:ascii="Arial" w:cs="Arial" w:eastAsia="Arial" w:hAnsi="Arial"/>
          <w:sz w:val="16"/>
          <w:szCs w:val="16"/>
          <w:color w:val="auto"/>
        </w:rPr>
        <w:t>.</w:t>
      </w:r>
    </w:p>
    <w:p>
      <w:pPr>
        <w:spacing w:after="0" w:line="208" w:lineRule="exact"/>
        <w:rPr>
          <w:sz w:val="20"/>
          <w:szCs w:val="20"/>
          <w:color w:val="auto"/>
        </w:rPr>
      </w:pPr>
    </w:p>
    <w:p>
      <w:pPr>
        <w:ind w:left="1380" w:hanging="357"/>
        <w:spacing w:after="0" w:line="250" w:lineRule="auto"/>
        <w:tabs>
          <w:tab w:leader="none" w:pos="1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Company shall not be required to issue or deliver any certificates evidencing the Shares pursuant to the exercise of any Award, unless and until the Committee has determined, with advice of counsel, that the issuance and delivery of such certificates is in compliance with all Applicable Laws, regulations of governmental authorities and, if applicable, the requirements of any exchange on which the Shares are listed or traded. All Share certificates delivered pursuant to the Plan are subject to any stop-transfer orders and other restrictions as the Committee deems necessary or advisable to comply with all Applicable Laws, and the rules of any national securities exchange or automated quotation system on which the Shares are listed, quoted, or traded. The Committee may place legends on any Share certificate to reference restrictions applicable to the Shares. In addition to the terms and conditions provided herein, the Committee may require that a Participant make such reasonable covenants, agreements, and representations as the Committee, in its discretion, deems advisable in order to comply with any such laws, regulations, or requirements. The Committee shall have the right to require any Participant to comply with any timing or other restrictions with respect to the settlement or exercise of any Award, including a window-period limitation, as may be imposed in the discretion of the Committee.</w:t>
      </w:r>
    </w:p>
    <w:p>
      <w:pPr>
        <w:spacing w:after="0" w:line="4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0"/>
          </w:cols>
          <w:pgMar w:left="560" w:top="553" w:right="479" w:bottom="1440" w:gutter="0" w:footer="0" w:header="0"/>
        </w:sectPr>
      </w:pPr>
    </w:p>
    <w:bookmarkStart w:id="22" w:name="page23"/>
    <w:bookmarkEnd w:id="22"/>
    <w:p>
      <w:pPr>
        <w:ind w:left="1380" w:right="40" w:hanging="357"/>
        <w:spacing w:after="0" w:line="269" w:lineRule="auto"/>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Notwithstanding anything herein to the contrary, unless otherwise determined by the Committee or required by Applicable Laws, the Company shall not deliver to any Participant certificates evidencing Shares issued in connection with any Award and instead such Shares shall be recorded on the books of the Company or, as applicable, its transfer agent or share plan administrator.</w:t>
      </w:r>
    </w:p>
    <w:p>
      <w:pPr>
        <w:spacing w:after="0" w:line="2" w:lineRule="exact"/>
        <w:rPr>
          <w:sz w:val="20"/>
          <w:szCs w:val="20"/>
          <w:color w:val="auto"/>
        </w:rPr>
      </w:pPr>
    </w:p>
    <w:p>
      <w:pPr>
        <w:ind w:right="820" w:firstLine="643"/>
        <w:spacing w:after="0" w:line="291"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Paperless Administration</w:t>
      </w:r>
      <w:r>
        <w:rPr>
          <w:rFonts w:ascii="Arial" w:cs="Arial" w:eastAsia="Arial" w:hAnsi="Arial"/>
          <w:sz w:val="16"/>
          <w:szCs w:val="16"/>
          <w:color w:val="auto"/>
        </w:rPr>
        <w:t xml:space="preserve"> . Subject to Applicable Laws, the Committee may make Awards and provide applicable disclosure and procedures for exercise of Awards by an internet website or interactive voice response system for the paperless administration of Awards.</w:t>
      </w:r>
    </w:p>
    <w:p>
      <w:pPr>
        <w:spacing w:after="0" w:line="134" w:lineRule="exact"/>
        <w:rPr>
          <w:sz w:val="20"/>
          <w:szCs w:val="20"/>
          <w:color w:val="auto"/>
        </w:rPr>
      </w:pPr>
    </w:p>
    <w:p>
      <w:pPr>
        <w:ind w:right="40" w:firstLine="643"/>
        <w:spacing w:after="0" w:line="257" w:lineRule="auto"/>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Foreign Currency</w:t>
      </w:r>
      <w:r>
        <w:rPr>
          <w:rFonts w:ascii="Arial" w:cs="Arial" w:eastAsia="Arial" w:hAnsi="Arial"/>
          <w:sz w:val="16"/>
          <w:szCs w:val="16"/>
          <w:color w:val="auto"/>
        </w:rPr>
        <w:t>. A Participant may be required to provide evidence that any currency used to pay the exercise price of any Award was acquired and taken out of the jurisdiction in which the Participant resides in accordance with Applicable Laws, including foreign exchange control laws and regulations. In the event the exercise price for an Award is paid in Chinese Renminbi or other foreign currency, as permitted by the Committee, the amount payable will be determined by conversion from U.S. dollars at the official rate promulgated by the People’s Bank of China for Chinese Renminbi, or for jurisdictions other than the People’s Republic of China, the exchange rate as selected by the Committee on the date of exercise.</w:t>
      </w:r>
    </w:p>
    <w:p>
      <w:pPr>
        <w:spacing w:after="0" w:line="16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ARTICLE 9</w:t>
      </w:r>
    </w:p>
    <w:p>
      <w:pPr>
        <w:spacing w:after="0" w:line="19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CHANGES IN CAPITAL STRUCTURE</w:t>
      </w:r>
    </w:p>
    <w:p>
      <w:pPr>
        <w:spacing w:after="0" w:line="196" w:lineRule="exact"/>
        <w:rPr>
          <w:sz w:val="20"/>
          <w:szCs w:val="20"/>
          <w:color w:val="auto"/>
        </w:rPr>
      </w:pPr>
    </w:p>
    <w:p>
      <w:pPr>
        <w:ind w:right="20" w:firstLine="643"/>
        <w:spacing w:after="0" w:line="254"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of any dividend, share split, combination or exchange of Shares, amalgamation, arrangement or consolidation, spin-off, recapitalization or other distribution (other than normal cash dividends) of Company assets to its shareholders, or any other change affecting the shares of Shares or the share price of a Share, the Committee shall make such proportionate adjustments, if any, as the Committee in its discretion may deem appropriate to reflect such change with respect to (a) the aggregate number and type of shares that may be issued under the Plan (including, but not limited to, adjustments of the limitations in Section 3.1); (b) the terms and conditions of any outstanding Awards (including, without limitation, any applicable performance targets or criteria with respect thereto); and (c) the grant or exercise price per share for any outstanding Awards under the Plan.</w:t>
      </w:r>
    </w:p>
    <w:p>
      <w:pPr>
        <w:spacing w:after="0" w:line="357" w:lineRule="exact"/>
        <w:rPr>
          <w:sz w:val="20"/>
          <w:szCs w:val="20"/>
          <w:color w:val="auto"/>
        </w:rPr>
      </w:pPr>
    </w:p>
    <w:p>
      <w:pPr>
        <w:ind w:firstLine="643"/>
        <w:spacing w:after="0" w:line="25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Corporate Transactions</w:t>
      </w:r>
      <w:r>
        <w:rPr>
          <w:rFonts w:ascii="Arial" w:cs="Arial" w:eastAsia="Arial" w:hAnsi="Arial"/>
          <w:sz w:val="16"/>
          <w:szCs w:val="16"/>
          <w:color w:val="auto"/>
        </w:rPr>
        <w:t>. Except as may otherwise be provided in any Award Agreement or any other written agreement entered into by and 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shall determine, or (ii) the purchase of any Award for an amount of cash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or (iv) payment of such Award in cash based on the value of Shares on the date of the Corporate Transaction plus reasonable interest on the Award through the date as determined by the Committee when such Award would otherwise be vested or have been paid in accordance with its original terms, if necessary to comply with Section 409A of the Code.</w:t>
      </w:r>
    </w:p>
    <w:p>
      <w:pPr>
        <w:spacing w:after="0" w:line="4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560" w:top="553" w:right="499" w:bottom="1440" w:gutter="0" w:footer="0" w:header="0"/>
        </w:sectPr>
      </w:pPr>
    </w:p>
    <w:bookmarkStart w:id="23" w:name="page24"/>
    <w:bookmarkEnd w:id="23"/>
    <w:p>
      <w:pPr>
        <w:ind w:right="180" w:firstLine="643"/>
        <w:spacing w:after="0" w:line="261"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Outstanding Awards – Other Changes</w:t>
      </w:r>
      <w:r>
        <w:rPr>
          <w:rFonts w:ascii="Arial" w:cs="Arial" w:eastAsia="Arial" w:hAnsi="Arial"/>
          <w:sz w:val="16"/>
          <w:szCs w:val="16"/>
          <w:color w:val="auto"/>
        </w:rPr>
        <w:t>. In the event of any other change in the capitalization of the Company or corporate change other than those specifically referred to in this Article 9, the Committee may, in its absolute discretion, make such adjustments in the number and class of shares subject to Awards outstanding on the date on which such change occurs and in the per share grant or exercise price of each Award as the Committee may consider appropriate to prevent dilution or enlargement of rights.</w:t>
      </w:r>
    </w:p>
    <w:p>
      <w:pPr>
        <w:spacing w:after="0" w:line="158" w:lineRule="exact"/>
        <w:rPr>
          <w:sz w:val="20"/>
          <w:szCs w:val="20"/>
          <w:color w:val="auto"/>
        </w:rPr>
      </w:pPr>
    </w:p>
    <w:p>
      <w:pPr>
        <w:ind w:right="40" w:firstLine="643"/>
        <w:spacing w:after="0" w:line="257"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No Other Rights</w:t>
      </w:r>
      <w:r>
        <w:rPr>
          <w:rFonts w:ascii="Arial" w:cs="Arial" w:eastAsia="Arial" w:hAnsi="Arial"/>
          <w:sz w:val="16"/>
          <w:szCs w:val="16"/>
          <w:color w:val="auto"/>
        </w:rPr>
        <w:t>. Except as expressly provided in the Plan, no Participant shall have any rights by reason of any subdivision or 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and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ARTICLE 10</w:t>
      </w:r>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ADMINISTRATION</w:t>
      </w:r>
    </w:p>
    <w:p>
      <w:pPr>
        <w:spacing w:after="0" w:line="196" w:lineRule="exact"/>
        <w:rPr>
          <w:sz w:val="20"/>
          <w:szCs w:val="20"/>
          <w:color w:val="auto"/>
        </w:rPr>
      </w:pPr>
    </w:p>
    <w:p>
      <w:pPr>
        <w:ind w:right="20" w:firstLine="643"/>
        <w:spacing w:after="0" w:line="255"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Committee</w:t>
      </w:r>
      <w:r>
        <w:rPr>
          <w:rFonts w:ascii="Arial" w:cs="Arial" w:eastAsia="Arial" w:hAnsi="Arial"/>
          <w:sz w:val="16"/>
          <w:szCs w:val="16"/>
          <w:color w:val="auto"/>
        </w:rPr>
        <w:t>. The Plan shall be administered by the Board or a committee of one or more members of the Board (the “</w:t>
      </w:r>
      <w:r>
        <w:rPr>
          <w:rFonts w:ascii="Arial" w:cs="Arial" w:eastAsia="Arial" w:hAnsi="Arial"/>
          <w:sz w:val="16"/>
          <w:szCs w:val="16"/>
          <w:u w:val="single" w:color="auto"/>
          <w:color w:val="auto"/>
        </w:rPr>
        <w:t>Committee</w:t>
      </w:r>
      <w:r>
        <w:rPr>
          <w:rFonts w:ascii="Arial" w:cs="Arial" w:eastAsia="Arial" w:hAnsi="Arial"/>
          <w:sz w:val="16"/>
          <w:szCs w:val="16"/>
          <w:color w:val="auto"/>
        </w:rPr>
        <w:t>”) to whom the Board shall delegate the authority to grant or amend Awards to Participants other than any of the Committee members, Independent Directors and executive officers of the Company. Reference to the Committee shall refer to the Board in absence of the Committee. Notwithstanding the foregoing, the full Board, acting by majority of its members in office, shall conduct the general administration of the Plan if required by Applicable Laws, and with respect to Awards granted to the Committee members, Independent Directors and executive officers of the Company and for purposes of such Awards, the term “Committee” as used in the Plan shall be deemed to refer to the Board.</w:t>
      </w:r>
    </w:p>
    <w:p>
      <w:pPr>
        <w:spacing w:after="0" w:line="164" w:lineRule="exact"/>
        <w:rPr>
          <w:sz w:val="20"/>
          <w:szCs w:val="20"/>
          <w:color w:val="auto"/>
        </w:rPr>
      </w:pPr>
    </w:p>
    <w:p>
      <w:pPr>
        <w:ind w:firstLine="643"/>
        <w:spacing w:after="0" w:line="257"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Action by the Committee</w:t>
      </w:r>
      <w:r>
        <w:rPr>
          <w:rFonts w:ascii="Arial" w:cs="Arial" w:eastAsia="Arial" w:hAnsi="Arial"/>
          <w:sz w:val="16"/>
          <w:szCs w:val="16"/>
          <w:color w:val="auto"/>
        </w:rPr>
        <w:t>. A majority of the Committee shall constitute a quorum. The acts of a majority of the members present at any meeting at which a quorum is present, and acts approved unanimously in writing by all members of the Committee in lieu of a meeting, shall be deemed the acts of the Committee. Each member of the Committee is entitled to, in good faith, rely or act upon any report or other information furnished to that member by any officer or other employee of a Group Entity, the Company’s independent certified public accountants, or any executive compensation consultant or other professional retained by the Company to assist in the administration of the Plan.</w:t>
      </w:r>
    </w:p>
    <w:p>
      <w:pPr>
        <w:spacing w:after="0" w:line="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780"/>
          </w:cols>
          <w:pgMar w:left="560" w:top="553" w:right="559" w:bottom="1440" w:gutter="0" w:footer="0" w:header="0"/>
        </w:sectPr>
      </w:pPr>
    </w:p>
    <w:bookmarkStart w:id="24" w:name="page25"/>
    <w:bookmarkEnd w:id="24"/>
    <w:p>
      <w:pPr>
        <w:ind w:right="580" w:firstLine="643"/>
        <w:spacing w:after="0" w:line="291"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Authority of the Committee</w:t>
      </w:r>
      <w:r>
        <w:rPr>
          <w:rFonts w:ascii="Arial" w:cs="Arial" w:eastAsia="Arial" w:hAnsi="Arial"/>
          <w:sz w:val="16"/>
          <w:szCs w:val="16"/>
          <w:color w:val="auto"/>
        </w:rPr>
        <w:t>. Subject to any specific designation in the Plan, the Committee has the exclusive power, authority and discretion to:</w:t>
      </w:r>
    </w:p>
    <w:p>
      <w:pPr>
        <w:spacing w:after="0" w:line="134" w:lineRule="exact"/>
        <w:rPr>
          <w:sz w:val="20"/>
          <w:szCs w:val="20"/>
          <w:color w:val="auto"/>
        </w:rPr>
      </w:pPr>
    </w:p>
    <w:p>
      <w:pPr>
        <w:ind w:left="1380" w:hanging="357"/>
        <w:spacing w:after="0"/>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designate Participants to receive Awards;</w:t>
      </w:r>
    </w:p>
    <w:p>
      <w:pPr>
        <w:spacing w:after="0" w:line="45" w:lineRule="exact"/>
        <w:rPr>
          <w:rFonts w:ascii="Arial" w:cs="Arial" w:eastAsia="Arial" w:hAnsi="Arial"/>
          <w:sz w:val="16"/>
          <w:szCs w:val="16"/>
          <w:color w:val="auto"/>
        </w:rPr>
      </w:pPr>
    </w:p>
    <w:p>
      <w:pPr>
        <w:ind w:left="1380" w:hanging="357"/>
        <w:spacing w:after="0"/>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determine the type or types of Awards to be granted to each Participant;</w:t>
      </w:r>
    </w:p>
    <w:p>
      <w:pPr>
        <w:spacing w:after="0" w:line="45" w:lineRule="exact"/>
        <w:rPr>
          <w:rFonts w:ascii="Arial" w:cs="Arial" w:eastAsia="Arial" w:hAnsi="Arial"/>
          <w:sz w:val="16"/>
          <w:szCs w:val="16"/>
          <w:color w:val="auto"/>
        </w:rPr>
      </w:pPr>
    </w:p>
    <w:p>
      <w:pPr>
        <w:ind w:left="1380" w:hanging="357"/>
        <w:spacing w:after="0"/>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determine the number of Awards to be granted and the number of Shares to which an Award will relate;</w:t>
      </w:r>
    </w:p>
    <w:p>
      <w:pPr>
        <w:spacing w:after="0" w:line="45" w:lineRule="exact"/>
        <w:rPr>
          <w:rFonts w:ascii="Arial" w:cs="Arial" w:eastAsia="Arial" w:hAnsi="Arial"/>
          <w:sz w:val="16"/>
          <w:szCs w:val="16"/>
          <w:color w:val="auto"/>
        </w:rPr>
      </w:pPr>
    </w:p>
    <w:p>
      <w:pPr>
        <w:ind w:left="1380" w:hanging="357"/>
        <w:spacing w:after="0" w:line="253" w:lineRule="auto"/>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and any provisions related to non-competition and recapture of gain on an Award, based in each case on such considerations as the Committee in its sole discretion determines;</w:t>
      </w:r>
    </w:p>
    <w:p>
      <w:pPr>
        <w:jc w:val="both"/>
        <w:ind w:left="1380" w:right="400" w:hanging="357"/>
        <w:spacing w:after="0" w:line="246" w:lineRule="auto"/>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ind w:left="1380" w:hanging="357"/>
        <w:spacing w:after="0"/>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prescribe the form of each Award Agreement, which need not be identical for each Participant;</w:t>
      </w:r>
    </w:p>
    <w:p>
      <w:pPr>
        <w:spacing w:after="0" w:line="25" w:lineRule="exact"/>
        <w:rPr>
          <w:rFonts w:ascii="Arial" w:cs="Arial" w:eastAsia="Arial" w:hAnsi="Arial"/>
          <w:sz w:val="16"/>
          <w:szCs w:val="16"/>
          <w:color w:val="auto"/>
        </w:rPr>
      </w:pPr>
    </w:p>
    <w:p>
      <w:pPr>
        <w:ind w:left="1380" w:hanging="357"/>
        <w:spacing w:after="0"/>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decide all other matters that must be determined in connection with an Award;</w:t>
      </w:r>
    </w:p>
    <w:p>
      <w:pPr>
        <w:spacing w:after="0" w:line="45" w:lineRule="exact"/>
        <w:rPr>
          <w:rFonts w:ascii="Arial" w:cs="Arial" w:eastAsia="Arial" w:hAnsi="Arial"/>
          <w:sz w:val="16"/>
          <w:szCs w:val="16"/>
          <w:color w:val="auto"/>
        </w:rPr>
      </w:pPr>
    </w:p>
    <w:p>
      <w:pPr>
        <w:ind w:left="1380" w:hanging="357"/>
        <w:spacing w:after="0"/>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 adopt, or revise any rules and regulations as it may deem necessary or advisable to administer the Plan;</w:t>
      </w:r>
    </w:p>
    <w:p>
      <w:pPr>
        <w:spacing w:after="0" w:line="45" w:lineRule="exact"/>
        <w:rPr>
          <w:rFonts w:ascii="Arial" w:cs="Arial" w:eastAsia="Arial" w:hAnsi="Arial"/>
          <w:sz w:val="16"/>
          <w:szCs w:val="16"/>
          <w:color w:val="auto"/>
        </w:rPr>
      </w:pPr>
    </w:p>
    <w:p>
      <w:pPr>
        <w:ind w:left="1380" w:hanging="357"/>
        <w:spacing w:after="0"/>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interpret the terms of, and any matter arising pursuant to, the Plan or any Award Agreement;</w:t>
      </w:r>
    </w:p>
    <w:p>
      <w:pPr>
        <w:spacing w:after="0" w:line="45" w:lineRule="exact"/>
        <w:rPr>
          <w:rFonts w:ascii="Arial" w:cs="Arial" w:eastAsia="Arial" w:hAnsi="Arial"/>
          <w:sz w:val="16"/>
          <w:szCs w:val="16"/>
          <w:color w:val="auto"/>
        </w:rPr>
      </w:pPr>
    </w:p>
    <w:p>
      <w:pPr>
        <w:ind w:left="1380" w:hanging="357"/>
        <w:spacing w:after="0"/>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amend terms and conditions of Award Agreements; and</w:t>
      </w:r>
    </w:p>
    <w:p>
      <w:pPr>
        <w:spacing w:after="0" w:line="45" w:lineRule="exact"/>
        <w:rPr>
          <w:rFonts w:ascii="Arial" w:cs="Arial" w:eastAsia="Arial" w:hAnsi="Arial"/>
          <w:sz w:val="16"/>
          <w:szCs w:val="16"/>
          <w:color w:val="auto"/>
        </w:rPr>
      </w:pPr>
    </w:p>
    <w:p>
      <w:pPr>
        <w:ind w:left="1380" w:right="280" w:hanging="357"/>
        <w:spacing w:after="0" w:line="269" w:lineRule="auto"/>
        <w:tabs>
          <w:tab w:leader="none" w:pos="1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make all other decisions and determinations that may be required pursuant to the Plan or as the Committee deems necessary or advisable to administer the Plan, including design and adopt from time to time new types of Awards that are in compliance with Applicable Laws.</w:t>
      </w:r>
    </w:p>
    <w:p>
      <w:pPr>
        <w:spacing w:after="0" w:line="272" w:lineRule="exact"/>
        <w:rPr>
          <w:sz w:val="20"/>
          <w:szCs w:val="20"/>
          <w:color w:val="auto"/>
        </w:rPr>
      </w:pPr>
    </w:p>
    <w:p>
      <w:pPr>
        <w:ind w:right="180" w:firstLine="643"/>
        <w:spacing w:after="0" w:line="291"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Decisions Binding</w:t>
      </w:r>
      <w:r>
        <w:rPr>
          <w:rFonts w:ascii="Arial" w:cs="Arial" w:eastAsia="Arial" w:hAnsi="Arial"/>
          <w:sz w:val="16"/>
          <w:szCs w:val="16"/>
          <w:color w:val="auto"/>
        </w:rPr>
        <w:t>. The Committee’s interpretation of the Plan, any Awards granted pursuant to the Plan, any Award Agreement and all decisions and determinations by the Committee with respect to the Plan are final, binding, and conclusive on all parties.</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560" w:top="553" w:right="499" w:bottom="1440" w:gutter="0" w:footer="0" w:header="0"/>
        </w:sectPr>
      </w:pPr>
    </w:p>
    <w:bookmarkStart w:id="25" w:name="page26"/>
    <w:bookmarkEnd w:id="25"/>
    <w:p>
      <w:pPr>
        <w:jc w:val="center"/>
        <w:ind w:right="80"/>
        <w:spacing w:after="0"/>
        <w:rPr>
          <w:sz w:val="20"/>
          <w:szCs w:val="20"/>
          <w:color w:val="auto"/>
        </w:rPr>
      </w:pPr>
      <w:r>
        <w:rPr>
          <w:rFonts w:ascii="Arial" w:cs="Arial" w:eastAsia="Arial" w:hAnsi="Arial"/>
          <w:sz w:val="16"/>
          <w:szCs w:val="16"/>
          <w:b w:val="1"/>
          <w:bCs w:val="1"/>
          <w:color w:val="auto"/>
        </w:rPr>
        <w:t>ARTICLE 11</w:t>
      </w:r>
    </w:p>
    <w:p>
      <w:pPr>
        <w:spacing w:after="0" w:line="19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EFFECTIVE AND EXPIRATION DATE</w:t>
      </w:r>
    </w:p>
    <w:p>
      <w:pPr>
        <w:spacing w:after="0" w:line="196" w:lineRule="exact"/>
        <w:rPr>
          <w:sz w:val="20"/>
          <w:szCs w:val="20"/>
          <w:color w:val="auto"/>
        </w:rPr>
      </w:pPr>
    </w:p>
    <w:p>
      <w:pPr>
        <w:ind w:right="160" w:firstLine="643"/>
        <w:spacing w:after="0" w:line="269"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The Plan shall become effective as of the date on which the Board adopts the Plan (the “ </w:t>
      </w:r>
      <w:r>
        <w:rPr>
          <w:rFonts w:ascii="Arial" w:cs="Arial" w:eastAsia="Arial" w:hAnsi="Arial"/>
          <w:sz w:val="16"/>
          <w:szCs w:val="16"/>
          <w:u w:val="single" w:color="auto"/>
          <w:color w:val="auto"/>
        </w:rPr>
        <w:t>Effective Date</w:t>
      </w:r>
      <w:r>
        <w:rPr>
          <w:rFonts w:ascii="Arial" w:cs="Arial" w:eastAsia="Arial" w:hAnsi="Arial"/>
          <w:sz w:val="16"/>
          <w:szCs w:val="16"/>
          <w:color w:val="auto"/>
        </w:rPr>
        <w:t>”). The Plan shall be ratified by the shareholders of the Company by written resolutions or at a meeting duly held in accordance with the applicable provisions of the Company’s Memorandum of Association and Articles of Association within 12 months of the Effective Date.</w:t>
      </w:r>
    </w:p>
    <w:p>
      <w:pPr>
        <w:spacing w:after="0" w:line="151" w:lineRule="exact"/>
        <w:rPr>
          <w:sz w:val="20"/>
          <w:szCs w:val="20"/>
          <w:color w:val="auto"/>
        </w:rPr>
      </w:pPr>
    </w:p>
    <w:p>
      <w:pPr>
        <w:jc w:val="both"/>
        <w:ind w:right="180" w:firstLine="643"/>
        <w:spacing w:after="0" w:line="269"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Expiration Date</w:t>
      </w:r>
      <w:r>
        <w:rPr>
          <w:rFonts w:ascii="Arial" w:cs="Arial" w:eastAsia="Arial" w:hAnsi="Arial"/>
          <w:sz w:val="16"/>
          <w:szCs w:val="16"/>
          <w:color w:val="auto"/>
        </w:rPr>
        <w:t>. The Plan will expire on, and no Award may be granted pursuant to the Plan after, the tenth anniversary of the Effective Date. Any Awards that are outstanding on the tenth anniversary of the Effective Date shall remain in force according to the terms of the Plan and the applicable Award Agreement.</w:t>
      </w:r>
    </w:p>
    <w:p>
      <w:pPr>
        <w:spacing w:after="0" w:line="28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ARTICLE 12</w:t>
      </w:r>
    </w:p>
    <w:p>
      <w:pPr>
        <w:spacing w:after="0" w:line="19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AMENDMENT, MODIFICATION, AND TERMINATION</w:t>
      </w:r>
    </w:p>
    <w:p>
      <w:pPr>
        <w:spacing w:after="0" w:line="196" w:lineRule="exact"/>
        <w:rPr>
          <w:sz w:val="20"/>
          <w:szCs w:val="20"/>
          <w:color w:val="auto"/>
        </w:rPr>
      </w:pPr>
    </w:p>
    <w:p>
      <w:pPr>
        <w:ind w:firstLine="643"/>
        <w:spacing w:after="0" w:line="255"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Amendment, Modification, and Termination</w:t>
      </w:r>
      <w:r>
        <w:rPr>
          <w:rFonts w:ascii="Arial" w:cs="Arial" w:eastAsia="Arial" w:hAnsi="Arial"/>
          <w:sz w:val="16"/>
          <w:szCs w:val="16"/>
          <w:color w:val="auto"/>
        </w:rPr>
        <w:t>. At any time and from time to time, the Board may terminate, amend or modify the Plan; provided, however, that (a) to the extent necessary and desirable to comply with Applicable Laws or stock exchange rules, the Company shall obtain shareholder approval of any Plan amendment in such a manner and to such a degree as required, unless the Company decides to follow home country practice, and (b) unless the Company decides to follow home country practice, shareholder approval is required for any amendment to the Plan that (i) increases the number of Shares available under the Plan (other than any adjustment as provided by Article 9), or (ii) permits the Committee to extend the term of the Plan or the exercise period for an Option beyond ten years from the date of grant.</w:t>
      </w:r>
    </w:p>
    <w:p>
      <w:pPr>
        <w:spacing w:after="0" w:line="164" w:lineRule="exact"/>
        <w:rPr>
          <w:sz w:val="20"/>
          <w:szCs w:val="20"/>
          <w:color w:val="auto"/>
        </w:rPr>
      </w:pPr>
    </w:p>
    <w:p>
      <w:pPr>
        <w:ind w:right="160" w:firstLine="643"/>
        <w:spacing w:after="0" w:line="269"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Awards Previously Granted</w:t>
      </w:r>
      <w:r>
        <w:rPr>
          <w:rFonts w:ascii="Arial" w:cs="Arial" w:eastAsia="Arial" w:hAnsi="Arial"/>
          <w:sz w:val="16"/>
          <w:szCs w:val="16"/>
          <w:color w:val="auto"/>
        </w:rPr>
        <w:t>. Except with respect to amendments made pursuant to Section 12.1, no termination, amendment, or modification of the Plan shall adversely affect in any material way any Award previously granted pursuant to the Plan without the prior written consent of the Participant.</w:t>
      </w:r>
    </w:p>
    <w:p>
      <w:pPr>
        <w:spacing w:after="0" w:line="23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ARTICLE 13</w:t>
      </w:r>
    </w:p>
    <w:p>
      <w:pPr>
        <w:spacing w:after="0" w:line="19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GENERAL PROVISIONS</w:t>
      </w:r>
    </w:p>
    <w:p>
      <w:pPr>
        <w:spacing w:after="0" w:line="196" w:lineRule="exact"/>
        <w:rPr>
          <w:sz w:val="20"/>
          <w:szCs w:val="20"/>
          <w:color w:val="auto"/>
        </w:rPr>
      </w:pPr>
    </w:p>
    <w:p>
      <w:pPr>
        <w:ind w:right="100" w:firstLine="643"/>
        <w:spacing w:after="0" w:line="291"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No Rights to Awards</w:t>
      </w:r>
      <w:r>
        <w:rPr>
          <w:rFonts w:ascii="Arial" w:cs="Arial" w:eastAsia="Arial" w:hAnsi="Arial"/>
          <w:sz w:val="16"/>
          <w:szCs w:val="16"/>
          <w:color w:val="auto"/>
        </w:rPr>
        <w:t>. No Participant, employee, or other person shall have any claim to be granted any Award pursuant to the Plan, and neither the Company nor the Committee is obligated to treat Participants, employees, and other persons uniformly.</w:t>
      </w:r>
    </w:p>
    <w:p>
      <w:pPr>
        <w:spacing w:after="0" w:line="134" w:lineRule="exact"/>
        <w:rPr>
          <w:sz w:val="20"/>
          <w:szCs w:val="20"/>
          <w:color w:val="auto"/>
        </w:rPr>
      </w:pPr>
    </w:p>
    <w:p>
      <w:pPr>
        <w:ind w:right="20" w:firstLine="643"/>
        <w:spacing w:after="0" w:line="291" w:lineRule="auto"/>
        <w:rPr>
          <w:sz w:val="20"/>
          <w:szCs w:val="20"/>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auto"/>
        </w:rPr>
        <w:t>No Shareholders Rights</w:t>
      </w:r>
      <w:r>
        <w:rPr>
          <w:rFonts w:ascii="Arial" w:cs="Arial" w:eastAsia="Arial" w:hAnsi="Arial"/>
          <w:sz w:val="16"/>
          <w:szCs w:val="16"/>
          <w:color w:val="auto"/>
        </w:rPr>
        <w:t>. No Award gives the Participant any of the rights of a shareholder of the Company unless and until Shares are in fact issued to such person in connection with such Award.</w:t>
      </w:r>
    </w:p>
    <w:p>
      <w:pPr>
        <w:spacing w:after="0" w:line="1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40"/>
          </w:cols>
          <w:pgMar w:left="560" w:top="551" w:right="499" w:bottom="1440" w:gutter="0" w:footer="0" w:header="0"/>
        </w:sectPr>
      </w:pPr>
    </w:p>
    <w:bookmarkStart w:id="26" w:name="page27"/>
    <w:bookmarkEnd w:id="26"/>
    <w:p>
      <w:pPr>
        <w:ind w:firstLine="643"/>
        <w:spacing w:after="0" w:line="250" w:lineRule="auto"/>
        <w:rPr>
          <w:sz w:val="20"/>
          <w:szCs w:val="20"/>
          <w:color w:val="auto"/>
        </w:rPr>
      </w:pPr>
      <w:r>
        <w:rPr>
          <w:rFonts w:ascii="Arial" w:cs="Arial" w:eastAsia="Arial" w:hAnsi="Arial"/>
          <w:sz w:val="16"/>
          <w:szCs w:val="16"/>
          <w:color w:val="auto"/>
        </w:rPr>
        <w:t xml:space="preserve">13.3 </w:t>
      </w:r>
      <w:r>
        <w:rPr>
          <w:rFonts w:ascii="Arial" w:cs="Arial" w:eastAsia="Arial" w:hAnsi="Arial"/>
          <w:sz w:val="16"/>
          <w:szCs w:val="16"/>
          <w:u w:val="single" w:color="auto"/>
          <w:color w:val="auto"/>
        </w:rPr>
        <w:t>Taxes</w:t>
      </w:r>
      <w:r>
        <w:rPr>
          <w:rFonts w:ascii="Arial" w:cs="Arial" w:eastAsia="Arial" w:hAnsi="Arial"/>
          <w:sz w:val="16"/>
          <w:szCs w:val="16"/>
          <w:color w:val="auto"/>
        </w:rPr>
        <w:t>. No Shares shall be delivered under the Plan to any Participant until such Participant has made arrangements acceptable to the 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income and payroll tax purposes that are applicable to such supplemental taxable income.</w:t>
      </w:r>
    </w:p>
    <w:p>
      <w:pPr>
        <w:spacing w:after="0" w:line="171" w:lineRule="exact"/>
        <w:rPr>
          <w:sz w:val="20"/>
          <w:szCs w:val="20"/>
          <w:color w:val="auto"/>
        </w:rPr>
      </w:pPr>
    </w:p>
    <w:p>
      <w:pPr>
        <w:ind w:right="180" w:firstLine="643"/>
        <w:spacing w:after="0" w:line="269"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u w:val="single" w:color="auto"/>
          <w:color w:val="auto"/>
        </w:rPr>
        <w:t>No Right to Employment or Services</w:t>
      </w:r>
      <w:r>
        <w:rPr>
          <w:rFonts w:ascii="Arial" w:cs="Arial" w:eastAsia="Arial" w:hAnsi="Arial"/>
          <w:sz w:val="16"/>
          <w:szCs w:val="16"/>
          <w:color w:val="auto"/>
        </w:rPr>
        <w:t>. Nothing in the Plan or any Award Agreement shall interfere with or limit in any way the right of the Service Recipient to terminate any Participant’s employment or services at any time, nor confer upon any Participant any right to continue in the employment or services of any Service Recipient.</w:t>
      </w:r>
    </w:p>
    <w:p>
      <w:pPr>
        <w:spacing w:after="0" w:line="151" w:lineRule="exact"/>
        <w:rPr>
          <w:sz w:val="20"/>
          <w:szCs w:val="20"/>
          <w:color w:val="auto"/>
        </w:rPr>
      </w:pPr>
    </w:p>
    <w:p>
      <w:pPr>
        <w:ind w:right="40" w:firstLine="643"/>
        <w:spacing w:after="0" w:line="269"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Unfunded Status of Awards</w:t>
      </w:r>
      <w:r>
        <w:rPr>
          <w:rFonts w:ascii="Arial" w:cs="Arial" w:eastAsia="Arial" w:hAnsi="Arial"/>
          <w:sz w:val="16"/>
          <w:szCs w:val="16"/>
          <w:color w:val="auto"/>
        </w:rPr>
        <w:t>. The Plan is intended to be an “unfunded” plan for incentive compensation. With respect to any payments not yet made to a Participant pursuant to an Award, nothing contained in the Plan or any Award Agreement shall give the Participant any rights that are greater than those of a general creditor of the relevant Group Entity.</w:t>
      </w:r>
    </w:p>
    <w:p>
      <w:pPr>
        <w:spacing w:after="0" w:line="151" w:lineRule="exact"/>
        <w:rPr>
          <w:sz w:val="20"/>
          <w:szCs w:val="20"/>
          <w:color w:val="auto"/>
        </w:rPr>
      </w:pPr>
    </w:p>
    <w:p>
      <w:pPr>
        <w:ind w:right="160" w:firstLine="643"/>
        <w:spacing w:after="0" w:line="252"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To the extent allowable pursuant to Applicable Laws, each member of the Committee or of the Board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18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0"/>
          </w:cols>
          <w:pgMar w:left="560" w:top="553" w:right="479" w:bottom="1440" w:gutter="0" w:footer="0" w:header="0"/>
        </w:sectPr>
      </w:pPr>
    </w:p>
    <w:bookmarkStart w:id="27" w:name="page28"/>
    <w:bookmarkEnd w:id="27"/>
    <w:p>
      <w:pPr>
        <w:jc w:val="both"/>
        <w:ind w:firstLine="643"/>
        <w:spacing w:after="0" w:line="269" w:lineRule="auto"/>
        <w:rPr>
          <w:sz w:val="20"/>
          <w:szCs w:val="20"/>
          <w:color w:val="auto"/>
        </w:rPr>
      </w:pPr>
      <w:r>
        <w:rPr>
          <w:rFonts w:ascii="Arial" w:cs="Arial" w:eastAsia="Arial" w:hAnsi="Arial"/>
          <w:sz w:val="16"/>
          <w:szCs w:val="16"/>
          <w:color w:val="auto"/>
        </w:rPr>
        <w:t xml:space="preserve">13.7 </w:t>
      </w:r>
      <w:r>
        <w:rPr>
          <w:rFonts w:ascii="Arial" w:cs="Arial" w:eastAsia="Arial" w:hAnsi="Arial"/>
          <w:sz w:val="16"/>
          <w:szCs w:val="16"/>
          <w:u w:val="single" w:color="auto"/>
          <w:color w:val="auto"/>
        </w:rPr>
        <w:t>Relationship to Other Benefits</w:t>
      </w:r>
      <w:r>
        <w:rPr>
          <w:rFonts w:ascii="Arial" w:cs="Arial" w:eastAsia="Arial" w:hAnsi="Arial"/>
          <w:sz w:val="16"/>
          <w:szCs w:val="16"/>
          <w:color w:val="auto"/>
        </w:rPr>
        <w:t>. No payment pursuant to the Plan shall be taken into account in determining any benefits pursuant to any pension, retirement, savings, profit sharing, group insurance, welfare or other benefit plan of the any Group Entity except to the extent otherwise expressly provided in writing in such other plan or an agreement thereunder.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Group Entities.</w:t>
      </w:r>
    </w:p>
    <w:p>
      <w:pPr>
        <w:spacing w:after="0" w:line="221" w:lineRule="exact"/>
        <w:rPr>
          <w:sz w:val="20"/>
          <w:szCs w:val="20"/>
          <w:color w:val="auto"/>
        </w:rPr>
      </w:pPr>
    </w:p>
    <w:p>
      <w:pPr>
        <w:ind w:right="280" w:firstLine="643"/>
        <w:spacing w:after="0" w:line="291"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Titles and Headings</w:t>
      </w:r>
      <w:r>
        <w:rPr>
          <w:rFonts w:ascii="Arial" w:cs="Arial" w:eastAsia="Arial" w:hAnsi="Arial"/>
          <w:sz w:val="16"/>
          <w:szCs w:val="16"/>
          <w:color w:val="auto"/>
        </w:rPr>
        <w:t>. The titles and headings of the Sections in the Plan are for convenience of reference only and, in the event of any conflict, the text of the Plan, rather than such titles or headings, shall control.</w:t>
      </w:r>
    </w:p>
    <w:p>
      <w:pPr>
        <w:spacing w:after="0" w:line="134" w:lineRule="exact"/>
        <w:rPr>
          <w:sz w:val="20"/>
          <w:szCs w:val="20"/>
          <w:color w:val="auto"/>
        </w:rPr>
      </w:pPr>
    </w:p>
    <w:p>
      <w:pPr>
        <w:ind w:firstLine="643"/>
        <w:spacing w:after="0" w:line="291" w:lineRule="auto"/>
        <w:rPr>
          <w:sz w:val="20"/>
          <w:szCs w:val="20"/>
          <w:color w:val="auto"/>
        </w:rPr>
      </w:pPr>
      <w:r>
        <w:rPr>
          <w:rFonts w:ascii="Arial" w:cs="Arial" w:eastAsia="Arial" w:hAnsi="Arial"/>
          <w:sz w:val="16"/>
          <w:szCs w:val="16"/>
          <w:color w:val="auto"/>
        </w:rPr>
        <w:t xml:space="preserve">13.10 </w:t>
      </w: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Shares shall be issued and the Committee shall determine, in its discretion, whether cash shall be given in lieu of fractional Shares or whether such fractional Shares shall be eliminated by rounding up or down as appropriate.</w:t>
      </w:r>
    </w:p>
    <w:p>
      <w:pPr>
        <w:spacing w:after="0" w:line="134" w:lineRule="exact"/>
        <w:rPr>
          <w:sz w:val="20"/>
          <w:szCs w:val="20"/>
          <w:color w:val="auto"/>
        </w:rPr>
      </w:pPr>
    </w:p>
    <w:p>
      <w:pPr>
        <w:ind w:right="40" w:firstLine="643"/>
        <w:spacing w:after="0" w:line="257" w:lineRule="auto"/>
        <w:rPr>
          <w:sz w:val="20"/>
          <w:szCs w:val="20"/>
          <w:color w:val="auto"/>
        </w:rPr>
      </w:pPr>
      <w:r>
        <w:rPr>
          <w:rFonts w:ascii="Arial" w:cs="Arial" w:eastAsia="Arial" w:hAnsi="Arial"/>
          <w:sz w:val="16"/>
          <w:szCs w:val="16"/>
          <w:color w:val="auto"/>
        </w:rPr>
        <w:t xml:space="preserve">13.11 </w:t>
      </w:r>
      <w:r>
        <w:rPr>
          <w:rFonts w:ascii="Arial" w:cs="Arial" w:eastAsia="Arial" w:hAnsi="Arial"/>
          <w:sz w:val="16"/>
          <w:szCs w:val="16"/>
          <w:u w:val="single" w:color="auto"/>
          <w:color w:val="auto"/>
        </w:rPr>
        <w:t>Limitations Applicable to Section 16 Persons</w:t>
      </w:r>
      <w:r>
        <w:rPr>
          <w:rFonts w:ascii="Arial" w:cs="Arial" w:eastAsia="Arial" w:hAnsi="Arial"/>
          <w:sz w:val="16"/>
          <w:szCs w:val="16"/>
          <w:color w:val="auto"/>
        </w:rPr>
        <w:t>. Notwithstanding anything herein to the contrary, the Plan, and any Award granted or awarded to any Participant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the Applicable Laws, the Plan and Awards granted or awarded hereunder shall be deemed amended to the extent necessary to conform to such applicable exemptive rule.</w:t>
      </w:r>
    </w:p>
    <w:p>
      <w:pPr>
        <w:spacing w:after="0" w:line="162" w:lineRule="exact"/>
        <w:rPr>
          <w:sz w:val="20"/>
          <w:szCs w:val="20"/>
          <w:color w:val="auto"/>
        </w:rPr>
      </w:pPr>
    </w:p>
    <w:p>
      <w:pPr>
        <w:ind w:right="20" w:firstLine="643"/>
        <w:spacing w:after="0" w:line="257" w:lineRule="auto"/>
        <w:rPr>
          <w:sz w:val="20"/>
          <w:szCs w:val="20"/>
          <w:color w:val="auto"/>
        </w:rPr>
      </w:pPr>
      <w:r>
        <w:rPr>
          <w:rFonts w:ascii="Arial" w:cs="Arial" w:eastAsia="Arial" w:hAnsi="Arial"/>
          <w:sz w:val="16"/>
          <w:szCs w:val="16"/>
          <w:color w:val="auto"/>
        </w:rPr>
        <w:t xml:space="preserve">13.12 </w:t>
      </w:r>
      <w:r>
        <w:rPr>
          <w:rFonts w:ascii="Arial" w:cs="Arial" w:eastAsia="Arial" w:hAnsi="Arial"/>
          <w:sz w:val="16"/>
          <w:szCs w:val="16"/>
          <w:u w:val="single" w:color="auto"/>
          <w:color w:val="auto"/>
        </w:rPr>
        <w:t>Government and Other Regulations</w:t>
      </w:r>
      <w:r>
        <w:rPr>
          <w:rFonts w:ascii="Arial" w:cs="Arial" w:eastAsia="Arial" w:hAnsi="Arial"/>
          <w:sz w:val="16"/>
          <w:szCs w:val="16"/>
          <w:color w:val="auto"/>
        </w:rPr>
        <w:t>. The obligation of the Company to make payment of awards in Shares or otherwise shall be 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13.13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all Award Agreements shall be construed in accordance with and governed by the laws of the Cayman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Islands.</w:t>
      </w:r>
    </w:p>
    <w:p>
      <w:pPr>
        <w:spacing w:after="0" w:line="107"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229235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60"/>
          </w:cols>
          <w:pgMar w:left="560" w:top="553" w:right="479" w:bottom="1440" w:gutter="0" w:footer="0" w:header="0"/>
        </w:sectPr>
      </w:pPr>
    </w:p>
    <w:bookmarkStart w:id="28" w:name="page29"/>
    <w:bookmarkEnd w:id="28"/>
    <w:p>
      <w:pPr>
        <w:ind w:firstLine="643"/>
        <w:spacing w:after="0" w:line="251" w:lineRule="auto"/>
        <w:rPr>
          <w:sz w:val="20"/>
          <w:szCs w:val="20"/>
          <w:color w:val="auto"/>
        </w:rPr>
      </w:pPr>
      <w:r>
        <w:rPr>
          <w:rFonts w:ascii="Arial" w:cs="Arial" w:eastAsia="Arial" w:hAnsi="Arial"/>
          <w:sz w:val="16"/>
          <w:szCs w:val="16"/>
          <w:color w:val="auto"/>
        </w:rPr>
        <w:t xml:space="preserve">13.14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Committee determines that any Award granted under the Plan is or may become subject to Section 409A of the Code, the Award Agreement evidencing such Award shall incorporate the terms and conditions required by Section 409A of the Code. To the extent applicable, the Plan and the Award Agreements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Committee determines that any Award may be subject to Section 409A of the Code and related Department of Treasury guidance (including such Department of Treasury guidance as may be issued after the Effective Date), the Committee may adopt such amendments to the Plan and the applicable Award agreement or adopt other policies and procedures (including amendments, policies 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w:t>
      </w:r>
    </w:p>
    <w:p>
      <w:pPr>
        <w:spacing w:after="0" w:line="165" w:lineRule="exact"/>
        <w:rPr>
          <w:sz w:val="20"/>
          <w:szCs w:val="20"/>
          <w:color w:val="auto"/>
        </w:rPr>
      </w:pPr>
    </w:p>
    <w:p>
      <w:pPr>
        <w:ind w:right="80" w:firstLine="643"/>
        <w:spacing w:after="0" w:line="261" w:lineRule="auto"/>
        <w:rPr>
          <w:sz w:val="20"/>
          <w:szCs w:val="20"/>
          <w:color w:val="auto"/>
        </w:rPr>
      </w:pPr>
      <w:r>
        <w:rPr>
          <w:rFonts w:ascii="Arial" w:cs="Arial" w:eastAsia="Arial" w:hAnsi="Arial"/>
          <w:sz w:val="16"/>
          <w:szCs w:val="16"/>
          <w:color w:val="auto"/>
        </w:rPr>
        <w:t xml:space="preserve">13.15 </w:t>
      </w:r>
      <w:r>
        <w:rPr>
          <w:rFonts w:ascii="Arial" w:cs="Arial" w:eastAsia="Arial" w:hAnsi="Arial"/>
          <w:sz w:val="16"/>
          <w:szCs w:val="16"/>
          <w:u w:val="single" w:color="auto"/>
          <w:color w:val="auto"/>
        </w:rPr>
        <w:t>Appendices</w:t>
      </w:r>
      <w:r>
        <w:rPr>
          <w:rFonts w:ascii="Arial" w:cs="Arial" w:eastAsia="Arial" w:hAnsi="Arial"/>
          <w:sz w:val="16"/>
          <w:szCs w:val="16"/>
          <w:color w:val="auto"/>
        </w:rPr>
        <w:t>. Subject to Section 12.1, the Committee may approve such supplements, amendments or appendices to the Plan as it may consider necessary or appropriate for purposes of compliance with Applicable Laws or otherwise and such supplements, amendments or appendices shall be considered a part of the Plan; provided, however, that no such supplements shall increase the share limitation contained in Section 3.1 of the Plan without the approval of the Board.</w:t>
      </w:r>
    </w:p>
    <w:p>
      <w:pPr>
        <w:sectPr>
          <w:pgSz w:w="11900" w:h="16838" w:orient="portrait"/>
          <w:cols w:equalWidth="0" w:num="1">
            <w:col w:w="10860"/>
          </w:cols>
          <w:pgMar w:left="560" w:top="553" w:right="4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iClick Interactive Asia Group Limited of our report dated April 30, 2020 relating to the consolidated financial statements, which appears in iClick Interactive Asia Group Limited's Annual Report on Form 20-F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2021</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3"/>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jpeg"/><Relationship Id="rId32" Type="http://schemas.openxmlformats.org/officeDocument/2006/relationships/image" Target="media/image19.jpe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18" Type="http://schemas.openxmlformats.org/officeDocument/2006/relationships/hyperlink" Target="http://www.sec.gov/Archives/edgar/data/1697818/000156459020020166/iclk-20f_20191231.htm" TargetMode="External"/><Relationship Id="rId19" Type="http://schemas.openxmlformats.org/officeDocument/2006/relationships/hyperlink" Target="http://www.sec.gov/Archives/edgar/data/1697818/000119312520240111/d45259d424b5.htm" TargetMode="External"/><Relationship Id="rId20" Type="http://schemas.openxmlformats.org/officeDocument/2006/relationships/hyperlink" Target="http://www.sec.gov/Archives/edgar/data/1697818/000119312517358777/d488906d8a12b.htm" TargetMode="External"/><Relationship Id="rId22" Type="http://schemas.openxmlformats.org/officeDocument/2006/relationships/hyperlink" Target="http://www.sec.gov/Archives/edgar/data/1697818/000110465919023699/a19-3271_1ex1d1.htm" TargetMode="External"/><Relationship Id="rId23" Type="http://schemas.openxmlformats.org/officeDocument/2006/relationships/hyperlink" Target="http://www.sec.gov/Archives/edgar/data/1697818/000119312517315220/d347875dex42.htm" TargetMode="External"/><Relationship Id="rId24" Type="http://schemas.openxmlformats.org/officeDocument/2006/relationships/hyperlink" Target="http://www.sec.gov/Archives/edgar/data/1697818/000119312517350288/d347875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2021-02-26T15:56:25Z</dcterms:created>
  <dcterms:modified xsi:type="dcterms:W3CDTF">2021-02-26T15:56:25Z</dcterms:modified>
</cp:coreProperties>
</file>