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12,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Anastasia Kaluzienski</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iClick Interactive Asia Group Limited (the “Company”)</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Form 20-F for the Year Ended December 31, 2023 (“FY2023 20-F”)</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File No. 001-38313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Kaluzienski and Mr. Littlepage:</w:t>
      </w:r>
    </w:p>
    <w:p>
      <w:pPr>
        <w:spacing w:after="0" w:line="22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comments of the staff (the “Staff”) of the Securities and Exchange Commission (the “Commission”) dated December 2, 2024 (the “Comment Letter”), the Company submits this letter containing its responses to the Comment Letter via EDGAR to the Commission.</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your convenience, the Staff’s comments from the Comment Letter are repeated below in bold, followed by the Company’s responses.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have the meanings set forth in the FY2023 20-F.</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20-F for the Year Ended December 31,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Key Information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Implications of Being a Foreign Private Issuer and a China-based Company, page 4</w:t>
      </w:r>
    </w:p>
    <w:p>
      <w:pPr>
        <w:spacing w:after="0" w:line="203" w:lineRule="exact"/>
        <w:rPr>
          <w:sz w:val="24"/>
          <w:szCs w:val="24"/>
          <w:color w:val="auto"/>
        </w:rPr>
      </w:pPr>
    </w:p>
    <w:p>
      <w:pPr>
        <w:ind w:left="660" w:right="100" w:hanging="328"/>
        <w:spacing w:after="0" w:line="259"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changes you made to your disclosure appearing on pages 4 and 49 relating to legal and operational risks associated with operating in China and PRC regulations. It is unclear to us that there have been changes in the regulatory environment in the PRC since the prior 20-F review completed December 12, 2023 that would warrant revised disclosure to mitigate the challenges you face and related disclosures. For additional guidance, please refer to the Division of Corporation Finance’s Sample Letter to China-Based Companies, issued December 2021 and July 2023. In future filings, please restore your disclosure.</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 and will restore the disclosure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You may experience difficulties in effecting services of legal process..., page 67</w:t>
      </w:r>
    </w:p>
    <w:p>
      <w:pPr>
        <w:spacing w:after="0" w:line="203" w:lineRule="exact"/>
        <w:rPr>
          <w:sz w:val="20"/>
          <w:szCs w:val="20"/>
          <w:color w:val="auto"/>
        </w:rPr>
      </w:pPr>
    </w:p>
    <w:p>
      <w:pPr>
        <w:ind w:left="660" w:hanging="328"/>
        <w:spacing w:after="0" w:line="257"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a majority of your directors and executive officers reside within China, and most of the assets of these persons are located within China. In future filings, please identify any directors, officers, or members of senior management located in the PRC/Hong Kong. Additionally, please include a separate “Enforceability” section that addresses whether or not investors may bring actions under the civil liability provisions of the U.S. federal securities laws against you, your officers or directors who are residents of a foreign country, and whether investors may enforce these civil liability provisions when your assets, officers, and directors are located outside of the United States.</w:t>
      </w:r>
    </w:p>
    <w:p>
      <w:pPr>
        <w:spacing w:after="0" w:line="186" w:lineRule="exact"/>
        <w:rPr>
          <w:rFonts w:ascii="Times New Roman" w:cs="Times New Roman" w:eastAsia="Times New Roman" w:hAnsi="Times New Roman"/>
          <w:sz w:val="18"/>
          <w:szCs w:val="18"/>
          <w:b w:val="1"/>
          <w:bCs w:val="1"/>
          <w:color w:val="auto"/>
        </w:rPr>
      </w:pPr>
    </w:p>
    <w:p>
      <w:pPr>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 and will identify any directors, officers, or members of senior management located in the PRC/Hong Kong in future filings. In addition, the Company will include a separate “Enforceability” section in future filings, which is attached as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additional questions regarding the FY2023 20-F, please contact Ms. Josephine Ngai, the Chief Financial Officer of iClick Interactive Asia Group Limited, by telephone at +852 3700 9000 or via e-mail at josephine.ngai@i-click.com.</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Shuang Zhao, Partner,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904" w:right="10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conduct all of our current operations outside the United States, and all of our assets are located outside the United States. All of our directors and executive officers are nationals or residents of jurisdictions other than the United States and most of their assets are located outside of the United States. As a result, it may be difficult for a shareholder to effect service of process within the United States upon us or such persons, or to enforce against us, our assets, our directors or officers, or the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our assets, or our directors or officers, predicated upon the securities laws of the United States or any state in the United States.</w:t>
      </w:r>
    </w:p>
    <w:p>
      <w:pPr>
        <w:spacing w:after="0" w:line="16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 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our assets or our directors or officers, predicated upon the civil liability provisions of the securities laws of the United States or any state in the United States, or (2) entertain original actions brought in the PRC against us, our assets or our directors or officers, predicated upon the securities laws of the United States or any state in the United States. Under the PRC Civil Procedures Law, foreign shareholders may originate actions based on PRC law against us, our assets or our directors or officers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ordinary shares, to establish a sufficient connection to China for a PRC court to have jurisdiction as required under the PRC Civil Procedures Law.</w:t>
      </w:r>
    </w:p>
    <w:p>
      <w:pPr>
        <w:spacing w:after="0" w:line="19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2025-02-05T23:09:51Z</dcterms:created>
  <dcterms:modified xsi:type="dcterms:W3CDTF">2025-02-05T23:09:51Z</dcterms:modified>
</cp:coreProperties>
</file>