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4653_f6ef-amber.htm"/>
      <w:bookmarkStart w:id="1" w:name="kse664653_f6efamber"/>
      <w:bookmarkEnd w:id="0"/>
      <w:bookmarkEnd w:id="1"/>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As filed with the U.S. Securities and Exchange Commission on June 26, 2025</w:t>
      </w:r>
    </w:p>
    <w:p>
      <w:pPr>
        <w:pStyle w:val="TextBody"/>
        <w:pBdr>
          <w:bottom w:val="single" w:sz="8" w:space="1" w:color="000000"/>
        </w:pBdr>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b/>
        <w:t xml:space="preserve">Registration No. 333-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Depositary Shares Evidenced by American Depositary Receipts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Amber International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issuer of deposited securities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issuer's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depositary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 Madison Avenue, Floor 11, New York, New York 10179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990-1135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depositary's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(800) 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 to:</w:t>
      </w:r>
    </w:p>
    <w:tbl>
      <w:tblPr>
        <w:tblW w:w="2960" w:type="dxa"/>
        <w:jc w:val="left"/>
        <w:tblInd w:w="0" w:type="dxa"/>
        <w:tblLayout w:type="fixed"/>
        <w:tblCellMar>
          <w:top w:w="0" w:type="dxa"/>
          <w:left w:w="0" w:type="dxa"/>
          <w:bottom w:w="0" w:type="dxa"/>
          <w:right w:w="0" w:type="dxa"/>
        </w:tblCellMar>
      </w:tblPr>
      <w:tblGrid>
        <w:gridCol w:w="2960"/>
      </w:tblGrid>
      <w:tr>
        <w:trPr/>
        <w:tc>
          <w:tcPr>
            <w:tcW w:w="29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A. Ziegler,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Ziegler, Ziegler &amp; Associates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 Lexington Avenue, Suite 2405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319-7600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this filing become effective under Rule 466</w:t>
      </w:r>
    </w:p>
    <w:tbl>
      <w:tblPr>
        <w:tblW w:w="10205" w:type="dxa"/>
        <w:jc w:val="left"/>
        <w:tblInd w:w="0" w:type="dxa"/>
        <w:tblLayout w:type="fixed"/>
        <w:tblCellMar>
          <w:top w:w="0" w:type="dxa"/>
          <w:left w:w="0" w:type="dxa"/>
          <w:bottom w:w="0" w:type="dxa"/>
          <w:right w:w="0" w:type="dxa"/>
        </w:tblCellMar>
      </w:tblPr>
      <w:tblGrid>
        <w:gridCol w:w="1375"/>
        <w:gridCol w:w="225"/>
        <w:gridCol w:w="8605"/>
      </w:tblGrid>
      <w:tr>
        <w:trPr/>
        <w:tc>
          <w:tcPr>
            <w:tcW w:w="1375" w:type="dxa"/>
            <w:tcBorders/>
            <w:vAlign w:val="center"/>
          </w:tcPr>
          <w:p>
            <w:pPr>
              <w:pStyle w:val="TableContents"/>
              <w:bidi w:val="0"/>
              <w:spacing w:before="0" w:after="283"/>
              <w:jc w:val="right"/>
              <w:rPr/>
            </w:pPr>
            <w:r>
              <w:rPr/>
              <w:t xml:space="preserve"> ☒ </w:t>
            </w:r>
          </w:p>
        </w:tc>
        <w:tc>
          <w:tcPr>
            <w:tcW w:w="225" w:type="dxa"/>
            <w:tcBorders/>
            <w:vAlign w:val="center"/>
          </w:tcPr>
          <w:p>
            <w:pPr>
              <w:pStyle w:val="TableContents"/>
              <w:bidi w:val="0"/>
              <w:spacing w:before="0" w:after="283"/>
              <w:jc w:val="left"/>
              <w:rPr/>
            </w:pPr>
            <w:r>
              <w:rPr/>
              <w:t> </w:t>
            </w:r>
          </w:p>
        </w:tc>
        <w:tc>
          <w:tcPr>
            <w:tcW w:w="8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immediately upon filing</w:t>
            </w:r>
          </w:p>
        </w:tc>
      </w:tr>
      <w:tr>
        <w:trPr/>
        <w:tc>
          <w:tcPr>
            <w:tcW w:w="1375" w:type="dxa"/>
            <w:tcBorders/>
            <w:vAlign w:val="center"/>
          </w:tcPr>
          <w:p>
            <w:pPr>
              <w:pStyle w:val="TableContents"/>
              <w:bidi w:val="0"/>
              <w:spacing w:before="0" w:after="283"/>
              <w:jc w:val="right"/>
              <w:rPr/>
            </w:pPr>
            <w:r>
              <w:rPr/>
              <w:t xml:space="preserve"> ☐ </w:t>
            </w:r>
          </w:p>
        </w:tc>
        <w:tc>
          <w:tcPr>
            <w:tcW w:w="225" w:type="dxa"/>
            <w:tcBorders/>
            <w:vAlign w:val="center"/>
          </w:tcPr>
          <w:p>
            <w:pPr>
              <w:pStyle w:val="TableContents"/>
              <w:bidi w:val="0"/>
              <w:spacing w:before="0" w:after="283"/>
              <w:jc w:val="left"/>
              <w:rPr/>
            </w:pPr>
            <w:r>
              <w:rPr/>
              <w:t> </w:t>
            </w:r>
          </w:p>
        </w:tc>
        <w:tc>
          <w:tcPr>
            <w:tcW w:w="8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(Date) at (Time)</w:t>
            </w:r>
          </w:p>
        </w:tc>
      </w:tr>
      <w:tr>
        <w:trPr/>
        <w:tc>
          <w:tcPr>
            <w:tcW w:w="13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860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center"/>
              <w:rPr/>
            </w:pPr>
            <w:r>
              <w:rPr/>
              <w:t>If a separate registration statement has been filed to register the deposited shares, check the following box.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REGISTRATION FEE</w:t>
      </w:r>
    </w:p>
    <w:tbl>
      <w:tblPr>
        <w:tblW w:w="10205" w:type="dxa"/>
        <w:jc w:val="left"/>
        <w:tblInd w:w="0" w:type="dxa"/>
        <w:tblLayout w:type="fixed"/>
        <w:tblCellMar>
          <w:top w:w="28" w:type="dxa"/>
          <w:left w:w="0" w:type="dxa"/>
          <w:bottom w:w="28" w:type="dxa"/>
          <w:right w:w="28" w:type="dxa"/>
        </w:tblCellMar>
      </w:tblPr>
      <w:tblGrid>
        <w:gridCol w:w="4716"/>
        <w:gridCol w:w="1372"/>
        <w:gridCol w:w="1701"/>
        <w:gridCol w:w="1302"/>
        <w:gridCol w:w="1114"/>
      </w:tblGrid>
      <w:tr>
        <w:trPr/>
        <w:tc>
          <w:tcPr>
            <w:tcW w:w="4716" w:type="dxa"/>
            <w:tcBorders>
              <w:top w:val="double" w:sz="6"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w:t>
            </w:r>
          </w:p>
        </w:tc>
        <w:tc>
          <w:tcPr>
            <w:tcW w:w="1372" w:type="dxa"/>
            <w:tcBorders>
              <w:top w:val="double" w:sz="6"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registered</w:t>
            </w:r>
          </w:p>
        </w:tc>
        <w:tc>
          <w:tcPr>
            <w:tcW w:w="1701"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 xml:space="preserve">Proposed maximum aggregate price per unit </w:t>
            </w:r>
            <w:r>
              <w:rPr>
                <w:b/>
                <w:position w:val="7"/>
                <w:sz w:val="16"/>
                <w:sz w:val="20"/>
              </w:rPr>
              <w:t>(1)</w:t>
            </w:r>
          </w:p>
        </w:tc>
        <w:tc>
          <w:tcPr>
            <w:tcW w:w="1302" w:type="dxa"/>
            <w:tcBorders>
              <w:top w:val="double" w:sz="6"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offering price </w:t>
            </w:r>
            <w:r>
              <w:rPr>
                <w:rFonts w:ascii="Times New Roman;Times;Serif" w:hAnsi="Times New Roman;Times;Serif"/>
                <w:b/>
                <w:i w:val="false"/>
                <w:caps w:val="false"/>
                <w:smallCaps w:val="false"/>
                <w:position w:val="7"/>
                <w:sz w:val="16"/>
                <w:sz w:val="20"/>
              </w:rPr>
              <w:t>(2)</w:t>
            </w:r>
          </w:p>
        </w:tc>
        <w:tc>
          <w:tcPr>
            <w:tcW w:w="1114" w:type="dxa"/>
            <w:tcBorders>
              <w:top w:val="double" w:sz="6" w:space="0" w:color="000000"/>
              <w:bottom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fee</w:t>
            </w:r>
          </w:p>
        </w:tc>
      </w:tr>
      <w:tr>
        <w:trPr/>
        <w:tc>
          <w:tcPr>
            <w:tcW w:w="4716" w:type="dxa"/>
            <w:tcBorders>
              <w:bottom w:val="double" w:sz="6"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Depositary Shares evidenced by American Depositary Receipts, each American Depositary Share representing five Class A ordinary shares of Amber International Holding Limited</w:t>
            </w:r>
          </w:p>
        </w:tc>
        <w:tc>
          <w:tcPr>
            <w:tcW w:w="1372" w:type="dxa"/>
            <w:tcBorders>
              <w:bottom w:val="double" w:sz="6"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tc>
        <w:tc>
          <w:tcPr>
            <w:tcW w:w="1701" w:type="dxa"/>
            <w:tcBorders>
              <w:bottom w:val="double" w:sz="6" w:space="0" w:color="000000"/>
              <w:right w:val="single" w:sz="8" w:space="0" w:color="000000"/>
            </w:tcBorders>
            <w:tcMar>
              <w:top w:w="0" w:type="dxa"/>
            </w:tcMar>
            <w:vAlign w:val="center"/>
          </w:tcPr>
          <w:p>
            <w:pPr>
              <w:pStyle w:val="TableContents"/>
              <w:bidi w:val="0"/>
              <w:spacing w:before="0" w:after="283"/>
              <w:jc w:val="center"/>
              <w:rPr>
                <w:sz w:val="20"/>
              </w:rPr>
            </w:pPr>
            <w:r>
              <w:rPr>
                <w:sz w:val="20"/>
              </w:rPr>
              <w:t>$0.05</w:t>
            </w:r>
          </w:p>
        </w:tc>
        <w:tc>
          <w:tcPr>
            <w:tcW w:w="1302" w:type="dxa"/>
            <w:tcBorders>
              <w:bottom w:val="double" w:sz="6" w:space="0" w:color="000000"/>
              <w:right w:val="single" w:sz="8" w:space="0" w:color="000000"/>
            </w:tcBorders>
            <w:tcMar>
              <w:top w:w="0" w:type="dxa"/>
            </w:tcMar>
            <w:vAlign w:val="center"/>
          </w:tcPr>
          <w:p>
            <w:pPr>
              <w:pStyle w:val="TableContents"/>
              <w:bidi w:val="0"/>
              <w:spacing w:before="0" w:after="283"/>
              <w:jc w:val="center"/>
              <w:rPr>
                <w:sz w:val="20"/>
              </w:rPr>
            </w:pPr>
            <w:r>
              <w:rPr>
                <w:sz w:val="20"/>
              </w:rPr>
              <w:t>$6,250,000</w:t>
            </w:r>
          </w:p>
        </w:tc>
        <w:tc>
          <w:tcPr>
            <w:tcW w:w="1114" w:type="dxa"/>
            <w:tcBorders>
              <w:bottom w:val="double" w:sz="6" w:space="0" w:color="000000"/>
            </w:tcBorders>
            <w:tcMar>
              <w:top w:w="0" w:type="dxa"/>
              <w:right w:w="0" w:type="dxa"/>
            </w:tcMar>
            <w:vAlign w:val="center"/>
          </w:tcPr>
          <w:p>
            <w:pPr>
              <w:pStyle w:val="TableContents"/>
              <w:bidi w:val="0"/>
              <w:spacing w:before="0" w:after="283"/>
              <w:jc w:val="center"/>
              <w:rPr>
                <w:sz w:val="20"/>
              </w:rPr>
            </w:pPr>
            <w:r>
              <w:rPr>
                <w:sz w:val="20"/>
              </w:rPr>
              <w:t>$956.88</w:t>
            </w:r>
          </w:p>
        </w:tc>
      </w:tr>
    </w:tbl>
    <w:tbl>
      <w:tblPr>
        <w:tblW w:w="5000" w:type="pct"/>
        <w:jc w:val="left"/>
        <w:tblInd w:w="0" w:type="dxa"/>
        <w:tblLayout w:type="fixed"/>
        <w:tblCellMar>
          <w:top w:w="0" w:type="dxa"/>
          <w:left w:w="0" w:type="dxa"/>
          <w:bottom w:w="0" w:type="dxa"/>
          <w:right w:w="0" w:type="dxa"/>
        </w:tblCellMar>
      </w:tblPr>
      <w:tblGrid>
        <w:gridCol w:w="71"/>
        <w:gridCol w:w="546"/>
        <w:gridCol w:w="9588"/>
      </w:tblGrid>
      <w:tr>
        <w:trPr/>
        <w:tc>
          <w:tcPr>
            <w:tcW w:w="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(1)</w:t>
            </w:r>
          </w:p>
        </w:tc>
        <w:tc>
          <w:tcPr>
            <w:tcW w:w="9588" w:type="dxa"/>
            <w:tcBorders/>
            <w:vAlign w:val="center"/>
          </w:tcPr>
          <w:p>
            <w:pPr>
              <w:pStyle w:val="TableContents"/>
              <w:bidi w:val="0"/>
              <w:spacing w:before="0" w:after="283"/>
              <w:jc w:val="both"/>
              <w:rPr/>
            </w:pPr>
            <w:r>
              <w:rPr/>
              <w:t>Each unit represents one American Depositary Share.</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both"/>
              <w:rPr/>
            </w:pPr>
            <w:r>
              <w:rPr/>
              <w:t>Estimated solely for the purpose of calculating the registration fee. Pursuant to Rule 457(k), such estimate is computed on the basis of the maximum aggregate fees or charges to be imposed in connection with the issuance of American Depositary Receipts evidencing American Depositary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429, the Prospectus contained herein also relates to the American Depositary Shares registered under Form F-6 Registration Statement No. 333-221860. This Registration Statement constitutes Post-Effective Amendment No. 2 to Registration Statement No. 333-221860.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consists of the form of American Depositary Receipt (“ADR” or “American Depositary Receipt”) filed as Exhibit A to the form of Amended and Restated Deposit Agreement filed as Exhibit (a) to this Registration Statement on Form F-6, which is incorporated herein by reference.</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SECURITIES TO BE REGISTERED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REFERENCE SHEET</w:t>
      </w:r>
    </w:p>
    <w:p>
      <w:pPr>
        <w:pStyle w:val="TextBody"/>
        <w:bidi w:val="0"/>
        <w:spacing w:before="0" w:after="0"/>
        <w:ind w:left="720" w:right="72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400"/>
        <w:gridCol w:w="5475"/>
        <w:gridCol w:w="60"/>
        <w:gridCol w:w="4035"/>
      </w:tblGrid>
      <w:tr>
        <w:trPr/>
        <w:tc>
          <w:tcPr>
            <w:tcW w:w="6110"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Item Number and Caption</w:t>
            </w:r>
            <w:r>
              <w:rPr>
                <w:rFonts w:ascii="Times New Roman;Times;Serif" w:hAnsi="Times New Roman;Times;Serif"/>
                <w:b w:val="false"/>
                <w:i w:val="false"/>
                <w:caps w:val="false"/>
                <w:smallCaps w:val="false"/>
                <w:sz w:val="20"/>
              </w:rPr>
              <w:tab/>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in Form of American Depositary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Receipt Filed Herewith as Prospectus</w:t>
            </w:r>
            <w:r>
              <w:rPr>
                <w:rFonts w:ascii="Times New Roman;Times;Serif" w:hAnsi="Times New Roman;Times;Serif"/>
                <w:b w:val="false"/>
                <w:i w:val="false"/>
                <w:caps w:val="false"/>
                <w:smallCaps w:val="false"/>
                <w:sz w:val="20"/>
              </w:rPr>
              <w:tab/>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tab/>
            </w:r>
          </w:p>
        </w:tc>
        <w:tc>
          <w:tcPr>
            <w:tcW w:w="58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and address of Depositary</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Introductory paragraph and bottom of face of American Depositary Receipt</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tab/>
            </w:r>
          </w:p>
        </w:tc>
        <w:tc>
          <w:tcPr>
            <w:tcW w:w="58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American Depositary Receipts and identity of deposited securities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Face of American Depositary Receipt, top center</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61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Deposit:</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of deposited securities represented by one unit of American Depositary Shares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Face of American Depositary Receipt, upper right corner</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 for voting the deposited securities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(12)</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 for collecting and distributing dividends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(4), (5), (7) and (10)</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Procedures for transmitting notices, reports and proxy soliciting material</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(3), (8) and (12)</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or exercise of rights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(4), (5) and (10)</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or sale of securities resulting from dividends, splits or plans of reorganization</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(4), (5), (10) and (13)</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extension or termination of the Deposit Agreement</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(16) and (17)</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holders of ADRs to inspect the transfer books of the Depositary and the list of holders of ADRs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(3)</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upon the right to transfer or withdraw the underlying securities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(1), (2), (4), and (5)</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upon the liability of the Depositary</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(14)</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tab/>
            </w:r>
          </w:p>
        </w:tc>
        <w:tc>
          <w:tcPr>
            <w:tcW w:w="58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charges that a holder of ADRs may have to pay, either directly or indirectly</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(7)</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AVAILABLE INFORMATION</w:t>
      </w:r>
    </w:p>
    <w:p>
      <w:pPr>
        <w:pStyle w:val="TextBody"/>
        <w:bidi w:val="0"/>
        <w:spacing w:before="0" w:after="0"/>
        <w:ind w:left="720" w:right="7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8429"/>
        <w:gridCol w:w="60"/>
        <w:gridCol w:w="1505"/>
      </w:tblGrid>
      <w:tr>
        <w:trPr/>
        <w:tc>
          <w:tcPr>
            <w:tcW w:w="8640" w:type="dxa"/>
            <w:gridSpan w:val="2"/>
            <w:tcBorders/>
            <w:vAlign w:val="center"/>
          </w:tcPr>
          <w:p>
            <w:pPr>
              <w:pStyle w:val="TableContents"/>
              <w:bidi w:val="0"/>
              <w:jc w:val="left"/>
              <w:rPr/>
            </w:pPr>
            <w:r>
              <w:rPr>
                <w:rFonts w:ascii="Times New Roman;Times;Serif" w:hAnsi="Times New Roman;Times;Serif"/>
                <w:sz w:val="20"/>
                <w:u w:val="single"/>
              </w:rPr>
              <w:t>Item Number and Caption</w:t>
              <w:tab/>
            </w:r>
            <w:r>
              <w:rPr/>
              <w:t xml:space="preserve">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Location in Form of American Depositary  </w:t>
            </w:r>
          </w:p>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Receipt Filed Herewith as Prospectus</w:t>
              <w:tab/>
            </w:r>
          </w:p>
        </w:tc>
      </w:tr>
      <w:tr>
        <w:trPr/>
        <w:tc>
          <w:tcPr>
            <w:tcW w:w="211"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4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that Amber International Holding Limited is subject to the periodic reporting requirements of the Securities Exchange Act of 1934, as amended, and, accordingly files certain reports with the Securities and Exchange Commission, and that such reports can be inspected and copied through the Securities and Exchange Commission’s EDGAR system or at public reference facilities maintained by the Securities and Exchange Commission in Washington, D.C.</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(8)</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EXHIBITS</w:t>
      </w:r>
    </w:p>
    <w:p>
      <w:pPr>
        <w:pStyle w:val="TextBody"/>
        <w:bidi w:val="0"/>
        <w:spacing w:before="0" w:after="0"/>
        <w:ind w:left="720" w:right="72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b/>
              </w:rPr>
              <w:t>Form of Deposit Agreement</w:t>
            </w:r>
            <w:r>
              <w:rPr/>
              <w:t>. Form of Amended and Restated Deposit Agreement dated as of            , 2025 among Amber International Holding Limited, JPMorgan Chase Bank, N.A., as depositary (the "Depositary"), and all Holders and Beneficial Owners from time to time of ADRs issued thereunder (the "Deposit Agreement"), including the form of American Depositary Receipt. Filed herewith as Exhibit (a).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b/>
              </w:rPr>
              <w:t>Any other agreement to which the Depositary is a party relating to the issuance of the American Depositary Shares registered hereunder or the custody of the deposited securities represented thereby</w:t>
            </w:r>
            <w:r>
              <w:rPr/>
              <w:t>. 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b/>
              </w:rPr>
              <w:t>Every material contract relating to the deposited securities between the Depositary and the issuer of the deposited securities in effect at any time within the last three years</w:t>
            </w:r>
            <w:r>
              <w:rPr/>
              <w:t>. 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both"/>
              <w:rPr/>
            </w:pPr>
            <w:r>
              <w:rPr>
                <w:b/>
              </w:rPr>
              <w:t>Opinion of Ziegler, Ziegler &amp; Associates LLP, counsel to the Depositary, as to the legality of the securities being registered</w:t>
            </w:r>
            <w:r>
              <w:rPr/>
              <w:t>. Filed herewith as Exhibit (d).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573"/>
        <w:gridCol w:w="9553"/>
      </w:tblGrid>
      <w:tr>
        <w:trPr/>
        <w:tc>
          <w:tcPr>
            <w:tcW w:w="7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(e)</w:t>
            </w:r>
          </w:p>
        </w:tc>
        <w:tc>
          <w:tcPr>
            <w:tcW w:w="9553" w:type="dxa"/>
            <w:tcBorders/>
            <w:vAlign w:val="center"/>
          </w:tcPr>
          <w:p>
            <w:pPr>
              <w:pStyle w:val="TableContents"/>
              <w:bidi w:val="0"/>
              <w:spacing w:before="0" w:after="283"/>
              <w:jc w:val="both"/>
              <w:rPr/>
            </w:pPr>
            <w:r>
              <w:rPr>
                <w:b/>
              </w:rPr>
              <w:t>Certification under Rule 466.</w:t>
            </w:r>
            <w:r>
              <w:rPr/>
              <w:t xml:space="preserve"> 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(f)</w:t>
            </w:r>
          </w:p>
        </w:tc>
        <w:tc>
          <w:tcPr>
            <w:tcW w:w="9945" w:type="dxa"/>
            <w:tcBorders/>
            <w:vAlign w:val="center"/>
          </w:tcPr>
          <w:p>
            <w:pPr>
              <w:pStyle w:val="TableContents"/>
              <w:bidi w:val="0"/>
              <w:spacing w:before="0" w:after="283"/>
              <w:jc w:val="both"/>
              <w:rPr/>
            </w:pPr>
            <w:r>
              <w:rPr/>
              <w:t>Powers of Attorney for certain officers and directors and the authorized representative of the Company. Set forth on the signature pages 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UNDERTAKINGS</w:t>
      </w:r>
    </w:p>
    <w:p>
      <w:pPr>
        <w:pStyle w:val="TextBody"/>
        <w:bidi w:val="0"/>
        <w:spacing w:before="0" w:after="0"/>
        <w:ind w:left="720" w:right="72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The Depositary hereby undertakes to make available at the principal office of the Depositary in the United States, for inspection by holders of the American Depositary Receipts, any reports and communications received from the issuer of the deposited securities which are both (1) received by the Depositary as the holder of the deposited securities, and (2) made generally available to the holders of the underlying securities by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American Depositary Receipt thirty days before any change in the fee schedule.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360" w:right="72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JPMorgan Chase Bank, N.A. on behalf of the legal entity created by the Deposit Agreement,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w:t>
        <w:br/>
        <w:t>June 26, 2025.</w:t>
      </w:r>
    </w:p>
    <w:p>
      <w:pPr>
        <w:pStyle w:val="TextBody"/>
        <w:bidi w:val="0"/>
        <w:spacing w:before="0" w:after="0"/>
        <w:ind w:left="720" w:right="720" w:firstLine="720"/>
        <w:jc w:val="both"/>
        <w:rPr>
          <w:caps w:val="false"/>
          <w:smallCaps w:val="false"/>
        </w:rPr>
      </w:pPr>
      <w:r>
        <w:rPr>
          <w:caps w:val="false"/>
          <w:smallCaps w:val="false"/>
        </w:rPr>
        <w:t> </w:t>
      </w:r>
    </w:p>
    <w:tbl>
      <w:tblPr>
        <w:tblW w:w="9844" w:type="dxa"/>
        <w:jc w:val="left"/>
        <w:tblInd w:w="0" w:type="dxa"/>
        <w:tblLayout w:type="fixed"/>
        <w:tblCellMar>
          <w:top w:w="0" w:type="dxa"/>
          <w:left w:w="0" w:type="dxa"/>
          <w:bottom w:w="0" w:type="dxa"/>
          <w:right w:w="0" w:type="dxa"/>
        </w:tblCellMar>
      </w:tblPr>
      <w:tblGrid>
        <w:gridCol w:w="75"/>
        <w:gridCol w:w="1180"/>
        <w:gridCol w:w="8589"/>
      </w:tblGrid>
      <w:tr>
        <w:trPr/>
        <w:tc>
          <w:tcPr>
            <w:tcW w:w="75" w:type="dxa"/>
            <w:tcBorders/>
            <w:vAlign w:val="center"/>
          </w:tcPr>
          <w:p>
            <w:pPr>
              <w:pStyle w:val="TableContents"/>
              <w:bidi w:val="0"/>
              <w:spacing w:before="0" w:after="283"/>
              <w:jc w:val="both"/>
              <w:rPr/>
            </w:pPr>
            <w:r>
              <w:rPr/>
              <w:t> </w:t>
            </w:r>
          </w:p>
        </w:tc>
        <w:tc>
          <w:tcPr>
            <w:tcW w:w="97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entity created by the form of Deposit Agreement for the issuance of ADRs evidencing American Depositary Shares</w:t>
            </w:r>
          </w:p>
        </w:tc>
      </w:tr>
      <w:tr>
        <w:trPr/>
        <w:tc>
          <w:tcPr>
            <w:tcW w:w="75" w:type="dxa"/>
            <w:tcBorders/>
            <w:vAlign w:val="center"/>
          </w:tcPr>
          <w:p>
            <w:pPr>
              <w:pStyle w:val="TableContents"/>
              <w:bidi w:val="0"/>
              <w:spacing w:before="0" w:after="283"/>
              <w:jc w:val="both"/>
              <w:rPr/>
            </w:pPr>
            <w:r>
              <w:rPr/>
              <w:t> </w:t>
            </w:r>
          </w:p>
        </w:tc>
        <w:tc>
          <w:tcPr>
            <w:tcW w:w="976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8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JPMORGAN CHASE BANK, N.A., as Depositary</w:t>
            </w:r>
          </w:p>
        </w:tc>
      </w:tr>
      <w:tr>
        <w:trPr/>
        <w:tc>
          <w:tcPr>
            <w:tcW w:w="75" w:type="dxa"/>
            <w:tcBorders/>
            <w:vAlign w:val="center"/>
          </w:tcPr>
          <w:p>
            <w:pPr>
              <w:pStyle w:val="TableContents"/>
              <w:bidi w:val="0"/>
              <w:spacing w:before="0" w:after="283"/>
              <w:jc w:val="both"/>
              <w:rPr/>
            </w:pPr>
            <w:r>
              <w:rPr/>
              <w:t> </w:t>
            </w:r>
          </w:p>
        </w:tc>
        <w:tc>
          <w:tcPr>
            <w:tcW w:w="1180" w:type="dxa"/>
            <w:tcBorders/>
            <w:vAlign w:val="center"/>
          </w:tcPr>
          <w:p>
            <w:pPr>
              <w:pStyle w:val="TableContents"/>
              <w:bidi w:val="0"/>
              <w:spacing w:before="0" w:after="283"/>
              <w:jc w:val="both"/>
              <w:rPr/>
            </w:pPr>
            <w:r>
              <w:rPr/>
              <w:t> </w:t>
            </w:r>
          </w:p>
        </w:tc>
        <w:tc>
          <w:tcPr>
            <w:tcW w:w="85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858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/s/Gregory A. Levendis</w:t>
            </w:r>
          </w:p>
        </w:tc>
      </w:tr>
      <w:tr>
        <w:trPr/>
        <w:tc>
          <w:tcPr>
            <w:tcW w:w="75" w:type="dxa"/>
            <w:tcBorders/>
            <w:vAlign w:val="center"/>
          </w:tcPr>
          <w:p>
            <w:pPr>
              <w:pStyle w:val="TableContents"/>
              <w:bidi w:val="0"/>
              <w:spacing w:before="0" w:after="283"/>
              <w:jc w:val="both"/>
              <w:rPr/>
            </w:pPr>
            <w:r>
              <w:rPr/>
              <w:t> </w:t>
            </w:r>
          </w:p>
        </w:tc>
        <w:tc>
          <w:tcPr>
            <w:tcW w:w="1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8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Gregory A. Levendis</w:t>
            </w:r>
          </w:p>
        </w:tc>
      </w:tr>
      <w:tr>
        <w:trPr/>
        <w:tc>
          <w:tcPr>
            <w:tcW w:w="75" w:type="dxa"/>
            <w:tcBorders/>
            <w:vAlign w:val="center"/>
          </w:tcPr>
          <w:p>
            <w:pPr>
              <w:pStyle w:val="TableContents"/>
              <w:bidi w:val="0"/>
              <w:spacing w:before="0" w:after="283"/>
              <w:jc w:val="both"/>
              <w:rPr/>
            </w:pPr>
            <w:r>
              <w:rPr/>
              <w:t> </w:t>
            </w:r>
          </w:p>
        </w:tc>
        <w:tc>
          <w:tcPr>
            <w:tcW w:w="1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8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Amber International Holding Limited certifies that it has reasonable grounds to believe that all the requirements for filing on Form F-6 are met and has duly caused this Registration Statement on Form F-6 to be signed on its behalf by the undersigned, thereunto duly authorized, in Hong Kong, on June 26, 2025.</w:t>
      </w:r>
    </w:p>
    <w:p>
      <w:pPr>
        <w:pStyle w:val="TextBody"/>
        <w:bidi w:val="0"/>
        <w:spacing w:before="0" w:after="0"/>
        <w:ind w:left="0" w:right="0" w:firstLine="720"/>
        <w:jc w:val="both"/>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75"/>
        <w:gridCol w:w="577"/>
        <w:gridCol w:w="2502"/>
      </w:tblGrid>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Amber International Holding Limited</w:t>
            </w:r>
          </w:p>
        </w:tc>
      </w:tr>
      <w:tr>
        <w:trPr/>
        <w:tc>
          <w:tcPr>
            <w:tcW w:w="75"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pPr>
            <w:r>
              <w:rPr/>
              <w:t> </w:t>
            </w:r>
          </w:p>
        </w:tc>
        <w:tc>
          <w:tcPr>
            <w:tcW w:w="25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/s/Josephine Ngai Yuk Chun</w:t>
            </w:r>
          </w:p>
        </w:tc>
      </w:tr>
      <w:tr>
        <w:trPr/>
        <w:tc>
          <w:tcPr>
            <w:tcW w:w="75"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Josephine Ngai Yuk Chun</w:t>
            </w:r>
          </w:p>
        </w:tc>
      </w:tr>
      <w:tr>
        <w:trPr/>
        <w:tc>
          <w:tcPr>
            <w:tcW w:w="75"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ATTORNEY</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Wayne Huo and Josephine Ngai Yuk Chun,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requirements of the Securities Act, this Registration Statement on Form F-6 has been signed by the following persons on June 26, 2025, in the capacities indicated.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2765"/>
        <w:gridCol w:w="60"/>
        <w:gridCol w:w="4055"/>
      </w:tblGrid>
      <w:tr>
        <w:trPr/>
        <w:tc>
          <w:tcPr>
            <w:tcW w:w="2765" w:type="dxa"/>
            <w:tcBorders/>
            <w:vAlign w:val="center"/>
          </w:tcPr>
          <w:p>
            <w:pPr>
              <w:pStyle w:val="TableContents"/>
              <w:bidi w:val="0"/>
              <w:spacing w:before="0" w:after="283"/>
              <w:jc w:val="center"/>
              <w:rPr>
                <w:b/>
                <w:u w:val="single"/>
              </w:rPr>
            </w:pPr>
            <w:r>
              <w:rPr>
                <w:b/>
                <w:u w:val="single"/>
              </w:rPr>
              <w:t>Signature</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b/>
                <w:u w:val="single"/>
              </w:rPr>
            </w:pPr>
            <w:r>
              <w:rPr>
                <w:b/>
                <w:u w:val="single"/>
              </w:rPr>
              <w:t>Title</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pPr>
            <w:r>
              <w:rPr/>
              <w:t>/s/Michael Wu</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Chairman of the Board of Directors,</w:t>
            </w:r>
          </w:p>
        </w:tc>
      </w:tr>
      <w:tr>
        <w:trPr/>
        <w:tc>
          <w:tcPr>
            <w:tcW w:w="2765" w:type="dxa"/>
            <w:tcBorders/>
            <w:vAlign w:val="center"/>
          </w:tcPr>
          <w:p>
            <w:pPr>
              <w:pStyle w:val="TableContents"/>
              <w:bidi w:val="0"/>
              <w:spacing w:before="0" w:after="283"/>
              <w:jc w:val="left"/>
              <w:rPr/>
            </w:pPr>
            <w:r>
              <w:rPr/>
              <w:t>Michael Wu</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pPr>
            <w:r>
              <w:rPr/>
              <w:t>/s/Wayne Huo</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Chief Executive Officer and Director</w:t>
            </w:r>
          </w:p>
        </w:tc>
      </w:tr>
      <w:tr>
        <w:trPr/>
        <w:tc>
          <w:tcPr>
            <w:tcW w:w="2765" w:type="dxa"/>
            <w:tcBorders/>
            <w:vAlign w:val="center"/>
          </w:tcPr>
          <w:p>
            <w:pPr>
              <w:pStyle w:val="TableContents"/>
              <w:bidi w:val="0"/>
              <w:spacing w:before="0" w:after="283"/>
              <w:jc w:val="left"/>
              <w:rPr/>
            </w:pPr>
            <w:r>
              <w:rPr/>
              <w:t>Wayne Huo</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(principal executive officer)</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pPr>
            <w:r>
              <w:rPr/>
              <w:t>/s/Wing Hong Sammy Hsieh</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Director</w:t>
            </w:r>
          </w:p>
        </w:tc>
      </w:tr>
      <w:tr>
        <w:trPr/>
        <w:tc>
          <w:tcPr>
            <w:tcW w:w="2765" w:type="dxa"/>
            <w:tcBorders/>
            <w:vAlign w:val="center"/>
          </w:tcPr>
          <w:p>
            <w:pPr>
              <w:pStyle w:val="TableContents"/>
              <w:bidi w:val="0"/>
              <w:spacing w:before="0" w:after="283"/>
              <w:jc w:val="left"/>
              <w:rPr/>
            </w:pPr>
            <w:r>
              <w:rPr/>
              <w:t>Wing Hong Sammy Hsieh</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pPr>
            <w:r>
              <w:rPr/>
              <w:t>/s/Lub Bun Chong</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Independent Director</w:t>
            </w:r>
          </w:p>
        </w:tc>
      </w:tr>
      <w:tr>
        <w:trPr/>
        <w:tc>
          <w:tcPr>
            <w:tcW w:w="2765" w:type="dxa"/>
            <w:tcBorders/>
            <w:vAlign w:val="center"/>
          </w:tcPr>
          <w:p>
            <w:pPr>
              <w:pStyle w:val="TableContents"/>
              <w:bidi w:val="0"/>
              <w:spacing w:before="0" w:after="283"/>
              <w:jc w:val="left"/>
              <w:rPr/>
            </w:pPr>
            <w:r>
              <w:rPr/>
              <w:t>Lub Bun Chong</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pPr>
            <w:r>
              <w:rPr/>
              <w:t>/s/Philip Kan</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Independent Director</w:t>
            </w:r>
          </w:p>
        </w:tc>
      </w:tr>
      <w:tr>
        <w:trPr/>
        <w:tc>
          <w:tcPr>
            <w:tcW w:w="2765" w:type="dxa"/>
            <w:tcBorders/>
            <w:vAlign w:val="center"/>
          </w:tcPr>
          <w:p>
            <w:pPr>
              <w:pStyle w:val="TableContents"/>
              <w:bidi w:val="0"/>
              <w:spacing w:before="0" w:after="283"/>
              <w:jc w:val="left"/>
              <w:rPr/>
            </w:pPr>
            <w:r>
              <w:rPr/>
              <w:t>Philip Kan</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pPr>
            <w:r>
              <w:rPr/>
              <w:t>/s/Wing Wai Winson Ip</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Independent Director</w:t>
            </w:r>
          </w:p>
        </w:tc>
      </w:tr>
      <w:tr>
        <w:trPr/>
        <w:tc>
          <w:tcPr>
            <w:tcW w:w="2765" w:type="dxa"/>
            <w:tcBorders/>
            <w:vAlign w:val="center"/>
          </w:tcPr>
          <w:p>
            <w:pPr>
              <w:pStyle w:val="TableContents"/>
              <w:bidi w:val="0"/>
              <w:spacing w:before="0" w:after="283"/>
              <w:jc w:val="left"/>
              <w:rPr/>
            </w:pPr>
            <w:r>
              <w:rPr/>
              <w:t>Wing Wai Winson Ip</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pPr>
            <w:r>
              <w:rPr/>
              <w:t>/s/Josephine Ngai Yuk Chun</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Chief Financial Officer</w:t>
            </w:r>
          </w:p>
        </w:tc>
      </w:tr>
      <w:tr>
        <w:trPr/>
        <w:tc>
          <w:tcPr>
            <w:tcW w:w="2765" w:type="dxa"/>
            <w:tcBorders/>
            <w:vAlign w:val="center"/>
          </w:tcPr>
          <w:p>
            <w:pPr>
              <w:pStyle w:val="TableContents"/>
              <w:bidi w:val="0"/>
              <w:spacing w:before="0" w:after="283"/>
              <w:jc w:val="left"/>
              <w:rPr/>
            </w:pPr>
            <w:r>
              <w:rPr/>
              <w:t>Josephine Ngai Yuk Chun</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AUTHORIZED REPRESENTATIVE OF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Act of 1933, as amended, the undersigned, the duly authorized representative in the United States of Amber International Holding Limited, has signed this Registration Statement on Form F-6 in New York, NY, United States on 26 June 2025.</w:t>
      </w:r>
    </w:p>
    <w:p>
      <w:pPr>
        <w:pStyle w:val="TextBody"/>
        <w:bidi w:val="0"/>
        <w:spacing w:before="0" w:after="0"/>
        <w:ind w:left="0" w:right="0" w:firstLine="49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725"/>
        <w:gridCol w:w="4205"/>
      </w:tblGrid>
      <w:tr>
        <w:trPr/>
        <w:tc>
          <w:tcPr>
            <w:tcW w:w="75" w:type="dxa"/>
            <w:tcBorders/>
            <w:vAlign w:val="center"/>
          </w:tcPr>
          <w:p>
            <w:pPr>
              <w:pStyle w:val="TableContents"/>
              <w:bidi w:val="0"/>
              <w:spacing w:before="0" w:after="283"/>
              <w:jc w:val="left"/>
              <w:rPr/>
            </w:pPr>
            <w:r>
              <w:rPr/>
              <w:t> </w:t>
            </w:r>
          </w:p>
        </w:tc>
        <w:tc>
          <w:tcPr>
            <w:tcW w:w="49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Cogency Global Inc.</w:t>
            </w:r>
          </w:p>
        </w:tc>
      </w:tr>
      <w:tr>
        <w:trPr/>
        <w:tc>
          <w:tcPr>
            <w:tcW w:w="75" w:type="dxa"/>
            <w:tcBorders/>
            <w:vAlign w:val="center"/>
          </w:tcPr>
          <w:p>
            <w:pPr>
              <w:pStyle w:val="TableContents"/>
              <w:bidi w:val="0"/>
              <w:spacing w:before="0" w:after="283"/>
              <w:jc w:val="left"/>
              <w:rPr/>
            </w:pPr>
            <w:r>
              <w:rPr/>
              <w:t> </w:t>
            </w:r>
          </w:p>
        </w:tc>
        <w:tc>
          <w:tcPr>
            <w:tcW w:w="49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/s/Colleen A. De Vries</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4205" w:type="dxa"/>
            <w:tcBorders/>
            <w:vAlign w:val="center"/>
          </w:tcPr>
          <w:p>
            <w:pPr>
              <w:pStyle w:val="TableContents"/>
              <w:bidi w:val="0"/>
              <w:spacing w:before="0" w:after="283"/>
              <w:jc w:val="left"/>
              <w:rPr/>
            </w:pPr>
            <w:r>
              <w:rPr/>
              <w:t>Colleen A. De Vries</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Sr. Vice President on behalf of Cogency Global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
        <w:gridCol w:w="9315"/>
        <w:gridCol w:w="75"/>
      </w:tblGrid>
      <w:tr>
        <w:trPr/>
        <w:tc>
          <w:tcPr>
            <w:tcW w:w="815" w:type="dxa"/>
            <w:tcBorders/>
            <w:vAlign w:val="center"/>
          </w:tcPr>
          <w:p>
            <w:pPr>
              <w:pStyle w:val="TableContents"/>
              <w:bidi w:val="0"/>
              <w:spacing w:before="0" w:after="283"/>
              <w:jc w:val="center"/>
              <w:rPr/>
            </w:pPr>
            <w:r>
              <w:rPr/>
              <w:t xml:space="preserve">Exhibit </w:t>
            </w:r>
            <w:r>
              <w:rPr>
                <w:u w:val="single"/>
              </w:rPr>
              <w:br/>
              <w:t>Number</w:t>
            </w:r>
          </w:p>
        </w:tc>
        <w:tc>
          <w:tcPr>
            <w:tcW w:w="93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center"/>
              <w:rPr/>
            </w:pPr>
            <w:r>
              <w:rPr/>
              <w:t>(a)</w:t>
            </w:r>
          </w:p>
        </w:tc>
        <w:tc>
          <w:tcPr>
            <w:tcW w:w="9315" w:type="dxa"/>
            <w:tcBorders/>
            <w:vAlign w:val="center"/>
          </w:tcPr>
          <w:p>
            <w:pPr>
              <w:pStyle w:val="TableContents"/>
              <w:bidi w:val="0"/>
              <w:spacing w:before="0" w:after="283"/>
              <w:jc w:val="left"/>
              <w:rPr/>
            </w:pPr>
            <w:r>
              <w:rPr/>
              <w:t>Form of Amended and Restated Deposit Agreement</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center"/>
              <w:rPr/>
            </w:pPr>
            <w:r>
              <w:rPr/>
              <w:t>(d)</w:t>
            </w:r>
          </w:p>
        </w:tc>
        <w:tc>
          <w:tcPr>
            <w:tcW w:w="9315" w:type="dxa"/>
            <w:tcBorders/>
            <w:vAlign w:val="center"/>
          </w:tcPr>
          <w:p>
            <w:pPr>
              <w:pStyle w:val="TableContents"/>
              <w:bidi w:val="0"/>
              <w:spacing w:before="0" w:after="283"/>
              <w:jc w:val="left"/>
              <w:rPr/>
            </w:pPr>
            <w:r>
              <w:rPr/>
              <w:t>Opinion of Ziegler, Ziegler &amp; Associates LLP, counsel to the Depositary, as to the legality of the securities to be registered.</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center"/>
              <w:rPr/>
            </w:pPr>
            <w:r>
              <w:rPr/>
              <w:t>(e)</w:t>
            </w:r>
          </w:p>
        </w:tc>
        <w:tc>
          <w:tcPr>
            <w:tcW w:w="9315" w:type="dxa"/>
            <w:tcBorders/>
            <w:vAlign w:val="center"/>
          </w:tcPr>
          <w:p>
            <w:pPr>
              <w:pStyle w:val="TableContents"/>
              <w:bidi w:val="0"/>
              <w:spacing w:before="0" w:after="283"/>
              <w:jc w:val="left"/>
              <w:rPr/>
            </w:pPr>
            <w:r>
              <w:rPr/>
              <w:t>Rule 466 Certification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 w:name="e664653_ex99-a.htm"/>
      <w:bookmarkStart w:id="3" w:name="kse664653_ex99a"/>
      <w:bookmarkEnd w:id="2"/>
      <w:bookmarkEnd w:id="3"/>
      <w:r>
        <w:rPr/>
        <w:t> </w:t>
      </w:r>
      <w:r>
        <w:br w:type="page"/>
      </w:r>
    </w:p>
    <w:p>
      <w:pPr>
        <w:pStyle w:val="TextBody"/>
        <w:bidi w:val="0"/>
        <w:spacing w:before="0" w:after="0"/>
        <w:jc w:val="center"/>
        <w:rPr/>
      </w:pPr>
      <w:r>
        <w:rPr/>
        <w:drawing>
          <wp:inline distT="0" distB="0" distL="0" distR="0">
            <wp:extent cx="7210425" cy="3495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10425" cy="3495675"/>
                    </a:xfrm>
                    <a:prstGeom prst="rect">
                      <a:avLst/>
                    </a:prstGeom>
                  </pic:spPr>
                </pic:pic>
              </a:graphicData>
            </a:graphic>
          </wp:inline>
        </w:drawing>
      </w:r>
      <w:r>
        <w:rPr/>
        <w:t> </w:t>
      </w:r>
    </w:p>
    <w:p>
      <w:pPr>
        <w:pStyle w:val="TextBody"/>
        <w:bidi w:val="0"/>
        <w:spacing w:before="0" w:after="0"/>
        <w:jc w:val="right"/>
        <w:rPr>
          <w:bdr w:val="single" w:sz="8" w:space="1" w:color="000000"/>
        </w:rPr>
      </w:pPr>
      <w:r>
        <w:rPr>
          <w:bdr w:val="single" w:sz="8" w:space="1" w:color="000000"/>
        </w:rPr>
        <w:drawing>
          <wp:inline distT="0" distB="0" distL="0" distR="0">
            <wp:extent cx="178117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81175" cy="295275"/>
                    </a:xfrm>
                    <a:prstGeom prst="rect">
                      <a:avLst/>
                    </a:prstGeom>
                  </pic:spPr>
                </pic:pic>
              </a:graphicData>
            </a:graphic>
          </wp:inline>
        </w:drawing>
      </w:r>
      <w:r>
        <w:rPr>
          <w:bdr w:val="single" w:sz="8" w:space="1" w:color="000000"/>
        </w:rPr>
        <w:t> </w:t>
      </w:r>
    </w:p>
    <w:p>
      <w:pPr>
        <w:pStyle w:val="TextBody"/>
        <w:bidi w:val="0"/>
        <w:spacing w:before="0" w:after="0"/>
        <w:jc w:val="right"/>
        <w:rPr/>
      </w:pPr>
      <w:r>
        <w:rPr/>
        <w:drawing>
          <wp:inline distT="0" distB="0" distL="0" distR="0">
            <wp:extent cx="1781175"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Page</w:t>
      </w:r>
    </w:p>
    <w:tbl>
      <w:tblPr>
        <w:tblW w:w="9838" w:type="dxa"/>
        <w:jc w:val="left"/>
        <w:tblInd w:w="0" w:type="dxa"/>
        <w:tblLayout w:type="fixed"/>
        <w:tblCellMar>
          <w:top w:w="0" w:type="dxa"/>
          <w:left w:w="0" w:type="dxa"/>
          <w:bottom w:w="0" w:type="dxa"/>
          <w:right w:w="0" w:type="dxa"/>
        </w:tblCellMar>
      </w:tblPr>
      <w:tblGrid>
        <w:gridCol w:w="1258"/>
        <w:gridCol w:w="217"/>
        <w:gridCol w:w="7563"/>
        <w:gridCol w:w="800"/>
      </w:tblGrid>
      <w:tr>
        <w:trPr/>
        <w:tc>
          <w:tcPr>
            <w:tcW w:w="125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PARTIES</w:t>
            </w:r>
          </w:p>
        </w:tc>
        <w:tc>
          <w:tcPr>
            <w:tcW w:w="217" w:type="dxa"/>
            <w:tcBorders/>
            <w:shd w:fill="CCEEFF" w:val="clear"/>
            <w:vAlign w:val="center"/>
          </w:tcPr>
          <w:p>
            <w:pPr>
              <w:pStyle w:val="TableContents"/>
              <w:bidi w:val="0"/>
              <w:spacing w:before="0" w:after="283"/>
              <w:jc w:val="both"/>
              <w:rPr/>
            </w:pPr>
            <w:r>
              <w:rPr/>
              <w:t> </w:t>
            </w:r>
          </w:p>
        </w:tc>
        <w:tc>
          <w:tcPr>
            <w:tcW w:w="7563" w:type="dxa"/>
            <w:tcBorders/>
            <w:shd w:fill="CCEEFF" w:val="clear"/>
            <w:vAlign w:val="center"/>
          </w:tcPr>
          <w:p>
            <w:pPr>
              <w:pStyle w:val="TableContents"/>
              <w:bidi w:val="0"/>
              <w:spacing w:before="0" w:after="283"/>
              <w:jc w:val="both"/>
              <w:rPr/>
            </w:pPr>
            <w:r>
              <w:rPr/>
              <w:t> </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w:t>
            </w:r>
          </w:p>
        </w:tc>
      </w:tr>
      <w:tr>
        <w:trPr/>
        <w:tc>
          <w:tcPr>
            <w:tcW w:w="125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c>
          <w:tcPr>
            <w:tcW w:w="217" w:type="dxa"/>
            <w:tcBorders/>
            <w:shd w:fill="FFFFFF" w:val="clear"/>
            <w:vAlign w:val="center"/>
          </w:tcPr>
          <w:p>
            <w:pPr>
              <w:pStyle w:val="TableContents"/>
              <w:bidi w:val="0"/>
              <w:spacing w:before="0" w:after="283"/>
              <w:jc w:val="both"/>
              <w:rPr/>
            </w:pPr>
            <w:r>
              <w:rPr/>
              <w:t> </w:t>
            </w:r>
          </w:p>
        </w:tc>
        <w:tc>
          <w:tcPr>
            <w:tcW w:w="7563" w:type="dxa"/>
            <w:tcBorders/>
            <w:shd w:fill="FFFFFF" w:val="clear"/>
            <w:vAlign w:val="center"/>
          </w:tcPr>
          <w:p>
            <w:pPr>
              <w:pStyle w:val="TableContents"/>
              <w:bidi w:val="0"/>
              <w:spacing w:before="0" w:after="283"/>
              <w:jc w:val="both"/>
              <w:rPr/>
            </w:pPr>
            <w:r>
              <w:rPr/>
              <w:t> </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w:t>
            </w:r>
          </w:p>
        </w:tc>
      </w:tr>
      <w:tr>
        <w:trPr/>
        <w:tc>
          <w:tcPr>
            <w:tcW w:w="125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w:t>
            </w:r>
          </w:p>
        </w:tc>
        <w:tc>
          <w:tcPr>
            <w:tcW w:w="7780" w:type="dxa"/>
            <w:gridSpan w:val="2"/>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Definitions</w:t>
            </w:r>
          </w:p>
        </w:tc>
        <w:tc>
          <w:tcPr>
            <w:tcW w:w="800" w:type="dxa"/>
            <w:tcBorders/>
            <w:shd w:fill="CCEEFF" w:val="clear"/>
            <w:vAlign w:val="center"/>
          </w:tcPr>
          <w:p>
            <w:pPr>
              <w:pStyle w:val="TableContents"/>
              <w:bidi w:val="0"/>
              <w:spacing w:before="0" w:after="283"/>
              <w:ind w:left="0" w:right="0" w:firstLine="600"/>
              <w:jc w:val="left"/>
              <w:rPr>
                <w:sz w:val="4"/>
                <w:szCs w:val="4"/>
              </w:rPr>
            </w:pPr>
            <w:r>
              <w:rPr>
                <w:sz w:val="4"/>
                <w:szCs w:val="4"/>
              </w:rPr>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ADR Register</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1</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ADRs; Direct Registration ADRs</w:t>
            </w:r>
          </w:p>
        </w:tc>
        <w:tc>
          <w:tcPr>
            <w:tcW w:w="800" w:type="dxa"/>
            <w:tcBorders/>
            <w:shd w:fill="CCEE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1</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ADS</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2</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Beneficial Owner</w:t>
            </w:r>
          </w:p>
        </w:tc>
        <w:tc>
          <w:tcPr>
            <w:tcW w:w="800" w:type="dxa"/>
            <w:tcBorders/>
            <w:shd w:fill="CCEEFF" w:val="clear"/>
            <w:vAlign w:val="center"/>
          </w:tcPr>
          <w:p>
            <w:pPr>
              <w:pStyle w:val="TableContents"/>
              <w:bidi w:val="0"/>
              <w:spacing w:before="0" w:after="283"/>
              <w:ind w:left="0" w:right="0" w:firstLine="600"/>
              <w:jc w:val="right"/>
              <w:rPr>
                <w:rFonts w:ascii="Times New Roman;Times;Serif" w:hAnsi="Times New Roman;Times;Serif"/>
                <w:sz w:val="20"/>
              </w:rPr>
            </w:pPr>
            <w:r>
              <w:rPr>
                <w:rFonts w:ascii="Times New Roman;Times;Serif" w:hAnsi="Times New Roman;Times;Serif"/>
                <w:sz w:val="20"/>
              </w:rPr>
              <w:t>2</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2</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Custodian</w:t>
            </w:r>
          </w:p>
        </w:tc>
        <w:tc>
          <w:tcPr>
            <w:tcW w:w="800" w:type="dxa"/>
            <w:tcBorders/>
            <w:shd w:fill="CCEE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2</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 execute, issue et al.</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2</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Order</w:t>
            </w:r>
          </w:p>
        </w:tc>
        <w:tc>
          <w:tcPr>
            <w:tcW w:w="800" w:type="dxa"/>
            <w:tcBorders/>
            <w:shd w:fill="CCEE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2</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Deposited Securities</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2</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 Registration System</w:t>
            </w:r>
          </w:p>
        </w:tc>
        <w:tc>
          <w:tcPr>
            <w:tcW w:w="800" w:type="dxa"/>
            <w:tcBorders/>
            <w:shd w:fill="CCEE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Notice Date</w:t>
            </w:r>
          </w:p>
        </w:tc>
        <w:tc>
          <w:tcPr>
            <w:tcW w:w="800" w:type="dxa"/>
            <w:tcBorders/>
            <w:shd w:fill="CCEE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Notice Date</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Act of 1933</w:t>
            </w:r>
          </w:p>
        </w:tc>
        <w:tc>
          <w:tcPr>
            <w:tcW w:w="800" w:type="dxa"/>
            <w:tcBorders/>
            <w:shd w:fill="CCEE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Exchange Act of 1934</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w:t>
            </w:r>
          </w:p>
        </w:tc>
        <w:tc>
          <w:tcPr>
            <w:tcW w:w="800" w:type="dxa"/>
            <w:tcBorders/>
            <w:shd w:fill="CCEE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Date</w:t>
            </w:r>
          </w:p>
        </w:tc>
        <w:tc>
          <w:tcPr>
            <w:tcW w:w="800" w:type="dxa"/>
            <w:tcBorders/>
            <w:shd w:fill="FFFF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t>
            </w:r>
          </w:p>
        </w:tc>
        <w:tc>
          <w:tcPr>
            <w:tcW w:w="217" w:type="dxa"/>
            <w:tcBorders/>
            <w:shd w:fill="CCEEFF" w:val="clear"/>
            <w:vAlign w:val="center"/>
          </w:tcPr>
          <w:p>
            <w:pPr>
              <w:pStyle w:val="TableContents"/>
              <w:bidi w:val="0"/>
              <w:spacing w:before="0" w:after="283"/>
              <w:jc w:val="left"/>
              <w:rPr/>
            </w:pPr>
            <w:r>
              <w:rPr/>
              <w:t> </w:t>
            </w:r>
          </w:p>
        </w:tc>
        <w:tc>
          <w:tcPr>
            <w:tcW w:w="7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Office</w:t>
            </w:r>
          </w:p>
        </w:tc>
        <w:tc>
          <w:tcPr>
            <w:tcW w:w="800" w:type="dxa"/>
            <w:tcBorders/>
            <w:shd w:fill="CCEEFF" w:val="clear"/>
            <w:vAlign w:val="center"/>
          </w:tcPr>
          <w:p>
            <w:pPr>
              <w:pStyle w:val="TableContents"/>
              <w:bidi w:val="0"/>
              <w:spacing w:before="0" w:after="283"/>
              <w:ind w:left="0" w:right="0" w:firstLine="600"/>
              <w:jc w:val="right"/>
              <w:rPr/>
            </w:pPr>
            <w:r>
              <w:rPr/>
              <w:t> </w:t>
            </w:r>
            <w:r>
              <w:rPr>
                <w:rFonts w:ascii="Times New Roman;Times;Serif" w:hAnsi="Times New Roman;Times;Serif"/>
                <w:sz w:val="20"/>
              </w:rPr>
              <w:t>3</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t>
            </w:r>
          </w:p>
        </w:tc>
        <w:tc>
          <w:tcPr>
            <w:tcW w:w="217" w:type="dxa"/>
            <w:tcBorders/>
            <w:shd w:fill="FFFFFF" w:val="clear"/>
            <w:vAlign w:val="center"/>
          </w:tcPr>
          <w:p>
            <w:pPr>
              <w:pStyle w:val="TableContents"/>
              <w:bidi w:val="0"/>
              <w:spacing w:before="0" w:after="283"/>
              <w:jc w:val="left"/>
              <w:rPr/>
            </w:pPr>
            <w:r>
              <w:rPr/>
              <w:t> </w:t>
            </w:r>
          </w:p>
        </w:tc>
        <w:tc>
          <w:tcPr>
            <w:tcW w:w="7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Order</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3</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ADRs</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4</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Shares</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4</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of ADRs</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5</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on Deposited Securities</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5</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Delivery and Transfer of Deposited Securities</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6</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Substitution of ADRs</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7</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 and Destruction of ADRs</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7</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Custodian</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7</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Lists of Holders</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7</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Depositary's Agents</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8</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of the Depositary; Appointment of Successor Depositary</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8</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Securities Exchange Act of 1934 Reporting and Other Requirements; Reports</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9</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Shares</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10</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10</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12</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13</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18.</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Third-Party Beneficiaries; Holders and Beneficial Owners as Parties; Binding Effect</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13</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19.</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13</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Consent to Jurisdiction</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14</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Agent for Service</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17</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Immunities</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18</w:t>
            </w:r>
          </w:p>
        </w:tc>
      </w:tr>
      <w:tr>
        <w:trPr/>
        <w:tc>
          <w:tcPr>
            <w:tcW w:w="12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77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18</w:t>
            </w:r>
          </w:p>
        </w:tc>
      </w:tr>
      <w:tr>
        <w:trPr/>
        <w:tc>
          <w:tcPr>
            <w:tcW w:w="1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778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and Restatement of Prior Deposit Agreement</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19</w:t>
            </w:r>
          </w:p>
        </w:tc>
      </w:tr>
      <w:tr>
        <w:trPr/>
        <w:tc>
          <w:tcPr>
            <w:tcW w:w="1475"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TESTIMONIUM</w:t>
            </w:r>
          </w:p>
        </w:tc>
        <w:tc>
          <w:tcPr>
            <w:tcW w:w="7563"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20</w:t>
            </w:r>
          </w:p>
        </w:tc>
      </w:tr>
      <w:tr>
        <w:trPr/>
        <w:tc>
          <w:tcPr>
            <w:tcW w:w="1475"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SIGNATURES</w:t>
            </w:r>
          </w:p>
        </w:tc>
        <w:tc>
          <w:tcPr>
            <w:tcW w:w="7563"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ind w:left="0" w:right="0" w:hanging="0"/>
        <w:jc w:val="center"/>
        <w:rPr>
          <w:bdr w:val="single" w:sz="8" w:space="1" w:color="000000"/>
        </w:rPr>
      </w:pPr>
      <w:r>
        <w:rPr>
          <w:bdr w:val="single" w:sz="8" w:space="1" w:color="000000"/>
        </w:rPr>
        <w:t>-i-</w:t>
      </w:r>
    </w:p>
    <w:p>
      <w:pPr>
        <w:pStyle w:val="TextBody"/>
        <w:bidi w:val="0"/>
        <w:spacing w:before="0" w:after="0"/>
        <w:jc w:val="right"/>
        <w:rPr/>
      </w:pPr>
      <w:r>
        <w:rPr/>
        <w:drawing>
          <wp:inline distT="0" distB="0" distL="0" distR="0">
            <wp:extent cx="178117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Page</w:t>
      </w:r>
    </w:p>
    <w:tbl>
      <w:tblPr>
        <w:tblW w:w="7095" w:type="dxa"/>
        <w:jc w:val="left"/>
        <w:tblInd w:w="0" w:type="dxa"/>
        <w:tblLayout w:type="fixed"/>
        <w:tblCellMar>
          <w:top w:w="0" w:type="dxa"/>
          <w:left w:w="0" w:type="dxa"/>
          <w:bottom w:w="0" w:type="dxa"/>
          <w:right w:w="0" w:type="dxa"/>
        </w:tblCellMar>
      </w:tblPr>
      <w:tblGrid>
        <w:gridCol w:w="75"/>
        <w:gridCol w:w="350"/>
        <w:gridCol w:w="6170"/>
        <w:gridCol w:w="500"/>
      </w:tblGrid>
      <w:tr>
        <w:trPr/>
        <w:tc>
          <w:tcPr>
            <w:tcW w:w="6595" w:type="dxa"/>
            <w:gridSpan w:val="3"/>
            <w:tcBorders/>
            <w:shd w:fill="CCEEFF" w:val="clear"/>
            <w:vAlign w:val="center"/>
          </w:tcPr>
          <w:p>
            <w:pPr>
              <w:pStyle w:val="TableContents"/>
              <w:bidi w:val="0"/>
              <w:spacing w:before="0" w:after="283"/>
              <w:jc w:val="left"/>
              <w:rPr/>
            </w:pPr>
            <w:r>
              <w:rPr>
                <w:rFonts w:ascii="Times New Roman;Times;Serif" w:hAnsi="Times New Roman;Times;Serif"/>
                <w:b/>
                <w:sz w:val="20"/>
              </w:rPr>
              <w:t>FORM OF FACE OF ADR</w:t>
            </w:r>
            <w:r>
              <w:rPr/>
              <w:t xml:space="preserve"> </w:t>
            </w:r>
          </w:p>
        </w:tc>
        <w:tc>
          <w:tcPr>
            <w:tcW w:w="500" w:type="dxa"/>
            <w:tcBorders/>
            <w:shd w:fill="CCEEFF" w:val="clear"/>
            <w:vAlign w:val="center"/>
          </w:tcPr>
          <w:p>
            <w:pPr>
              <w:pStyle w:val="TableContents"/>
              <w:bidi w:val="0"/>
              <w:spacing w:before="0" w:after="283"/>
              <w:jc w:val="right"/>
              <w:rPr/>
            </w:pPr>
            <w:r>
              <w:rPr/>
              <w:t> </w:t>
            </w:r>
            <w:r>
              <w:rPr/>
              <w:t>A-1</w:t>
            </w:r>
          </w:p>
        </w:tc>
      </w:tr>
      <w:tr>
        <w:trPr/>
        <w:tc>
          <w:tcPr>
            <w:tcW w:w="75" w:type="dxa"/>
            <w:tcBorders/>
            <w:shd w:fill="FFFFFF" w:val="clear"/>
            <w:vAlign w:val="center"/>
          </w:tcPr>
          <w:p>
            <w:pPr>
              <w:pStyle w:val="TableContents"/>
              <w:bidi w:val="0"/>
              <w:spacing w:before="0" w:after="283"/>
              <w:jc w:val="left"/>
              <w:rPr/>
            </w:pPr>
            <w:r>
              <w:rPr/>
              <w:t> </w:t>
            </w:r>
          </w:p>
        </w:tc>
        <w:tc>
          <w:tcPr>
            <w:tcW w:w="6520" w:type="dxa"/>
            <w:gridSpan w:val="2"/>
            <w:tcBorders/>
            <w:shd w:fill="FFFFFF" w:val="clear"/>
            <w:vAlign w:val="center"/>
          </w:tcPr>
          <w:p>
            <w:pPr>
              <w:pStyle w:val="TableContents"/>
              <w:bidi w:val="0"/>
              <w:spacing w:before="0" w:after="283"/>
              <w:jc w:val="left"/>
              <w:rPr/>
            </w:pPr>
            <w:r>
              <w:rPr>
                <w:rFonts w:ascii="Times New Roman;Times;Serif" w:hAnsi="Times New Roman;Times;Serif"/>
                <w:sz w:val="20"/>
              </w:rPr>
              <w:t>Introductory Paragraph</w:t>
            </w:r>
            <w:r>
              <w:rPr/>
              <w:t xml:space="preserve"> </w:t>
            </w:r>
          </w:p>
        </w:tc>
        <w:tc>
          <w:tcPr>
            <w:tcW w:w="500" w:type="dxa"/>
            <w:tcBorders/>
            <w:shd w:fill="FFFFFF" w:val="clear"/>
            <w:vAlign w:val="center"/>
          </w:tcPr>
          <w:p>
            <w:pPr>
              <w:pStyle w:val="TableContents"/>
              <w:bidi w:val="0"/>
              <w:spacing w:before="0" w:after="283"/>
              <w:jc w:val="right"/>
              <w:rPr/>
            </w:pPr>
            <w:r>
              <w:rPr/>
              <w:t> </w:t>
            </w:r>
            <w:r>
              <w:rPr/>
              <w:t>A-1</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(1)</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ADSs</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A-2</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(2)</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of Deposited Securities</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A-3</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(3)</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Transfers, Split-Ups and Combinations of ADRs</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A-3</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 xml:space="preserve">(4)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Limitations to Registration, Transfer etc.</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A-4</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 xml:space="preserve">(5)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of Holder or Beneficial Owner for Taxes, Duties and Other Charges</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A-5</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(6)</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of Interests</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A-6</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(7)</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Charges of Depositary</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A-7</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(8)</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Available Information</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A-10</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(9)</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A-11</w:t>
            </w:r>
          </w:p>
        </w:tc>
      </w:tr>
      <w:tr>
        <w:trPr/>
        <w:tc>
          <w:tcPr>
            <w:tcW w:w="75" w:type="dxa"/>
            <w:tcBorders/>
            <w:shd w:fill="FFFFFF" w:val="clear"/>
            <w:vAlign w:val="center"/>
          </w:tcPr>
          <w:p>
            <w:pPr>
              <w:pStyle w:val="TableContents"/>
              <w:bidi w:val="0"/>
              <w:spacing w:before="0" w:after="283"/>
              <w:jc w:val="left"/>
              <w:rPr/>
            </w:pPr>
            <w:r>
              <w:rPr/>
              <w:t> </w:t>
            </w:r>
          </w:p>
        </w:tc>
        <w:tc>
          <w:tcPr>
            <w:tcW w:w="652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 Depositary</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A-11</w:t>
            </w:r>
          </w:p>
        </w:tc>
      </w:tr>
      <w:tr>
        <w:trPr/>
        <w:tc>
          <w:tcPr>
            <w:tcW w:w="75" w:type="dxa"/>
            <w:tcBorders/>
            <w:shd w:fill="CCEEFF" w:val="clear"/>
            <w:vAlign w:val="center"/>
          </w:tcPr>
          <w:p>
            <w:pPr>
              <w:pStyle w:val="TableContents"/>
              <w:bidi w:val="0"/>
              <w:spacing w:before="0" w:after="283"/>
              <w:jc w:val="left"/>
              <w:rPr/>
            </w:pPr>
            <w:r>
              <w:rPr/>
              <w:t> </w:t>
            </w:r>
          </w:p>
        </w:tc>
        <w:tc>
          <w:tcPr>
            <w:tcW w:w="652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Depositary's Office</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A-11</w:t>
            </w:r>
          </w:p>
        </w:tc>
      </w:tr>
      <w:tr>
        <w:trPr/>
        <w:tc>
          <w:tcPr>
            <w:tcW w:w="6595"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 OF REVERSE OF ADR</w:t>
            </w:r>
          </w:p>
        </w:tc>
        <w:tc>
          <w:tcPr>
            <w:tcW w:w="5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A-12</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on Deposited Securities; Sales</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A-12</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 Dates</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A-15</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of Deposited Securities</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A-15</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Affecting Deposited Securities</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A-18</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Exoneration</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A-19</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of Depositary; the Custodian</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A-23</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A-24</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A-25</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Acknowledgements and Agreements</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A-29</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A-29</w:t>
            </w:r>
          </w:p>
        </w:tc>
      </w:tr>
      <w:tr>
        <w:trPr/>
        <w:tc>
          <w:tcPr>
            <w:tcW w:w="7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w:t>
            </w:r>
          </w:p>
        </w:tc>
        <w:tc>
          <w:tcPr>
            <w:tcW w:w="5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A-30</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Elective Distributions in Cash or Shares</w:t>
            </w:r>
          </w:p>
        </w:tc>
        <w:tc>
          <w:tcPr>
            <w:tcW w:w="5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A-32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jc w:val="right"/>
        <w:rPr/>
      </w:pPr>
      <w:r>
        <w:rPr/>
        <w:drawing>
          <wp:inline distT="0" distB="0" distL="0" distR="0">
            <wp:extent cx="178117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DEPOSIT AGREEMENT, dated as of __________ __, 2025 (the "</w:t>
      </w:r>
      <w:r>
        <w:rPr>
          <w:rFonts w:ascii="Times New Roman;Times;Serif" w:hAnsi="Times New Roman;Times;Serif"/>
          <w:b/>
          <w:i w:val="false"/>
          <w:caps w:val="false"/>
          <w:smallCaps w:val="false"/>
          <w:sz w:val="20"/>
        </w:rPr>
        <w:t>Deposit Agreement</w:t>
      </w:r>
      <w:r>
        <w:rPr>
          <w:rFonts w:ascii="Times New Roman;Times;Serif" w:hAnsi="Times New Roman;Times;Serif"/>
          <w:b w:val="false"/>
          <w:i w:val="false"/>
          <w:caps w:val="false"/>
          <w:smallCaps w:val="false"/>
          <w:sz w:val="20"/>
        </w:rPr>
        <w:t>"), among AMBER INTERNATIONAL HOLDING LIMITED, a company incorporated under the laws of the Cayman Islands, and its successors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JPMORGAN CHASE BANK, N.A., a national banking association organized under the laws of the United States of America, as depositary hereunder (in such capacity,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and all Holders (as defined below) and Beneficial Owners (as defined below) from time to time of American depositary receipts issued hereunder evidencing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representing deposited Shares (as defined below). The Company hereby appoints the Depositary as depositary for the Deposited Securities (as defined below) and hereby authorizes and directs the Depositary to act in accordance with the terms set forth in this Deposit Agreement. All capitalized terms used herein have the meanings ascribed to them in Section 1 or elsewhere in this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(fka as iClick Interactive Asia Group Limited) and the Depositary entered into a Deposit Agreement, dated as of December 21, 2017 (as previously amended, the "</w:t>
      </w:r>
      <w:r>
        <w:rPr>
          <w:rFonts w:ascii="Times New Roman;Times;Serif" w:hAnsi="Times New Roman;Times;Serif"/>
          <w:b/>
          <w:i w:val="false"/>
          <w:caps w:val="false"/>
          <w:smallCaps w:val="false"/>
          <w:sz w:val="20"/>
        </w:rPr>
        <w:t>Prior Deposit Agreement</w:t>
      </w:r>
      <w:r>
        <w:rPr>
          <w:rFonts w:ascii="Times New Roman;Times;Serif" w:hAnsi="Times New Roman;Times;Serif"/>
          <w:b w:val="false"/>
          <w:i w:val="false"/>
          <w:caps w:val="false"/>
          <w:smallCaps w:val="false"/>
          <w:sz w:val="20"/>
        </w:rPr>
        <w:t>") for the purposes set forth therein, for the creation of American depositary shares representing the Shares (as defined below) so deposited and for the execution and delivery of American depositary receipts ("</w:t>
      </w:r>
      <w:r>
        <w:rPr>
          <w:rFonts w:ascii="Times New Roman;Times;Serif" w:hAnsi="Times New Roman;Times;Serif"/>
          <w:b/>
          <w:i w:val="false"/>
          <w:caps w:val="false"/>
          <w:smallCaps w:val="false"/>
          <w:sz w:val="20"/>
        </w:rPr>
        <w:t>Prior Receipts</w:t>
      </w:r>
      <w:r>
        <w:rPr>
          <w:rFonts w:ascii="Times New Roman;Times;Serif" w:hAnsi="Times New Roman;Times;Serif"/>
          <w:b w:val="false"/>
          <w:i w:val="false"/>
          <w:caps w:val="false"/>
          <w:smallCaps w:val="false"/>
          <w:sz w:val="20"/>
        </w:rPr>
        <w:t>") evidencing the American depositary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Prior Deposit Agreement, the Company and the Depositary wish to amend and restate the Prior Deposit Agreement and the Prior Receipts;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subject to Section 24 hereof, the parties hereto hereby amend and restate the Prior Deposit Agreement and the Prior Receipts in their entirety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Certain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ADR Register</w:t>
      </w:r>
      <w:r>
        <w:rPr>
          <w:rFonts w:ascii="Times New Roman;Times;Serif" w:hAnsi="Times New Roman;Times;Serif"/>
          <w:b w:val="false"/>
          <w:i w:val="false"/>
          <w:caps w:val="false"/>
          <w:smallCaps w:val="false"/>
          <w:sz w:val="20"/>
        </w:rPr>
        <w:t>" is defined in paragraph (3) of the form of ADR (</w:t>
      </w:r>
      <w:r>
        <w:rPr>
          <w:rFonts w:ascii="Times New Roman;Times;Serif" w:hAnsi="Times New Roman;Times;Serif"/>
          <w:b w:val="false"/>
          <w:i/>
          <w:caps w:val="false"/>
          <w:smallCaps w:val="false"/>
          <w:sz w:val="20"/>
        </w:rPr>
        <w:t>Transfers, Split-Ups and Combinations of ADRs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ADRs</w:t>
      </w:r>
      <w:r>
        <w:rPr>
          <w:rFonts w:ascii="Times New Roman;Times;Serif" w:hAnsi="Times New Roman;Times;Serif"/>
          <w:b w:val="false"/>
          <w:i w:val="false"/>
          <w:caps w:val="false"/>
          <w:smallCaps w:val="false"/>
          <w:sz w:val="20"/>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Times New Roman;Times;Serif" w:hAnsi="Times New Roman;Times;Serif"/>
          <w:b/>
          <w:i w:val="false"/>
          <w:caps w:val="false"/>
          <w:smallCaps w:val="false"/>
          <w:sz w:val="20"/>
        </w:rPr>
        <w:t>form of ADR</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Direct Registration ADR</w:t>
      </w:r>
      <w:r>
        <w:rPr>
          <w:rFonts w:ascii="Times New Roman;Times;Serif" w:hAnsi="Times New Roman;Times;Serif"/>
          <w:b w:val="false"/>
          <w:i w:val="false"/>
          <w:caps w:val="false"/>
          <w:smallCaps w:val="false"/>
          <w:sz w:val="20"/>
        </w:rPr>
        <w:t>" means an ADR, the ownership of which is recorded on the Direct Registration System. References to "ADRs" shall include certificated ADRs and Direct Registration ADRs, unless the context otherwise requires. The form of ADR is hereby incorporated herein and made a part hereof; the provisions of the form of ADR shall be binding upon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1 </w:t>
      </w:r>
    </w:p>
    <w:p>
      <w:pPr>
        <w:pStyle w:val="TextBody"/>
        <w:bidi w:val="0"/>
        <w:spacing w:before="0" w:after="0"/>
        <w:jc w:val="right"/>
        <w:rPr/>
      </w:pPr>
      <w:r>
        <w:rPr/>
        <w:drawing>
          <wp:inline distT="0" distB="0" distL="0" distR="0">
            <wp:extent cx="1781175" cy="295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paragraph (13) of the form of ADR (</w:t>
      </w:r>
      <w:r>
        <w:rPr>
          <w:rFonts w:ascii="Times New Roman;Times;Serif" w:hAnsi="Times New Roman;Times;Serif"/>
          <w:b w:val="false"/>
          <w:i/>
          <w:caps w:val="false"/>
          <w:smallCaps w:val="false"/>
          <w:sz w:val="20"/>
        </w:rPr>
        <w:t>Changes Affecting Deposited Securities</w:t>
      </w:r>
      <w:r>
        <w:rPr>
          <w:rFonts w:ascii="Times New Roman;Times;Serif" w:hAnsi="Times New Roman;Times;Serif"/>
          <w:b w:val="false"/>
          <w:i w:val="false"/>
          <w:caps w:val="false"/>
          <w:smallCaps w:val="false"/>
          <w:sz w:val="20"/>
        </w:rPr>
        <w:t>), each "</w:t>
      </w: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evidenced by an ADR represents the right to receive, and to exercise the beneficial ownership interests in, the number of Shares specified in the form of ADR attached hereto as Exhibit A (as may be amended from time to time) that are on deposit with the Depositary and/or the Custodian and a pro rata share in any other Deposited Securities, subject, in each case, to the terms of this Deposit Agreement and the ADSs. The ADS(s)-to-Share(s) ratio is subject to amendment as provided in the form of ADR (which may give rise to fees contemplated in paragraph (7) thereof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means as to any ADS, any person or entity having a beneficial ownership interest in such ADS. A Beneficial Owner need not be the Holder of the ADR evidencing such ADS. If a Beneficial Owner of ADSs is not a Holder, it must rely on the Holder of the ADR(s) evidencing such ADSs in order to assert any rights or receive any benefits under this Deposit Agreement. The arrangements between a Beneficial Owner of ADSs and the Holder of the corresponding ADRs may affect the Beneficial Owner's ability to exercise any rights it may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the agent or agents of the Depositary (singly or collectively, as the context requires) and any additional or substitute Custodian appointed pursuant to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terms "</w:t>
      </w:r>
      <w:r>
        <w:rPr>
          <w:rFonts w:ascii="Times New Roman;Times;Serif" w:hAnsi="Times New Roman;Times;Serif"/>
          <w:b/>
          <w:i w:val="false"/>
          <w:caps w:val="false"/>
          <w:smallCaps w:val="false"/>
          <w:sz w:val="20"/>
        </w:rPr>
        <w:t>deliver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execute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issue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surrender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cancel</w:t>
      </w:r>
      <w:r>
        <w:rPr>
          <w:rFonts w:ascii="Times New Roman;Times;Serif" w:hAnsi="Times New Roman;Times;Serif"/>
          <w:b w:val="false"/>
          <w:i w:val="false"/>
          <w:caps w:val="false"/>
          <w:smallCaps w:val="false"/>
          <w:sz w:val="20"/>
        </w:rPr>
        <w:t>," when used with respect to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Delivery Order</w:t>
      </w:r>
      <w:r>
        <w:rPr>
          <w:rFonts w:ascii="Times New Roman;Times;Serif" w:hAnsi="Times New Roman;Times;Serif"/>
          <w:b w:val="false"/>
          <w:i w:val="false"/>
          <w:caps w:val="false"/>
          <w:smallCaps w:val="false"/>
          <w:sz w:val="20"/>
        </w:rPr>
        <w:t>" is defined in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Deposited Securities</w:t>
      </w:r>
      <w:r>
        <w:rPr>
          <w:rFonts w:ascii="Times New Roman;Times;Serif" w:hAnsi="Times New Roman;Times;Serif"/>
          <w:b w:val="false"/>
          <w:i w:val="false"/>
          <w:caps w:val="false"/>
          <w:smallCaps w:val="false"/>
          <w:sz w:val="20"/>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 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2 </w:t>
      </w:r>
    </w:p>
    <w:p>
      <w:pPr>
        <w:pStyle w:val="TextBody"/>
        <w:bidi w:val="0"/>
        <w:spacing w:before="0" w:after="0"/>
        <w:jc w:val="right"/>
        <w:rPr/>
      </w:pPr>
      <w:r>
        <w:rPr/>
        <w:drawing>
          <wp:inline distT="0" distB="0" distL="0" distR="0">
            <wp:extent cx="1781175" cy="295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Direct Registration System</w:t>
      </w:r>
      <w:r>
        <w:rPr>
          <w:rFonts w:ascii="Times New Roman;Times;Serif" w:hAnsi="Times New Roman;Times;Serif"/>
          <w:b w:val="false"/>
          <w:i w:val="false"/>
          <w:caps w:val="false"/>
          <w:smallCaps w:val="false"/>
          <w:sz w:val="20"/>
        </w:rPr>
        <w:t>" means the system for the uncertificated registration of ownership of securities established by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the person or persons in whose name an ADR is registered on the ADR Register. For all purposes under the Deposit Agreement and the ADRs, a Holder shall be deemed to have all requisite authority to act on behalf of any and all Beneficial Owners of the ADSs evidenced by the ADR(s) registered in such Holder's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Removal Notice Date</w:t>
      </w:r>
      <w:r>
        <w:rPr>
          <w:rFonts w:ascii="Times New Roman;Times;Serif" w:hAnsi="Times New Roman;Times;Serif"/>
          <w:b w:val="false"/>
          <w:i w:val="false"/>
          <w:caps w:val="false"/>
          <w:smallCaps w:val="false"/>
          <w:sz w:val="20"/>
        </w:rPr>
        <w:t>" means the earliest date on which the Company provided notice of removal to the Depositary pursuant to Section 12(b) of this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Resignation Notice Date</w:t>
      </w:r>
      <w:r>
        <w:rPr>
          <w:rFonts w:ascii="Times New Roman;Times;Serif" w:hAnsi="Times New Roman;Times;Serif"/>
          <w:b w:val="false"/>
          <w:i w:val="false"/>
          <w:caps w:val="false"/>
          <w:smallCaps w:val="false"/>
          <w:sz w:val="20"/>
        </w:rPr>
        <w:t>" means the date on which the Depositary provided notice of its resignation to the Company pursuant to Section 12(a) of this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Securities Act of 1933</w:t>
      </w:r>
      <w:r>
        <w:rPr>
          <w:rFonts w:ascii="Times New Roman;Times;Serif" w:hAnsi="Times New Roman;Times;Serif"/>
          <w:b w:val="false"/>
          <w:i w:val="false"/>
          <w:caps w:val="false"/>
          <w:smallCaps w:val="false"/>
          <w:sz w:val="20"/>
        </w:rPr>
        <w:t>" means the United States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Securities Exchange Act of 1934</w:t>
      </w:r>
      <w:r>
        <w:rPr>
          <w:rFonts w:ascii="Times New Roman;Times;Serif" w:hAnsi="Times New Roman;Times;Serif"/>
          <w:b w:val="false"/>
          <w:i w:val="false"/>
          <w:caps w:val="false"/>
          <w:smallCaps w:val="false"/>
          <w:sz w:val="20"/>
        </w:rPr>
        <w:t>" means the United States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 the class A ordinary shares of the Company, and shall include the rights to receive Shares specified in paragraph (1) of the form of ADR (</w:t>
      </w:r>
      <w:r>
        <w:rPr>
          <w:rFonts w:ascii="Times New Roman;Times;Serif" w:hAnsi="Times New Roman;Times;Serif"/>
          <w:b w:val="false"/>
          <w:i/>
          <w:caps w:val="false"/>
          <w:smallCaps w:val="false"/>
          <w:sz w:val="20"/>
        </w:rPr>
        <w:t>Issuance of ADSs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means the date this Deposit Agreement is terminated in accordance with paragraph (17) of the form of ADR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which, for the avoidance of doubt, shall be either (i) the date fixed for termination in a notice of termination as contemplated therein or (ii) a date determined by the Depositary in the case of a termination not requiring prior notice of termination as contemplated in subparagraph (a)(iii)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Transfer Office</w:t>
      </w:r>
      <w:r>
        <w:rPr>
          <w:rFonts w:ascii="Times New Roman;Times;Serif" w:hAnsi="Times New Roman;Times;Serif"/>
          <w:b w:val="false"/>
          <w:i w:val="false"/>
          <w:caps w:val="false"/>
          <w:smallCaps w:val="false"/>
          <w:sz w:val="20"/>
        </w:rPr>
        <w:t>" is defined in paragraph (3) of the form of ADR (</w:t>
      </w:r>
      <w:r>
        <w:rPr>
          <w:rFonts w:ascii="Times New Roman;Times;Serif" w:hAnsi="Times New Roman;Times;Serif"/>
          <w:b w:val="false"/>
          <w:i/>
          <w:caps w:val="false"/>
          <w:smallCaps w:val="false"/>
          <w:sz w:val="20"/>
        </w:rPr>
        <w:t>Transfers, Split-Ups and Combinations of ADRs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Withdrawal Order</w:t>
      </w:r>
      <w:r>
        <w:rPr>
          <w:rFonts w:ascii="Times New Roman;Times;Serif" w:hAnsi="Times New Roman;Times;Serif"/>
          <w:b w:val="false"/>
          <w:i w:val="false"/>
          <w:caps w:val="false"/>
          <w:smallCaps w:val="false"/>
          <w:sz w:val="20"/>
        </w:rPr>
        <w:t>" is defined in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3 </w:t>
      </w:r>
    </w:p>
    <w:p>
      <w:pPr>
        <w:pStyle w:val="TextBody"/>
        <w:bidi w:val="0"/>
        <w:spacing w:before="0" w:after="0"/>
        <w:jc w:val="right"/>
        <w:rPr/>
      </w:pPr>
      <w:r>
        <w:rPr/>
        <w:drawing>
          <wp:inline distT="0" distB="0" distL="0" distR="0">
            <wp:extent cx="1781175" cy="295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Form of ADRs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Direct Registration ADRs</w:t>
      </w:r>
      <w:r>
        <w:rPr>
          <w:rFonts w:ascii="Times New Roman;Times;Serif" w:hAnsi="Times New Roman;Times;Serif"/>
          <w:b w:val="false"/>
          <w:i w:val="false"/>
          <w:caps w:val="false"/>
          <w:smallCaps w:val="false"/>
          <w:sz w:val="20"/>
        </w:rPr>
        <w:t>. Notwithstanding anything in this Deposit Agreement or in the form of ADR to the contrary, ADSs shall be evidenced by Direct Registration ADRs, unless certificated ADRs are specifically requested by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Certificated ADRs</w:t>
      </w:r>
      <w:r>
        <w:rPr>
          <w:rFonts w:ascii="Times New Roman;Times;Serif" w:hAnsi="Times New Roman;Times;Serif"/>
          <w:b w:val="false"/>
          <w:i w:val="false"/>
          <w:caps w:val="false"/>
          <w:smallCaps w:val="false"/>
          <w:sz w:val="20"/>
        </w:rPr>
        <w:t>. ADRs in certificated form shall be printed or otherwise reproduced at the discretion of the Depositary in accordance with its 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ADRs in certificated form bearing the manual or facsimile signature of anyone who was at the time of execution a duly authorized officer of the Depositary shall bind the Depositary, notwithstanding that such officer has ceased to hold such office prior to the delivery of such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Binding Effect. </w:t>
      </w:r>
      <w:r>
        <w:rPr>
          <w:rFonts w:ascii="Times New Roman;Times;Serif" w:hAnsi="Times New Roman;Times;Serif"/>
          <w:b w:val="false"/>
          <w:i w:val="false"/>
          <w:caps w:val="false"/>
          <w:smallCaps w:val="false"/>
          <w:sz w:val="20"/>
        </w:rPr>
        <w:t>Holders of ADRs, and the Beneficial Owners of the ADSs evidenced by such ADRs, shall each be bound by the terms and conditions of this Deposit Agreement and of the form of ADR, regardless of whether such ADRs are Direct Registration ADRs or certificated ADRs.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Deposit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Requirements.</w:t>
      </w:r>
      <w:r>
        <w:rPr>
          <w:rFonts w:ascii="Times New Roman;Times;Serif" w:hAnsi="Times New Roman;Times;Serif"/>
          <w:b w:val="false"/>
          <w:i w:val="false"/>
          <w:caps w:val="false"/>
          <w:smallCaps w:val="false"/>
          <w:sz w:val="20"/>
        </w:rPr>
        <w:t xml:space="preserve"> In connection with the deposit of Shares hereunder, the Depositary or the Custodian shall require a written order, in a form satisfactory to the Depositary, directing the Depositary to issue to, or upon the written order of, the person or persons designated in such order a Direct Registration ADR or ADRs evidencing the number of ADSs representing such deposited Shares (a "</w:t>
      </w:r>
      <w:r>
        <w:rPr>
          <w:rFonts w:ascii="Times New Roman;Times;Serif" w:hAnsi="Times New Roman;Times;Serif"/>
          <w:b/>
          <w:i w:val="false"/>
          <w:caps w:val="false"/>
          <w:smallCaps w:val="false"/>
          <w:sz w:val="20"/>
        </w:rPr>
        <w:t>Delivery Order</w:t>
      </w:r>
      <w:r>
        <w:rPr>
          <w:rFonts w:ascii="Times New Roman;Times;Serif" w:hAnsi="Times New Roman;Times;Serif"/>
          <w:b w:val="false"/>
          <w:i w:val="false"/>
          <w:caps w:val="false"/>
          <w:smallCaps w:val="false"/>
          <w:sz w:val="20"/>
        </w:rPr>
        <w:t>"). Shares presented for deposit shall, at the time of such deposit, be registered in the name of JPMorgan Chase Bank, N.A., as depositary for the benefit of holders of ADRs or in such other name as the Depositary shall direct. Deposited Securities shall be held by the Custodian for the account and to the order of the Depositary for the benefit of Holders of ADRs (to the extent not prohibited by law) at such place or places and in such manner as the Depositary shall determine. Notwithstanding anything else contained herein, in the form of ADR and/or in any outstanding ADSs, the Depositary, the Custodian and their respective nominees are intended to be, and shall at all times during the term of this Deposit Agreement be, the record holder(s) only of the Deposited Securities represented by the ADSs for the benefit of the Holders. The Depositary, on its own behalf and on behalf of the Custodian and their respective nominees, disclaims any beneficial ownership interest in the Deposited Securities held on behalf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4 </w:t>
      </w:r>
    </w:p>
    <w:p>
      <w:pPr>
        <w:pStyle w:val="TextBody"/>
        <w:bidi w:val="0"/>
        <w:spacing w:before="0" w:after="0"/>
        <w:jc w:val="right"/>
        <w:rPr/>
      </w:pPr>
      <w:r>
        <w:rPr/>
        <w:drawing>
          <wp:inline distT="0" distB="0" distL="0" distR="0">
            <wp:extent cx="1781175" cy="295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Delivery of Deposited Securities. </w:t>
      </w:r>
      <w:r>
        <w:rPr>
          <w:rFonts w:ascii="Times New Roman;Times;Serif" w:hAnsi="Times New Roman;Times;Serif"/>
          <w:b w:val="false"/>
          <w:i w:val="false"/>
          <w:caps w:val="false"/>
          <w:smallCaps w:val="false"/>
          <w:sz w:val="20"/>
        </w:rPr>
        <w:t>Deposited Securities may be delivered by the Custodian to any person only under the circumstances 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 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Issue of ADRs</w:t>
      </w:r>
      <w:r>
        <w:rPr>
          <w:rFonts w:ascii="Times New Roman;Times;Serif" w:hAnsi="Times New Roman;Times;Serif"/>
          <w:b w:val="false"/>
          <w:i w:val="false"/>
          <w:caps w:val="false"/>
          <w:smallCaps w:val="false"/>
          <w:sz w:val="20"/>
        </w:rPr>
        <w:t>. At the request, risk and expense of the person depositing Shares or rights to receive Shares, the Depositary may accept such Shares and/or deposits for forwarding to the Custodian and may deliver ADRs at a place other than its office. After any such deposit of Shares, the Custodian shall notify the Depositary of such deposit and of the information contained in any related Delivery Order by letter, first class airmail postage prepaid, or by SWIFT, facsimile transmission or any other method of communication as may be agreed by the Custodian and the Depositary. 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Distributions on Deposited Securities</w:t>
      </w:r>
      <w:r>
        <w:rPr>
          <w:rFonts w:ascii="Times New Roman;Times;Serif" w:hAnsi="Times New Roman;Times;Serif"/>
          <w:b w:val="false"/>
          <w:i w:val="false"/>
          <w:caps w:val="false"/>
          <w:smallCaps w:val="false"/>
          <w:sz w:val="20"/>
        </w:rPr>
        <w:t>. To the extent that the Depositary determines in its discretion that any distribution pursuant to paragraph (10) of the form of ADR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would not be permissible by applicable law, rule or regulation, or is not otherwise practicable with respect to any or all Holders, the Depositary may in its discretion make such distribution as it so deems practicable, including the distribution of some or all of any Cash (as defined in paragraph (10) of the form of ADR), foreign currency, securities or other property (or appropriate documents evidencing the right to receive some or all of any such Cash, foreign currency, securities or other property) and/or the Depositary may retain and hold some or all of such Cash, foreign currency, securities or other property as Deposited Securities with respect to the applicable Holders' ADRs (without liability for interest thereon or the investment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determines in its discretion that it would not be permitted by applicable law, rule or regulation, or it would not otherwise be practicable, to convert foreign currency into U.S. dollars and/or distribute U.S. dollars to some or all of the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Holders entitled to receive the same.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5 </w:t>
      </w:r>
    </w:p>
    <w:p>
      <w:pPr>
        <w:pStyle w:val="TextBody"/>
        <w:bidi w:val="0"/>
        <w:spacing w:before="0" w:after="0"/>
        <w:jc w:val="right"/>
        <w:rPr/>
      </w:pPr>
      <w:r>
        <w:rPr/>
        <w:drawing>
          <wp:inline distT="0" distB="0" distL="0" distR="0">
            <wp:extent cx="1781175" cy="295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retains and holds any Cash, foreign currency, securities or other property as permitted under this Section 5 or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of the form of ADR, any and all fees, charges and expenses related to, or arising from, the holding thereof (including, but not limited to those provided in paragraph (7) of the form of ADR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shall be paid from such Cash, foreign currency, securities or other property, or the net proceeds from the sale thereof, thereby reducing the amount so held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Withdrawal, Delivery and Transfer of Deposited Securities.</w:t>
      </w:r>
      <w:r>
        <w:rPr>
          <w:rFonts w:ascii="Times New Roman;Times;Serif" w:hAnsi="Times New Roman;Times;Serif"/>
          <w:b w:val="false"/>
          <w:i w:val="false"/>
          <w:caps w:val="false"/>
          <w:smallCaps w:val="false"/>
          <w:sz w:val="20"/>
        </w:rPr>
        <w:t xml:space="preserve"> In connection with any surrender of ADRs for withdrawal of the Deposited Securities represented by the ADSs evidenced thereby, in addition to the requirements of paragraph (7) of the form of ADR, the Depositary may require proper endorsement in blank of any certificated ADRs evidencing such ADSs and/or duly executed instruments of transfer of such ADSs in blank, together with the Holder's written order directing the Depositary to cause the Deposited Securities represented by such ADSs to be withdrawn and delivered to, or upon the written order of, any person designated in such order (a "</w:t>
      </w:r>
      <w:r>
        <w:rPr>
          <w:rFonts w:ascii="Times New Roman;Times;Serif" w:hAnsi="Times New Roman;Times;Serif"/>
          <w:b/>
          <w:i w:val="false"/>
          <w:caps w:val="false"/>
          <w:smallCaps w:val="false"/>
          <w:sz w:val="20"/>
        </w:rPr>
        <w:t>Withdrawal Order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request, risk and expense of the Holder hereof, the Depositary may deliver such Deposited Securities (including any certificates therefor) at a place other than its office. Directions from the Depositary to the Custodian to deliver Deposited Securities shall be given by letter, first class airmail postage prepaid, or by SWIFT, facsimile transmission or any other method of communication as may be agreed by the Custodian and the Depositary. Delivery of Deposited Securities may be made by the delivery of certificates (which, if required by law shall be properly endorsed or accompanied by properly executed instruments of transfer or, if such certificates may be registered, registered in the name of such Holder or as ordered by such Holder in any Withdrawal Order) or by such other means as the Depositary may deem practicable, including, without limitation, by transfer of record ownership thereof to an account designated in the Withdrawal Order maintained either by the Company or an accredited intermediary, such as a bank, acting as a registrar for the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cooperate with the Depositary and to take all actions, and to instruct and cause any registrar and/or transfer agent of the Deposited Securities to take all such actions, as may be requested by the Depositary, or are otherwise necessary or required, to effectuate the withdrawal, delivery and/or transfer of the Deposited Securities, including, without limitation, providing a deed of undertaking as set forth in or substantially in the form of Exhibit B. The obligations of the Company set forth in this Section 6 shall survive the termination of the Deposit Agreement until all ADSs issued by the Depositary have been cancelled.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6 </w:t>
      </w:r>
    </w:p>
    <w:p>
      <w:pPr>
        <w:pStyle w:val="TextBody"/>
        <w:bidi w:val="0"/>
        <w:spacing w:before="0" w:after="0"/>
        <w:jc w:val="right"/>
        <w:rPr/>
      </w:pPr>
      <w:r>
        <w:rPr/>
        <w:drawing>
          <wp:inline distT="0" distB="0" distL="0" distR="0">
            <wp:extent cx="1781175" cy="295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Substitution of ADRs</w:t>
      </w:r>
      <w:r>
        <w:rPr>
          <w:rFonts w:ascii="Times New Roman;Times;Serif" w:hAnsi="Times New Roman;Times;Serif"/>
          <w:b w:val="false"/>
          <w:i w:val="false"/>
          <w:caps w:val="false"/>
          <w:smallCaps w:val="false"/>
          <w:sz w:val="20"/>
        </w:rPr>
        <w:t>. The Depositary shall execute and deliver a new Direct Registration ADR in exchange and substitution for any mutilated 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Cancellation and Destruction of ADRs.</w:t>
      </w:r>
      <w:r>
        <w:rPr>
          <w:rFonts w:ascii="Times New Roman;Times;Serif" w:hAnsi="Times New Roman;Times;Serif"/>
          <w:b w:val="false"/>
          <w:i w:val="false"/>
          <w:caps w:val="false"/>
          <w:smallCaps w:val="false"/>
          <w:sz w:val="20"/>
        </w:rPr>
        <w:t xml:space="preserve"> All ADRs surrendered to the Depositary shall be cancelled by the Depositary. The Depositary is authorized to destroy ADRs in certificated form so cancelled in accordance with its customary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The Custodian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Rights of the Depositary</w:t>
      </w:r>
      <w:r>
        <w:rPr>
          <w:rFonts w:ascii="Times New Roman;Times;Serif" w:hAnsi="Times New Roman;Times;Serif"/>
          <w:b w:val="false"/>
          <w:i w:val="false"/>
          <w:caps w:val="false"/>
          <w:smallCaps w:val="false"/>
          <w:sz w:val="20"/>
        </w:rPr>
        <w:t>. Any Custodian in acting hereunder shall be subject to the directions of the Depositary and shall be responsible solely to it. The Depositary reserves the right to add, replace or remove a Custodian. The Depositary will give prompt notice of any such action, which will be advance notice if practicable. The Depositary may discharge any Custodian at any time upon notice to the Custodian being discharged.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Rights of the Custodian.</w:t>
      </w:r>
      <w:r>
        <w:rPr>
          <w:rFonts w:ascii="Times New Roman;Times;Serif" w:hAnsi="Times New Roman;Times;Serif"/>
          <w:b w:val="false"/>
          <w:i w:val="false"/>
          <w:caps w:val="false"/>
          <w:smallCaps w:val="false"/>
          <w:sz w:val="20"/>
        </w:rPr>
        <w:t xml:space="preserve"> Any Custodian may resign from its duties hereunder in the manner permitted by any custodial agreement then in effect between the Depositary and the Custodian. Any Custodian ceasing to act hereunder as Custodian shall deliver, upon the instruction of the Depositary, all Deposited Securities held by it to a Custodian continuing to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Deposit Agreement (including the ADRs) and, subject to the further limitations set forth in clause (q) of paragraph (14) of the form of ADR (</w:t>
      </w:r>
      <w:r>
        <w:rPr>
          <w:rFonts w:ascii="Times New Roman;Times;Serif" w:hAnsi="Times New Roman;Times;Serif"/>
          <w:b w:val="false"/>
          <w:i/>
          <w:caps w:val="false"/>
          <w:smallCaps w:val="false"/>
          <w:sz w:val="20"/>
        </w:rPr>
        <w:t>Exoneration</w:t>
      </w:r>
      <w:r>
        <w:rPr>
          <w:rFonts w:ascii="Times New Roman;Times;Serif" w:hAnsi="Times New Roman;Times;Serif"/>
          <w:b w:val="false"/>
          <w:i w:val="false"/>
          <w:caps w:val="false"/>
          <w:smallCaps w:val="false"/>
          <w:sz w:val="20"/>
        </w:rPr>
        <w:t>),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Lists of Holders</w:t>
      </w:r>
      <w:r>
        <w:rPr>
          <w:rFonts w:ascii="Times New Roman;Times;Serif" w:hAnsi="Times New Roman;Times;Serif"/>
          <w:b w:val="false"/>
          <w:i w:val="false"/>
          <w:caps w:val="false"/>
          <w:smallCaps w:val="false"/>
          <w:sz w:val="20"/>
        </w:rPr>
        <w:t>. The Company shall have the right to inspect transfer records of the Depositary and its agents and the ADR Register, take copies thereof and require the Depositary and its agents to supply copies of such portions of such records as the Company may request. The Depositary or its agents shall furnish to the Company promptly upon the written request of the Company, a list of the names, addresses and holdings of ADSs by all Holders as of a date within seven (7) days of the Depositary's receipt of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7 </w:t>
      </w:r>
    </w:p>
    <w:p>
      <w:pPr>
        <w:pStyle w:val="TextBody"/>
        <w:bidi w:val="0"/>
        <w:spacing w:before="0" w:after="0"/>
        <w:jc w:val="right"/>
        <w:rPr/>
      </w:pPr>
      <w:r>
        <w:rPr/>
        <w:drawing>
          <wp:inline distT="0" distB="0" distL="0" distR="0">
            <wp:extent cx="1781175" cy="295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Depositary's Agents</w:t>
      </w:r>
      <w:r>
        <w:rPr>
          <w:rFonts w:ascii="Times New Roman;Times;Serif" w:hAnsi="Times New Roman;Times;Serif"/>
          <w:b w:val="false"/>
          <w:i w:val="false"/>
          <w:caps w:val="false"/>
          <w:smallCaps w:val="false"/>
          <w:sz w:val="20"/>
        </w:rPr>
        <w:t>. The Depositary may perform its obligations under this Deposit Agreement through any agent appointed by it, provided that the Depositary shall notify the Company of such appointment and shall remain responsible for the performance of such obligations as if no agent were appointed, subject to paragraph (14) of the form of ADR (</w:t>
      </w:r>
      <w:r>
        <w:rPr>
          <w:rFonts w:ascii="Times New Roman;Times;Serif" w:hAnsi="Times New Roman;Times;Serif"/>
          <w:b w:val="false"/>
          <w:i/>
          <w:caps w:val="false"/>
          <w:smallCaps w:val="false"/>
          <w:sz w:val="20"/>
        </w:rPr>
        <w:t>Exoneration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Resignation and Removal of the Depositary; Appointment of Successor 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Resignation of the Depositary</w:t>
      </w:r>
      <w:r>
        <w:rPr>
          <w:rFonts w:ascii="Times New Roman;Times;Serif" w:hAnsi="Times New Roman;Times;Serif"/>
          <w:b w:val="false"/>
          <w:i w:val="false"/>
          <w:caps w:val="false"/>
          <w:smallCaps w:val="false"/>
          <w:sz w:val="20"/>
        </w:rPr>
        <w:t>. The Depositary may at any time resign as Depositary by providing written notice of its election to do so delivered to the Company. Subject to subparagraph (c) below, the Depositary's resignation shall take effect upon the Company's appointment of a successor depositary and such successor depositary's acceptance of its appointment as provided in Section 12(d) below.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Removal of the Depositary</w:t>
      </w:r>
      <w:r>
        <w:rPr>
          <w:rFonts w:ascii="Times New Roman;Times;Serif" w:hAnsi="Times New Roman;Times;Serif"/>
          <w:b w:val="false"/>
          <w:i w:val="false"/>
          <w:caps w:val="false"/>
          <w:smallCaps w:val="false"/>
          <w:sz w:val="20"/>
        </w:rPr>
        <w:t>. The Depositary may at any time be removed by the Company by providing no less than sixty (60) days' prior written notice of such removal to the Depositary. Subject to subparagraph (c) below, such removal shall take effect on the later of (i) the sixtieth (60th) day after the Removal Notice Date and (ii) the Company's appointment of a successor depositary and such successor depositary's acceptance of its appointment as provided in Section 12(d) below.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either the Depositary provides notice of its resignation (pursuant to Section 12(a)) or the Company provides notice of the Depositary's removal (pursuant to Section 12(b)), and a successor depositary is not appointed by the sixtieth (60th) day after the Resignation Notice Date or the Removal Notice Date, respectively, the Depositary may terminate this Deposit Agreement and the ADR in the manner set out in paragraph (17) of the form of ADR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and the provisions of said paragraph (17) shall thereafter govern the Depositary's obligations hereunder.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Appointment of Successor Depositary</w:t>
      </w:r>
      <w:r>
        <w:rPr>
          <w:rFonts w:ascii="Times New Roman;Times;Serif" w:hAnsi="Times New Roman;Times;Serif"/>
          <w:b w:val="false"/>
          <w:i w:val="false"/>
          <w:caps w:val="false"/>
          <w:smallCaps w:val="false"/>
          <w:sz w:val="20"/>
        </w:rPr>
        <w:t>. If the Depositary provides notice of its resignation pursuant to Section 12(a) above or the Company provides notice of the Depositary's removal pursuant to Section 12(b) above, the Company shall use 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 (i) execute and deliver an instrument transferring to such successor all rights and powers of such predecessor hereunder (other than its rights to indemnification and fees owing, each of which shall survive any such removal and/or resignation), (ii) duly assign, transfer and deliver all right, title and interest to the Deposited Securities to such successor, and (iii) 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8 </w:t>
      </w:r>
    </w:p>
    <w:p>
      <w:pPr>
        <w:pStyle w:val="TextBody"/>
        <w:bidi w:val="0"/>
        <w:spacing w:before="0" w:after="0"/>
        <w:jc w:val="right"/>
        <w:rPr/>
      </w:pPr>
      <w:r>
        <w:rPr/>
        <w:drawing>
          <wp:inline distT="0" distB="0" distL="0" distR="0">
            <wp:extent cx="1781175" cy="295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Compliance with Securities Exchange Act of 1934 Reporting and Other Requirements; Reports.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Securities Exchange Act of 1934. </w:t>
      </w:r>
      <w:r>
        <w:rPr>
          <w:rFonts w:ascii="Times New Roman;Times;Serif" w:hAnsi="Times New Roman;Times;Serif"/>
          <w:b w:val="false"/>
          <w:i w:val="false"/>
          <w:caps w:val="false"/>
          <w:smallCaps w:val="false"/>
          <w:sz w:val="20"/>
        </w:rPr>
        <w:t>The Company represents and warrants continuously that (i) the statements in paragraph (8) of the form of ADR (</w:t>
      </w:r>
      <w:r>
        <w:rPr>
          <w:rFonts w:ascii="Times New Roman;Times;Serif" w:hAnsi="Times New Roman;Times;Serif"/>
          <w:b w:val="false"/>
          <w:i/>
          <w:caps w:val="false"/>
          <w:smallCaps w:val="false"/>
          <w:sz w:val="20"/>
        </w:rPr>
        <w:t>Available Information</w:t>
      </w:r>
      <w:r>
        <w:rPr>
          <w:rFonts w:ascii="Times New Roman;Times;Serif" w:hAnsi="Times New Roman;Times;Serif"/>
          <w:b w:val="false"/>
          <w:i w:val="false"/>
          <w:caps w:val="false"/>
          <w:smallCaps w:val="false"/>
          <w:sz w:val="20"/>
        </w:rPr>
        <w:t>) attached hereto as Exhibit A or, if applicable, most recently filed with the Commission are true and correct and (ii) it is in compliance with the registration, reporting and other requirements of the Securities Exchange Act of 1934. These representations and warranties of the Company shall survive the date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covenants and agrees to publish and file all reports, and to take all other actions, necessary and/or required to remain in compliance with the requirements of the Securities Exchange Act of 1934, as and when required. The Company agrees to notify the Depositary promptly in the event of any change in the truth or accuracy of, or noncompliance with, any of the representations, warranties, covenants and agreements contained in this Section 13(a) and paragraph (8) of the form of ADR (</w:t>
      </w:r>
      <w:r>
        <w:rPr>
          <w:rFonts w:ascii="Times New Roman;Times;Serif" w:hAnsi="Times New Roman;Times;Serif"/>
          <w:b w:val="false"/>
          <w:i/>
          <w:caps w:val="false"/>
          <w:smallCaps w:val="false"/>
          <w:sz w:val="20"/>
        </w:rPr>
        <w:t>Available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Depositary (i) is relying, and may so rely, solely on the Company's representations, warranties, covenants and agreements in this Section 13(a) and paragraph (8) of the form of ADR (</w:t>
      </w:r>
      <w:r>
        <w:rPr>
          <w:rFonts w:ascii="Times New Roman;Times;Serif" w:hAnsi="Times New Roman;Times;Serif"/>
          <w:b w:val="false"/>
          <w:i/>
          <w:caps w:val="false"/>
          <w:smallCaps w:val="false"/>
          <w:sz w:val="20"/>
        </w:rPr>
        <w:t>Available Information</w:t>
      </w:r>
      <w:r>
        <w:rPr>
          <w:rFonts w:ascii="Times New Roman;Times;Serif" w:hAnsi="Times New Roman;Times;Serif"/>
          <w:b w:val="false"/>
          <w:i w:val="false"/>
          <w:caps w:val="false"/>
          <w:smallCaps w:val="false"/>
          <w:sz w:val="20"/>
        </w:rPr>
        <w:t>), (ii) does not assume any duty or responsibility to determine if the Company is in compliance with the registration, reporting and other requirements of the Securities Exchange Act of 1934, and (iii) may, and is expressly authorized by the Company to, represent, warrant and certify that, based on such ongoing representations, warranties, covenants and agreements of the Company, the Company is in compliance with the registration, reporting and other requirements of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xml:space="preserve"> On or before the first date on which the Company makes any communication available to holders of Deposited Securities or any securities 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9 </w:t>
      </w:r>
    </w:p>
    <w:p>
      <w:pPr>
        <w:pStyle w:val="TextBody"/>
        <w:bidi w:val="0"/>
        <w:spacing w:before="0" w:after="0"/>
        <w:jc w:val="right"/>
        <w:rPr/>
      </w:pPr>
      <w:r>
        <w:rPr/>
        <w:drawing>
          <wp:inline distT="0" distB="0" distL="0" distR="0">
            <wp:extent cx="1781175" cy="295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The Company agrees with the Depositary that neither the Company nor any company controlling, controlled by or under common control with the Company shall (a) issue (i) additional Shares, (ii) rights to subscribe for Shares, (iii) securities convertible into or exchangeable for Shares or (iv) rights to subscribe for any such securities or (b) deposit any Shares under this Deposit Agreement, except, in each case, under circumstances complying in all respects with the Securities Act of 1933. At the reasonable request of the Depositary where it deems necessary, the Company will furnish the Depositary with legal opinions, in forms and from counsels reasonably acceptable to the Depositary, dealing with such issues requested by the Depositary. The Depositary will not knowingly accept for deposit hereunder any Shares required to be registered under the Securities Act of 1933 unless a registration statement is in effect and will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securities laws, rules and regulations of the United States, including, but not limited to, the Securities Act of 1933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by the Company</w:t>
      </w:r>
      <w:r>
        <w:rPr>
          <w:rFonts w:ascii="Times New Roman;Times;Serif" w:hAnsi="Times New Roman;Times;Serif"/>
          <w:b w:val="false"/>
          <w:i w:val="false"/>
          <w:caps w:val="false"/>
          <w:smallCaps w:val="false"/>
          <w:sz w:val="20"/>
        </w:rPr>
        <w:t xml:space="preserve">. The Company shall indemnify, defend and save harmless each of the Depositary, the Custodian and their respective directors, officers, employees, agents and affiliates against any loss, liability or expense (including reasonable fees and expenses of counsel) that may arise out of acts performed or omitted, in connection with the provisions of this Deposit Agreement and of the ADRs, as the same may be amended, modified or supplemented from time to time in accordance herewith (i) by either the Depositary or a Custodian 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 including, without limitation, if any of the representations and warranties of the Company contained in Section 13 hereof and/or paragraph 8 of the form of ADR </w:t>
      </w:r>
      <w:r>
        <w:rPr>
          <w:rFonts w:ascii="Times New Roman;Times;Serif" w:hAnsi="Times New Roman;Times;Serif"/>
          <w:b w:val="false"/>
          <w:i/>
          <w:caps w:val="false"/>
          <w:smallCaps w:val="false"/>
          <w:sz w:val="20"/>
        </w:rPr>
        <w:t>(Available Information)</w:t>
      </w:r>
      <w:r>
        <w:rPr>
          <w:rFonts w:ascii="Times New Roman;Times;Serif" w:hAnsi="Times New Roman;Times;Serif"/>
          <w:b w:val="false"/>
          <w:i w:val="false"/>
          <w:caps w:val="false"/>
          <w:smallCaps w:val="false"/>
          <w:sz w:val="20"/>
        </w:rPr>
        <w:t xml:space="preserve"> were or are incorrect in any respect and/or if the Company violates or breaches any of its covenants or agreements contained therein with respect to the Securities Exchange Act of 1934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indemnities set forth in the preceding paragraph shall also apply to any liability or expense that may arise out of any misstatement or alleged misstatement or omission or alleged omission in any registration statement, proxy statement, prospectus (or placement memorandum), preliminary prospectus (or preliminary placement memorandum) or other document or report relating to, or arising from the offer, issuance, withdrawal, sale, resale or transfer of ADSs or the deposit, withdrawal, offer, sale, resale or transfer of Shares or any other report filed or furnished by the Company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10 </w:t>
      </w:r>
    </w:p>
    <w:p>
      <w:pPr>
        <w:pStyle w:val="TextBody"/>
        <w:bidi w:val="0"/>
        <w:spacing w:before="0" w:after="0"/>
        <w:jc w:val="right"/>
        <w:rPr/>
      </w:pPr>
      <w:r>
        <w:rPr/>
        <w:drawing>
          <wp:inline distT="0" distB="0" distL="0" distR="0">
            <wp:extent cx="1781175" cy="295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by the Depositary.</w:t>
      </w:r>
      <w:r>
        <w:rPr>
          <w:rFonts w:ascii="Times New Roman;Times;Serif" w:hAnsi="Times New Roman;Times;Serif"/>
          <w:b w:val="false"/>
          <w:i w:val="false"/>
          <w:caps w:val="false"/>
          <w:smallCaps w:val="false"/>
          <w:sz w:val="20"/>
        </w:rPr>
        <w:t xml:space="preserve"> Subject to the limitations provided for in Sections 9 and 15(c) below, the Depositary shall indemnify, defend and save harmless the Company against any direct loss, liability or expense (including reasonable fees and expenses of counsel) incurred by the Company in respect of this Deposit Agreement to the extent such loss, liability or expense is due to the negligence or willful misconduct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Special or Consequential Damages and Lost Profits</w:t>
      </w:r>
      <w:r>
        <w:rPr>
          <w:rFonts w:ascii="Times New Roman;Times;Serif" w:hAnsi="Times New Roman;Times;Serif"/>
          <w:b w:val="false"/>
          <w:i w:val="false"/>
          <w:caps w:val="false"/>
          <w:smallCaps w:val="false"/>
          <w:sz w:val="20"/>
        </w:rPr>
        <w:t>. Notwithstanding any other provision of this Deposit Agreement or the ADRs to the contrary, neither the Depositary nor the Company, nor any of their respective agents shall be liable to the other for any indirect, special, punitive or consequential damages (excluding reasonable fees and expenses of counsel) or lost profits, in each case of any form (collectively, "</w:t>
      </w:r>
      <w:r>
        <w:rPr>
          <w:rFonts w:ascii="Times New Roman;Times;Serif" w:hAnsi="Times New Roman;Times;Serif"/>
          <w:b/>
          <w:i w:val="false"/>
          <w:caps w:val="false"/>
          <w:smallCaps w:val="false"/>
          <w:sz w:val="20"/>
        </w:rPr>
        <w:t>Special Damages</w:t>
      </w:r>
      <w:r>
        <w:rPr>
          <w:rFonts w:ascii="Times New Roman;Times;Serif" w:hAnsi="Times New Roman;Times;Serif"/>
          <w:b w:val="false"/>
          <w:i w:val="false"/>
          <w:caps w:val="false"/>
          <w:smallCaps w:val="false"/>
          <w:sz w:val="20"/>
        </w:rPr>
        <w:t>") incurred by any of them,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 (i) notwithstanding the foregoing and, for the avoidance of doubt, the Depositary and its agents shall be entitled to legal fees and expenses in defending against any claim for Special Damages and (ii) to the extent Special Damages arise from or out of a claim brought by a third party (including, without limitation, Holders and Beneficial Owners) against the Depositary or any of its agents, the Depositary and its agents shall be entitled to full indemnification from the Company for all such Special Damages, and reasonable fees and expenses of counsel in connection therewith, unless such Special Damages are found to have been a direct result of the gross negligence or willful misconduct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Notification</w:t>
      </w:r>
      <w:r>
        <w:rPr>
          <w:rFonts w:ascii="Times New Roman;Times;Serif" w:hAnsi="Times New Roman;Times;Serif"/>
          <w:b w:val="false"/>
          <w:i w:val="false"/>
          <w:caps w:val="false"/>
          <w:smallCaps w:val="false"/>
          <w:sz w:val="20"/>
        </w:rPr>
        <w:t>. Any person seeking indemnification hereunder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shall notify the person from whom it is seeking indemnification (the "</w:t>
      </w:r>
      <w:r>
        <w:rPr>
          <w:rFonts w:ascii="Times New Roman;Times;Serif" w:hAnsi="Times New Roman;Times;Serif"/>
          <w:b/>
          <w:i w:val="false"/>
          <w:caps w:val="false"/>
          <w:smallCaps w:val="false"/>
          <w:sz w:val="20"/>
        </w:rPr>
        <w:t>indemnifying person</w:t>
      </w:r>
      <w:r>
        <w:rPr>
          <w:rFonts w:ascii="Times New Roman;Times;Serif" w:hAnsi="Times New Roman;Times;Serif"/>
          <w:b w:val="false"/>
          <w:i w:val="false"/>
          <w:caps w:val="false"/>
          <w:smallCaps w:val="false"/>
          <w:sz w:val="20"/>
        </w:rPr>
        <w:t>") of the commencement of any indemnifiable action or claim as promptly as reasonably practical after such indemnified person becomes aware of such commencement (provided that the failure to make such notification shall not affect such indemnified person's rights to indemnification under this Section 15 except and only to the limited extent the indemnifying person is materially prejudiced by such failure through the forfeiture of substantive rights or defenses as a result of such failure; and provided, further, that the failure to notify the indemnifying party shall not relieve the indemnifying party from any liability that it may have to an indemnified party otherwise than under this Section 15). No indemnifying person shall be liable for any settlement of any proceeding effected without its written consent (which consent shall not be unreasonably withheld, conditioned or delayed), but if settled with such indemnifying person's written consent or if there is a final and non-appealable judgment by a court of competent jurisdiction in any such proceeding, the indemnifying person agrees to indemnify and hold harmless each indemnified person from and against any and all losses, claims, damages, liabilities and reasonable legal and other out-of-pocket expenses by reason of such settlement or judgment. No indemnifying person shall, without the prior written consent of any indemnified person, effect any settlement of any pending or threatened proceedings in respect of which indemnity could have been sought hereunder by such indemnified person unless such settlement (i) includes an unconditional release of such indemnified person in form and substance reasonably satisfactory to such indemnified person from all liability or claims that are the subject matter of such proceedings and (ii) does not include any statement as to or any admission of fault, culpability, wrong doing or a failure to act by or on behalf of any indemnified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11 </w:t>
      </w:r>
    </w:p>
    <w:p>
      <w:pPr>
        <w:pStyle w:val="TextBody"/>
        <w:bidi w:val="0"/>
        <w:spacing w:before="0" w:after="0"/>
        <w:jc w:val="right"/>
        <w:rPr/>
      </w:pPr>
      <w:r>
        <w:rPr/>
        <w:drawing>
          <wp:inline distT="0" distB="0" distL="0" distR="0">
            <wp:extent cx="1781175" cy="2952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Survival.</w:t>
      </w:r>
      <w:r>
        <w:rPr>
          <w:rFonts w:ascii="Times New Roman;Times;Serif" w:hAnsi="Times New Roman;Times;Serif"/>
          <w:b w:val="false"/>
          <w:i w:val="false"/>
          <w:caps w:val="false"/>
          <w:smallCaps w:val="false"/>
          <w:sz w:val="20"/>
        </w:rPr>
        <w:t xml:space="preserve"> The obligations set forth in this Section 15 shall survive the termination of this Deposit Agreement and the succession or substitution of any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Notice to Holders</w:t>
      </w:r>
      <w:r>
        <w:rPr>
          <w:rFonts w:ascii="Times New Roman;Times;Serif" w:hAnsi="Times New Roman;Times;Serif"/>
          <w:b w:val="false"/>
          <w:i w:val="false"/>
          <w:caps w:val="false"/>
          <w:smallCaps w:val="false"/>
          <w:sz w:val="20"/>
        </w:rPr>
        <w:t>. Notice to any Holder shall be deemed given when first mailed, first class postage prepaid, to the address of such Holder on the ADR Register or received by such Holder. Failure to notify a Holder or any defect in the notification to a Holder shall not affect the sufficiency of notification to other Holders or to the Beneficial Owners of the ADSs evidenced by the ADRs held by such other Holders. The Depositary's only notification obligations under this Deposit Agreement and the ADRs shall be to Holders. Notice to a Holder shall be deemed, for all purposes of this Deposit Agreement and the ADRs, to constitute notice to any and all Beneficial Owners of the ADSs evidenced by such Holder's ADRs.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to the Depositary or the Company</w:t>
      </w:r>
      <w:r>
        <w:rPr>
          <w:rFonts w:ascii="Times New Roman;Times;Serif" w:hAnsi="Times New Roman;Times;Serif"/>
          <w:b w:val="false"/>
          <w:i w:val="false"/>
          <w:caps w:val="false"/>
          <w:smallCaps w:val="false"/>
          <w:sz w:val="20"/>
        </w:rPr>
        <w:t>. Notice to the Depositary or the Company shall be deemed given when first received by it at the address or by electronic transmission to the e-mail address set forth in (i) or (ii), respectively, or at such other address or email address provided by the Depositary or the Company to the other, respectively, in the same manner as notices are required to be provided in this Section 16: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528"/>
        <w:gridCol w:w="9590"/>
      </w:tblGrid>
      <w:tr>
        <w:trPr/>
        <w:tc>
          <w:tcPr>
            <w:tcW w:w="8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(i)</w:t>
            </w:r>
          </w:p>
        </w:tc>
        <w:tc>
          <w:tcPr>
            <w:tcW w:w="9590" w:type="dxa"/>
            <w:tcBorders/>
            <w:vAlign w:val="center"/>
          </w:tcPr>
          <w:p>
            <w:pPr>
              <w:pStyle w:val="TableContents"/>
              <w:bidi w:val="0"/>
              <w:jc w:val="left"/>
              <w:rPr/>
            </w:pPr>
            <w:r>
              <w:rPr/>
              <w:t>JPMorgan Chase Bank, N.A.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 Floor 11</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10179</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Depositary Receipts Group</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DR_Global_CSM@jpmorgan.com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19"/>
        <w:gridCol w:w="9506"/>
      </w:tblGrid>
      <w:tr>
        <w:trPr/>
        <w:tc>
          <w:tcPr>
            <w:tcW w:w="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pPr>
            <w:r>
              <w:rPr/>
              <w:t>(ii)</w:t>
            </w:r>
          </w:p>
        </w:tc>
        <w:tc>
          <w:tcPr>
            <w:tcW w:w="9506" w:type="dxa"/>
            <w:tcBorders/>
            <w:vAlign w:val="center"/>
          </w:tcPr>
          <w:p>
            <w:pPr>
              <w:pStyle w:val="TableContents"/>
              <w:bidi w:val="0"/>
              <w:jc w:val="left"/>
              <w:rPr/>
            </w:pPr>
            <w:r>
              <w:rPr/>
              <w:t>Amber International Holding Limited</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Wallich Street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#30-02 Guoco Tower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078881</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Ms. Josephine Ngai, Chief Financial Officer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josephine.ngai@ambr.io</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center"/>
        <w:rPr>
          <w:bdr w:val="single" w:sz="8" w:space="1" w:color="000000"/>
        </w:rPr>
      </w:pPr>
      <w:r>
        <w:rPr>
          <w:bdr w:val="single" w:sz="8" w:space="1" w:color="000000"/>
        </w:rPr>
        <w:t>12 </w:t>
      </w:r>
    </w:p>
    <w:p>
      <w:pPr>
        <w:pStyle w:val="TextBody"/>
        <w:bidi w:val="0"/>
        <w:spacing w:before="0" w:after="0"/>
        <w:jc w:val="right"/>
        <w:rPr/>
      </w:pPr>
      <w:r>
        <w:rPr/>
        <w:drawing>
          <wp:inline distT="0" distB="0" distL="0" distR="0">
            <wp:extent cx="1781175" cy="295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a notice by means of electronic messaging shall be deemed to be effective at the time of the initiation of the transmission by the sender (as shown on the sender's records) to the email address set forth above,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rPr>
        <w:t xml:space="preserve">Counterparts. </w:t>
      </w:r>
      <w:r>
        <w:rPr>
          <w:rFonts w:ascii="Times New Roman;Times;Serif" w:hAnsi="Times New Roman;Times;Serif"/>
          <w:b w:val="false"/>
          <w:i w:val="false"/>
          <w:caps w:val="false"/>
          <w:smallCaps w:val="false"/>
          <w:sz w:val="20"/>
        </w:rPr>
        <w:t>This Deposit Agreement may be executed in any number of counterparts, each of which shall be deemed an original and all of which shall constitute one instrument. Delivery of an executed signature page of this Deposit Agreement by facsimile or other electronic transmission (including ".pdf", ".tif" or similar format) shall be effective as delivery of a manually executed counterpart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rPr>
        <w:t>No Third-Party Beneficiaries; Holders and Beneficial Owners as Parties; Binding Effect</w:t>
      </w:r>
      <w:r>
        <w:rPr>
          <w:rFonts w:ascii="Times New Roman;Times;Serif" w:hAnsi="Times New Roman;Times;Serif"/>
          <w:b w:val="false"/>
          <w:i w:val="false"/>
          <w:caps w:val="false"/>
          <w:smallCaps w:val="false"/>
          <w:sz w:val="20"/>
        </w:rPr>
        <w:t>. This Deposit Agreement is for the exclusive benefit of the Company, the Depositary and the Holders and their respective successors hereunder, and, except to the extent specifically set forth in Section 15 of this Deposit Agreement, shall not give any legal or equitable right, remedy or claim whatsoever to any other person. The Holders and Beneficial Owners from time to time shall be parties to this Deposit Agreement and shall be bound by all of the provisions hereof. A Beneficial Owner shall only be able to exercise any right or receive any benefit hereunder solely through the Holder of the ADR(s) evidencing the ADSs owned by such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provision contained in this Deposit Agreement or in the ADRs is, or becomes, invalid, illegal or unenforceable in any respect, the remaining provisions contained herein and therein shall in no way be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13 </w:t>
      </w:r>
    </w:p>
    <w:p>
      <w:pPr>
        <w:pStyle w:val="TextBody"/>
        <w:bidi w:val="0"/>
        <w:spacing w:before="0" w:after="0"/>
        <w:jc w:val="right"/>
        <w:rPr/>
      </w:pPr>
      <w:r>
        <w:rPr/>
        <w:drawing>
          <wp:inline distT="0" distB="0" distL="0" distR="0">
            <wp:extent cx="1781175" cy="2952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rPr>
        <w:t>Governing Law; 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Governing Law. </w:t>
      </w:r>
      <w:r>
        <w:rPr>
          <w:rFonts w:ascii="Times New Roman;Times;Serif" w:hAnsi="Times New Roman;Times;Serif"/>
          <w:b w:val="false"/>
          <w:i w:val="false"/>
          <w:caps w:val="false"/>
          <w:smallCaps w:val="false"/>
          <w:sz w:val="20"/>
        </w:rPr>
        <w:t>The Deposit Agreement, the ADSs and the ADRs shall be governed by and construed in accordance with the laws of the State of New York without giving effect to the application of the conflict of law principles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Claims between the Company and the Depositary.</w:t>
      </w:r>
      <w:r>
        <w:rPr>
          <w:rFonts w:ascii="Times New Roman;Times;Serif" w:hAnsi="Times New Roman;Times;Serif"/>
          <w:b w:val="false"/>
          <w:i w:val="false"/>
          <w:caps w:val="false"/>
          <w:smallCaps w:val="false"/>
          <w:sz w:val="20"/>
        </w:rPr>
        <w:t xml:space="preserve"> The Company irrevocably agrees that any legal suit, action or proceeding against or involving the Company brought by the Depositary arising out of or based upon this Deposit Agreement, the ADSs, the ADRs or the transactions contemplated herein, therein, hereby or thereby, may be instituted in any state or federal court in New York, New York, and irrevocably waives any objection that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the ADRs or the transactions contemplated herein, therein, hereby or thereby, may be instituted only in a state or federal court in New York, New York. Notwithstanding the foregoing, subject to the federal securities law carve-out set forth in Section 20(d) below, the Depositary may institute and/or refer any such suit, action or proceeding to arbitration in accordance with the provisions of the Deposit Agreement, and thereupon any arbitral decision from such suit, action or proceeding shall be deemed final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Claims Involving Holders and Beneficial Owners.</w:t>
      </w:r>
      <w:r>
        <w:rPr>
          <w:rFonts w:ascii="Times New Roman;Times;Serif" w:hAnsi="Times New Roman;Times;Serif"/>
          <w:b w:val="false"/>
          <w:i w:val="false"/>
          <w:caps w:val="false"/>
          <w:smallCaps w:val="false"/>
          <w:sz w:val="20"/>
        </w:rPr>
        <w:t xml:space="preserve"> By holding or owning an ADR or ADS or an interest therein, Holders and Beneficial Owners each irrevocably agree that any legal suit, action or proceeding against or involving Holders or Beneficial Owners brought by the Company or the Depositary, arising out of or based upon this Deposit Agreement, the ADSs, the ADRs or the transactions contemplated herein, therein, hereby or thereby, may be instituted in a state or federal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holding or owning an ADR or ADS or an interest therein, Holders and Beneficial Owners each also irrevocably agree that any legal suit, action or proceeding against or involving the Depositary and/or the Company brought by Holders or Beneficial Owners, arising out of or based upon this Deposit Agreement, the ADSs, the ADRs or the transactions contemplated herein, therein, hereby or thereby, including, without limitation, claims under the Securities Act of 1933, may be instituted only in the United States District Court for the Southern District of New York (or in the state courts of New York County in New York if either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 Notwithstanding the foregoing, subject to the federal securities law carve-out set forth in Section 20(d) below, the Depositary may institute and/or refer any such suit, action or proceeding to arbitration in accordance with the provisions of this Deposit Agreement, and thereupon, any arbitral decision from such suit, action or proceeding shall be deemed final and binding.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14 </w:t>
      </w:r>
    </w:p>
    <w:p>
      <w:pPr>
        <w:pStyle w:val="TextBody"/>
        <w:bidi w:val="0"/>
        <w:spacing w:before="0" w:after="0"/>
        <w:jc w:val="right"/>
        <w:rPr/>
      </w:pPr>
      <w:r>
        <w:rPr/>
        <w:drawing>
          <wp:inline distT="0" distB="0" distL="0" distR="0">
            <wp:extent cx="1781175" cy="2952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Optional Arbitration</w:t>
      </w:r>
      <w:r>
        <w:rPr>
          <w:rFonts w:ascii="Times New Roman;Times;Serif" w:hAnsi="Times New Roman;Times;Serif"/>
          <w:b w:val="false"/>
          <w:i w:val="false"/>
          <w:caps w:val="false"/>
          <w:smallCaps w:val="false"/>
          <w:sz w:val="20"/>
        </w:rPr>
        <w:t>. Notwithstanding anything in this Deposit Agreement to the contrary, each of the parties hereto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Company, the Depositary and all Holders and Beneficial Owners) agrees that: (i) the Depositary may, in its sole discretion, elect to institute any dispute, suit, action, controversy, claim or proceeding directly or indirectly based on, arising out of or relating to this Deposit Agreement, the ADSs, the ADRs or the transactions contemplated herein, therein, hereby or thereby, including without limitation any question regarding its or their existence, validity, interpretation, performance or termination (each,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collectively, "</w:t>
      </w:r>
      <w:r>
        <w:rPr>
          <w:rFonts w:ascii="Times New Roman;Times;Serif" w:hAnsi="Times New Roman;Times;Serif"/>
          <w:b/>
          <w:i w:val="false"/>
          <w:caps w:val="false"/>
          <w:smallCaps w:val="false"/>
          <w:sz w:val="20"/>
        </w:rPr>
        <w:t>Disputes</w:t>
      </w:r>
      <w:r>
        <w:rPr>
          <w:rFonts w:ascii="Times New Roman;Times;Serif" w:hAnsi="Times New Roman;Times;Serif"/>
          <w:b w:val="false"/>
          <w:i w:val="false"/>
          <w:caps w:val="false"/>
          <w:smallCaps w:val="false"/>
          <w:sz w:val="20"/>
        </w:rPr>
        <w:t>") against any other party or parties hereto (including, without limitation, Disputes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brought by any party or parties hereto (including, without limitation, Disputes brought by Holders and Beneficial Owners) against the Depositary be referred to and finally settled by an arbitration conducted under the terms set out below; provided however, notwithstanding the Depositary's written notice under this clause (ii), to the extent there are specific federal securities law violation aspects to any claims against the Company and/or the Depositary brought by any Holder or Beneficial Owner, the federal securities law violation aspects of such claims brought by a Holder or Beneficial Owner against the Company and/or the Depositary may, at the option of such Holder or Beneficial Owner, remain in federal or state court in New York, New York and all other aspects, claims, Disputes, legal suits, actions and/or proceedings brought by such Holder or Beneficial Owner against the Company and/or the Depositary, including those brought along with, or in addition to, federal securities law violation claims, would be referred to arbitration in accordance 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in each case as amended by this Section 20(d), and the language of any such arbitration shall be English.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15 </w:t>
      </w:r>
    </w:p>
    <w:p>
      <w:pPr>
        <w:pStyle w:val="TextBody"/>
        <w:bidi w:val="0"/>
        <w:spacing w:before="0" w:after="0"/>
        <w:jc w:val="right"/>
        <w:rPr/>
      </w:pPr>
      <w:r>
        <w:rPr/>
        <w:drawing>
          <wp:inline distT="0" distB="0" distL="0" distR="0">
            <wp:extent cx="1781175" cy="2952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arbitration may be mailed to the Company at its address last specified for notices under this Deposit Agreement, and, if applicable, to any Holders at their addresses on the ADR Register, which notice to any such Holder, for the avoidance of doubt, shall be deemed, for all purposes of the Deposit Agreement and the ADRs, including, without limitation, the arbitration provisions contained in this clause (d), to constitute notice to any and all Beneficial Owners of the ADSs evidenced by such Holder's ADRs.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and for the avoidance of doubt, the Company and all Holders and Beneficial Owners from time to time of ADRs issued hereunder (and any persons owning or holding interests in ADSs) agree that any federal or state court in New York, New York, shall have jurisdiction to hear and determine proceedings related to the enforcement of this arbitration provision and any arbitration award by the arbitrators contemplated and, for such purposes, irrevocably submits to the non-exclusive jurisdiction of such courts.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Company, the Depositary and all Holders and Beneficial Owners) agrees not to challenge the terms and enforceability of this arbitration clause, including, but not limited to, any challenge based on lack of mutuality, and each such party hereby irrevocably waives any such challenge.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arbitrators shall be three, each of whom shall (x) be disinterested in the Dispute, (y) have no connection with any party thereto, and (z) be an attorney experienced in international securities transactions. The Company and the Depositary shall each appoint one arbitrator, and the two arbitrators shall select a third arbitrator who shall serve as chairperson of the tribunal. If a Dispute shall involve more than two parties, the parties shall attempt to align themselves in two sides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days after the Depositary serves the arbitration demand or the two arbitrators fail to select a third arbitrator within thirty (30) days of the selection of the second arbitrator, the American Arbitration Association in the case of an arbitration in New York, or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arbitrators shall have no authority to award (A) damages against any party not measured by the prevailing party's actual damages or (B) any consequential, special or punitive damages against any party and may not, in any event, make any ruling, finding or award that does not conform to the terms and conditions of this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16 </w:t>
      </w:r>
    </w:p>
    <w:p>
      <w:pPr>
        <w:pStyle w:val="TextBody"/>
        <w:bidi w:val="0"/>
        <w:spacing w:before="0" w:after="0"/>
        <w:jc w:val="right"/>
        <w:rPr/>
      </w:pPr>
      <w:r>
        <w:rPr/>
        <w:drawing>
          <wp:inline distT="0" distB="0" distL="0" distR="0">
            <wp:extent cx="1781175" cy="2952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the fees of the arbitrators and other costs incurred by the parties in connection with such arbitration shall be paid by the party (or parties) that is (or are) unsuccessful in such arbitration.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hereto shall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or anything in this Deposit Agreement to the contrary, any suit, action or proceeding against the Company based on this Deposit Agreement, the ADSs, the ADRs or the transactions contemplated herein, therein, hereby or thereby, may be instituted by the Depositary in any competent court in the Cayman Islands, the United States and/or any other court of competent jurisdiction, or, subject to the federal securities law carve-out set forth in Section 20(d) above, by the Depositary through the commencement of an arbitration pursuant to Section 20(d) of this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Appointment</w:t>
      </w:r>
      <w:r>
        <w:rPr>
          <w:rFonts w:ascii="Times New Roman;Times;Serif" w:hAnsi="Times New Roman;Times;Serif"/>
          <w:b w:val="false"/>
          <w:i w:val="false"/>
          <w:caps w:val="false"/>
          <w:smallCaps w:val="false"/>
          <w:sz w:val="20"/>
        </w:rPr>
        <w:t>. The Company has appointed Cogency Global Inc. 122 East 42nd Street, 18th Floor, New York, NY 10168, as its authorized agent (the "</w:t>
      </w:r>
      <w:r>
        <w:rPr>
          <w:rFonts w:ascii="Times New Roman;Times;Serif" w:hAnsi="Times New Roman;Times;Serif"/>
          <w:b/>
          <w:i w:val="false"/>
          <w:caps w:val="false"/>
          <w:smallCaps w:val="false"/>
          <w:sz w:val="20"/>
        </w:rPr>
        <w:t>Authorized Agent</w:t>
      </w:r>
      <w:r>
        <w:rPr>
          <w:rFonts w:ascii="Times New Roman;Times;Serif" w:hAnsi="Times New Roman;Times;Serif"/>
          <w:b w:val="false"/>
          <w:i w:val="false"/>
          <w:caps w:val="false"/>
          <w:smallCaps w:val="false"/>
          <w:sz w:val="20"/>
        </w:rPr>
        <w:t>") upon which process and papers may be served in any such suit, action or proceeding arising out of or based on this Deposit Agreement, the ADSs, the ADRs or the transactions contemplated herein, therein, hereby or thereby which may be instituted in any state or federal court in New York, New York by the Depositary or any Holder or by the Depositary exercising its rights under Section 20(d) above, and waives any other requirements of or objections to personal jurisdiction with respect thereto. Subject to the Company's rights to replace the Authorized Agent with another entity in the manner required were the Authorized Agent to have resigned, such appointment shall be irrevocable.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Agent for Service of Process</w:t>
      </w:r>
      <w:r>
        <w:rPr>
          <w:rFonts w:ascii="Times New Roman;Times;Serif" w:hAnsi="Times New Roman;Times;Serif"/>
          <w:b w:val="false"/>
          <w:i w:val="false"/>
          <w:caps w:val="false"/>
          <w:smallCaps w:val="false"/>
          <w:sz w:val="20"/>
        </w:rPr>
        <w:t>. The Company represents and warrants that the Authorized Agent has agreed to act as said agent for service of process,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 validity of such service or any judgment or award rendered in any suit, action or proceeding based thereon. If, for any reason, the Authorized Agent named above or its successor shall no longer serve as agent of the Company to receive service of process, summons, notices, papers and documents in New York, the Company shall promptly appoint a successor that is a legal entity with offices in New York, New York, so as to serve and will promptly advise the Depositary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17 </w:t>
      </w:r>
    </w:p>
    <w:p>
      <w:pPr>
        <w:pStyle w:val="TextBody"/>
        <w:bidi w:val="0"/>
        <w:spacing w:before="0" w:after="0"/>
        <w:jc w:val="right"/>
        <w:rPr/>
      </w:pPr>
      <w:r>
        <w:rPr/>
        <w:drawing>
          <wp:inline distT="0" distB="0" distL="0" distR="0">
            <wp:extent cx="1781175" cy="2952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Waiver of Personal Service of Process</w:t>
      </w:r>
      <w:r>
        <w:rPr>
          <w:rFonts w:ascii="Times New Roman;Times;Serif" w:hAnsi="Times New Roman;Times;Serif"/>
          <w:b w:val="false"/>
          <w:i w:val="false"/>
          <w:caps w:val="false"/>
          <w:smallCaps w:val="false"/>
          <w:sz w:val="20"/>
        </w:rPr>
        <w:t>. In the event the Company fails to continue such designation and appointment in full force and effect, the Company hereby waives personal service of process upon it and consents that any such service of process may be made by certified or registered mail, return receipt requested, directed to the Company at its address last specified for notices hereunder, and service so made shall be deemed completed five (5) days after the same shall have been so mailed.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 xml:space="preserve">Waiver of Immunities. </w:t>
      </w:r>
      <w:r>
        <w:rPr>
          <w:rFonts w:ascii="Times New Roman;Times;Serif" w:hAnsi="Times New Roman;Times;Serif"/>
          <w:b w:val="false"/>
          <w:i w:val="false"/>
          <w:caps w:val="false"/>
          <w:smallCaps w:val="false"/>
          <w:sz w:val="20"/>
        </w:rPr>
        <w:t>To the extent that the Company or any of its properties, assets or revenues may have or may hereafter be entitled to, or have attributed to it, any right of immunity, on the grounds of sovereignty or otherwise, from any legal action, suit or proceeding, including any arbitration,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or arbitration award,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EACH PARTY TO THIS DEPOSIT AGREEMENT (INCLUDING, FOR AVOIDANCE OF 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BASED ON OR RELATING IN ANY WAY TO THE SHARES OR OTHER DEPOSITED SECURITIES, THE ADSs OR THE ADRs, THE DEPOSIT AGREEMENT OR ANY TRANSACTION CONTEMPLATED HEREIN OR THEREIN, OR THE BREACH HEREOF OR THEREOF (WHETHER BASED ON CONTRACT, TORT, COMMON LAW OR ANY OTHER THEORY), INCLUDING, WITHOUT LIMITATION, ANY SUIT, ACTION, CLAIM OR PROCEEDING UNDER THE UNITED STATES FEDERAL SECURITIES LAWS. No provision of this Deposit Agreement or any ADR is intended to constitute a waiver or limitation of any rights that a Holder or any Beneficial Owner may have under the Securities Act of 1933 or the Securities Exchange Act of 1934, to the extent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18 </w:t>
      </w:r>
    </w:p>
    <w:p>
      <w:pPr>
        <w:pStyle w:val="TextBody"/>
        <w:bidi w:val="0"/>
        <w:spacing w:before="0" w:after="0"/>
        <w:jc w:val="right"/>
        <w:rPr/>
      </w:pPr>
      <w:r>
        <w:rPr/>
        <w:drawing>
          <wp:inline distT="0" distB="0" distL="0" distR="0">
            <wp:extent cx="1781175" cy="2952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rPr>
        <w:t>Amendment and Restatement of Prior Deposit Agreement</w:t>
      </w:r>
      <w:r>
        <w:rPr>
          <w:rFonts w:ascii="Times New Roman;Times;Serif" w:hAnsi="Times New Roman;Times;Serif"/>
          <w:b w:val="false"/>
          <w:i w:val="false"/>
          <w:caps w:val="false"/>
          <w:smallCaps w:val="false"/>
          <w:sz w:val="20"/>
        </w:rPr>
        <w:t>. The Deposit Agreement amends and restates the Prior Deposit Agreement in its entirety to consist exclusively of the Deposit Agreement, and each Prior Receipt is hereby deemed amended and restated to substantially conform to the form of ADR set forth in Exhibit A annexed hereto, except that, to the extent any portion of such amendment and restatement imposes or increases any fees or charges different from those set forth herein (other than charges in connection with foreign exchange control regulations, and taxes and other governmental charges, delivery and other such expenses), or otherwise materially prejudices any substantial existing right of Holders of Prior Receipts or Beneficial Owners of ADSs evidenced by such Prior Receipts, such portion shall not become effective as to such Holders or Beneficial Owners with respect to such Prior Receipt until thirty (30) days after such Holders shall have received notice thereof, such notice to be conclusively deemed given upon the mailing to such Holders of notice of such amendment and restatement which notice contains a provision whereby such Holders can receive a copy of the form of ADR.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19 </w:t>
      </w:r>
    </w:p>
    <w:p>
      <w:pPr>
        <w:pStyle w:val="TextBody"/>
        <w:bidi w:val="0"/>
        <w:spacing w:before="0" w:after="0"/>
        <w:jc w:val="right"/>
        <w:rPr/>
      </w:pPr>
      <w:r>
        <w:rPr/>
        <w:drawing>
          <wp:inline distT="0" distB="0" distL="0" distR="0">
            <wp:extent cx="1781175" cy="2952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AMBER INTERNATIONAL HOLDING LIMITED and JPMORGAN CHASE BANK, N.A. have duly executed this Deposit Agreement as of the day and year first above set forth and all Holders and Beneficial Owners shall become parties hereto upon acceptance by them of ADSs issued in accordance with the terms hereof, or upon acquisition of any beneficial interest therein.</w:t>
      </w:r>
    </w:p>
    <w:p>
      <w:pPr>
        <w:pStyle w:val="TextBody"/>
        <w:bidi w:val="0"/>
        <w:spacing w:before="0" w:after="0"/>
        <w:ind w:left="0" w:right="0" w:hanging="0"/>
        <w:jc w:val="left"/>
        <w:rPr>
          <w:caps w:val="false"/>
          <w:smallCaps w:val="false"/>
        </w:rPr>
      </w:pPr>
      <w:r>
        <w:rPr>
          <w:caps w:val="false"/>
          <w:smallCaps w:val="false"/>
        </w:rPr>
        <w:t> </w:t>
      </w:r>
    </w:p>
    <w:tbl>
      <w:tblPr>
        <w:tblW w:w="5539" w:type="dxa"/>
        <w:jc w:val="left"/>
        <w:tblInd w:w="0" w:type="dxa"/>
        <w:tblLayout w:type="fixed"/>
        <w:tblCellMar>
          <w:top w:w="0" w:type="dxa"/>
          <w:left w:w="0" w:type="dxa"/>
          <w:bottom w:w="0" w:type="dxa"/>
          <w:right w:w="0" w:type="dxa"/>
        </w:tblCellMar>
      </w:tblPr>
      <w:tblGrid>
        <w:gridCol w:w="75"/>
        <w:gridCol w:w="2252"/>
        <w:gridCol w:w="3212"/>
      </w:tblGrid>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AMBER INTERNATIONAL HOLDING LIMITED</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pPr>
            <w:r>
              <w:rPr/>
              <w:t> </w:t>
            </w:r>
          </w:p>
        </w:tc>
        <w:tc>
          <w:tcPr>
            <w:tcW w:w="3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21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pPr>
            <w:r>
              <w:rPr/>
              <w:t> </w:t>
            </w:r>
          </w:p>
        </w:tc>
        <w:tc>
          <w:tcPr>
            <w:tcW w:w="32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pPr>
            <w:r>
              <w:rPr/>
              <w:t> </w:t>
            </w:r>
          </w:p>
        </w:tc>
        <w:tc>
          <w:tcPr>
            <w:tcW w:w="32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pPr>
            <w:r>
              <w:rPr/>
              <w:t> </w:t>
            </w:r>
          </w:p>
        </w:tc>
        <w:tc>
          <w:tcPr>
            <w:tcW w:w="3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JPMORGAN CHASE BANK, N.A.</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pPr>
            <w:r>
              <w:rPr/>
              <w:t> </w:t>
            </w:r>
          </w:p>
        </w:tc>
        <w:tc>
          <w:tcPr>
            <w:tcW w:w="3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pPr>
            <w:r>
              <w:rPr/>
              <w:t>  </w:t>
            </w:r>
            <w:r>
              <w:rPr>
                <w:rFonts w:ascii="Times New Roman;Times;Serif" w:hAnsi="Times New Roman;Times;Serif"/>
              </w:rPr>
              <w:t>By:</w:t>
            </w:r>
          </w:p>
        </w:tc>
        <w:tc>
          <w:tcPr>
            <w:tcW w:w="321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pPr>
            <w:r>
              <w:rPr/>
              <w:t> </w:t>
            </w:r>
          </w:p>
        </w:tc>
        <w:tc>
          <w:tcPr>
            <w:tcW w:w="32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r>
      <w:tr>
        <w:trPr/>
        <w:tc>
          <w:tcPr>
            <w:tcW w:w="75" w:type="dxa"/>
            <w:tcBorders/>
            <w:vAlign w:val="center"/>
          </w:tcPr>
          <w:p>
            <w:pPr>
              <w:pStyle w:val="TableContents"/>
              <w:bidi w:val="0"/>
              <w:spacing w:before="0" w:after="283"/>
              <w:jc w:val="left"/>
              <w:rPr/>
            </w:pPr>
            <w:r>
              <w:rPr/>
              <w:t> </w:t>
            </w:r>
          </w:p>
        </w:tc>
        <w:tc>
          <w:tcPr>
            <w:tcW w:w="2252" w:type="dxa"/>
            <w:tcBorders/>
            <w:vAlign w:val="center"/>
          </w:tcPr>
          <w:p>
            <w:pPr>
              <w:pStyle w:val="TableContents"/>
              <w:bidi w:val="0"/>
              <w:spacing w:before="0" w:after="283"/>
              <w:jc w:val="left"/>
              <w:rPr/>
            </w:pPr>
            <w:r>
              <w:rPr/>
              <w:t> </w:t>
            </w:r>
          </w:p>
        </w:tc>
        <w:tc>
          <w:tcPr>
            <w:tcW w:w="32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i/>
          <w:bdr w:val="single" w:sz="8" w:space="1" w:color="000000"/>
        </w:rPr>
        <w:t>Signature Page to Deposit Agreement</w:t>
      </w:r>
      <w:r>
        <w:rPr>
          <w:bdr w:val="single" w:sz="8" w:space="1" w:color="000000"/>
        </w:rPr>
        <w:t>]</w:t>
      </w:r>
    </w:p>
    <w:p>
      <w:pPr>
        <w:pStyle w:val="TextBody"/>
        <w:bidi w:val="0"/>
        <w:spacing w:before="0" w:after="0"/>
        <w:jc w:val="right"/>
        <w:rPr/>
      </w:pPr>
      <w:r>
        <w:rPr/>
        <w:drawing>
          <wp:inline distT="0" distB="0" distL="0" distR="0">
            <wp:extent cx="1781175" cy="2952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ANNEXED TO AND INCORPORATED IN</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ADR]</w:t>
      </w:r>
    </w:p>
    <w:p>
      <w:pPr>
        <w:pStyle w:val="TextBody"/>
        <w:bidi w:val="0"/>
        <w:spacing w:before="0" w:after="0"/>
        <w:ind w:left="0" w:right="0" w:hanging="0"/>
        <w:jc w:val="center"/>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815"/>
        <w:gridCol w:w="2075"/>
      </w:tblGrid>
      <w:tr>
        <w:trPr/>
        <w:tc>
          <w:tcPr>
            <w:tcW w:w="815" w:type="dxa"/>
            <w:tcBorders/>
            <w:vAlign w:val="center"/>
          </w:tcPr>
          <w:p>
            <w:pPr>
              <w:pStyle w:val="TableContents"/>
              <w:bidi w:val="0"/>
              <w:spacing w:before="0" w:after="283"/>
              <w:jc w:val="left"/>
              <w:rPr>
                <w:u w:val="single"/>
              </w:rPr>
            </w:pPr>
            <w:r>
              <w:rPr>
                <w:u w:val="single"/>
              </w:rPr>
              <w:t>       </w:t>
            </w:r>
          </w:p>
        </w:tc>
        <w:tc>
          <w:tcPr>
            <w:tcW w:w="2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of ADSs:</w:t>
            </w:r>
          </w:p>
        </w:tc>
      </w:tr>
      <w:tr>
        <w:trPr/>
        <w:tc>
          <w:tcPr>
            <w:tcW w:w="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w:t>
            </w:r>
          </w:p>
        </w:tc>
        <w:tc>
          <w:tcPr>
            <w:tcW w:w="20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Each ADS represents</w:t>
            </w:r>
          </w:p>
        </w:tc>
      </w:tr>
      <w:tr>
        <w:trPr/>
        <w:tc>
          <w:tcPr>
            <w:tcW w:w="81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Five Shares</w:t>
            </w:r>
          </w:p>
        </w:tc>
      </w:tr>
      <w:tr>
        <w:trPr/>
        <w:tc>
          <w:tcPr>
            <w:tcW w:w="81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RECEIPT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the Cayman Islands)</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 national banking association organized under the laws of the United States of America, as depositary hereunder (in such capacity,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hereby certifies that _________________ is the registered owner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of _________________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(subject to paragraph (13) (</w:t>
      </w:r>
      <w:r>
        <w:rPr>
          <w:rFonts w:ascii="Times New Roman;Times;Serif" w:hAnsi="Times New Roman;Times;Serif"/>
          <w:b w:val="false"/>
          <w:i/>
          <w:caps w:val="false"/>
          <w:smallCaps w:val="false"/>
          <w:sz w:val="20"/>
        </w:rPr>
        <w:t>Changes Affecting Deposited Securities</w:t>
      </w:r>
      <w:r>
        <w:rPr>
          <w:rFonts w:ascii="Times New Roman;Times;Serif" w:hAnsi="Times New Roman;Times;Serif"/>
          <w:b w:val="false"/>
          <w:i w:val="false"/>
          <w:caps w:val="false"/>
          <w:smallCaps w:val="false"/>
          <w:sz w:val="20"/>
        </w:rPr>
        <w:t>)) representing five (5) class A ordinary shares (including the rights to receive Shares described in paragraph (1) (</w:t>
      </w:r>
      <w:r>
        <w:rPr>
          <w:rFonts w:ascii="Times New Roman;Times;Serif" w:hAnsi="Times New Roman;Times;Serif"/>
          <w:b w:val="false"/>
          <w:i/>
          <w:caps w:val="false"/>
          <w:smallCaps w:val="false"/>
          <w:sz w:val="20"/>
        </w:rPr>
        <w:t>Issuance of ADSs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and, together with any other securities, cash or property from time to time held by the Depositary in respect or in lieu of deposited Shares, the "</w:t>
      </w:r>
      <w:r>
        <w:rPr>
          <w:rFonts w:ascii="Times New Roman;Times;Serif" w:hAnsi="Times New Roman;Times;Serif"/>
          <w:b/>
          <w:i w:val="false"/>
          <w:caps w:val="false"/>
          <w:smallCaps w:val="false"/>
          <w:sz w:val="20"/>
        </w:rPr>
        <w:t>Deposited Securities</w:t>
      </w:r>
      <w:r>
        <w:rPr>
          <w:rFonts w:ascii="Times New Roman;Times;Serif" w:hAnsi="Times New Roman;Times;Serif"/>
          <w:b w:val="false"/>
          <w:i w:val="false"/>
          <w:caps w:val="false"/>
          <w:smallCaps w:val="false"/>
          <w:sz w:val="20"/>
        </w:rPr>
        <w:t>"), of Amber International Holding Limited, a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deposited under the Amended and Restated Deposit Agreement, dated as of ______________ __, 2025 (as amended from time to time, the "</w:t>
      </w:r>
      <w:r>
        <w:rPr>
          <w:rFonts w:ascii="Times New Roman;Times;Serif" w:hAnsi="Times New Roman;Times;Serif"/>
          <w:b/>
          <w:i w:val="false"/>
          <w:caps w:val="false"/>
          <w:smallCaps w:val="false"/>
          <w:sz w:val="20"/>
        </w:rPr>
        <w:t>Deposit Agreement</w:t>
      </w:r>
      <w:r>
        <w:rPr>
          <w:rFonts w:ascii="Times New Roman;Times;Serif" w:hAnsi="Times New Roman;Times;Serif"/>
          <w:b w:val="false"/>
          <w:i w:val="false"/>
          <w:caps w:val="false"/>
          <w:smallCaps w:val="false"/>
          <w:sz w:val="20"/>
        </w:rPr>
        <w:t>"), among the Company, the Depositary and all Holders and Beneficial Owners from time to time of American Depositary Receipts issued thereunder ("</w:t>
      </w:r>
      <w:r>
        <w:rPr>
          <w:rFonts w:ascii="Times New Roman;Times;Serif" w:hAnsi="Times New Roman;Times;Serif"/>
          <w:b/>
          <w:i w:val="false"/>
          <w:caps w:val="false"/>
          <w:smallCaps w:val="false"/>
          <w:sz w:val="20"/>
        </w:rPr>
        <w:t>ADRs</w:t>
      </w:r>
      <w:r>
        <w:rPr>
          <w:rFonts w:ascii="Times New Roman;Times;Serif" w:hAnsi="Times New Roman;Times;Serif"/>
          <w:b w:val="false"/>
          <w:i w:val="false"/>
          <w:caps w:val="false"/>
          <w:smallCaps w:val="false"/>
          <w:sz w:val="20"/>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 </w:t>
      </w:r>
    </w:p>
    <w:p>
      <w:pPr>
        <w:pStyle w:val="TextBody"/>
        <w:bidi w:val="0"/>
        <w:spacing w:before="0" w:after="0"/>
        <w:jc w:val="right"/>
        <w:rPr/>
      </w:pPr>
      <w:r>
        <w:rPr/>
        <w:drawing>
          <wp:inline distT="0" distB="0" distL="0" distR="0">
            <wp:extent cx="1781175" cy="2952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Issuance of ADSs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Issuance</w:t>
      </w:r>
      <w:r>
        <w:rPr>
          <w:rFonts w:ascii="Times New Roman;Times;Serif" w:hAnsi="Times New Roman;Times;Serif"/>
          <w:b w:val="false"/>
          <w:i w:val="false"/>
          <w:caps w:val="false"/>
          <w:smallCaps w:val="false"/>
          <w:sz w:val="20"/>
        </w:rPr>
        <w:t>. This ADR is one of the ADRs issued under the Deposit Agreement. Subject to the other provisions hereof, the Depositary may so issue ADRs for delivery at the Transfer Office only against deposit of: (i) Shares in a form satisfactory to the Custodian; or (ii) rights to receive Shares from the Company or any registrar, transfer agent, clearing agent or other entity recording Share ownership or transactions. At the request, risk and expense of the person depositing Shares or rights to receive Shares, the Depositary may accept such Shares and/or deposits for forwarding to the Custodian and may deliver ADRs at a place other than its office.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Lending</w:t>
      </w:r>
      <w:r>
        <w:rPr>
          <w:rFonts w:ascii="Times New Roman;Times;Serif" w:hAnsi="Times New Roman;Times;Serif"/>
          <w:b w:val="false"/>
          <w:i w:val="false"/>
          <w:caps w:val="false"/>
          <w:smallCaps w:val="false"/>
          <w:sz w:val="20"/>
        </w:rPr>
        <w:t>. In its capacity as Depositary, the Depositary shall not lend Shares or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Representations and Warranties of Depositors</w:t>
      </w:r>
      <w:r>
        <w:rPr>
          <w:rFonts w:ascii="Times New Roman;Times;Serif" w:hAnsi="Times New Roman;Times;Serif"/>
          <w:b w:val="false"/>
          <w:i w:val="false"/>
          <w:caps w:val="false"/>
          <w:smallCaps w:val="false"/>
          <w:sz w:val="20"/>
        </w:rPr>
        <w:t>. Every person depositing Shares under the Deposit Agreement represents and warrants that: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left"/>
              <w:rPr/>
            </w:pPr>
            <w:r>
              <w:rPr/>
              <w:t>such Shares and the certificates therefor are duly authorized, validly issued and outstanding, fully paid, nonassessable and legally obtained by such person,</w:t>
            </w:r>
          </w:p>
        </w:tc>
      </w:tr>
    </w:tbl>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w:t>
            </w:r>
          </w:p>
        </w:tc>
        <w:tc>
          <w:tcPr>
            <w:tcW w:w="9885" w:type="dxa"/>
            <w:tcBorders/>
            <w:vAlign w:val="center"/>
          </w:tcPr>
          <w:p>
            <w:pPr>
              <w:pStyle w:val="TableContents"/>
              <w:bidi w:val="0"/>
              <w:spacing w:before="0" w:after="283"/>
              <w:jc w:val="left"/>
              <w:rPr/>
            </w:pPr>
            <w:r>
              <w:rPr/>
              <w:t>all pre-emptive and comparable rights, if any, with respect to such Shares have been validly waived or exercised,</w:t>
            </w:r>
          </w:p>
        </w:tc>
      </w:tr>
    </w:tbl>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95"/>
        <w:gridCol w:w="9546"/>
      </w:tblGrid>
      <w:tr>
        <w:trPr/>
        <w:tc>
          <w:tcPr>
            <w:tcW w:w="6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(iii)</w:t>
            </w:r>
          </w:p>
        </w:tc>
        <w:tc>
          <w:tcPr>
            <w:tcW w:w="9546" w:type="dxa"/>
            <w:tcBorders/>
            <w:vAlign w:val="center"/>
          </w:tcPr>
          <w:p>
            <w:pPr>
              <w:pStyle w:val="TableContents"/>
              <w:bidi w:val="0"/>
              <w:spacing w:before="0" w:after="283"/>
              <w:jc w:val="left"/>
              <w:rPr/>
            </w:pPr>
            <w:r>
              <w:rPr/>
              <w:t>the person making such deposit is duly authorized so to do,</w:t>
            </w:r>
          </w:p>
        </w:tc>
      </w:tr>
    </w:tbl>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2"/>
        <w:gridCol w:w="9836"/>
      </w:tblGrid>
      <w:tr>
        <w:trPr/>
        <w:tc>
          <w:tcPr>
            <w:tcW w:w="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(iv)</w:t>
            </w:r>
          </w:p>
        </w:tc>
        <w:tc>
          <w:tcPr>
            <w:tcW w:w="9836" w:type="dxa"/>
            <w:tcBorders/>
            <w:vAlign w:val="center"/>
          </w:tcPr>
          <w:p>
            <w:pPr>
              <w:pStyle w:val="TableContents"/>
              <w:bidi w:val="0"/>
              <w:spacing w:before="0" w:after="283"/>
              <w:jc w:val="left"/>
              <w:rPr/>
            </w:pPr>
            <w:r>
              <w:rPr/>
              <w:t>the Shares presented for deposit are free and clear of any lien, encumbrance, security interest, charge, mortgage or adverse claim and</w:t>
            </w:r>
          </w:p>
        </w:tc>
      </w:tr>
    </w:tbl>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(v)</w:t>
            </w:r>
          </w:p>
        </w:tc>
        <w:tc>
          <w:tcPr>
            <w:tcW w:w="9945" w:type="dxa"/>
            <w:tcBorders/>
            <w:vAlign w:val="center"/>
          </w:tcPr>
          <w:p>
            <w:pPr>
              <w:pStyle w:val="TableContents"/>
              <w:bidi w:val="0"/>
              <w:spacing w:before="0" w:after="283"/>
              <w:jc w:val="left"/>
              <w:rPr/>
            </w:pPr>
            <w:r>
              <w:rPr/>
              <w:t>such Shares (A) are not "restricted securities" as such term is defined in Rule 144 under the Securities Act of 1933 ("</w:t>
            </w:r>
            <w:r>
              <w:rPr>
                <w:b/>
              </w:rPr>
              <w:t>Restricted Securities</w:t>
            </w:r>
            <w:r>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that enable the Shares to be freely sold (in the form of ADSs) will be fully complied with and, as a result thereof, all of the ADSs issued in respect of such Shares will not be on the sale thereof, Restricted Securities.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A-2 </w:t>
      </w:r>
    </w:p>
    <w:p>
      <w:pPr>
        <w:pStyle w:val="TextBody"/>
        <w:bidi w:val="0"/>
        <w:spacing w:before="0" w:after="0"/>
        <w:jc w:val="right"/>
        <w:rPr/>
      </w:pPr>
      <w:r>
        <w:rPr/>
        <w:drawing>
          <wp:inline distT="0" distB="0" distL="0" distR="0">
            <wp:extent cx="1781175" cy="2952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representations and warranties shall survive the deposit and withdrawal of Shares and the issuance and cancellation of ADSs in respect thereof and the transfer of such ADSs. If any of the representations or warranties are incorrect in any way, the Company and the Depositary may, at the cost of the breaching Holder (including, without limitation, any Holder acting on behalf of a third party) and/or Beneficial Owner, take any and all actions necessary to correct the consequences of such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Depositary may refuse to accept for such deposit any Shares identified by the Company in order to facilitate compliance with the requirements of the securities laws, rules and regulations of the United States, including, without limitation, the Securities Act of 1933 and the rules and regulations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Withdrawal of Deposited Securities</w:t>
      </w:r>
      <w:r>
        <w:rPr>
          <w:rFonts w:ascii="Times New Roman;Times;Serif" w:hAnsi="Times New Roman;Times;Serif"/>
          <w:b w:val="false"/>
          <w:i w:val="false"/>
          <w:caps w:val="false"/>
          <w:smallCaps w:val="false"/>
          <w:sz w:val="20"/>
        </w:rPr>
        <w:t>. Subject to paragraphs (4) (</w:t>
      </w:r>
      <w:r>
        <w:rPr>
          <w:rFonts w:ascii="Times New Roman;Times;Serif" w:hAnsi="Times New Roman;Times;Serif"/>
          <w:b w:val="false"/>
          <w:i/>
          <w:caps w:val="false"/>
          <w:smallCaps w:val="false"/>
          <w:sz w:val="20"/>
        </w:rPr>
        <w:t>Certain Limitations to Registration, Transfer etc.</w:t>
      </w:r>
      <w:r>
        <w:rPr>
          <w:rFonts w:ascii="Times New Roman;Times;Serif" w:hAnsi="Times New Roman;Times;Serif"/>
          <w:b w:val="false"/>
          <w:i w:val="false"/>
          <w:caps w:val="false"/>
          <w:smallCaps w:val="false"/>
          <w:sz w:val="20"/>
        </w:rPr>
        <w:t>), (5) (</w:t>
      </w:r>
      <w:r>
        <w:rPr>
          <w:rFonts w:ascii="Times New Roman;Times;Serif" w:hAnsi="Times New Roman;Times;Serif"/>
          <w:b w:val="false"/>
          <w:i/>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 and (7)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and to the provisions of or governing the Deposited Securities (including, without limitation, the Company's governing documents and all applicable laws, rules and regulations), upon surrender of (a) a certificated ADR in a form satisfactory to the Depositary at the Transfer Office or (b) proper instructions and documentation in the case of a Direct Registration ADR, the Holder hereof is entitled to delivery at the Custodian's office (or from the Custodian to the extent dematerialized) of the Deposited Securities at the time represented by the ADSs evidenced by this ADR. At the request, risk and expense of the Holder hereof, the Depositary may deliver such Deposited Securities (including any certificates therefor)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Transfers, Split-Ups and Combinations of ADRs</w:t>
      </w:r>
      <w:r>
        <w:rPr>
          <w:rFonts w:ascii="Times New Roman;Times;Serif" w:hAnsi="Times New Roman;Times;Serif"/>
          <w:b w:val="false"/>
          <w:i w:val="false"/>
          <w:caps w:val="false"/>
          <w:smallCaps w:val="false"/>
          <w:sz w:val="20"/>
        </w:rPr>
        <w:t>. The Depositary or its agent will keep, at a designated transfer office (the "</w:t>
      </w:r>
      <w:r>
        <w:rPr>
          <w:rFonts w:ascii="Times New Roman;Times;Serif" w:hAnsi="Times New Roman;Times;Serif"/>
          <w:b/>
          <w:i w:val="false"/>
          <w:caps w:val="false"/>
          <w:smallCaps w:val="false"/>
          <w:sz w:val="20"/>
        </w:rPr>
        <w:t>Transfer Office</w:t>
      </w:r>
      <w:r>
        <w:rPr>
          <w:rFonts w:ascii="Times New Roman;Times;Serif" w:hAnsi="Times New Roman;Times;Serif"/>
          <w:b w:val="false"/>
          <w:i w:val="false"/>
          <w:caps w:val="false"/>
          <w:smallCaps w:val="false"/>
          <w:sz w:val="20"/>
        </w:rPr>
        <w:t>"), (a) a register (the "</w:t>
      </w:r>
      <w:r>
        <w:rPr>
          <w:rFonts w:ascii="Times New Roman;Times;Serif" w:hAnsi="Times New Roman;Times;Serif"/>
          <w:b/>
          <w:i w:val="false"/>
          <w:caps w:val="false"/>
          <w:smallCaps w:val="false"/>
          <w:sz w:val="20"/>
        </w:rPr>
        <w:t>ADR Register</w:t>
      </w:r>
      <w:r>
        <w:rPr>
          <w:rFonts w:ascii="Times New Roman;Times;Serif" w:hAnsi="Times New Roman;Times;Serif"/>
          <w:b w:val="false"/>
          <w:i w:val="false"/>
          <w:caps w:val="false"/>
          <w:smallCaps w:val="false"/>
          <w:sz w:val="20"/>
        </w:rPr>
        <w:t xml:space="preserve">")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and/or upon delivery to the Depositary of proper instruments of transfer, is transferable by delivery with the same effect as in the case of negotiable instruments under the laws of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w:t>
      </w:r>
      <w:r>
        <w:rPr>
          <w:rFonts w:ascii="Times New Roman;Times;Serif" w:hAnsi="Times New Roman;Times;Serif"/>
          <w:b w:val="false"/>
          <w:i/>
          <w:caps w:val="false"/>
          <w:smallCaps w:val="false"/>
          <w:sz w:val="20"/>
        </w:rPr>
        <w:t>Certain Limitations to Registration, Transfer, etc.</w:t>
      </w:r>
      <w:r>
        <w:rPr>
          <w:rFonts w:ascii="Times New Roman;Times;Serif" w:hAnsi="Times New Roman;Times;Serif"/>
          <w:b w:val="false"/>
          <w:i w:val="false"/>
          <w:caps w:val="false"/>
          <w:smallCaps w:val="false"/>
          <w:sz w:val="20"/>
        </w:rPr>
        <w:t>) and (5) (</w:t>
      </w:r>
      <w:r>
        <w:rPr>
          <w:rFonts w:ascii="Times New Roman;Times;Serif" w:hAnsi="Times New Roman;Times;Serif"/>
          <w:b w:val="false"/>
          <w:i/>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 xml:space="preserve">),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Depositary may close the ADR Register (and/or any portion thereof) at any time or from time to time when deemed expedient by it.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A-3 </w:t>
      </w:r>
    </w:p>
    <w:p>
      <w:pPr>
        <w:pStyle w:val="TextBody"/>
        <w:bidi w:val="0"/>
        <w:spacing w:before="0" w:after="0"/>
        <w:jc w:val="right"/>
        <w:rPr/>
      </w:pPr>
      <w:r>
        <w:rPr/>
        <w:drawing>
          <wp:inline distT="0" distB="0" distL="0" distR="0">
            <wp:extent cx="1781175" cy="2952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Certain Limitations to Registration, Transfer, etc</w:t>
      </w:r>
      <w:r>
        <w:rPr>
          <w:rFonts w:ascii="Times New Roman;Times;Serif" w:hAnsi="Times New Roman;Times;Serif"/>
          <w:b w:val="false"/>
          <w:i w:val="false"/>
          <w:caps w:val="false"/>
          <w:smallCaps w:val="false"/>
          <w:sz w:val="20"/>
        </w:rPr>
        <w:t>. Prior to the issue, registration, registration of transfer, split-up or combination of any ADR, the delivery of any distribution in respect thereof, or, subject to the last sentence of paragraph (2) (</w:t>
      </w:r>
      <w:r>
        <w:rPr>
          <w:rFonts w:ascii="Times New Roman;Times;Serif" w:hAnsi="Times New Roman;Times;Serif"/>
          <w:b w:val="false"/>
          <w:i/>
          <w:caps w:val="false"/>
          <w:smallCaps w:val="false"/>
          <w:sz w:val="20"/>
        </w:rPr>
        <w:t>Withdrawal of Deposited Securities</w:t>
      </w:r>
      <w:r>
        <w:rPr>
          <w:rFonts w:ascii="Times New Roman;Times;Serif" w:hAnsi="Times New Roman;Times;Serif"/>
          <w:b w:val="false"/>
          <w:i w:val="false"/>
          <w:caps w:val="false"/>
          <w:smallCaps w:val="false"/>
          <w:sz w:val="20"/>
        </w:rPr>
        <w:t>), the withdrawal of any Deposited Securities, and from time to time in the case of clause (b)(ii) of this paragraph (4), the Company, the Depositary or the Custodian may require: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of this ADR;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compliance with such regulations as the Depositary may establish consistent with the Deposit Agreement or as the Depositary believes are required, necessary or advisable in order to comply with applicable laws, rules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ADRs, the acceptance of deposits of Shares, the registration, registration of transfer, split-up or combination of ADRs or, subject to the last sentence of paragraph (2) (</w:t>
      </w:r>
      <w:r>
        <w:rPr>
          <w:rFonts w:ascii="Times New Roman;Times;Serif" w:hAnsi="Times New Roman;Times;Serif"/>
          <w:b w:val="false"/>
          <w:i/>
          <w:caps w:val="false"/>
          <w:smallCaps w:val="false"/>
          <w:sz w:val="20"/>
        </w:rPr>
        <w:t>Withdrawal of Deposited Securities</w:t>
      </w:r>
      <w:r>
        <w:rPr>
          <w:rFonts w:ascii="Times New Roman;Times;Serif" w:hAnsi="Times New Roman;Times;Serif"/>
          <w:b w:val="false"/>
          <w:i w:val="false"/>
          <w:caps w:val="false"/>
          <w:smallCaps w:val="false"/>
          <w:sz w:val="20"/>
        </w:rPr>
        <w:t>), the withdrawal and delivery of Deposited Securities may be suspended, generally or in particular instances, when the ADR Register or any register for Deposited Securities is closed or when any such action is deemed required, necessary or advisable by the Depositary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A-4 </w:t>
      </w:r>
    </w:p>
    <w:p>
      <w:pPr>
        <w:pStyle w:val="TextBody"/>
        <w:bidi w:val="0"/>
        <w:spacing w:before="0" w:after="0"/>
        <w:jc w:val="right"/>
        <w:rPr/>
      </w:pPr>
      <w:r>
        <w:rPr/>
        <w:drawing>
          <wp:inline distT="0" distB="0" distL="0" distR="0">
            <wp:extent cx="1781175" cy="2952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Liability for Taxes</w:t>
      </w:r>
      <w:r>
        <w:rPr>
          <w:rFonts w:ascii="Times New Roman;Times;Serif" w:hAnsi="Times New Roman;Times;Serif"/>
          <w:b w:val="false"/>
          <w:i w:val="false"/>
          <w:caps w:val="false"/>
          <w:smallCaps w:val="false"/>
          <w:sz w:val="20"/>
        </w:rPr>
        <w:t>. If any tax or other governmental charges (including any penalties and/or interest) shall 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owning, or having held or owned, this ADR or any ADSs evidenced hereby, the Holder and all Beneficial Owners hereof and thereof, and all prior Holders and Beneficial Owners hereof and thereof, jointly and severally, agree to indemnify, defend and save harmless each of the Depositary and its agents in respect of such tax or other governmental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any of its agents, shall be liable to Holders or Beneficial Owners of the ADSs and ADRs for failure of any of them to comply with applicable tax laws, rules and/or regulations.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Depositary's right to seek payment from current and former Holders and Beneficial Owners, the Holder(s) and Beneficial Owner(s) hereof (and all prior Holder(s) and Beneficial Owner(s) hereof) acknowledge and agree that the Depositary has no obligation to seek payment of amounts owing under this paragraph (5) from any current or former Beneficial Owner.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effect any registration, registration of transfer, split-up or combination hereof or, subject to the last sentence of paragraph (2) (</w:t>
      </w:r>
      <w:r>
        <w:rPr>
          <w:rFonts w:ascii="Times New Roman;Times;Serif" w:hAnsi="Times New Roman;Times;Serif"/>
          <w:b w:val="false"/>
          <w:i/>
          <w:caps w:val="false"/>
          <w:smallCaps w:val="false"/>
          <w:sz w:val="20"/>
        </w:rPr>
        <w:t>Withdrawal of Deposited Securities</w:t>
      </w:r>
      <w:r>
        <w:rPr>
          <w:rFonts w:ascii="Times New Roman;Times;Serif" w:hAnsi="Times New Roman;Times;Serif"/>
          <w:b w:val="false"/>
          <w:i w:val="false"/>
          <w:caps w:val="false"/>
          <w:smallCaps w:val="false"/>
          <w:sz w:val="20"/>
        </w:rPr>
        <w:t>), any withdrawal of such Deposited Securities until such payment is made.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also deduct from any distributions on or in respect of Deposited Securities, or may sell by public or private sale for the account of the Holder hereof any part or all of such Deposited Securities,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center"/>
        <w:rPr>
          <w:bdr w:val="single" w:sz="8" w:space="1" w:color="000000"/>
        </w:rPr>
      </w:pPr>
      <w:r>
        <w:rPr>
          <w:bdr w:val="single" w:sz="8" w:space="1" w:color="000000"/>
        </w:rPr>
        <w:t>A-5 </w:t>
      </w:r>
    </w:p>
    <w:p>
      <w:pPr>
        <w:pStyle w:val="TextBody"/>
        <w:bidi w:val="0"/>
        <w:spacing w:before="0" w:after="0"/>
        <w:jc w:val="right"/>
        <w:rPr/>
      </w:pPr>
      <w:r>
        <w:rPr/>
        <w:drawing>
          <wp:inline distT="0" distB="0" distL="0" distR="0">
            <wp:extent cx="1781175" cy="2952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Indemnification Related to Taxes</w:t>
      </w:r>
      <w:r>
        <w:rPr>
          <w:rFonts w:ascii="Times New Roman;Times;Serif" w:hAnsi="Times New Roman;Times;Serif"/>
          <w:b w:val="false"/>
          <w:i w:val="false"/>
          <w:caps w:val="false"/>
          <w:smallCaps w:val="false"/>
          <w:sz w:val="20"/>
        </w:rPr>
        <w:t>. Each Holder and Beneficial Owner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Disclosure of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Jurisdiction Specific</w:t>
      </w:r>
      <w:r>
        <w:rPr>
          <w:rFonts w:ascii="Times New Roman;Times;Serif" w:hAnsi="Times New Roman;Times;Serif"/>
          <w:b w:val="false"/>
          <w:i w:val="false"/>
          <w:caps w:val="false"/>
          <w:smallCaps w:val="false"/>
          <w:sz w:val="20"/>
        </w:rPr>
        <w:t>. Any summary of the laws and regulations of the Cayman Islands and of the terms of the Company's constituent documents has been provided by the Company solely for the convenience of Holders, Beneficial Owners and the Depositary. While such summaries are believed by the Company to be accurate as of the date of the Deposit Agreement, they are (i) summaries and as such may not include all aspects of the materials summarized as applicable to a Holder or Beneficial Owner, and (ii) provided by the Company as of the date of the Deposit Agreement. The Holder or Beneficial Owner acknowledges that these laws and regulations and the Company's constituent documents may change after the date of the Deposit Agreement. Neither the Depositary nor the Company has any obligation to update any such summaries.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A-6 </w:t>
      </w:r>
    </w:p>
    <w:p>
      <w:pPr>
        <w:pStyle w:val="TextBody"/>
        <w:bidi w:val="0"/>
        <w:spacing w:before="0" w:after="0"/>
        <w:jc w:val="right"/>
        <w:rPr/>
      </w:pPr>
      <w:r>
        <w:rPr/>
        <w:drawing>
          <wp:inline distT="0" distB="0" distL="0" distR="0">
            <wp:extent cx="1781175" cy="2952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Charges of Depositary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Rights of the Depositary</w:t>
      </w:r>
      <w:r>
        <w:rPr>
          <w:rFonts w:ascii="Times New Roman;Times;Serif" w:hAnsi="Times New Roman;Times;Serif"/>
          <w:b w:val="false"/>
          <w:i w:val="false"/>
          <w:caps w:val="false"/>
          <w:smallCaps w:val="false"/>
          <w:sz w:val="20"/>
        </w:rPr>
        <w:t>. The Depositary may charge, and collect from, (i) each person to whom ADSs are issued, including, without limitation, issuances against deposits of Shares, issuances in respect of Share Distributions, Rights and Other Distributions (as such terms are defined in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a fee of up to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Additional Fees, Charges and Expenses by the Depositary</w:t>
      </w:r>
      <w:r>
        <w:rPr>
          <w:rFonts w:ascii="Times New Roman;Times;Serif" w:hAnsi="Times New Roman;Times;Serif"/>
          <w:b w:val="false"/>
          <w:i w:val="false"/>
          <w:caps w:val="false"/>
          <w:smallCaps w:val="false"/>
          <w:sz w:val="20"/>
        </w:rPr>
        <w:t>. The following additional fees, charges and expenses shall also be incurred by the Holders, the Beneficial Owners, by 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whichever is applicable: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3" w:type="dxa"/>
            <w:tcBorders/>
            <w:vAlign w:val="center"/>
          </w:tcPr>
          <w:p>
            <w:pPr>
              <w:pStyle w:val="TableContents"/>
              <w:bidi w:val="0"/>
              <w:spacing w:before="0" w:after="283"/>
              <w:jc w:val="left"/>
              <w:rPr/>
            </w:pPr>
            <w:r>
              <w:rPr/>
              <w:t>a fee of up to U.S.$0.05 per ADS held for any Cash distribution made, or for any elective cash/stock dividend offered, pursuant to the Deposit Agreement,</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left"/>
              <w:rPr/>
            </w:pPr>
            <w:r>
              <w:rPr/>
              <w:t>a fee of up to U.S.$0.05 per ADS held for the direct or indirect distribution of securities (other than ADSs or rights to purchase additional ADSs pursuant to paragraph (10) hereof) or the net cash proceeds from the public or private sale of any such securities, regardless of whether any such distribution and/or sale is made by, for, or received from, or (in each case) on behalf of, the Depositary, the Company and/or any third party (which fee may be assessed against Holders as of a record date set by the Depositary),</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79" w:type="dxa"/>
            <w:tcBorders/>
            <w:vAlign w:val="center"/>
          </w:tcPr>
          <w:p>
            <w:pPr>
              <w:pStyle w:val="TableContents"/>
              <w:bidi w:val="0"/>
              <w:spacing w:before="0" w:after="283"/>
              <w:jc w:val="left"/>
              <w:rPr/>
            </w:pPr>
            <w:r>
              <w:rPr/>
              <w:t>an aggregate fee of up to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A-7 </w:t>
      </w:r>
    </w:p>
    <w:p>
      <w:pPr>
        <w:pStyle w:val="TextBody"/>
        <w:bidi w:val="0"/>
        <w:spacing w:before="0" w:after="0"/>
        <w:jc w:val="right"/>
        <w:rPr/>
      </w:pPr>
      <w:r>
        <w:rPr/>
        <w:drawing>
          <wp:inline distT="0" distB="0" distL="0" distR="0">
            <wp:extent cx="1781175" cy="2952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(iv)</w:t>
            </w:r>
          </w:p>
        </w:tc>
        <w:tc>
          <w:tcPr>
            <w:tcW w:w="9886" w:type="dxa"/>
            <w:tcBorders/>
            <w:vAlign w:val="center"/>
          </w:tcPr>
          <w:p>
            <w:pPr>
              <w:pStyle w:val="TableContents"/>
              <w:bidi w:val="0"/>
              <w:spacing w:before="0" w:after="283"/>
              <w:jc w:val="left"/>
              <w:rPr/>
            </w:pPr>
            <w:r>
              <w:rPr/>
              <w:t>an amount for the reimbursement of such charges and expenses as are incurred by the Depositary and/or any of its agents (including, without limitation, the Custodian, as well as charges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charges and expenses may be assessed on a proportionate basis against Holders as of the record date or dates set by the Depositary and shall be payable at the sole discretion of the Depositary by billing such Holders or by deducting such charge or expense from one or more cash dividends or other cash distributions).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Other Obligations, Fees, Charges and Expenses</w:t>
      </w:r>
      <w:r>
        <w:rPr>
          <w:rFonts w:ascii="Times New Roman;Times;Serif" w:hAnsi="Times New Roman;Times;Serif"/>
          <w:b w:val="false"/>
          <w:i w:val="false"/>
          <w:caps w:val="false"/>
          <w:smallCaps w:val="false"/>
          <w:sz w:val="20"/>
        </w:rPr>
        <w:t>. The Company will pay all other fees, charges and expenses of the Depositary and any agent of the Depositary (except the Custodian) pursuant to agreements from time to time between the Company and the Depositary, except: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w:t>
            </w:r>
          </w:p>
        </w:tc>
        <w:tc>
          <w:tcPr>
            <w:tcW w:w="9949" w:type="dxa"/>
            <w:tcBorders/>
            <w:vAlign w:val="center"/>
          </w:tcPr>
          <w:p>
            <w:pPr>
              <w:pStyle w:val="TableContents"/>
              <w:bidi w:val="0"/>
              <w:spacing w:before="0" w:after="283"/>
              <w:jc w:val="left"/>
              <w:rPr/>
            </w:pPr>
            <w:r>
              <w:rPr/>
              <w:t>stock transfer or other taxes and other governmental charges (which are payable by Holders or persons depositing Shares);</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left"/>
              <w:rPr/>
            </w:pPr>
            <w:r>
              <w:rPr/>
              <w:t xml:space="preserve">a transaction fee per cancellation request (including any cancellation request made through SWIFT, facsimile transmission or any other method of communication) as disclosed on the "Disclosures" page (or successor page) of </w:t>
            </w:r>
            <w:r>
              <w:rPr>
                <w:u w:val="single"/>
              </w:rPr>
              <w:t>www.adr.com</w:t>
            </w:r>
            <w:r>
              <w:rPr/>
              <w:t xml:space="preserve"> (as updated by the Depositary from time to time, "</w:t>
            </w:r>
            <w:r>
              <w:rPr>
                <w:b/>
              </w:rPr>
              <w:t>ADR.com</w:t>
            </w:r>
            <w:r>
              <w:rPr/>
              <w:t>") and any applicable delivery expenses (which are payable by such persons or Holders); and</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left"/>
              <w:rPr/>
            </w:pPr>
            <w:r>
              <w:rPr/>
              <w:t>transfer or registration expenses for the registration or transfer of Deposited Securities on any applicable register in connection with the deposit or withdrawal of Deposited Securities (which are payable by persons depositing Shares or Holders withdrawing Deposited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Foreign Exchange Related Matters</w:t>
      </w:r>
      <w:r>
        <w:rPr>
          <w:rFonts w:ascii="Times New Roman;Times;Serif" w:hAnsi="Times New Roman;Times;Serif"/>
          <w:b w:val="false"/>
          <w:i w:val="false"/>
          <w:caps w:val="false"/>
          <w:smallCaps w:val="false"/>
          <w:sz w:val="20"/>
        </w:rPr>
        <w:t>. 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 and/or its affiliates in order to enter into spot foreign exchange transactions to convert foreign currency into U.S. dollars ("</w:t>
      </w:r>
      <w:r>
        <w:rPr>
          <w:rFonts w:ascii="Times New Roman;Times;Serif" w:hAnsi="Times New Roman;Times;Serif"/>
          <w:b/>
          <w:i w:val="false"/>
          <w:caps w:val="false"/>
          <w:smallCaps w:val="false"/>
          <w:sz w:val="20"/>
        </w:rPr>
        <w:t>FX Transactions</w:t>
      </w:r>
      <w:r>
        <w:rPr>
          <w:rFonts w:ascii="Times New Roman;Times;Serif" w:hAnsi="Times New Roman;Times;Serif"/>
          <w:b w:val="false"/>
          <w:i w:val="false"/>
          <w:caps w:val="false"/>
          <w:smallCaps w:val="false"/>
          <w:sz w:val="20"/>
        </w:rPr>
        <w:t>"). For certain currencies, FX Transactions are entered into with the Bank or an affiliate, as the case may be, acting in a principal capacity. For other currencies, FX Transactions are routed directly to and managed by an unaffiliated local custodian (or other third-party local liquidity provider), and neither the Bank nor any of its affiliates is a party to such FX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A-8 </w:t>
      </w:r>
    </w:p>
    <w:p>
      <w:pPr>
        <w:pStyle w:val="TextBody"/>
        <w:bidi w:val="0"/>
        <w:spacing w:before="0" w:after="0"/>
        <w:jc w:val="right"/>
        <w:rPr/>
      </w:pPr>
      <w:r>
        <w:rPr/>
        <w:drawing>
          <wp:inline distT="0" distB="0" distL="0" distR="0">
            <wp:extent cx="1781175" cy="2952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exchange rate applied to an FX Transaction will be either (i) a published benchmark rate, or (ii) a rate determined by a third-party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The spread applied does not reflect any gains or losses that may be earned or incurred by the Bank and its affiliates as a result of risk management or other hedging related activity.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the Company provides U.S. dollars to the Depositary, neither the Bank nor any of its affiliates will execute an FX Transaction as set forth herein. In such case, the Depositary will distribute the U.S. dollars received from the Company.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relating to the applicable foreign exchange rate, the applicable spread and the execution of FX Transactions will be provided by the Depositary on ADR.com. The Company, Holders and Beneficial Owners each acknowledge and agree that the terms applicable to FX Transactions disclosed from time to time on ADR.com will apply to any FX Transaction executed pursuant to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 of the Depositary to charge and receive payment of fees, charges and expenses as provided above shall survive the termination of the Deposit Agreement. Upon the resignation or removal of the Depositary, such right shall extend for those fees, charges and expenses incurred prior to the effectiveness of such resignation or removal.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A-9 </w:t>
      </w:r>
    </w:p>
    <w:p>
      <w:pPr>
        <w:pStyle w:val="TextBody"/>
        <w:bidi w:val="0"/>
        <w:spacing w:before="0" w:after="0"/>
        <w:jc w:val="right"/>
        <w:rPr/>
      </w:pPr>
      <w:r>
        <w:rPr/>
        <w:drawing>
          <wp:inline distT="0" distB="0" distL="0" distR="0">
            <wp:extent cx="1781175" cy="2952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Disclosure of Potential Depositary Payments</w:t>
      </w:r>
      <w:r>
        <w:rPr>
          <w:rFonts w:ascii="Times New Roman;Times;Serif" w:hAnsi="Times New Roman;Times;Serif"/>
          <w:b w:val="false"/>
          <w:i w:val="false"/>
          <w:caps w:val="false"/>
          <w:smallCaps w:val="false"/>
          <w:sz w:val="20"/>
        </w:rPr>
        <w:t>. The Depositary anticipates reimbursing the Company for certain expenses incurred by the 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Under certain limited circumstances the Depositary may reduce or waive certain fees, charges and expenses provided herein and in the Deposit Agreement, including, without limitation, those described in this paragraph (7) that would normally be charged on ADSs issued to or at the direction of, or otherwise held by, the Company and/ or certain Holders and Beneficial Owners and holders and beneficial owners of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Available Information</w:t>
      </w:r>
      <w:r>
        <w:rPr>
          <w:rFonts w:ascii="Times New Roman;Times;Serif" w:hAnsi="Times New Roman;Times;Serif"/>
          <w:b w:val="false"/>
          <w:i w:val="false"/>
          <w:caps w:val="false"/>
          <w:smallCaps w:val="false"/>
          <w:sz w:val="20"/>
        </w:rPr>
        <w:t>. The Deposit Agreement, the provisions of or governing Deposited Securities and any written communications from the Company, which are both received by the Custodian or its nominee as a holder of Deposited Securities and made generally available to the holders of Deposited Securities, are available for inspection by Holders at the offices of the Depositary in the United States, on the Commission's Internet Website or upon request to the Depositary (which request may be refused by the Depositary at its discretion). The Depositary will distribute copies of such communications (or English translations or summaries thereof) to Holders when furnished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periodic reporting requirements of the Securities Exchange Act of 1934 and accordingly files certain reports with the Commission. These reports can be inspected and retrieved by Holders and Beneficial Owners through the EDGAR system on the Commission's Internet Website located as of the date of the Deposit Agreement at www.sec.gov and can be inspected and copied at the public reference facilities maintained by the Commission, located (as of the date of the Deposit Agreement) at 100 F Street, N.E., Washington, D.C. 20549. Each Holder and Beneficial Owner of an ADR and/or interest therein by so holding or owning an ADR and/or an interest therein, acknowledges and agrees that the Depositary (i) is relying, and may so rely, solely on the Company's representations, warranties, covenants and agreements in Section 13(a) of the Deposit Agreement and this paragraph (8) of the form of ADR (</w:t>
      </w:r>
      <w:r>
        <w:rPr>
          <w:rFonts w:ascii="Times New Roman;Times;Serif" w:hAnsi="Times New Roman;Times;Serif"/>
          <w:b w:val="false"/>
          <w:i/>
          <w:caps w:val="false"/>
          <w:smallCaps w:val="false"/>
          <w:sz w:val="20"/>
        </w:rPr>
        <w:t>Available Information</w:t>
      </w:r>
      <w:r>
        <w:rPr>
          <w:rFonts w:ascii="Times New Roman;Times;Serif" w:hAnsi="Times New Roman;Times;Serif"/>
          <w:b w:val="false"/>
          <w:i w:val="false"/>
          <w:caps w:val="false"/>
          <w:smallCaps w:val="false"/>
          <w:sz w:val="20"/>
        </w:rPr>
        <w:t>), (ii) does not assume any duty or responsibility to determine if the Company is in compliance with the registration, reporting and other requirements of the Securities Exchange Act of 1934, and (iii) may, and is expressly authorized by each Holder and Beneficial Owner of an ADR and/or an interest therein to, represent, warrant and certify that, based on such ongoing representations, warranties, covenants and agreements of the Company, the Company is in compliance with the registration, reporting and other requirements of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A-10 </w:t>
      </w:r>
    </w:p>
    <w:p>
      <w:pPr>
        <w:pStyle w:val="TextBody"/>
        <w:bidi w:val="0"/>
        <w:spacing w:before="0" w:after="0"/>
        <w:jc w:val="right"/>
        <w:rPr/>
      </w:pPr>
      <w:r>
        <w:rPr/>
        <w:drawing>
          <wp:inline distT="0" distB="0" distL="0" distR="0">
            <wp:extent cx="1781175" cy="2952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Execution</w:t>
      </w:r>
      <w:r>
        <w:rPr>
          <w:rFonts w:ascii="Times New Roman;Times;Serif" w:hAnsi="Times New Roman;Times;Serif"/>
          <w:b w:val="false"/>
          <w:i w:val="false"/>
          <w:caps w:val="false"/>
          <w:smallCaps w:val="false"/>
          <w:sz w:val="20"/>
        </w:rPr>
        <w:t>. This ADR shall not be valid for any purpose unless executed by the Depositary by the manual or facsimile signature of a duly authorized officer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074" w:type="dxa"/>
        <w:jc w:val="left"/>
        <w:tblInd w:w="0" w:type="dxa"/>
        <w:tblLayout w:type="fixed"/>
        <w:tblCellMar>
          <w:top w:w="0" w:type="dxa"/>
          <w:left w:w="0" w:type="dxa"/>
          <w:bottom w:w="0" w:type="dxa"/>
          <w:right w:w="0" w:type="dxa"/>
        </w:tblCellMar>
      </w:tblPr>
      <w:tblGrid>
        <w:gridCol w:w="75"/>
        <w:gridCol w:w="4011"/>
        <w:gridCol w:w="988"/>
      </w:tblGrid>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JPMORGAN CHASE BANK, N.A., as Depositary</w:t>
            </w:r>
          </w:p>
        </w:tc>
      </w:tr>
      <w:tr>
        <w:trPr/>
        <w:tc>
          <w:tcPr>
            <w:tcW w:w="75" w:type="dxa"/>
            <w:tcBorders/>
            <w:vAlign w:val="center"/>
          </w:tcPr>
          <w:p>
            <w:pPr>
              <w:pStyle w:val="TableContents"/>
              <w:bidi w:val="0"/>
              <w:spacing w:before="0" w:after="283"/>
              <w:jc w:val="left"/>
              <w:rPr/>
            </w:pPr>
            <w:r>
              <w:rPr/>
              <w:t> </w:t>
            </w:r>
          </w:p>
        </w:tc>
        <w:tc>
          <w:tcPr>
            <w:tcW w:w="4011"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98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Depositary's office is located at 383 Madison Avenue, Floor 11, New York, New York 10179.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A-11 </w:t>
      </w:r>
    </w:p>
    <w:p>
      <w:pPr>
        <w:pStyle w:val="TextBody"/>
        <w:bidi w:val="0"/>
        <w:spacing w:before="0" w:after="0"/>
        <w:jc w:val="right"/>
        <w:rPr/>
      </w:pPr>
      <w:r>
        <w:rPr/>
        <w:drawing>
          <wp:inline distT="0" distB="0" distL="0" distR="0">
            <wp:extent cx="1781175" cy="2952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ADR]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Distributions on Deposited Securities; Sales</w:t>
      </w:r>
      <w:r>
        <w:rPr>
          <w:rFonts w:ascii="Times New Roman;Times;Serif" w:hAnsi="Times New Roman;Times;Serif"/>
          <w:b w:val="false"/>
          <w:i w:val="false"/>
          <w:caps w:val="false"/>
          <w:smallCaps w:val="false"/>
          <w:sz w:val="20"/>
        </w:rPr>
        <w:t>. Subject to paragraphs (4) (</w:t>
      </w:r>
      <w:r>
        <w:rPr>
          <w:rFonts w:ascii="Times New Roman;Times;Serif" w:hAnsi="Times New Roman;Times;Serif"/>
          <w:b w:val="false"/>
          <w:i/>
          <w:caps w:val="false"/>
          <w:smallCaps w:val="false"/>
          <w:sz w:val="20"/>
        </w:rPr>
        <w:t>Certain Limitations to Registration, Transfer etc.</w:t>
      </w:r>
      <w:r>
        <w:rPr>
          <w:rFonts w:ascii="Times New Roman;Times;Serif" w:hAnsi="Times New Roman;Times;Serif"/>
          <w:b w:val="false"/>
          <w:i w:val="false"/>
          <w:caps w:val="false"/>
          <w:smallCaps w:val="false"/>
          <w:sz w:val="20"/>
        </w:rPr>
        <w:t>) and (5) (</w:t>
      </w:r>
      <w:r>
        <w:rPr>
          <w:rFonts w:ascii="Times New Roman;Times;Serif" w:hAnsi="Times New Roman;Times;Serif"/>
          <w:b w:val="false"/>
          <w:i/>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 to the extent practicable, the Depositary will distribute to each Holder entitled thereto on 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Cash</w:t>
      </w:r>
      <w:r>
        <w:rPr>
          <w:rFonts w:ascii="Times New Roman;Times;Serif" w:hAnsi="Times New Roman;Times;Serif"/>
          <w:b w:val="false"/>
          <w:i w:val="false"/>
          <w:caps w:val="false"/>
          <w:smallCaps w:val="false"/>
          <w:sz w:val="20"/>
        </w:rPr>
        <w:t>. Any U.S. dollars available to the Depositary resulting from a cash dividend or other cash distribution or the net proceeds of sales of any other distribution or portion thereof authorized in this paragraph (10) ("</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on an averaged or other practicable basis, subject to (i) appropriate adjustments for taxes withheld, (ii) such distribution being permissible or 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Holders issued in respect of such Deposited Securities. To the extent the Company or the Depositary shall be required to withhold and does withhold from any cash dividend, distribution or net proceeds from sales in respect of any Deposited Securities an amount on account of taxes, the amount distributed on the ADSs issued in respect of such Deposited Securities shall be reduced accordingly.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determines in its discretion that it would not be permitted by applicable law, rule or regulation, or it would not otherwise be practicable, to convert foreign currency into U.S. dollars and/or distribute such U.S. dollars to any or all of the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Holders entitled to receive the same.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A-12 </w:t>
      </w:r>
    </w:p>
    <w:p>
      <w:pPr>
        <w:pStyle w:val="TextBody"/>
        <w:bidi w:val="0"/>
        <w:spacing w:before="0" w:after="0"/>
        <w:jc w:val="right"/>
        <w:rPr/>
      </w:pPr>
      <w:r>
        <w:rPr/>
        <w:drawing>
          <wp:inline distT="0" distB="0" distL="0" distR="0">
            <wp:extent cx="1781175" cy="2952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(i) Additional ADRs evidencing whole ADSs representing any Shares available to the Depositary resulting from a dividend or free distribution on Deposited Securities consisting of Shares (a "</w:t>
      </w:r>
      <w:r>
        <w:rPr>
          <w:rFonts w:ascii="Times New Roman;Times;Serif" w:hAnsi="Times New Roman;Times;Serif"/>
          <w:b/>
          <w:i w:val="false"/>
          <w:caps w:val="false"/>
          <w:smallCaps w:val="false"/>
          <w:sz w:val="20"/>
        </w:rPr>
        <w:t>Share Distribution</w:t>
      </w:r>
      <w:r>
        <w:rPr>
          <w:rFonts w:ascii="Times New Roman;Times;Serif" w:hAnsi="Times New Roman;Times;Serif"/>
          <w:b w:val="false"/>
          <w:i w:val="false"/>
          <w:caps w:val="false"/>
          <w:smallCaps w:val="false"/>
          <w:sz w:val="20"/>
        </w:rPr>
        <w:t>") and (ii) U.S. dollars available to it resulting from the net proceeds of public or private sales of Shares received in a Share Distribution, which Shares would give rise to fractional ADSs if additional ADRs were issued therefor, as in the case of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Rights</w:t>
      </w:r>
      <w:r>
        <w:rPr>
          <w:rFonts w:ascii="Times New Roman;Times;Serif" w:hAnsi="Times New Roman;Times;Serif"/>
          <w:b w:val="false"/>
          <w:i w:val="false"/>
          <w:caps w:val="false"/>
          <w:smallCaps w:val="false"/>
          <w:sz w:val="20"/>
        </w:rPr>
        <w:t>. (i) Warrants or other instruments in the discretion of the Depositary representing rights to acquire additional ADRs in respect of any rights to subscribe for additional Shares or rights of any nature available to the Depositary as a result of a distribution on Deposited Securities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the public or private sales of Rights as in the case of Cash, or (iii) to the extent the Company does not so furnish such evidence and/or such sales cannot practicably be accomplished by reason of the non-transferability of the Rights, limited markets therefor, their short duration or otherwise, nothing (and any Rights may lapse).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Other Distributions</w:t>
      </w:r>
      <w:r>
        <w:rPr>
          <w:rFonts w:ascii="Times New Roman;Times;Serif" w:hAnsi="Times New Roman;Times;Serif"/>
          <w:b w:val="false"/>
          <w:i w:val="false"/>
          <w:caps w:val="false"/>
          <w:smallCaps w:val="false"/>
          <w:sz w:val="20"/>
        </w:rPr>
        <w:t>. (i) Securities or property available to the Depositary resulting from any distribution on Deposited Securities other than Cash, Share Distributions and Rights ("</w:t>
      </w:r>
      <w:r>
        <w:rPr>
          <w:rFonts w:ascii="Times New Roman;Times;Serif" w:hAnsi="Times New Roman;Times;Serif"/>
          <w:b/>
          <w:i w:val="false"/>
          <w:caps w:val="false"/>
          <w:smallCaps w:val="false"/>
          <w:sz w:val="20"/>
        </w:rPr>
        <w:t>Other Distributions</w:t>
      </w:r>
      <w:r>
        <w:rPr>
          <w:rFonts w:ascii="Times New Roman;Times;Serif" w:hAnsi="Times New Roman;Times;Serif"/>
          <w:b w:val="false"/>
          <w:i w:val="false"/>
          <w:caps w:val="false"/>
          <w:smallCaps w:val="false"/>
          <w:sz w:val="20"/>
        </w:rPr>
        <w:t>"), by any means that the Depositary may deem equitable and practicable, or (ii) to the extent the Depositary deems distribution of such securities or property not to be equitable and practicable, any U.S. dollars available to the Depositary from the net proceeds of public or private sales of Other Distributions as in the case of Cash.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the Depositary determines in its discretion that any distribution pursuant to this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would not be permissible by applicable law, rule or regulation, or is not otherwise practicable with respect to any or all Holders, the Depositary may in its discretion make such distribution as it so deems permissible and practicable, including the distribution of some or all of any Cash, foreign currency, securities or other property (or appropriate documents evidencing the right to receive some or all of any such Cash, foreign currency, securities or other property), and/or the Depositary may retain and hold some or all of such Cash, foreign currency, securities or other property as Deposited Securities with respect to the applicable Holders' ADRs (without liability for interest thereon or the investment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the Depositary retains and holds any Cash, foreign currency, securities or other property as permitted under this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any and all fees, charges and expenses related to, or arising from, the holding thereof (including, but not limited to those provided in paragraph (7) of this form of ADR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shall be paid from such Cash, foreign currency, securities or other property, or the net proceeds from the sale thereof, thereby reducing the amount so held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A-13 </w:t>
      </w:r>
    </w:p>
    <w:p>
      <w:pPr>
        <w:pStyle w:val="TextBody"/>
        <w:bidi w:val="0"/>
        <w:spacing w:before="0" w:after="0"/>
        <w:jc w:val="right"/>
        <w:rPr/>
      </w:pPr>
      <w:r>
        <w:rPr/>
        <w:drawing>
          <wp:inline distT="0" distB="0" distL="0" distR="0">
            <wp:extent cx="1781175" cy="2952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Sales</w:t>
      </w:r>
      <w:r>
        <w:rPr>
          <w:rFonts w:ascii="Times New Roman;Times;Serif" w:hAnsi="Times New Roman;Times;Serif"/>
          <w:b w:val="false"/>
          <w:i w:val="false"/>
          <w:caps w:val="false"/>
          <w:smallCaps w:val="false"/>
          <w:sz w:val="20"/>
        </w:rPr>
        <w:t>. In all instances where the Deposit Agreement or the form of ADR refers to a "sale" (or words of similar import) of securities or property, the Depositary may, but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the Company:</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left"/>
              <w:rPr/>
            </w:pPr>
            <w:r>
              <w:rPr/>
              <w:t>the Depositary shall, in the event the Deposit Agreement is terminated and the Depositary holds Deposited Securities that are not listed and publicly traded or property for which there is no public market after the Termination Date, act in accordance with paragraph (17)(b) of the form of ADR in respect of such securities and property; and</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left"/>
              <w:rPr/>
            </w:pPr>
            <w:r>
              <w:rPr/>
              <w:t>in the event the Depositary or its Custodian receives (A) an Other Distribution under paragraph (10) consisting of securities or property that are not distributed by the Depositary pursuant to this paragraph (10) or (B) a distribution of Rights that falls under subparagraph (10)(c)(iii) above, the Depositary will not terminate the Deposit Agreement under paragraph (17)(a)(ii)(D) of the form of ADR but, in lieu of termination, the Depositary will, in the case of an Other Distribution, be deemed to have sold the aggregate number of securities and/or property so received for nominal value and shall have no obligation to distribute such securities or any proceeds from the deemed sale thereof to the Holders and, in the case of Rights that fall under subparagraph (10)(c)(iii) above, allow such Rights to lapse.</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the event the Depositary endeavors to make a sale of Shares, other securities or property, such securities and/or property may be sold in a block sale or single lot transaction.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reserves the right to utilize a division, branch or affiliate of JPMorgan Chase Bank, N.A. to direct, manage and/or execute any public and/or private sale of securities and/or property hereunder. Such division, branch and/or affiliate may charge the Depositary a fee in connection with such sales, which fee is considered an expense of the Depositary contemplated above and/or under paragraph (7)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All purchases and sales of securities will be handled by the Depositary in accordance with its then current policies, which are currently set forth on the "Disclosures" page (or successor page) of ADR.com, the location and contents of which the Depositary shall be solely responsible for.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A-14 </w:t>
      </w:r>
    </w:p>
    <w:p>
      <w:pPr>
        <w:pStyle w:val="TextBody"/>
        <w:bidi w:val="0"/>
        <w:spacing w:before="0" w:after="0"/>
        <w:jc w:val="right"/>
        <w:rPr/>
      </w:pPr>
      <w:r>
        <w:rPr/>
        <w:drawing>
          <wp:inline distT="0" distB="0" distL="0" distR="0">
            <wp:extent cx="1781175" cy="2952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U.S. dollars available will be paid via wire transfer and/or distributed by checks drawn on a bank in the United States for whole dollars and cents. Fractional cents will be withheld without liability and dealt with by the Depositary in accordance with its then current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Record Dates</w:t>
      </w:r>
      <w:r>
        <w:rPr>
          <w:rFonts w:ascii="Times New Roman;Times;Serif" w:hAnsi="Times New Roman;Times;Serif"/>
          <w:b w:val="false"/>
          <w:i w:val="false"/>
          <w:caps w:val="false"/>
          <w:smallCaps w:val="false"/>
          <w:sz w:val="20"/>
        </w:rPr>
        <w:t>. The Depositary may, after consultation with the Company if practicable, fix a record date (which, to the extent applicable, 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or be obligated in respect of other matters and only such Holders shall be so entitled or obligated.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Voting of Deposited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Notice of Any Meeting or Solicitation</w:t>
      </w:r>
      <w:r>
        <w:rPr>
          <w:rFonts w:ascii="Times New Roman;Times;Serif" w:hAnsi="Times New Roman;Times;Serif"/>
          <w:b w:val="false"/>
          <w:i w:val="false"/>
          <w:caps w:val="false"/>
          <w:smallCaps w:val="false"/>
          <w:sz w:val="20"/>
        </w:rPr>
        <w:t>. As soon as practicable after receipt of notice of any meeting at which the holders of Shares are entitled to vote, or of solicitation of consents or proxies from holders of Shares or other Deposited Securities, the Depositary shall fix the ADS record date in accordance with paragraph (11) above provided that if the Depositary receives a written request from the Company in a timely manner and at least thirty (30) days prior to the date of such vote or meeting, the Depositary shall, at the Company's expense, distribute to Holders a notice (the "</w:t>
      </w:r>
      <w:r>
        <w:rPr>
          <w:rFonts w:ascii="Times New Roman;Times;Serif" w:hAnsi="Times New Roman;Times;Serif"/>
          <w:b/>
          <w:i w:val="false"/>
          <w:caps w:val="false"/>
          <w:smallCaps w:val="false"/>
          <w:sz w:val="20"/>
        </w:rPr>
        <w:t>Voting Notice</w:t>
      </w:r>
      <w:r>
        <w:rPr>
          <w:rFonts w:ascii="Times New Roman;Times;Serif" w:hAnsi="Times New Roman;Times;Serif"/>
          <w:b w:val="false"/>
          <w:i w:val="false"/>
          <w:caps w:val="false"/>
          <w:smallCaps w:val="false"/>
          <w:sz w:val="20"/>
        </w:rPr>
        <w:t>") stating (i) final information particular to such vote and meeting and any solicitation materials, (ii) that each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Holder's ADRs and (iii) the manner in which such instructions may be given or deemed given in accordance with paragraph 12(b)(ii) below,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A-15 </w:t>
      </w:r>
    </w:p>
    <w:p>
      <w:pPr>
        <w:pStyle w:val="TextBody"/>
        <w:bidi w:val="0"/>
        <w:spacing w:before="0" w:after="0"/>
        <w:jc w:val="right"/>
        <w:rPr/>
      </w:pPr>
      <w:r>
        <w:rPr/>
        <w:drawing>
          <wp:inline distT="0" distB="0" distL="0" distR="0">
            <wp:extent cx="1781175" cy="2952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Voting of Deposited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left"/>
              <w:rPr/>
            </w:pPr>
            <w:r>
              <w:rPr/>
              <w:t>Following actual receipt by the ADR department responsible for 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(ii)</w:t>
            </w:r>
          </w:p>
        </w:tc>
        <w:tc>
          <w:tcPr>
            <w:tcW w:w="9950" w:type="dxa"/>
            <w:tcBorders/>
            <w:vAlign w:val="center"/>
          </w:tcPr>
          <w:p>
            <w:pPr>
              <w:pStyle w:val="TableContents"/>
              <w:bidi w:val="0"/>
              <w:spacing w:before="0" w:after="283"/>
              <w:jc w:val="left"/>
              <w:rPr/>
            </w:pPr>
            <w:r>
              <w:rPr/>
              <w:t xml:space="preserve">To the extent that (A) the Depositary has been provided with at least forty (40) days' notice of the proposed meeting from the Company, (B) the Voting Notice will be received by all Holders and Beneficial Owners no less than ten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the Depositary is instructed to deem such Holder, to have instructed the Depositary to give a discretionary proxy for such agenda item(s) to a person designated by the Company to vote the Deposited Securities represented by the ADSs for which actual instructions were not so given by all such Holders on such agenda item(s), </w:t>
            </w:r>
            <w:r>
              <w:rPr>
                <w:i/>
              </w:rPr>
              <w:t>provided that</w:t>
            </w:r>
            <w:r>
              <w:rPr/>
              <w:t xml:space="preserve"> no such instruction shall be deemed given and no discretionary proxy shall be given unless (1) the Company informs the Depositary in writing that (a) it wishes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A-16 </w:t>
      </w:r>
    </w:p>
    <w:p>
      <w:pPr>
        <w:pStyle w:val="TextBody"/>
        <w:bidi w:val="0"/>
        <w:spacing w:before="0" w:after="0"/>
        <w:jc w:val="right"/>
        <w:rPr/>
      </w:pPr>
      <w:r>
        <w:rPr/>
        <w:drawing>
          <wp:inline distT="0" distB="0" distL="0" distR="0">
            <wp:extent cx="1781175" cy="2952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(iii)</w:t>
            </w:r>
          </w:p>
        </w:tc>
        <w:tc>
          <w:tcPr>
            <w:tcW w:w="9890" w:type="dxa"/>
            <w:tcBorders/>
            <w:vAlign w:val="center"/>
          </w:tcPr>
          <w:p>
            <w:pPr>
              <w:pStyle w:val="TableContents"/>
              <w:bidi w:val="0"/>
              <w:spacing w:before="0" w:after="283"/>
              <w:jc w:val="left"/>
              <w:rPr/>
            </w:pPr>
            <w:r>
              <w:rPr/>
              <w:t>The Depositary may from time to time access information available to it to consider whether any of the circumstances described in (1)(b) or (1)(c) of subsection (ii) above exist, or request additional information from the Company in respect thereto. By taking any such action, the Depositary shall not in any way be deemed or inferred to have been required, or have had any duty or responsibility (contractual or otherwise), to monitor or inquire whether any of the circumstances described in (1)(b) or (1)(c) of subsection (ii) above existed. In addition to the limitations provided for in paragraph (14) hereof, Holders and Beneficial Owners are advised and agree that (a) the Depositary will rely fully and exclusively on the Company to inform the Depositary of any of the circumstances set forth in (1) of subsection (ii) above, and (b) neither the Depositary, the Custodian nor any of their respective agents shall be obliged to inquire or investigate whether any of the circumstances described in (1)(b) or (1)(c) of subsection (ii) above exist and/or whether the Company complied with its obligation to timely inform the Depositary of such circumstances. Neither the Depositary, the Custodian nor any of their respective agents shall incur any liability to Holders or Beneficial Owners (i) as a result of the Company's failure to determine that any of the circumstances described in (1)(b) or (1)(c) of subsection (ii) above exist or its failure to timely notify the Depositary of any such circumstances or (ii) if any agenda item which is approved at a meeting has, or is claimed to have, a material or adverse effect on the rights of holders of Shares. Because there is no guarantee that Holders and Beneficial Owners will receive the notices described above with sufficient time to enable such Holders or Beneficial Owners to return any voting instructions to the Depositary in a timely manner, Holders and Beneficial Owners may be deemed to have instructed the Depositary to give a discretionary proxy to a person designated by the Company in such circumstances, and neither the Depositary, the Custodian nor any of their respective agents shall incur any liability to Holders or Beneficial Owners in such circumstances.</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Alternative Methods of Distributing Materials. </w:t>
      </w:r>
      <w:r>
        <w:rPr>
          <w:rFonts w:ascii="Times New Roman;Times;Serif" w:hAnsi="Times New Roman;Times;Serif"/>
          <w:b w:val="false"/>
          <w:i w:val="false"/>
          <w:caps w:val="false"/>
          <w:smallCaps w:val="false"/>
          <w:sz w:val="20"/>
        </w:rPr>
        <w:t>Notwithstanding anything contained in the Deposit Agreement or any ADR, the Depositary may, to the extent not prohibited by any law, rule or regulation or by the rules, regulations or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A-17 </w:t>
      </w:r>
    </w:p>
    <w:p>
      <w:pPr>
        <w:pStyle w:val="TextBody"/>
        <w:bidi w:val="0"/>
        <w:spacing w:before="0" w:after="0"/>
        <w:jc w:val="right"/>
        <w:rPr/>
      </w:pPr>
      <w:r>
        <w:rPr/>
        <w:drawing>
          <wp:inline distT="0" distB="0" distL="0" distR="0">
            <wp:extent cx="1781175" cy="2952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Manner of Voting</w:t>
      </w:r>
      <w:r>
        <w:rPr>
          <w:rFonts w:ascii="Times New Roman;Times;Serif" w:hAnsi="Times New Roman;Times;Serif"/>
          <w:b w:val="false"/>
          <w:i w:val="false"/>
          <w:caps w:val="false"/>
          <w:smallCaps w:val="false"/>
          <w:sz w:val="20"/>
        </w:rPr>
        <w:t>. The Depositary has been advised by the Company that under Cayman Islands law and the Memorandum and Articles of Association of the Company, each as in effect as of the date of the Deposit Agreement, voting at any meeting of shareholders of the Company is by show of hands unless a poll is (before or on the declaration of the results of the show of hands or on the withdrawal of any other demand for a poll) demanded.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Changes Affecting Deposited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paragraphs (4) (</w:t>
      </w:r>
      <w:r>
        <w:rPr>
          <w:rFonts w:ascii="Times New Roman;Times;Serif" w:hAnsi="Times New Roman;Times;Serif"/>
          <w:b w:val="false"/>
          <w:i/>
          <w:caps w:val="false"/>
          <w:smallCaps w:val="false"/>
          <w:sz w:val="20"/>
        </w:rPr>
        <w:t>Certain Limitations to Registration, Transfer etc.</w:t>
      </w:r>
      <w:r>
        <w:rPr>
          <w:rFonts w:ascii="Times New Roman;Times;Serif" w:hAnsi="Times New Roman;Times;Serif"/>
          <w:b w:val="false"/>
          <w:i w:val="false"/>
          <w:caps w:val="false"/>
          <w:smallCaps w:val="false"/>
          <w:sz w:val="20"/>
        </w:rPr>
        <w:t>) and (5) (</w:t>
      </w:r>
      <w:r>
        <w:rPr>
          <w:rFonts w:ascii="Times New Roman;Times;Serif" w:hAnsi="Times New Roman;Times;Serif"/>
          <w:b w:val="false"/>
          <w:i/>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A-18 </w:t>
      </w:r>
    </w:p>
    <w:p>
      <w:pPr>
        <w:pStyle w:val="TextBody"/>
        <w:bidi w:val="0"/>
        <w:spacing w:before="0" w:after="0"/>
        <w:jc w:val="right"/>
        <w:rPr/>
      </w:pPr>
      <w:r>
        <w:rPr/>
        <w:drawing>
          <wp:inline distT="0" distB="0" distL="0" distR="0">
            <wp:extent cx="1781175" cy="2952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Exoneration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Force Majeure, Limitations on Liability and Obligations</w:t>
      </w:r>
      <w:r>
        <w:rPr>
          <w:rFonts w:ascii="Times New Roman;Times;Serif" w:hAnsi="Times New Roman;Times;Serif"/>
          <w:b w:val="false"/>
          <w:i w:val="false"/>
          <w:caps w:val="false"/>
          <w:smallCaps w:val="false"/>
          <w:sz w:val="20"/>
        </w:rPr>
        <w:t>. The Depositary, the Company, and each of their respective directors, officers, employees, agents and affiliates and each of them shall:</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left"/>
              <w:rPr/>
            </w:pPr>
            <w:r>
              <w:rPr/>
              <w:t>incur or assume no liability (including, without limitation, to Holders or Beneficial Owners) (A) if any present or future law, rule, regulation, fiat, order or decree of the Cayman Islands, Hong Kong, the People’s Republic of China, the United States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extraordinary market conditions, work stoppage, strike, civil unrest, revolutions, rebellions, explosions, cyber, ransomware or malware attack,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left"/>
              <w:rPr/>
            </w:pPr>
            <w:r>
              <w:rPr/>
              <w:t>in the case of the Depositary and its agents, incur or assume no liability (including, without limitation, to Holders or Beneficial Owners) except to perform its obligations to the extent they are specifically set forth in this ADR and the Deposit Agreement without gross negligence or willful misconduct and the Depositary shall not be a fiduciary or have any fiduciary duty to Holders or Beneficial Owners;</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A-19 </w:t>
      </w:r>
    </w:p>
    <w:p>
      <w:pPr>
        <w:pStyle w:val="TextBody"/>
        <w:bidi w:val="0"/>
        <w:spacing w:before="0" w:after="0"/>
        <w:jc w:val="right"/>
        <w:rPr/>
      </w:pPr>
      <w:r>
        <w:rPr/>
        <w:drawing>
          <wp:inline distT="0" distB="0" distL="0" distR="0">
            <wp:extent cx="1781175" cy="2952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left"/>
              <w:rPr/>
            </w:pPr>
            <w:r>
              <w:rPr/>
              <w:t>in the case of the Depositary and its agents, be under no obligation to appear in, prosecute or defend any action, suit or other proceeding in respect of any Deposited Securities, the ADSs or this ADR;</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(iv)</w:t>
            </w:r>
          </w:p>
        </w:tc>
        <w:tc>
          <w:tcPr>
            <w:tcW w:w="9877" w:type="dxa"/>
            <w:tcBorders/>
            <w:vAlign w:val="center"/>
          </w:tcPr>
          <w:p>
            <w:pPr>
              <w:pStyle w:val="TableContents"/>
              <w:bidi w:val="0"/>
              <w:spacing w:before="0" w:after="283"/>
              <w:jc w:val="left"/>
              <w:rPr/>
            </w:pPr>
            <w:r>
              <w:rPr/>
              <w:t>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and</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(v)</w:t>
            </w:r>
          </w:p>
        </w:tc>
        <w:tc>
          <w:tcPr>
            <w:tcW w:w="9940" w:type="dxa"/>
            <w:tcBorders/>
            <w:vAlign w:val="center"/>
          </w:tcPr>
          <w:p>
            <w:pPr>
              <w:pStyle w:val="TableContents"/>
              <w:bidi w:val="0"/>
              <w:spacing w:before="0" w:after="283"/>
              <w:jc w:val="left"/>
              <w:rPr/>
            </w:pPr>
            <w:r>
              <w:rPr/>
              <w:t>not be liable (including, without limitation, to Holders or Beneficial Owners) for any action or inaction by it in reliance upon the advice of or information from any legal counsel, any accountant, any person presenting Shares for deposit, any Holder, or any other person believed by it to be competent to give such advice or information and/or, in the case of the Depositary, the Company provided that the foregoing shall not apply to the Company’s indemnification obligations under the Deposit Agreement.</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Insolvency, Liability, etc., of Custodian, Securities Depository, Clearing Agency or Settlement System</w:t>
      </w:r>
      <w:r>
        <w:rPr>
          <w:rFonts w:ascii="Times New Roman;Times;Serif" w:hAnsi="Times New Roman;Times;Serif"/>
          <w:b w:val="false"/>
          <w:i w:val="false"/>
          <w:caps w:val="false"/>
          <w:smallCaps w:val="false"/>
          <w:sz w:val="20"/>
        </w:rPr>
        <w:t>. The Depositary shall not be responsible for, and shall incur no liability in connection with or arising from, the insolvency of any Custodian that is not a branch or affiliate of JPMorgan Chase Bank, N.A. Notwithstanding anything to the contrary contained in the Deposit Agreement (including the ADRs) and, subject to the further limitations set forth in clause (q)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the acts or omissions made by, or the insolvency of, any securities depository, clearing agency or settlement system.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A-20 </w:t>
      </w:r>
    </w:p>
    <w:p>
      <w:pPr>
        <w:pStyle w:val="TextBody"/>
        <w:bidi w:val="0"/>
        <w:spacing w:before="0" w:after="0"/>
        <w:jc w:val="right"/>
        <w:rPr/>
      </w:pPr>
      <w:r>
        <w:rPr/>
        <w:drawing>
          <wp:inline distT="0" distB="0" distL="0" distR="0">
            <wp:extent cx="1781175" cy="2952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Depositary, its agents and the Company may rely and shall be protected in acting upon any written notice, request, direction, instruction or document believed by them to be genuine and to have been signed, presented or given by the proper party or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Depositary shall be under no obligation to inform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Depositary and its agents will not be responsible for any failure to carry out any instructions to vote any of the Deposited Securities, for the manner in which any voting instructions are given or deemed to be given in accordance with paragraph 12(b) hereof, including instructions to give a discretionary proxy to a person designated by the Company, for the manner in which any vote is cast, including, without limitation, any vote cast by a person to whom the Depositary is instructed to grant a discretionary proxy pursuant to paragraph (12) hereof or deemed to have been instructed to grant a discretionary proxy pursuant to paragraph (12)(b) hereof, or for the effect of any such vote.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Depositary shall not incur any liability in connection with or arising from any failure, inability or refusal by the Company or any other party, including any share registrar, transfer agent or other agent appointed by the Company, the Depositary or any other party, to process any transfer, delivery or distribution of cash, Shares, other securities or other property, including without limitation upon the termination of the Deposit Agreement, or otherwise to comply with any provisions of the Deposit Agreement that are applicable to it.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A-21 </w:t>
      </w:r>
    </w:p>
    <w:p>
      <w:pPr>
        <w:pStyle w:val="TextBody"/>
        <w:bidi w:val="0"/>
        <w:spacing w:before="0" w:after="0"/>
        <w:jc w:val="right"/>
        <w:rPr/>
      </w:pPr>
      <w:r>
        <w:rPr/>
        <w:drawing>
          <wp:inline distT="0" distB="0" distL="0" distR="0">
            <wp:extent cx="1781175" cy="2952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Depositary may rely upon instructions from the Company or its counsel in respect of any approval or license required for any currency conversion, transfer or distribution.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Depositary and its agents may own and deal in any class of securities of the Company and its affiliates and in ADRs.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Depositary, the Custodian or the Company, or any of their respective directors, officers, employees, agents or affiliates shall be liable for the failure by any Holder or Beneficial Owner to obtain the benefits of credits or refunds of non-U.S. tax paid against such Holder's or Beneficial Owner's income tax liability.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Depositary is under no obligation to provide the Holders and Beneficial Owners, or any of them, with any information about the tax status of the Company. None of the Depositary, the Custodian or the Company, or any of their respective directors, officers, employees, agents and affiliates, shall incur any liability for any tax or tax consequences that may be incurred by Holders or Beneficial Owners on account of their ownership or disposition of the ADRs or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Notwithstanding anything herein or in the Deposit Agreement to the contrary, the Depositary and the Custodian(s) may use third-party delivery services and providers of information regarding matters such as, but not limited to, pricing, proxy voting, corporate actions, class action litigation and other services in connection herewith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A-22 </w:t>
      </w:r>
    </w:p>
    <w:p>
      <w:pPr>
        <w:pStyle w:val="TextBody"/>
        <w:bidi w:val="0"/>
        <w:spacing w:before="0" w:after="0"/>
        <w:jc w:val="right"/>
        <w:rPr/>
      </w:pPr>
      <w:r>
        <w:rPr/>
        <w:drawing>
          <wp:inline distT="0" distB="0" distL="0" distR="0">
            <wp:extent cx="1781175" cy="2952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has agreed to indemnify the Depositary and its agents under certain circumstances and the Depositary has agreed to indemnify the Company under certain circumstances.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Notwithstanding any other provision of the Deposit Agreement or this ADR to the contrary, neither the Depositary nor the Company, nor any of their respective agents shall be liable to the other for any indirect Special Damages in any form incurred by any of them,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 (i) notwithstanding the foregoing and, for the avoidance of doubt, the Depositary and its agents shall be entitled to legal fees and expenses in defending against any claim for Special Damages and (ii) to the extent Special Damages arise from or out of a claim brought by a third party (including, without limitation, Holders and Beneficial Owners) against the Depositary or any of its agents, the Depositary and its agents shall be entitled to full indemnification from the Company for all such Special Damages, and reasonable fees and expenses of counsel in connection therewith, unless such Special Damages are found to have been a direct result of the gross negligence or willful misconduct of the Depositary.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 provision of the Deposit Agreement or this ADR is intended to constitute a waiver or limitation of any rights which Holders or Beneficial Owners may have under the Securities Act of 1933 or the Securities Exchange Act of 1934, to the extent applicable.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Resignation and Removal of Depositary; the Custodian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Resignation</w:t>
      </w:r>
      <w:r>
        <w:rPr>
          <w:rFonts w:ascii="Times New Roman;Times;Serif" w:hAnsi="Times New Roman;Times;Serif"/>
          <w:b w:val="false"/>
          <w:i w:val="false"/>
          <w:caps w:val="false"/>
          <w:smallCaps w:val="false"/>
          <w:sz w:val="20"/>
        </w:rPr>
        <w:t>. The Depositary may at any time resign as Depositary by providing written notice of its election to do so delivered to the Company. Subject to subparagraph (c) below, the Depositary's resignation shall take effect upon the Company's appointment of a successor depositary and such successor depositary's acceptance of its appointment as provided in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Removal</w:t>
      </w:r>
      <w:r>
        <w:rPr>
          <w:rFonts w:ascii="Times New Roman;Times;Serif" w:hAnsi="Times New Roman;Times;Serif"/>
          <w:b w:val="false"/>
          <w:i w:val="false"/>
          <w:caps w:val="false"/>
          <w:smallCaps w:val="false"/>
          <w:sz w:val="20"/>
        </w:rPr>
        <w:t>. The Depositary may at any time be removed by the Company by providing no less than sixty (60) days' prior written notice of such removal to the Depositary. Subject to subparagraph (c) below, such removal shall take effect on the later of (i)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Removal Notice Date and (ii) the Company's appointment of a successor depositary and such successor depositary's acceptance of its appointment as provided in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A-23 </w:t>
      </w:r>
    </w:p>
    <w:p>
      <w:pPr>
        <w:pStyle w:val="TextBody"/>
        <w:bidi w:val="0"/>
        <w:spacing w:before="0" w:after="0"/>
        <w:jc w:val="right"/>
        <w:rPr/>
      </w:pPr>
      <w:r>
        <w:rPr/>
        <w:drawing>
          <wp:inline distT="0" distB="0" distL="0" distR="0">
            <wp:extent cx="1781175" cy="2952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either the Depositary provides notice of its resignation (pursuant to subparagraph (a) above) or the Company provides notice of the Depositary's removal (pursuant to subparagraph (b) above), and a successor depositary is not appointed by the sixtieth (60th) day after the Resignation Notice Date or the Removal Notice Date, respectively, the Depositary may terminate the Deposit Agreement and the ADR in the manner set out in paragraph (17)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of this ADR and the provisions of said paragraph (17) shall thereafter govern the Depositary's obligations under the Deposit Agreement and the form of ADR.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The Custodian</w:t>
      </w:r>
      <w:r>
        <w:rPr>
          <w:rFonts w:ascii="Times New Roman;Times;Serif" w:hAnsi="Times New Roman;Times;Serif"/>
          <w:b w:val="false"/>
          <w:i w:val="false"/>
          <w:caps w:val="false"/>
          <w:smallCaps w:val="false"/>
          <w:sz w:val="20"/>
        </w:rPr>
        <w:t>. The Depositary may appoint substitute or additional Custodians and the term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refers to each Custodian or all Custodians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Subject to the last sentence of paragraph (2) (</w:t>
      </w:r>
      <w:r>
        <w:rPr>
          <w:rFonts w:ascii="Times New Roman;Times;Serif" w:hAnsi="Times New Roman;Times;Serif"/>
          <w:b w:val="false"/>
          <w:i/>
          <w:caps w:val="false"/>
          <w:smallCaps w:val="false"/>
          <w:sz w:val="20"/>
        </w:rPr>
        <w:t>Withdrawal of Deposited Securities</w:t>
      </w:r>
      <w:r>
        <w:rPr>
          <w:rFonts w:ascii="Times New Roman;Times;Serif" w:hAnsi="Times New Roman;Times;Serif"/>
          <w:b w:val="false"/>
          <w:i w:val="false"/>
          <w:caps w:val="false"/>
          <w:smallCaps w:val="false"/>
          <w:sz w:val="20"/>
        </w:rPr>
        <w:t xml:space="preserve">), the ADRs and the Deposit Agreement may be amended by the Company and the Depositary,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that imposes or increases any fees on a per ADS basis, charges or expenses (other than stock transfer or other taxes and other governmental charges, transfer or registration fees, the transaction fee per cancellation request (including any cancellation request made through SWIFT, facsimile transmission or any other method of communication) described in paragraph (7)(c)(ii)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of the form of ADR, applicable delivery expenses or other such fees, charges or expenses), or that shall otherwise prejudice any substantial existing right of Holders or Beneficial Owners, shall become effective thirty (30) days after notice of such amendment shall have been given to the Holders. Every Holder and Beneficial Owner at the time any amendment to the Deposit Agreement so becomes effective shall be deemed, by continuing to hold such ADR or interest therein,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amendments or supplements that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or Beneficial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A-24 </w:t>
      </w:r>
    </w:p>
    <w:p>
      <w:pPr>
        <w:pStyle w:val="TextBody"/>
        <w:bidi w:val="0"/>
        <w:spacing w:before="0" w:after="0"/>
        <w:jc w:val="right"/>
        <w:rPr/>
      </w:pPr>
      <w:r>
        <w:rPr/>
        <w:drawing>
          <wp:inline distT="0" distB="0" distL="0" distR="0">
            <wp:extent cx="1781175" cy="2952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amendment to the Deposit Agreement or the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upon retrieval from the Commission's, the Depositary's or the Company's website or upon request from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Termination by the Depositary and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left"/>
              <w:rPr/>
            </w:pPr>
            <w:r>
              <w:rPr/>
              <w:t>The Depositary shall, at any time at the written direction of the Company, terminate the Deposit Agreement by mailing notice of such termination to the Holders at least thirty (30) days prior to the Termination Date.</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left"/>
              <w:rPr/>
            </w:pPr>
            <w:r>
              <w:rPr/>
              <w:t xml:space="preserve">The Depositary may also terminate the Deposit Agreement by mailing notice of such termination to the Holders at least thirty (30) days prior to the Termination Date </w:t>
            </w:r>
            <w:r>
              <w:rPr>
                <w:u w:val="single"/>
              </w:rPr>
              <w:t>if</w:t>
            </w:r>
            <w:r>
              <w:rPr/>
              <w:t xml:space="preserve"> (A) sixty (60) days shall have expired after the Resignation Notice Date and a successor Depositary shall not be operating under the Deposit Agreement, (B) sixty (60) days shall have expired after the Removal Notice Date and a successor Depositary shall not be operating under the Deposit Agreement, (C) the Company is bankrupt, in liquidation proceedings or insolvent, (D) the ADRs are delisted from a "national securities exchange" (that has registered with the Commission under Section 6 of the Securities Exchange Act of 1934), (E) the Company effects (or will effect) a redemption of all or substantially all of the Deposited Securities, or a cash or share distribution representing a return of all or substantially all of the value of the Deposited Securities, (F) there are no Deposited Securities with respect to ADSs remaining, including if the Deposited Securities are cancelled, or the Deposited Securities have been deemed to have no value, or (G) there occurs a merger, consolidation, sale of assets or other transaction as a result of which securities or other property are delivered in exchange for or in lieu of Deposited Securities.</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A-25 </w:t>
      </w:r>
    </w:p>
    <w:p>
      <w:pPr>
        <w:pStyle w:val="TextBody"/>
        <w:bidi w:val="0"/>
        <w:spacing w:before="0" w:after="0"/>
        <w:jc w:val="right"/>
        <w:rPr/>
      </w:pPr>
      <w:r>
        <w:rPr/>
        <w:drawing>
          <wp:inline distT="0" distB="0" distL="0" distR="0">
            <wp:extent cx="1781175" cy="2952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80" w:type="dxa"/>
            <w:tcBorders/>
            <w:vAlign w:val="center"/>
          </w:tcPr>
          <w:p>
            <w:pPr>
              <w:pStyle w:val="TableContents"/>
              <w:bidi w:val="0"/>
              <w:spacing w:before="0" w:after="283"/>
              <w:jc w:val="left"/>
              <w:rPr/>
            </w:pPr>
            <w:r>
              <w:rPr/>
              <w:t>Additionally, the Depositary may immediately terminate the Deposit Agreement, without prior notice to the Company, any Holder or Beneficial Owner or any other person if (A) required by any law, rule or regulation relating to sanctions by any governmental authority or body, (B) the Depositary would be subject to liability under or pursuant to any law, rule or regulation, or (C) required by any governmental authority or body, in each case as determined by the Depositary in its reasonable discretion.</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Depositary's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left"/>
              <w:rPr/>
            </w:pPr>
            <w:r>
              <w:rPr/>
              <w:t>After the Termination Date, the Depositary and its agents will perform no further acts under the Deposit Agreement and this ADR, except to receive and hold (or sell) distributions on Deposited Securities, deliver Deposited Securities being withdrawn and to take such actions as provided in the next two paragraphs, in each case subject to payment to the Depositary of the applicable fees and expenses provided in paragraph (7) of this form of ADR (</w:t>
            </w:r>
            <w:r>
              <w:rPr>
                <w:i/>
              </w:rPr>
              <w:t>Charges of Depositary</w:t>
            </w:r>
            <w:r>
              <w:rPr/>
              <w:t>).</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(ii)</w:t>
            </w:r>
          </w:p>
        </w:tc>
        <w:tc>
          <w:tcPr>
            <w:tcW w:w="9947" w:type="dxa"/>
            <w:tcBorders/>
            <w:vAlign w:val="center"/>
          </w:tcPr>
          <w:p>
            <w:pPr>
              <w:pStyle w:val="TableContents"/>
              <w:bidi w:val="0"/>
              <w:spacing w:before="0" w:after="283"/>
              <w:jc w:val="left"/>
              <w:rPr/>
            </w:pPr>
            <w:r>
              <w:rPr/>
              <w:t xml:space="preserve">After the Termination Date, if the Deposited Securities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w:t>
            </w:r>
            <w:r>
              <w:rPr>
                <w:u w:val="single"/>
              </w:rPr>
              <w:t>pro rata</w:t>
            </w:r>
            <w:r>
              <w:rPr/>
              <w:t xml:space="preserve"> benefit of the Holders entitled thereto. If the Depositary sells the Deposited Securities, the Depositary shall be discharged from all, and cease to have any, obligations under the Deposit Agreement and the ADRs after making such sale, except to account for such net proceeds and other cash.</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A-26 </w:t>
      </w:r>
    </w:p>
    <w:p>
      <w:pPr>
        <w:pStyle w:val="TextBody"/>
        <w:bidi w:val="0"/>
        <w:spacing w:before="0" w:after="0"/>
        <w:jc w:val="right"/>
        <w:rPr/>
      </w:pPr>
      <w:r>
        <w:rPr/>
        <w:drawing>
          <wp:inline distT="0" distB="0" distL="0" distR="0">
            <wp:extent cx="1781175" cy="2952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(iii)</w:t>
            </w:r>
          </w:p>
        </w:tc>
        <w:tc>
          <w:tcPr>
            <w:tcW w:w="9882" w:type="dxa"/>
            <w:tcBorders/>
            <w:vAlign w:val="center"/>
          </w:tcPr>
          <w:p>
            <w:pPr>
              <w:pStyle w:val="TableContents"/>
              <w:bidi w:val="0"/>
              <w:spacing w:before="0" w:after="283"/>
              <w:jc w:val="left"/>
              <w:rPr/>
            </w:pPr>
            <w:r>
              <w:rPr/>
              <w:t>However, if the Deposited Securities are not listed and publicly traded on a securities exchange after the Termination Date, or if, for any reason, the Depositary does not sell the Deposited Securities, the Depositary shall use its reasonable efforts to ensure that the ADSs cease to be DTC eligible and that neither DTC nor any of its nominees shall thereafter be a Holder. At such time as the ADSs cease to be DTC eligible and/or neither DTC nor any of its nominees is a Holder, to the extent the Company is not, to the Depositary's knowledge, insolvent or in bankruptcy or liquidation, the Depositary shall:</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81"/>
        <w:gridCol w:w="9850"/>
      </w:tblGrid>
      <w:tr>
        <w:trPr/>
        <w:tc>
          <w:tcPr>
            <w:tcW w:w="7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(A)</w:t>
            </w:r>
          </w:p>
        </w:tc>
        <w:tc>
          <w:tcPr>
            <w:tcW w:w="9850" w:type="dxa"/>
            <w:tcBorders/>
            <w:vAlign w:val="center"/>
          </w:tcPr>
          <w:p>
            <w:pPr>
              <w:pStyle w:val="TableContents"/>
              <w:bidi w:val="0"/>
              <w:spacing w:before="0" w:after="283"/>
              <w:jc w:val="left"/>
              <w:rPr/>
            </w:pPr>
            <w:r>
              <w:rPr/>
              <w:t>cancel this ADR and all other outstanding ADRs,</w:t>
            </w:r>
          </w:p>
        </w:tc>
      </w:tr>
      <w:tr>
        <w:trPr/>
        <w:tc>
          <w:tcPr>
            <w:tcW w:w="7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850"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(B)</w:t>
            </w:r>
          </w:p>
        </w:tc>
        <w:tc>
          <w:tcPr>
            <w:tcW w:w="9850" w:type="dxa"/>
            <w:tcBorders/>
            <w:vAlign w:val="center"/>
          </w:tcPr>
          <w:p>
            <w:pPr>
              <w:pStyle w:val="TableContents"/>
              <w:bidi w:val="0"/>
              <w:spacing w:before="0" w:after="283"/>
              <w:jc w:val="left"/>
              <w:rPr/>
            </w:pPr>
            <w:r>
              <w:rPr/>
              <w:t>request DTC to provide the Depositary with information on those holding ADSs through DTC and, upon receipt thereof, revise the ADR Register to reflect the information provided by DTC,</w:t>
            </w:r>
          </w:p>
        </w:tc>
      </w:tr>
      <w:tr>
        <w:trPr/>
        <w:tc>
          <w:tcPr>
            <w:tcW w:w="7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850"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(C)</w:t>
            </w:r>
          </w:p>
        </w:tc>
        <w:tc>
          <w:tcPr>
            <w:tcW w:w="9850" w:type="dxa"/>
            <w:tcBorders/>
            <w:vAlign w:val="center"/>
          </w:tcPr>
          <w:p>
            <w:pPr>
              <w:pStyle w:val="TableContents"/>
              <w:bidi w:val="0"/>
              <w:spacing w:before="0" w:after="283"/>
              <w:jc w:val="left"/>
              <w:rPr/>
            </w:pPr>
            <w:r>
              <w:rPr/>
              <w:t>instruct its Custodian to deliver all Deposited Securities to the Company, a subsidiary or affiliate or registered office provider of the Company (the subsidiary or affiliate or registered office provider being the "</w:t>
            </w:r>
            <w:r>
              <w:rPr>
                <w:b/>
              </w:rPr>
              <w:t>Company Representative</w:t>
            </w:r>
            <w:r>
              <w:rPr/>
              <w:t>") or an independent trust company engaged by the Company (the "</w:t>
            </w:r>
            <w:r>
              <w:rPr>
                <w:b/>
              </w:rPr>
              <w:t>Trustee</w:t>
            </w:r>
            <w:r>
              <w:rPr/>
              <w:t>") to hold those Deposited Securities in trust for the beneficial owners of the ADRs if the Company is not permitted to hold any of the Deposited Securities under applicable law and/or the Company has directed the Depositary to deliver such Deposited Securities to a Company Representative or Trustee along with a stock transfer form and/or such other instruments of transfer covering such Deposited Securities as are needed under applicable law, and set forth in or substantially in the form of Exhibit C (and any applicable share certificate or indemnity for lost share certificate), in either case referring to the names set forth on the ADR Register, and</w:t>
            </w:r>
          </w:p>
        </w:tc>
      </w:tr>
    </w:tbl>
    <w:p>
      <w:pPr>
        <w:pStyle w:val="TextBody"/>
        <w:bidi w:val="0"/>
        <w:spacing w:before="0" w:after="0"/>
        <w:ind w:left="28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(D)</w:t>
            </w:r>
          </w:p>
        </w:tc>
        <w:tc>
          <w:tcPr>
            <w:tcW w:w="9851" w:type="dxa"/>
            <w:tcBorders/>
            <w:vAlign w:val="center"/>
          </w:tcPr>
          <w:p>
            <w:pPr>
              <w:pStyle w:val="TableContents"/>
              <w:bidi w:val="0"/>
              <w:spacing w:before="0" w:after="283"/>
              <w:jc w:val="left"/>
              <w:rPr/>
            </w:pPr>
            <w:r>
              <w:rPr/>
              <w:t>provide the Company with a copy of the ADR Register (which copy may be sent by email or by any means permitted under the notice provisions of the Deposit Agreement).</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any instrument of transfer covering such Deposited Securities, any applicable share certificate or indemnity for lost share certificate and the ADR Register, the Company shall: (I) approve the transfer of the Deposited Securities previously represented by their ADRs to the persons listed on the ADR Register (as applicable), (II) procure the relevant updates to the register of members of the Company to reflect the transfer of the Deposited Securities previously represented by their ADRs to the persons listed on the ADR Register (as applicable) and (III) provide the Depositary with a certified copy of the updated register of members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A-27 </w:t>
      </w:r>
    </w:p>
    <w:p>
      <w:pPr>
        <w:pStyle w:val="TextBody"/>
        <w:bidi w:val="0"/>
        <w:spacing w:before="0" w:after="0"/>
        <w:jc w:val="right"/>
        <w:rPr/>
      </w:pPr>
      <w:r>
        <w:rPr/>
        <w:drawing>
          <wp:inline distT="0" distB="0" distL="0" distR="0">
            <wp:extent cx="1781175" cy="2952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reasonably believes that the Company is insolvent, or if the Company is in receivership, has filed for bankruptcy and/or is otherwise in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Holders shall be deemed to have instructed the Depositary that the Deposited Securities have no value). The Depositary may, but shall not be obligated to, and the Holders irrevocably consent and agree that the Depositary may instruct its Custodian to deliver all Deposited Securities to the Company (acting, as applicable by its administrator, receiver, administrative receiver, liquidator, provisional liquidator, restructuring officer, interim restructuring officer, trustee, controller or other entity overseeing the bankruptcy, insolvency, administration, restructuring or liquidation process) and notify the Company that the Deposited Shares are surrendered for no consideration. The Company shall, subject to applicable law, promptly accept the surrender of the Deposited Shares for no consideration and deliver to the Depositary a written notice confirming (A) the acceptance of the surrender of the Deposited Securities for no consideration and (B) the cancellation of such Deposited Shares. Promptly after notifying the Company that the Deposited Shares are surrendered for no consideration and irrespective of whether the Company has complied with the immediately preceding sentence, the Depositary shall notify Holders that their ADSs have been cancelled with no consideration being payable to 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Depositary's compliance with the provisions of this subparagraph (17)(b)(iii), the Depositary and its agents shall be discharged from all, and cease to have any, obligations under the Deposit Agreement and the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Company's Obligations</w:t>
      </w:r>
      <w:r>
        <w:rPr>
          <w:rFonts w:ascii="Times New Roman;Times;Serif" w:hAnsi="Times New Roman;Times;Serif"/>
          <w:b w:val="false"/>
          <w:i w:val="false"/>
          <w:caps w:val="false"/>
          <w:smallCaps w:val="false"/>
          <w:sz w:val="20"/>
        </w:rPr>
        <w:t>. After the Termination Date, the Company shall be discharged from all obligations under the Deposit Agreement except for its obligations under this paragraph (17) and its obligations to the Depositary and its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Establishment of Unsponsored ADR Program</w:t>
      </w:r>
      <w:r>
        <w:rPr>
          <w:rFonts w:ascii="Times New Roman;Times;Serif" w:hAnsi="Times New Roman;Times;Serif"/>
          <w:b w:val="false"/>
          <w:i w:val="false"/>
          <w:caps w:val="false"/>
          <w:smallCaps w:val="false"/>
          <w:sz w:val="20"/>
        </w:rPr>
        <w:t>. Notwithstanding anything to the contrary, in connection with any termination pursuant to this paragraph (17), the Depositary may, in its sole discretion and without notice to the Company, establish an unsponsored American depositary share program (on such terms as the Depositary may determine) for the Shares and make available to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in paragraph (7) hereof and the fees, charges and expenses applicable to the unsponsored American depositary share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A-28 </w:t>
      </w:r>
    </w:p>
    <w:p>
      <w:pPr>
        <w:pStyle w:val="TextBody"/>
        <w:bidi w:val="0"/>
        <w:spacing w:before="0" w:after="0"/>
        <w:jc w:val="right"/>
        <w:rPr/>
      </w:pPr>
      <w:r>
        <w:rPr/>
        <w:drawing>
          <wp:inline distT="0" distB="0" distL="0" distR="0">
            <wp:extent cx="1781175" cy="2952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rPr>
        <w:t>Appointment; Acknowledgements and Agreements</w:t>
      </w:r>
      <w:r>
        <w:rPr>
          <w:rFonts w:ascii="Times New Roman;Times;Serif" w:hAnsi="Times New Roman;Times;Serif"/>
          <w:b w:val="false"/>
          <w:i w:val="false"/>
          <w:caps w:val="false"/>
          <w:smallCaps w:val="false"/>
          <w:sz w:val="20"/>
        </w:rPr>
        <w:t>. Each Holder and each Beneficial Owner, upon acceptance of any ADSs or ADRs (or 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or the Holders or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pStyle w:val="TextBody"/>
        <w:bidi w:val="0"/>
        <w:spacing w:before="0" w:after="0"/>
        <w:ind w:left="216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EACH PARTY TO THE DEPOSIT AGREEMENT (INCLUDING, FOR AVOIDANCE OF 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BASED ON OR RELATING IN ANY WAY TO THE SHARES OR OTHER DEPOSITED SECURITIES, THE ADSs OR THE ADRs, THE DEPOSIT AGREEMENT OR ANY TRANSACTION CONTEMPLATED HEREIN OR THEREIN, OR THE BREACH HEREOF OR THEREOF (WHETHER BASED ON CONTRACT, TORT, COMMON LAW OR ANY OTHER THEORY), INCLUDING, WITHOUT LIMITATION, ANY SUIT, ACTION, CLAIM OR PROCEEDING UNDER THE UNITED STATES FEDERAL SECURITIES LAWS. No provision of the Deposit Agreement or this ADR is intended to constitute a waiver or limitation of any rights that a Holder or any Beneficial Owner may have under the Securities Act of 1933 or the Securities Exchange Act of 1934, to the extent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A-29 </w:t>
      </w:r>
    </w:p>
    <w:p>
      <w:pPr>
        <w:pStyle w:val="TextBody"/>
        <w:bidi w:val="0"/>
        <w:spacing w:before="0" w:after="0"/>
        <w:jc w:val="right"/>
        <w:rPr/>
      </w:pPr>
      <w:r>
        <w:rPr/>
        <w:drawing>
          <wp:inline distT="0" distB="0" distL="0" distR="0">
            <wp:extent cx="1781175" cy="2952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rPr>
        <w:t xml:space="preserve">Jurisdiction. </w:t>
      </w:r>
      <w:r>
        <w:rPr>
          <w:rFonts w:ascii="Times New Roman;Times;Serif" w:hAnsi="Times New Roman;Times;Serif"/>
          <w:b w:val="false"/>
          <w:i w:val="false"/>
          <w:caps w:val="false"/>
          <w:smallCaps w:val="false"/>
          <w:sz w:val="20"/>
        </w:rPr>
        <w:t>By holding or owning an ADR or ADS or an interest therein, Holders and Beneficial Owners each irrevocably agree that any 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federal or state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holding or owning an ADR or ADS or an interest therein, Holders and Beneficial Owners each also irrevocably agree that any legal suit, action or proceeding against or involving the Depositary and/or the Company brought by Holders or Beneficial Owners, arising out of or based upon the Deposit Agreement, the ADSs, the ADRs or the transactions contemplated therein, herein, thereby or hereby, including, without limitation, claims under the Securities Act of 1933, may be instituted only in the United States District Court for the Southern District of New York (or in the state courts of New York County in New York if either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or anything in the Deposit Agreement to the contrary, in the Deposit Agreement each of the parties thereto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Company, the Depositary and all Holders and Beneficial Owners) have agreed that: (i) the Depositary may, in its sole discretion, elect to institute any dispute, suit, action, controversy, claim or proceeding directly or indirectly based on, arising out of or relating to the Deposit Agreement, the ADSs, the ADRs or the transactions contemplated therein, herein, thereby or hereby, including without limitation any question regarding its or their existence, validity, interpretation, performance or termination (each,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collectively, "</w:t>
      </w:r>
      <w:r>
        <w:rPr>
          <w:rFonts w:ascii="Times New Roman;Times;Serif" w:hAnsi="Times New Roman;Times;Serif"/>
          <w:b/>
          <w:i w:val="false"/>
          <w:caps w:val="false"/>
          <w:smallCaps w:val="false"/>
          <w:sz w:val="20"/>
        </w:rPr>
        <w:t>Disputes</w:t>
      </w:r>
      <w:r>
        <w:rPr>
          <w:rFonts w:ascii="Times New Roman;Times;Serif" w:hAnsi="Times New Roman;Times;Serif"/>
          <w:b w:val="false"/>
          <w:i w:val="false"/>
          <w:caps w:val="false"/>
          <w:smallCaps w:val="false"/>
          <w:sz w:val="20"/>
        </w:rPr>
        <w:t>") against any other party or parties (including, without limitation, Disputes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brought by any party or parties to the Deposit Agreement (including, without limitation, Disputes brought by Holders and Beneficial Owners) against the Depositary be referred to and finally settled by an arbitration conducted under the terms set out in the Deposit Agreement; provided however, notwithstanding the Depositary's written notice under this clause (ii), to the extent there are specific federal securities law violation aspects to any claims against the Company and/or the Depositary brought by any Holder or Beneficial Owner, the federal securities law violation aspects of such claims brought by a Holder or Beneficial Owner against the Company and/or the Depositary may, at the option of such Holder or Beneficial Owner, remain in state or federal court in New York, New York and all other aspects, claims, Disputes, legal suits, actions and/or proceedings brought by such Holder or Beneficial Owner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in each case as amended by Section 20(d) of the Deposit Agreement, and the language of any such arbitration shall be English, in each case as provided in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A-30 </w:t>
      </w:r>
    </w:p>
    <w:p>
      <w:pPr>
        <w:pStyle w:val="TextBody"/>
        <w:bidi w:val="0"/>
        <w:spacing w:before="0" w:after="0"/>
        <w:jc w:val="right"/>
        <w:rPr/>
      </w:pPr>
      <w:r>
        <w:rPr/>
        <w:drawing>
          <wp:inline distT="0" distB="0" distL="0" distR="0">
            <wp:extent cx="1781175" cy="2952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notwithstanding the foregoing or anything in the Deposit Agreement to the contrary, any suit, action or proceeding against the Company based on the Deposit Agreement, the ADSs, the ADRs or the transactions contemplated herein, therein, hereby or thereby, may be instituted by the Depositary in any competent court in the Cayman Islands, the United States and/or any other court of competent jurisdiction, or, subject to the federal securities law carve-out set forth in Section 20(d) of the Deposit Agreement, by the Depositary through the commencement of an arbitration pursuant to said Section 20(d) of this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or in the Deposit Agreement to the contrary, and for the avoidance of doubt, the Company and all Holders and Beneficial Owners from time to time of ADRs issued hereunder (and any persons owning or holding interests in ADSs) agree that any federal or state court in New York, New York, shall have jurisdiction to hear and determine proceedings related to the enforcement of this arbitration provision and any arbitration award by the arbitrators contemplated and, for such purposes, irrevocably submits to the non-exclusive jurisdiction of such courts. Each of the parties hereto and to the Deposit Agreement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Company, the Depositary and all Holders and Beneficial Owners) agrees not to challenge the terms and enforceability of the arbitration clause contained herein and in the Deposit Agreement, including, but not limited to, any challenge based on lack of mutuality, and each such party hereby irrevocably waives any such challenge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A-31 </w:t>
      </w:r>
    </w:p>
    <w:p>
      <w:pPr>
        <w:pStyle w:val="TextBody"/>
        <w:bidi w:val="0"/>
        <w:spacing w:before="0" w:after="0"/>
        <w:jc w:val="right"/>
        <w:rPr/>
      </w:pPr>
      <w:r>
        <w:rPr/>
        <w:drawing>
          <wp:inline distT="0" distB="0" distL="0" distR="0">
            <wp:extent cx="1781175" cy="2952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Elective Distributions in Cash or Shares</w:t>
      </w:r>
      <w:r>
        <w:rPr>
          <w:rFonts w:ascii="Times New Roman;Times;Serif" w:hAnsi="Times New Roman;Times;Serif"/>
          <w:b w:val="false"/>
          <w:i w:val="false"/>
          <w:caps w:val="false"/>
          <w:smallCaps w:val="false"/>
          <w:sz w:val="20"/>
        </w:rPr>
        <w:t>. Whenever the Company intends to distribute a dividend payable at the election of the holders of Shares in cash or in additional Shares, the Company shall give notice thereof to the Depositary at least thirty (30) days prior to the proposed distribution stating whether or not it wishes such elective distribution to be made available to Holders. Upon receipt of notice indicating that the Company wishes such elective distribution to be made available to Holders, the Depositary shall consult with the Company to determine, and the Company shall assist the Depositary in its determination, whether it is lawful and reasonably practicable to make such elective distribution available to the Holders. The Depositary shall make such elective distribution available to Holders only if (i) the Company shall have timely requested that the elective distribution is available to Holders, (ii) the Depositary shall have determined that such distribution is reasonably practicable and (iii) the Depositary shall have received satisfactory documentation within the terms of Section 14 of the Deposit Agreement including, without limitation, any legal opinions of counsel in any applicable jurisdiction that the Depositary in its reasonable discretion may request, at the expense of the Company. If the above conditions are not satisfied, the Depositary shall, to the extent permitted by law, distribute to the Holders, on the basis of the same determination as is made in the local market in respect of the Shares for which no election is made, either (x) cash or (y) additional ADSs representing such additional Shares. If the above conditions are satisfied, the Depositary shall establish a record date and establish procedures to enable Holders to elect the receipt of the proposed dividend in cash or in additional ADSs. The Company shall assist the Depositary in establishing such procedures to the extent necessary. Nothing herein shall obligate the Depositary to make available to Holders a method to receive the elective dividend in Shares (rather than ADSs). There can be no assurance that Holders or Beneficial Owners generally, or any Holder and/or Beneficial Owner in particular, will be given the opportunity to receive elective distributions on the same terms and conditions as the holders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A-32 </w:t>
      </w:r>
    </w:p>
    <w:p>
      <w:pPr>
        <w:pStyle w:val="TextBody"/>
        <w:bidi w:val="0"/>
        <w:spacing w:before="0" w:after="0"/>
        <w:jc w:val="right"/>
        <w:rPr/>
      </w:pPr>
      <w:r>
        <w:rPr/>
        <w:drawing>
          <wp:inline distT="0" distB="0" distL="0" distR="0">
            <wp:extent cx="1781175" cy="2952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DEED OF UNDERTAKING FROM AMBER INTERNATIONAL HOLDING LIMITED (the "Company")</w:t>
      </w:r>
    </w:p>
    <w:p>
      <w:pPr>
        <w:pStyle w:val="TextBody"/>
        <w:bidi w:val="0"/>
        <w:spacing w:before="0" w:after="0"/>
        <w:ind w:left="0" w:right="0" w:hanging="0"/>
        <w:jc w:val="center"/>
        <w:rPr>
          <w:caps/>
        </w:rPr>
      </w:pPr>
      <w:r>
        <w:rPr>
          <w:caps/>
        </w:rPr>
        <w:t> </w:t>
      </w:r>
    </w:p>
    <w:tbl>
      <w:tblPr>
        <w:tblW w:w="4435" w:type="dxa"/>
        <w:jc w:val="left"/>
        <w:tblInd w:w="0" w:type="dxa"/>
        <w:tblLayout w:type="fixed"/>
        <w:tblCellMar>
          <w:top w:w="0" w:type="dxa"/>
          <w:left w:w="0" w:type="dxa"/>
          <w:bottom w:w="0" w:type="dxa"/>
          <w:right w:w="0" w:type="dxa"/>
        </w:tblCellMar>
      </w:tblPr>
      <w:tblGrid>
        <w:gridCol w:w="320"/>
        <w:gridCol w:w="411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4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 (the "</w:t>
            </w:r>
            <w:r>
              <w:rPr>
                <w:rFonts w:ascii="Times New Roman;Times;Serif" w:hAnsi="Times New Roman;Times;Serif"/>
                <w:b/>
                <w:sz w:val="20"/>
              </w:rPr>
              <w:t>Depositary</w:t>
            </w:r>
            <w:r>
              <w:rPr>
                <w:rFonts w:ascii="Times New Roman;Times;Serif" w:hAnsi="Times New Roman;Times;Serif"/>
                <w:sz w:val="20"/>
              </w:rPr>
              <w:t>")</w:t>
            </w:r>
          </w:p>
        </w:tc>
      </w:tr>
      <w:tr>
        <w:trPr/>
        <w:tc>
          <w:tcPr>
            <w:tcW w:w="32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383 Madison Avenue, Floor 11</w:t>
            </w:r>
          </w:p>
        </w:tc>
      </w:tr>
      <w:tr>
        <w:trPr/>
        <w:tc>
          <w:tcPr>
            <w:tcW w:w="32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York, New York 10179</w:t>
            </w:r>
          </w:p>
        </w:tc>
      </w:tr>
      <w:tr>
        <w:trPr/>
        <w:tc>
          <w:tcPr>
            <w:tcW w:w="32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 Depositary Receipts Group</w:t>
            </w:r>
          </w:p>
        </w:tc>
      </w:tr>
      <w:tr>
        <w:trPr/>
        <w:tc>
          <w:tcPr>
            <w:tcW w:w="32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E-mail: </w:t>
            </w:r>
            <w:r>
              <w:rPr>
                <w:rFonts w:ascii="Times New Roman;Times;Serif" w:hAnsi="Times New Roman;Times;Serif"/>
                <w:u w:val="single"/>
              </w:rPr>
              <w:t>DR_Global_CSM@jpmorgan.com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tab/>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refers to the Amended and Restated Deposit Agreement, dated as of [●] , 2025, between, among others, the Company and the Depositary (the "</w:t>
      </w:r>
      <w:r>
        <w:rPr>
          <w:rFonts w:ascii="Times New Roman;Times;Serif" w:hAnsi="Times New Roman;Times;Serif"/>
          <w:b/>
          <w:i w:val="false"/>
          <w:caps w:val="false"/>
          <w:smallCaps w:val="false"/>
          <w:sz w:val="20"/>
        </w:rPr>
        <w:t>Deposit Agreement</w:t>
      </w:r>
      <w:r>
        <w:rPr>
          <w:rFonts w:ascii="Times New Roman;Times;Serif" w:hAnsi="Times New Roman;Times;Serif"/>
          <w:b w:val="false"/>
          <w:i w:val="false"/>
          <w:caps w:val="false"/>
          <w:smallCaps w:val="false"/>
          <w:sz w:val="20"/>
        </w:rPr>
        <w:t>"). Capitalized words and expressions used in this deed poll that are not expressly defined herein shall have the meanings ascribed to them in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irrevocably and unconditionally undertakes to instruct its registered office provider to register in the register of members of the Company any and all share transfers submitted by the Depositary to the Company, including without limitation, any share transfer instructions submitted by the Depositary after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promptly deliver to the Depositary a certified copy of the updated register of members that reflects any share transfers submitted by the Depositary to the Company in accordance with the preceding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deed poll and the rights and obligations of the parties hereunder shall be governed by and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THIS DEED POLL</w:t>
      </w:r>
      <w:r>
        <w:rPr>
          <w:rFonts w:ascii="Times New Roman;Times;Serif" w:hAnsi="Times New Roman;Times;Serif"/>
          <w:b w:val="false"/>
          <w:i w:val="false"/>
          <w:caps w:val="false"/>
          <w:smallCaps w:val="false"/>
          <w:sz w:val="20"/>
        </w:rPr>
        <w:t xml:space="preserve"> has been executed as a deed and is delivered on the day and year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B-1 </w:t>
      </w:r>
    </w:p>
    <w:p>
      <w:pPr>
        <w:pStyle w:val="TextBody"/>
        <w:bidi w:val="0"/>
        <w:spacing w:before="0" w:after="0"/>
        <w:jc w:val="right"/>
        <w:rPr/>
      </w:pPr>
      <w:r>
        <w:rPr/>
        <w:drawing>
          <wp:inline distT="0" distB="0" distL="0" distR="0">
            <wp:extent cx="1781175" cy="2952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tbl>
      <w:tblPr>
        <w:tblW w:w="7304" w:type="dxa"/>
        <w:jc w:val="left"/>
        <w:tblInd w:w="0" w:type="dxa"/>
        <w:tblLayout w:type="fixed"/>
        <w:tblCellMar>
          <w:top w:w="0" w:type="dxa"/>
          <w:left w:w="0" w:type="dxa"/>
          <w:bottom w:w="0" w:type="dxa"/>
          <w:right w:w="0" w:type="dxa"/>
        </w:tblCellMar>
      </w:tblPr>
      <w:tblGrid>
        <w:gridCol w:w="4610"/>
        <w:gridCol w:w="95"/>
        <w:gridCol w:w="2305"/>
        <w:gridCol w:w="294"/>
      </w:tblGrid>
      <w:tr>
        <w:trPr/>
        <w:tc>
          <w:tcPr>
            <w:tcW w:w="46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EXECUTED AS A DEED</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sz w:val="20"/>
              </w:rPr>
              <w:t xml:space="preserve">Amber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b/>
              </w:rPr>
              <w:t xml:space="preserve">International Holding Limited </w:t>
            </w:r>
            <w:r>
              <w:rPr/>
              <w:t>by:</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9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Duly Authorised Signatory</w:t>
            </w:r>
          </w:p>
        </w:tc>
      </w:tr>
      <w:tr>
        <w:trPr/>
        <w:tc>
          <w:tcPr>
            <w:tcW w:w="461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74" w:type="dxa"/>
        <w:jc w:val="left"/>
        <w:tblInd w:w="0" w:type="dxa"/>
        <w:tblLayout w:type="fixed"/>
        <w:tblCellMar>
          <w:top w:w="0" w:type="dxa"/>
          <w:left w:w="0" w:type="dxa"/>
          <w:bottom w:w="0" w:type="dxa"/>
          <w:right w:w="0" w:type="dxa"/>
        </w:tblCellMar>
      </w:tblPr>
      <w:tblGrid>
        <w:gridCol w:w="1872"/>
        <w:gridCol w:w="127"/>
        <w:gridCol w:w="75"/>
      </w:tblGrid>
      <w:tr>
        <w:trPr/>
        <w:tc>
          <w:tcPr>
            <w:tcW w:w="19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the presence of:</w:t>
            </w:r>
          </w:p>
        </w:tc>
        <w:tc>
          <w:tcPr>
            <w:tcW w:w="75" w:type="dxa"/>
            <w:tcBorders/>
            <w:vAlign w:val="center"/>
          </w:tcPr>
          <w:p>
            <w:pPr>
              <w:pStyle w:val="TableContents"/>
              <w:bidi w:val="0"/>
              <w:spacing w:before="0" w:after="283"/>
              <w:jc w:val="left"/>
              <w:rPr/>
            </w:pPr>
            <w:r>
              <w:rPr/>
              <w:t> </w:t>
            </w:r>
          </w:p>
        </w:tc>
      </w:tr>
      <w:tr>
        <w:trPr/>
        <w:tc>
          <w:tcPr>
            <w:tcW w:w="19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9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 of Witness</w:t>
            </w:r>
          </w:p>
        </w:tc>
        <w:tc>
          <w:tcPr>
            <w:tcW w:w="75" w:type="dxa"/>
            <w:tcBorders/>
            <w:vAlign w:val="center"/>
          </w:tcPr>
          <w:p>
            <w:pPr>
              <w:pStyle w:val="TableContents"/>
              <w:bidi w:val="0"/>
              <w:spacing w:before="0" w:after="283"/>
              <w:jc w:val="left"/>
              <w:rPr/>
            </w:pPr>
            <w:r>
              <w:rPr/>
              <w:t> </w:t>
            </w:r>
          </w:p>
        </w:tc>
      </w:tr>
      <w:tr>
        <w:trPr/>
        <w:tc>
          <w:tcPr>
            <w:tcW w:w="187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7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Address:</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B-2 </w:t>
      </w:r>
    </w:p>
    <w:p>
      <w:pPr>
        <w:pStyle w:val="TextBody"/>
        <w:bidi w:val="0"/>
        <w:spacing w:before="0" w:after="0"/>
        <w:jc w:val="right"/>
        <w:rPr/>
      </w:pPr>
      <w:r>
        <w:rPr/>
        <w:drawing>
          <wp:inline distT="0" distB="0" distL="0" distR="0">
            <wp:extent cx="1781175" cy="2952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SHARE TRANSFER FORM</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Transferor</w:t>
      </w:r>
      <w:r>
        <w:rPr>
          <w:rFonts w:ascii="Times New Roman;Times;Serif" w:hAnsi="Times New Roman;Times;Serif"/>
          <w:b w:val="false"/>
          <w:i w:val="false"/>
          <w:caps w:val="false"/>
          <w:smallCaps w:val="false"/>
          <w:sz w:val="20"/>
        </w:rPr>
        <w:t>"), for good and valuable consideration received by the Transferor from the parties listed in the schedule attached hereto (the "</w:t>
      </w:r>
      <w:r>
        <w:rPr>
          <w:rFonts w:ascii="Times New Roman;Times;Serif" w:hAnsi="Times New Roman;Times;Serif"/>
          <w:b/>
          <w:i w:val="false"/>
          <w:caps w:val="false"/>
          <w:smallCaps w:val="false"/>
          <w:sz w:val="20"/>
        </w:rPr>
        <w:t>Transferees</w:t>
      </w:r>
      <w:r>
        <w:rPr>
          <w:rFonts w:ascii="Times New Roman;Times;Serif" w:hAnsi="Times New Roman;Times;Serif"/>
          <w:b w:val="false"/>
          <w:i w:val="false"/>
          <w:caps w:val="false"/>
          <w:smallCaps w:val="false"/>
          <w:sz w:val="20"/>
        </w:rPr>
        <w:t>"), hereby transfers to the Transferees the shares as set out opposite their name in the table contained in the Schedule hereto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24" w:type="dxa"/>
        <w:jc w:val="left"/>
        <w:tblInd w:w="0" w:type="dxa"/>
        <w:tblLayout w:type="fixed"/>
        <w:tblCellMar>
          <w:top w:w="0" w:type="dxa"/>
          <w:left w:w="0" w:type="dxa"/>
          <w:bottom w:w="0" w:type="dxa"/>
          <w:right w:w="0" w:type="dxa"/>
        </w:tblCellMar>
      </w:tblPr>
      <w:tblGrid>
        <w:gridCol w:w="3830"/>
        <w:gridCol w:w="95"/>
        <w:gridCol w:w="2305"/>
        <w:gridCol w:w="294"/>
      </w:tblGrid>
      <w:tr>
        <w:trPr/>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SIGNED</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sz w:val="20"/>
              </w:rPr>
              <w:t>TRANSFEROR</w:t>
            </w:r>
            <w:r>
              <w:rPr>
                <w:rFonts w:ascii="Times New Roman;Times;Serif" w:hAnsi="Times New Roman;Times;Serif"/>
                <w:b w:val="false"/>
                <w:i w:val="false"/>
                <w:caps w:val="false"/>
                <w:smallCaps w:val="false"/>
                <w:sz w:val="20"/>
              </w:rPr>
              <w:t>:</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99" w:type="dxa"/>
            <w:gridSpan w:val="2"/>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9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Duly Authorised Signatory</w:t>
            </w:r>
          </w:p>
        </w:tc>
      </w:tr>
      <w:tr>
        <w:trPr/>
        <w:tc>
          <w:tcPr>
            <w:tcW w:w="38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C-1 </w:t>
      </w:r>
    </w:p>
    <w:p>
      <w:pPr>
        <w:pStyle w:val="TextBody"/>
        <w:bidi w:val="0"/>
        <w:spacing w:before="0" w:after="0"/>
        <w:jc w:val="right"/>
        <w:rPr/>
      </w:pPr>
      <w:r>
        <w:rPr/>
        <w:drawing>
          <wp:inline distT="0" distB="0" distL="0" distR="0">
            <wp:extent cx="1781175" cy="2952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TO 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TRANSFEREES</w:t>
      </w:r>
    </w:p>
    <w:p>
      <w:pPr>
        <w:pStyle w:val="TextBody"/>
        <w:bidi w:val="0"/>
        <w:spacing w:before="0" w:after="0"/>
        <w:ind w:left="0" w:right="0" w:hanging="0"/>
        <w:jc w:val="center"/>
        <w:rPr>
          <w:caps w:val="false"/>
          <w:smallCaps w:val="false"/>
        </w:rPr>
      </w:pPr>
      <w:r>
        <w:rPr>
          <w:caps w:val="false"/>
          <w:smallCaps w:val="false"/>
        </w:rPr>
        <w:t> </w:t>
      </w:r>
    </w:p>
    <w:tbl>
      <w:tblPr>
        <w:tblW w:w="4470" w:type="dxa"/>
        <w:jc w:val="left"/>
        <w:tblInd w:w="-10" w:type="dxa"/>
        <w:tblLayout w:type="fixed"/>
        <w:tblCellMar>
          <w:top w:w="28" w:type="dxa"/>
          <w:left w:w="28" w:type="dxa"/>
          <w:bottom w:w="28" w:type="dxa"/>
          <w:right w:w="28" w:type="dxa"/>
        </w:tblCellMar>
      </w:tblPr>
      <w:tblGrid>
        <w:gridCol w:w="725"/>
        <w:gridCol w:w="950"/>
        <w:gridCol w:w="2795"/>
      </w:tblGrid>
      <w:tr>
        <w:trPr/>
        <w:tc>
          <w:tcPr>
            <w:tcW w:w="7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Name</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Address</w:t>
            </w:r>
          </w:p>
        </w:tc>
        <w:tc>
          <w:tcPr>
            <w:tcW w:w="27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shares</w:t>
            </w:r>
          </w:p>
        </w:tc>
      </w:tr>
      <w:tr>
        <w:trPr/>
        <w:tc>
          <w:tcPr>
            <w:tcW w:w="7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Class A Ordinary shares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e664653_ex99-d.htm"/>
      <w:bookmarkStart w:id="5" w:name="kse664653_ex99d"/>
      <w:bookmarkEnd w:id="4"/>
      <w:bookmarkEnd w:id="5"/>
      <w:r>
        <w:rPr>
          <w:rFonts w:ascii="Times New Roman;Times;Serif" w:hAnsi="Times New Roman;Times;Serif"/>
          <w:b/>
          <w:i w:val="false"/>
          <w:caps w:val="false"/>
          <w:smallCaps w:val="false"/>
          <w:sz w:val="20"/>
        </w:rPr>
        <w:t>Ziegler, Ziegler &amp; Associates LLP</w:t>
      </w:r>
      <w:r>
        <w:br w:type="page"/>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Counselors at Law</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570 Lexington Avenue, Suite 2405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New York, New York 10022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(212) 319-7600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Telecopier (212) 319-7605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June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as Depositary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 Floor 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American Depositary Shares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evidenced by American Depositary Receipts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for deposited Class A Ordinary Shares of</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Amber International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JPMorgan Chase Bank, N.A., as depositary (the “Depositary”), in connection with the Registration Statement on Form F-6 (the “Registration Statement”) to be filed on the date hereof with the Securities and Exchange Commission (the “Commission”) pursuant to the Securities Act of 1933, as amended (the “Securities Act of 1933”), by the Depositary, acting on behalf of the legal entity created by the Deposit Agreement (as defined below) and Amber International Holding Limited, a company incorporated under the laws of the Cayman Islands (the “Company”), relating to the registered number of American Depositary Shares (“ADSs”), to be evidenced by American Depositary Receipts (“ADRs”), each ADS currently representing, subject to the terms and conditions of the Deposit Agreement and the ADRs, the right to receive five (5) class A ordinary shares of the Company (the “Shares”). The ADSs will be issued pursuant to the terms and conditions of the Amended and Restated Deposit Agreement among the Company, the Depositary and all Holders and Beneficial Owners from time to time of ADRs issued thereunder (the “Deposit Agreement”). The Deposit Agreement is being incorporated by reference as exhibit (a) to the Registration Statement. Capitalized terms used herein that are not herein defined shall have the meanings assigned to them in the Deposit Agreement.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originals or copies, certified or otherwise identified to our satisfaction, of such documents as we considered necessary or appropriate to enable us to render this opinion, including but not limited to the Registration Statement, the Deposit Agreement and the form of ADR included as Exhibit A to the Deposit Agreement, as well as such other corporate records, certificates and instruments as we have deemed necessary or appropriate for purposes of rendering the opinions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right"/>
        <w:rPr/>
      </w:pPr>
      <w:r>
        <w:rPr/>
        <w:drawing>
          <wp:inline distT="0" distB="0" distL="0" distR="0">
            <wp:extent cx="1781175" cy="2952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781175" cy="295275"/>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herein, we have assumed (i) the Deposit Agreement, on signing, was duly authorized, executed and delivered by the Company and constitutes a valid and legally binding obligation of the Company enforceable against it in accordance with its terms, (ii) that at the time any ADSs are issued, (a) the Registration Statement will have been declared effective by the Commission and remain effective, and (b) the relevant Deposited Securities will have been duly authorized, legally and validly issued, will be fully paid and non-assessable, will have been duly deposited with a Custodian under and in accordance with all applicable laws and regulations, and will constitute "Shares" within the meaning of such term under the Deposit Agreement; (iii) that the choice of New York law contained in the Deposit Agreement is legal and valid under the laws of the Cayman Islands, (iv) that insofar as any obligation under the Deposit Agreement is to be performed in, or by a party organized under the laws of, any jurisdiction outside of the United States of America, its performance will not be illegal or ineffective in any jurisdiction by virtue of the law of that jurisdiction, (v) the genuineness and authenticity of all signatures, including electronic signatures, on original documents and the legal capacity, competency and authority of all such signatories; and (vi) that photocopy, electronic, conformed, facsimile and other copies submitted to us of original documents conform to the original documents, and that all such original documents were authentic and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ADSs covered by the Registration Statement, when evidenced by ADRs that are duly executed and delivered by the Depositary (as defined in the Deposit Agreement) and issued in accordance with the terms of the Deposit Agreement, will be validly issued and will entitle the registered holders thereof to the rights specified in the Deposit Agreement and those ADRs.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to the internal laws of the State of New York and the federal laws of the United States of America, each as in effect on the date of this letter, and we are expressing no opinion as to the applicability of the laws of any other jurisdiction or the effect of any such laws on the foregoing opinion. Nothing contained herein or in any document referred to herein is intended by this firm to be used, and the addressees hereof cannot use anything contained herein or in any document referred to herein, as tax advice. This opinion letter deals only with the specified legal issues expressly addressed herein, and you should not infer any opinion that is not explicitly addressed herein from any matter stated in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to you as of the date hereof and we assume no obligation to advise you or any other person hereafter with regard to any change after the date hereof in the circumstances or the law that may bear on the matters set forth herein even though the change may affect the legal analysis or a legal conclusion or other matters in this opinion letter.</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Exhibit d of the above-mentioned Registration Statement. In giving such consent, we do not admit thereby that we are within the category of persons whose consent is required under Section 7 of the Securities Act of 1933, as amended and the rules and regulations thereunder.</w:t>
      </w:r>
    </w:p>
    <w:p>
      <w:pPr>
        <w:pStyle w:val="TextBody"/>
        <w:bidi w:val="0"/>
        <w:spacing w:before="0" w:after="0"/>
        <w:ind w:left="0" w:right="0" w:firstLine="576"/>
        <w:jc w:val="both"/>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75"/>
        <w:gridCol w:w="3515"/>
      </w:tblGrid>
      <w:tr>
        <w:trPr/>
        <w:tc>
          <w:tcPr>
            <w:tcW w:w="7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/s/Ziegler, Ziegler &amp; Associates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firstLine="4896"/>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e664653_ex99-e.htm"/>
      <w:bookmarkStart w:id="7" w:name="kse664653_ex99e"/>
      <w:bookmarkEnd w:id="6"/>
      <w:bookmarkEnd w:id="7"/>
      <w:r>
        <w:rPr>
          <w:caps w:val="false"/>
          <w:smallCaps w:val="false"/>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Certification under Rule 466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JPMorgan Chase Bank, N.A., represents and certifies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That it previously had filed a registration statement on Form F-6 (iClick Interactive Asia Group Limited ((now known as Amber International Holding Limited)), </w:t>
      </w:r>
      <w:r>
        <w:rPr>
          <w:rFonts w:ascii="Times New Roman;Times;Serif" w:hAnsi="Times New Roman;Times;Serif"/>
          <w:b w:val="false"/>
          <w:i w:val="false"/>
          <w:caps w:val="false"/>
          <w:smallCaps w:val="false"/>
          <w:sz w:val="20"/>
          <w:shd w:fill="FFFFFF" w:val="clear"/>
        </w:rPr>
        <w:t>333-221860</w:t>
      </w:r>
      <w:r>
        <w:rPr>
          <w:rFonts w:ascii="Times New Roman;Times;Serif" w:hAnsi="Times New Roman;Times;Serif"/>
          <w:b w:val="false"/>
          <w:i w:val="false"/>
          <w:caps w:val="false"/>
          <w:smallCaps w:val="false"/>
          <w:sz w:val="20"/>
        </w:rPr>
        <w:t>) that the Commission declared effective, with terms of deposit identical to the terms of deposit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its ability to designate the date and time of effectiveness under Rule 466 has not been suspended.</w:t>
      </w:r>
    </w:p>
    <w:p>
      <w:pPr>
        <w:pStyle w:val="TextBody"/>
        <w:bidi w:val="0"/>
        <w:spacing w:before="0" w:after="0"/>
        <w:ind w:left="0" w:right="0" w:hanging="0"/>
        <w:jc w:val="both"/>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135"/>
        <w:gridCol w:w="684"/>
        <w:gridCol w:w="3280"/>
      </w:tblGrid>
      <w:tr>
        <w:trPr/>
        <w:tc>
          <w:tcPr>
            <w:tcW w:w="135" w:type="dxa"/>
            <w:tcBorders/>
            <w:vAlign w:val="center"/>
          </w:tcPr>
          <w:p>
            <w:pPr>
              <w:pStyle w:val="TableContents"/>
              <w:bidi w:val="0"/>
              <w:spacing w:before="0" w:after="283"/>
              <w:jc w:val="both"/>
              <w:rPr/>
            </w:pPr>
            <w:r>
              <w:rPr/>
              <w:t> </w:t>
            </w:r>
          </w:p>
        </w:tc>
        <w:tc>
          <w:tcPr>
            <w:tcW w:w="396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JPMORGAN CHASE BANK, N.A., as Depositary</w:t>
            </w:r>
          </w:p>
        </w:tc>
      </w:tr>
      <w:tr>
        <w:trPr/>
        <w:tc>
          <w:tcPr>
            <w:tcW w:w="135" w:type="dxa"/>
            <w:tcBorders/>
            <w:vAlign w:val="center"/>
          </w:tcPr>
          <w:p>
            <w:pPr>
              <w:pStyle w:val="TableContents"/>
              <w:bidi w:val="0"/>
              <w:spacing w:before="0" w:after="283"/>
              <w:jc w:val="both"/>
              <w:rPr/>
            </w:pPr>
            <w:r>
              <w:rPr/>
              <w:t> </w:t>
            </w:r>
          </w:p>
        </w:tc>
        <w:tc>
          <w:tcPr>
            <w:tcW w:w="684" w:type="dxa"/>
            <w:tcBorders/>
            <w:vAlign w:val="center"/>
          </w:tcPr>
          <w:p>
            <w:pPr>
              <w:pStyle w:val="TableContents"/>
              <w:bidi w:val="0"/>
              <w:spacing w:before="0" w:after="283"/>
              <w:jc w:val="both"/>
              <w:rPr/>
            </w:pPr>
            <w:r>
              <w:rPr/>
              <w:t> </w:t>
            </w:r>
          </w:p>
        </w:tc>
        <w:tc>
          <w:tcPr>
            <w:tcW w:w="3280" w:type="dxa"/>
            <w:tcBorders/>
            <w:vAlign w:val="center"/>
          </w:tcPr>
          <w:p>
            <w:pPr>
              <w:pStyle w:val="TableContents"/>
              <w:bidi w:val="0"/>
              <w:spacing w:before="0" w:after="283"/>
              <w:jc w:val="both"/>
              <w:rPr/>
            </w:pPr>
            <w:r>
              <w:rPr/>
              <w:t> </w:t>
            </w:r>
          </w:p>
        </w:tc>
      </w:tr>
      <w:tr>
        <w:trPr/>
        <w:tc>
          <w:tcPr>
            <w:tcW w:w="135" w:type="dxa"/>
            <w:tcBorders/>
            <w:vAlign w:val="center"/>
          </w:tcPr>
          <w:p>
            <w:pPr>
              <w:pStyle w:val="TableContents"/>
              <w:bidi w:val="0"/>
              <w:spacing w:before="0" w:after="283"/>
              <w:jc w:val="both"/>
              <w:rPr/>
            </w:pPr>
            <w:r>
              <w:rPr/>
              <w:t> </w:t>
            </w:r>
          </w:p>
        </w:tc>
        <w:tc>
          <w:tcPr>
            <w:tcW w:w="6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t>
            </w:r>
          </w:p>
        </w:tc>
        <w:tc>
          <w:tcPr>
            <w:tcW w:w="32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/s/Gregory A. Levendis                      </w:t>
            </w:r>
          </w:p>
        </w:tc>
      </w:tr>
      <w:tr>
        <w:trPr/>
        <w:tc>
          <w:tcPr>
            <w:tcW w:w="135" w:type="dxa"/>
            <w:tcBorders/>
            <w:vAlign w:val="center"/>
          </w:tcPr>
          <w:p>
            <w:pPr>
              <w:pStyle w:val="TableContents"/>
              <w:bidi w:val="0"/>
              <w:spacing w:before="0" w:after="283"/>
              <w:jc w:val="both"/>
              <w:rPr/>
            </w:pPr>
            <w:r>
              <w:rPr/>
              <w:t> </w:t>
            </w:r>
          </w:p>
        </w:tc>
        <w:tc>
          <w:tcPr>
            <w:tcW w:w="6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Gregory A. Levendis</w:t>
            </w:r>
          </w:p>
        </w:tc>
      </w:tr>
      <w:tr>
        <w:trPr/>
        <w:tc>
          <w:tcPr>
            <w:tcW w:w="135" w:type="dxa"/>
            <w:tcBorders/>
            <w:vAlign w:val="center"/>
          </w:tcPr>
          <w:p>
            <w:pPr>
              <w:pStyle w:val="TableContents"/>
              <w:bidi w:val="0"/>
              <w:spacing w:before="0" w:after="283"/>
              <w:jc w:val="both"/>
              <w:rPr/>
            </w:pPr>
            <w:r>
              <w:rPr/>
              <w:t>  </w:t>
            </w:r>
          </w:p>
        </w:tc>
        <w:tc>
          <w:tcPr>
            <w:tcW w:w="6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w:t>
            </w:r>
          </w:p>
        </w:tc>
        <w:tc>
          <w:tcPr>
            <w:tcW w:w="3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26608</Words>
  <Characters>140691</Characters>
  <CharactersWithSpaces>167513</CharactersWithSpaces>
  <Paragraphs>1713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