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53975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9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13E-3</w:t>
      </w:r>
    </w:p>
    <w:p>
      <w:pPr>
        <w:spacing w:after="0" w:line="4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7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RULE 13e-3 TRANSACTION STATEMENT UNDER SECTION 13(E)</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ind w:left="4740"/>
        <w:spacing w:after="0"/>
        <w:rPr>
          <w:sz w:val="20"/>
          <w:szCs w:val="20"/>
          <w:color w:val="auto"/>
        </w:rPr>
      </w:pPr>
      <w:r>
        <w:rPr>
          <w:rFonts w:ascii="Times New Roman" w:cs="Times New Roman" w:eastAsia="Times New Roman" w:hAnsi="Times New Roman"/>
          <w:sz w:val="14"/>
          <w:szCs w:val="14"/>
          <w:color w:val="auto"/>
        </w:rPr>
        <w:t>(Name of the Issuer)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88900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spacing w:after="0" w:line="3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Jian Tang</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Igomax Inc.</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Wing Hong Sammy Hsieh</w:t>
      </w:r>
    </w:p>
    <w:p>
      <w:pPr>
        <w:spacing w:after="0" w:line="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Bubinga Holdings Limited</w:t>
      </w:r>
    </w:p>
    <w:p>
      <w:pPr>
        <w:spacing w:after="0" w:line="8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Huang Jianjun</w:t>
      </w:r>
    </w:p>
    <w:p>
      <w:pPr>
        <w:spacing w:after="0" w:line="2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Rise Chain Investment Limited</w:t>
      </w:r>
    </w:p>
    <w:p>
      <w:pPr>
        <w:ind w:left="4160"/>
        <w:spacing w:after="0"/>
        <w:rPr>
          <w:sz w:val="20"/>
          <w:szCs w:val="20"/>
          <w:color w:val="auto"/>
        </w:rPr>
      </w:pPr>
      <w:r>
        <w:rPr>
          <w:rFonts w:ascii="Times New Roman" w:cs="Times New Roman" w:eastAsia="Times New Roman" w:hAnsi="Times New Roman"/>
          <w:sz w:val="25"/>
          <w:szCs w:val="25"/>
          <w:b w:val="1"/>
          <w:bCs w:val="1"/>
          <w:color w:val="auto"/>
        </w:rPr>
        <w:t>Capable Excel Limited</w:t>
      </w:r>
    </w:p>
    <w:p>
      <w:pPr>
        <w:spacing w:after="0" w:line="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Cheer Lead Global Limited</w:t>
      </w:r>
    </w:p>
    <w:p>
      <w:pPr>
        <w:ind w:left="4260"/>
        <w:spacing w:after="0" w:line="236" w:lineRule="auto"/>
        <w:rPr>
          <w:sz w:val="20"/>
          <w:szCs w:val="20"/>
          <w:color w:val="auto"/>
        </w:rPr>
      </w:pPr>
      <w:r>
        <w:rPr>
          <w:rFonts w:ascii="Times New Roman" w:cs="Times New Roman" w:eastAsia="Times New Roman" w:hAnsi="Times New Roman"/>
          <w:sz w:val="25"/>
          <w:szCs w:val="25"/>
          <w:b w:val="1"/>
          <w:bCs w:val="1"/>
          <w:color w:val="auto"/>
        </w:rPr>
        <w:t>Creative Big Limited</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Huge Superpower Limited</w:t>
      </w:r>
    </w:p>
    <w:p>
      <w:pPr>
        <w:spacing w:after="0" w:line="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5"/>
          <w:szCs w:val="25"/>
          <w:b w:val="1"/>
          <w:bCs w:val="1"/>
          <w:color w:val="auto"/>
        </w:rPr>
        <w:t>Infinity Global Fund SPC</w:t>
      </w:r>
    </w:p>
    <w:p>
      <w:pPr>
        <w:ind w:left="3200"/>
        <w:spacing w:after="0" w:line="236" w:lineRule="auto"/>
        <w:rPr>
          <w:sz w:val="20"/>
          <w:szCs w:val="20"/>
          <w:color w:val="auto"/>
        </w:rPr>
      </w:pPr>
      <w:r>
        <w:rPr>
          <w:rFonts w:ascii="Times New Roman" w:cs="Times New Roman" w:eastAsia="Times New Roman" w:hAnsi="Times New Roman"/>
          <w:sz w:val="25"/>
          <w:szCs w:val="25"/>
          <w:b w:val="1"/>
          <w:bCs w:val="1"/>
          <w:color w:val="auto"/>
        </w:rPr>
        <w:t>Integrated Asset Management (Asia) Ltd.</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b w:val="1"/>
          <w:bCs w:val="1"/>
          <w:color w:val="auto"/>
        </w:rPr>
        <w:t>Marine Central Limited</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Chan Nai Hang</w:t>
      </w:r>
    </w:p>
    <w:p>
      <w:pPr>
        <w:ind w:left="4440"/>
        <w:spacing w:after="0" w:line="236" w:lineRule="auto"/>
        <w:rPr>
          <w:sz w:val="20"/>
          <w:szCs w:val="20"/>
          <w:color w:val="auto"/>
        </w:rPr>
      </w:pPr>
      <w:r>
        <w:rPr>
          <w:rFonts w:ascii="Times New Roman" w:cs="Times New Roman" w:eastAsia="Times New Roman" w:hAnsi="Times New Roman"/>
          <w:sz w:val="25"/>
          <w:szCs w:val="25"/>
          <w:b w:val="1"/>
          <w:bCs w:val="1"/>
          <w:color w:val="auto"/>
        </w:rPr>
        <w:t>Likeable Limited</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Imen Yee May Pang</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Chik Yu Chung Roni</w:t>
      </w:r>
    </w:p>
    <w:p>
      <w:pPr>
        <w:ind w:left="4440"/>
        <w:spacing w:after="0" w:line="236" w:lineRule="auto"/>
        <w:rPr>
          <w:sz w:val="20"/>
          <w:szCs w:val="20"/>
          <w:color w:val="auto"/>
        </w:rPr>
      </w:pPr>
      <w:r>
        <w:rPr>
          <w:rFonts w:ascii="Times New Roman" w:cs="Times New Roman" w:eastAsia="Times New Roman" w:hAnsi="Times New Roman"/>
          <w:sz w:val="25"/>
          <w:szCs w:val="25"/>
          <w:b w:val="1"/>
          <w:bCs w:val="1"/>
          <w:color w:val="auto"/>
        </w:rPr>
        <w:t>Tse Kok Yu Ryan</w:t>
      </w:r>
    </w:p>
    <w:p>
      <w:pPr>
        <w:spacing w:after="0" w:line="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Tsang Hing Sze</w:t>
      </w:r>
    </w:p>
    <w:p>
      <w:pPr>
        <w:spacing w:after="0" w:line="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Lau Ying Wai</w:t>
      </w:r>
    </w:p>
    <w:p>
      <w:pPr>
        <w:ind w:left="4860"/>
        <w:spacing w:after="0" w:line="236" w:lineRule="auto"/>
        <w:rPr>
          <w:sz w:val="20"/>
          <w:szCs w:val="20"/>
          <w:color w:val="auto"/>
        </w:rPr>
      </w:pPr>
      <w:r>
        <w:rPr>
          <w:rFonts w:ascii="Times New Roman" w:cs="Times New Roman" w:eastAsia="Times New Roman" w:hAnsi="Times New Roman"/>
          <w:sz w:val="25"/>
          <w:szCs w:val="25"/>
          <w:b w:val="1"/>
          <w:bCs w:val="1"/>
          <w:color w:val="auto"/>
        </w:rPr>
        <w:t>Yang Xin</w:t>
      </w:r>
    </w:p>
    <w:p>
      <w:pPr>
        <w:ind w:left="4800"/>
        <w:spacing w:after="0" w:line="211" w:lineRule="auto"/>
        <w:rPr>
          <w:sz w:val="20"/>
          <w:szCs w:val="20"/>
          <w:color w:val="auto"/>
        </w:rPr>
      </w:pPr>
      <w:r>
        <w:rPr>
          <w:rFonts w:ascii="Times New Roman" w:cs="Times New Roman" w:eastAsia="Times New Roman" w:hAnsi="Times New Roman"/>
          <w:sz w:val="25"/>
          <w:szCs w:val="25"/>
          <w:b w:val="1"/>
          <w:bCs w:val="1"/>
          <w:color w:val="auto"/>
        </w:rPr>
        <w:t>Zhao Yong</w:t>
      </w:r>
    </w:p>
    <w:p>
      <w:pPr>
        <w:spacing w:after="0" w:line="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(Names of Persons Filing Statement)</w:t>
      </w:r>
      <w:r>
        <w:rPr>
          <w:rFonts w:ascii="Times New Roman" w:cs="Times New Roman" w:eastAsia="Times New Roman" w:hAnsi="Times New Roman"/>
          <w:sz w:val="17"/>
          <w:szCs w:val="17"/>
          <w:color w:val="auto"/>
        </w:rPr>
        <w:t>​</w:t>
      </w:r>
    </w:p>
    <w:p>
      <w:pPr>
        <w:spacing w:after="0" w:line="21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American Depositary Shares, one representing five Class A ordinary shares</w:t>
      </w:r>
    </w:p>
    <w:p>
      <w:pPr>
        <w:spacing w:after="0" w:line="4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Class A Ordinary Shares, par value US$0.001 per share*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4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6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765175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iClick Interactive Asia Group Limited</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Jian Tang</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Wing Hong Sammy Hsieh</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Prosperity Millennia Plaza</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Igomax Inc.</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Bubinga Holdings Limited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Millennia Plaza</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Millennia Plaza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spacing w:after="0"/>
              <w:rPr>
                <w:sz w:val="19"/>
                <w:szCs w:val="19"/>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+86-10-8540-2700</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+852-3700-9618</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Huang Jianjun</w:t>
            </w:r>
          </w:p>
        </w:tc>
        <w:tc>
          <w:tcPr>
            <w:tcW w:w="320" w:type="dxa"/>
            <w:vAlign w:val="bottom"/>
            <w:vMerge w:val="continue"/>
          </w:tcPr>
          <w:p>
            <w:pPr>
              <w:spacing w:after="0"/>
              <w:rPr>
                <w:sz w:val="17"/>
                <w:szCs w:val="17"/>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Capable Excel Limited</w:t>
            </w:r>
          </w:p>
        </w:tc>
        <w:tc>
          <w:tcPr>
            <w:tcW w:w="380" w:type="dxa"/>
            <w:vAlign w:val="bottom"/>
            <w:vMerge w:val="continue"/>
          </w:tcPr>
          <w:p>
            <w:pPr>
              <w:spacing w:after="0"/>
              <w:rPr>
                <w:sz w:val="17"/>
                <w:szCs w:val="17"/>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Cheer Lead Global Limited</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Marine Central Limited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A, 8th Floor</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1803, 18/F, Stelux House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Rise Chain Investment Limited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Winbase Centre</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698 Prince Edward Road East</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2B, 17/F.</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208 Queen’s Road Central</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San po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Chung Kiu Commercial Bldg.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47-51 Shantung Street</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25613121</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38926137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Mongkok, Kowloon</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+86 13682435235</w:t>
            </w:r>
          </w:p>
        </w:tc>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Creative Big Limited</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Huge Superpower Limited</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Infinity Global Fund SPC</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23B, Block 6, Hanley Villa 22 Yau</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33B, 24/F, Block D</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3605, 36/F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Lai Road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Mai Luen Ind. Building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Cheung Kong Centre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Yau Kom Tau, Tsuen Wan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23-31 King Yip Street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Queen’s Road, Central</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Kwai Chung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90880328</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34655367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b w:val="1"/>
                <w:bCs w:val="1"/>
                <w:color w:val="auto"/>
              </w:rPr>
              <w:t xml:space="preserve"> Integrated Asset Management (Asia) Ltd.</w:t>
            </w: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35261189</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spacing w:after="0"/>
              <w:rPr>
                <w:sz w:val="19"/>
                <w:szCs w:val="1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45"/>
        </w:trPr>
        <w:tc>
          <w:tcPr>
            <w:tcW w:w="360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Chan Nai Hang</w:t>
            </w:r>
          </w:p>
        </w:tc>
        <w:tc>
          <w:tcPr>
            <w:tcW w:w="380" w:type="dxa"/>
            <w:vAlign w:val="bottom"/>
            <w:vMerge w:val="continue"/>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Likeable Limited</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Millenia Plaza</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18B, MG Tower, 133 Hoi Bun Road,</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10/F, Guangdong Investment Tower,</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Kwun Tong, Kowloon,</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148 Connaught Road Central,</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22092209</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2541 6632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Imen Yee May Pang</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Chik Yu Chung Roni</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Tse Kok Yu Ryan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 D, BLK 5, Aldrich Garden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10/F RmB Wai Yu Court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F, 16/F, BLK 2, Riviera Gardens,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Shau Kei Wan,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 Hong Ping Street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Tsuen Wan, Hong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 Wan, 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Tsang Hing Sze</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Lau Ying Wai</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Yang Xin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704, 7/F, Block B, Tak Wah House,</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1905, 19/F, Oi Chi House</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7/F, Building 19, Phoenix Park,</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Tak Keung Court, Lok Fu,</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Tin Oi Court, Tin Shui Wai,</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1515 Gumei Road,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Kowloon, 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Territories, 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Xuhui District, Shanghai, China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1811621902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Zhao Yong</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7/F, Building 19, Phoenix Park,</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1515 Gumei Road, Xuhui District,</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Shanghai, China</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18616029299</w:t>
            </w:r>
          </w:p>
        </w:tc>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580" w:type="dxa"/>
            <w:vAlign w:val="bottom"/>
          </w:tcPr>
          <w:p>
            <w:pPr>
              <w:spacing w:after="0"/>
              <w:rPr>
                <w:sz w:val="24"/>
                <w:szCs w:val="24"/>
                <w:color w:val="auto"/>
              </w:rPr>
            </w:pPr>
          </w:p>
        </w:tc>
        <w:tc>
          <w:tcPr>
            <w:tcW w:w="9500" w:type="dxa"/>
            <w:vAlign w:val="bottom"/>
            <w:gridSpan w:val="5"/>
          </w:tcPr>
          <w:p>
            <w:pPr>
              <w:jc w:val="center"/>
              <w:ind w:left="34"/>
              <w:spacing w:after="0"/>
              <w:rPr>
                <w:sz w:val="20"/>
                <w:szCs w:val="20"/>
                <w:color w:val="auto"/>
              </w:rPr>
            </w:pPr>
            <w:r>
              <w:rPr>
                <w:rFonts w:ascii="Times New Roman" w:cs="Times New Roman" w:eastAsia="Times New Roman" w:hAnsi="Times New Roman"/>
                <w:sz w:val="14"/>
                <w:szCs w:val="14"/>
                <w:color w:val="auto"/>
              </w:rPr>
              <w:t>(Name, Address and Telephone Number of Person Authorized to Receive Notices and Communications on Behalf of the Persons Filing Statement)</w:t>
            </w:r>
            <w:r>
              <w:rPr>
                <w:rFonts w:ascii="Times New Roman" w:cs="Times New Roman" w:eastAsia="Times New Roman" w:hAnsi="Times New Roman"/>
                <w:sz w:val="17"/>
                <w:szCs w:val="17"/>
                <w:color w:val="auto"/>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With copies to</w:t>
            </w:r>
          </w:p>
        </w:tc>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Cleary Gottlieb Steen &amp; Hamilton LLP</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Ropes &amp; Gray</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Prospera Law, LLP</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Denise Shiu</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Oliver Nip</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Leung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45th Floor, Fortune Financial Center,</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44th Floor, One Exchange Square</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1901 Avenue of the Stars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rPr>
              <w:t>5 Dong San Huan Zhong Lu, Chaoyang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Connaught Place</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Suite 480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District, Beijing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Central, 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Los Angeles, CA 90067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Tel: + 86 10 5920 1080</w:t>
            </w:r>
          </w:p>
        </w:tc>
        <w:tc>
          <w:tcPr>
            <w:tcW w:w="3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Tel: +852 3664 6461</w:t>
            </w:r>
          </w:p>
        </w:tc>
        <w:tc>
          <w:tcPr>
            <w:tcW w:w="3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Tel: +1 (424) 239-1890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4"/>
        </w:trPr>
        <w:tc>
          <w:tcPr>
            <w:tcW w:w="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tc>
        <w:tc>
          <w:tcPr>
            <w:tcW w:w="160" w:type="dxa"/>
            <w:vAlign w:val="bottom"/>
          </w:tcPr>
          <w:p>
            <w:pPr>
              <w:spacing w:after="0"/>
              <w:rPr>
                <w:sz w:val="20"/>
                <w:szCs w:val="20"/>
                <w:color w:val="auto"/>
              </w:rPr>
            </w:pPr>
          </w:p>
        </w:tc>
      </w:tr>
      <w:tr>
        <w:trPr>
          <w:trHeight w:val="373"/>
        </w:trPr>
        <w:tc>
          <w:tcPr>
            <w:tcW w:w="96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 filing of solicitation materials or an information statement subject to Regulation 14A, Regulation 14C or Rule 13e-</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3(c) under the Securities Exchange Act of 1934.</w:t>
            </w:r>
          </w:p>
        </w:tc>
        <w:tc>
          <w:tcPr>
            <w:tcW w:w="160" w:type="dxa"/>
            <w:vAlign w:val="bottom"/>
          </w:tcPr>
          <w:p>
            <w:pPr>
              <w:spacing w:after="0"/>
              <w:rPr>
                <w:sz w:val="17"/>
                <w:szCs w:val="17"/>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76"/>
        </w:trPr>
        <w:tc>
          <w:tcPr>
            <w:tcW w:w="1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b.</w:t>
            </w:r>
          </w:p>
        </w:tc>
        <w:tc>
          <w:tcPr>
            <w:tcW w:w="260" w:type="dxa"/>
            <w:vAlign w:val="bottom"/>
          </w:tcPr>
          <w:p>
            <w:pPr>
              <w:ind w:left="80"/>
              <w:spacing w:after="0" w:line="76" w:lineRule="exact"/>
              <w:rPr>
                <w:sz w:val="20"/>
                <w:szCs w:val="20"/>
                <w:color w:val="auto"/>
              </w:rPr>
            </w:pPr>
            <w:r>
              <w:rPr>
                <w:rFonts w:ascii="MS PGothic" w:cs="MS PGothic" w:eastAsia="MS PGothic" w:hAnsi="MS PGothic"/>
                <w:sz w:val="10"/>
                <w:szCs w:val="10"/>
                <w:color w:val="auto"/>
              </w:rPr>
              <w:t>☐</w:t>
            </w:r>
          </w:p>
        </w:tc>
        <w:tc>
          <w:tcPr>
            <w:tcW w:w="92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The filing of a registration statement under the Securities Act of 1933.</w:t>
            </w:r>
          </w:p>
        </w:tc>
        <w:tc>
          <w:tcPr>
            <w:tcW w:w="160" w:type="dxa"/>
            <w:vAlign w:val="bottom"/>
          </w:tcPr>
          <w:p>
            <w:pPr>
              <w:spacing w:after="0"/>
              <w:rPr>
                <w:sz w:val="6"/>
                <w:szCs w:val="6"/>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76"/>
        </w:trPr>
        <w:tc>
          <w:tcPr>
            <w:tcW w:w="1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w:t>
            </w:r>
          </w:p>
        </w:tc>
        <w:tc>
          <w:tcPr>
            <w:tcW w:w="260" w:type="dxa"/>
            <w:vAlign w:val="bottom"/>
          </w:tcPr>
          <w:p>
            <w:pPr>
              <w:ind w:left="80"/>
              <w:spacing w:after="0" w:line="76" w:lineRule="exact"/>
              <w:rPr>
                <w:sz w:val="20"/>
                <w:szCs w:val="20"/>
                <w:color w:val="auto"/>
              </w:rPr>
            </w:pPr>
            <w:r>
              <w:rPr>
                <w:rFonts w:ascii="MS PGothic" w:cs="MS PGothic" w:eastAsia="MS PGothic" w:hAnsi="MS PGothic"/>
                <w:sz w:val="10"/>
                <w:szCs w:val="10"/>
                <w:color w:val="auto"/>
              </w:rPr>
              <w:t>☐</w:t>
            </w:r>
          </w:p>
        </w:tc>
        <w:tc>
          <w:tcPr>
            <w:tcW w:w="92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A tender offer</w:t>
            </w:r>
          </w:p>
        </w:tc>
        <w:tc>
          <w:tcPr>
            <w:tcW w:w="160" w:type="dxa"/>
            <w:vAlign w:val="bottom"/>
          </w:tcPr>
          <w:p>
            <w:pPr>
              <w:spacing w:after="0"/>
              <w:rPr>
                <w:sz w:val="6"/>
                <w:szCs w:val="6"/>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5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d.</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 of the above</w:t>
            </w:r>
          </w:p>
        </w:tc>
        <w:tc>
          <w:tcPr>
            <w:tcW w:w="160" w:type="dxa"/>
            <w:vAlign w:val="bottom"/>
          </w:tcPr>
          <w:p>
            <w:pPr>
              <w:spacing w:after="0"/>
              <w:rPr>
                <w:sz w:val="22"/>
                <w:szCs w:val="22"/>
                <w:color w:val="auto"/>
              </w:rPr>
            </w:pPr>
          </w:p>
        </w:tc>
      </w:tr>
    </w:tbl>
    <w:p>
      <w:pPr>
        <w:ind w:left="500" w:right="140" w:firstLine="360"/>
        <w:spacing w:after="0" w:line="229" w:lineRule="exact"/>
        <w:rPr>
          <w:sz w:val="20"/>
          <w:szCs w:val="20"/>
          <w:color w:val="auto"/>
        </w:rPr>
      </w:pPr>
      <w:r>
        <w:rPr>
          <w:rFonts w:ascii="Times New Roman" w:cs="Times New Roman" w:eastAsia="Times New Roman" w:hAnsi="Times New Roman"/>
          <w:sz w:val="18"/>
          <w:szCs w:val="18"/>
          <w:color w:val="auto"/>
        </w:rPr>
        <w:t>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49" w:lineRule="exact"/>
        <w:rPr>
          <w:sz w:val="20"/>
          <w:szCs w:val="20"/>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transaction: </w:t>
      </w:r>
      <w:r>
        <w:rPr>
          <w:rFonts w:ascii="MS PGothic" w:cs="MS PGothic" w:eastAsia="MS PGothic" w:hAnsi="MS PGothic"/>
          <w:sz w:val="18"/>
          <w:szCs w:val="18"/>
          <w:color w:val="auto"/>
        </w:rPr>
        <w:t>☐</w:t>
      </w:r>
    </w:p>
    <w:p>
      <w:pPr>
        <w:spacing w:after="0" w:line="198" w:lineRule="exact"/>
        <w:rPr>
          <w:sz w:val="20"/>
          <w:szCs w:val="20"/>
          <w:color w:val="auto"/>
        </w:rPr>
      </w:pPr>
    </w:p>
    <w:p>
      <w:pPr>
        <w:ind w:left="500" w:right="120" w:firstLine="360"/>
        <w:spacing w:after="0" w:line="259"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335" w:lineRule="exact"/>
        <w:rPr>
          <w:sz w:val="20"/>
          <w:szCs w:val="20"/>
          <w:color w:val="auto"/>
        </w:rPr>
      </w:pPr>
    </w:p>
    <w:p>
      <w:pPr>
        <w:ind w:left="860" w:hanging="368"/>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Market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137160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5330190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w:t>
      </w:r>
      <w:r>
        <w:rPr>
          <w:sz w:val="20"/>
          <w:szCs w:val="20"/>
          <w:color w:val="auto"/>
        </w:rPr>
        <w:tab/>
      </w:r>
      <w:r>
        <w:rPr>
          <w:rFonts w:ascii="Times New Roman" w:cs="Times New Roman" w:eastAsia="Times New Roman" w:hAnsi="Times New Roman"/>
          <w:sz w:val="18"/>
          <w:szCs w:val="18"/>
          <w:u w:val="single" w:color="auto"/>
          <w:color w:val="0000EE"/>
        </w:rPr>
        <w:t>Summary Term Sheet</w:t>
      </w:r>
    </w:p>
    <w:p>
      <w:pPr>
        <w:spacing w:after="0" w:line="5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2</w:t>
      </w:r>
      <w:r>
        <w:rPr>
          <w:sz w:val="20"/>
          <w:szCs w:val="20"/>
          <w:color w:val="auto"/>
        </w:rPr>
        <w:tab/>
      </w:r>
      <w:r>
        <w:rPr>
          <w:rFonts w:ascii="Times New Roman" w:cs="Times New Roman" w:eastAsia="Times New Roman" w:hAnsi="Times New Roman"/>
          <w:sz w:val="18"/>
          <w:szCs w:val="18"/>
          <w:u w:val="single" w:color="auto"/>
          <w:color w:val="0000EE"/>
        </w:rPr>
        <w:t>Subject 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3</w:t>
      </w:r>
      <w:r>
        <w:rPr>
          <w:sz w:val="20"/>
          <w:szCs w:val="20"/>
          <w:color w:val="auto"/>
        </w:rPr>
        <w:tab/>
      </w:r>
      <w:r>
        <w:rPr>
          <w:rFonts w:ascii="Times New Roman" w:cs="Times New Roman" w:eastAsia="Times New Roman" w:hAnsi="Times New Roman"/>
          <w:sz w:val="18"/>
          <w:szCs w:val="18"/>
          <w:u w:val="single" w:color="auto"/>
          <w:color w:val="0000EE"/>
        </w:rPr>
        <w:t>Identity and Background of Filing Person</w:t>
      </w:r>
    </w:p>
    <w:p>
      <w:pPr>
        <w:spacing w:after="0" w:line="5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4</w:t>
      </w:r>
      <w:r>
        <w:rPr>
          <w:sz w:val="20"/>
          <w:szCs w:val="20"/>
          <w:color w:val="auto"/>
        </w:rPr>
        <w:tab/>
      </w:r>
      <w:r>
        <w:rPr>
          <w:rFonts w:ascii="Times New Roman" w:cs="Times New Roman" w:eastAsia="Times New Roman" w:hAnsi="Times New Roman"/>
          <w:sz w:val="18"/>
          <w:szCs w:val="18"/>
          <w:u w:val="single" w:color="auto"/>
          <w:color w:val="0000EE"/>
        </w:rPr>
        <w:t>Terms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72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5 Past Contracts, Transactions, Negotiations and Agreements Item 6 Purposes of the Transaction and Plans or Proposals Item 7 Purposes, Alternatives, Reasons and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8</w:t>
      </w:r>
      <w:r>
        <w:rPr>
          <w:sz w:val="20"/>
          <w:szCs w:val="20"/>
          <w:color w:val="auto"/>
        </w:rPr>
        <w:tab/>
      </w:r>
      <w:r>
        <w:rPr>
          <w:rFonts w:ascii="Times New Roman" w:cs="Times New Roman" w:eastAsia="Times New Roman" w:hAnsi="Times New Roman"/>
          <w:sz w:val="18"/>
          <w:szCs w:val="18"/>
          <w:u w:val="single" w:color="auto"/>
          <w:color w:val="0000EE"/>
        </w:rPr>
        <w:t>Fairness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218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9 Reports, Opinions, Appraisals and Negotiations Item 10 Source and Amount of Funds or Other Consideration Item 11 Interest in Securities of the Subject Company Item 12 The Solicitation or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-364490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13</w:t>
        <w:tab/>
        <w:t>Financial Statements</w:t>
      </w:r>
    </w:p>
    <w:p>
      <w:pPr>
        <w:spacing w:after="0" w:line="6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14</w:t>
        <w:tab/>
        <w:t>Persons/Assets, Retained, Employed, Compensated or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15</w:t>
        <w:tab/>
        <w:t>Additional Information</w:t>
      </w:r>
    </w:p>
    <w:p>
      <w:pPr>
        <w:spacing w:after="0" w:line="6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16</w:t>
        <w:tab/>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This Amendment No. 2 to Rule 13e-3 transaction statement on Schedule 13E-3, together with the exhibits hereto (this “</w:t>
      </w:r>
      <w:r>
        <w:rPr>
          <w:rFonts w:ascii="Times New Roman" w:cs="Times New Roman" w:eastAsia="Times New Roman" w:hAnsi="Times New Roman"/>
          <w:sz w:val="18"/>
          <w:szCs w:val="18"/>
          <w:b w:val="1"/>
          <w:bCs w:val="1"/>
          <w:color w:val="auto"/>
        </w:rPr>
        <w:t>Transaction Statement</w:t>
      </w:r>
      <w:r>
        <w:rPr>
          <w:rFonts w:ascii="Times New Roman" w:cs="Times New Roman" w:eastAsia="Times New Roman" w:hAnsi="Times New Roman"/>
          <w:sz w:val="18"/>
          <w:szCs w:val="18"/>
          <w:color w:val="auto"/>
        </w:rPr>
        <w:t>”), is being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jointly by the following persons (each, a “</w:t>
      </w:r>
      <w:r>
        <w:rPr>
          <w:rFonts w:ascii="Times New Roman" w:cs="Times New Roman" w:eastAsia="Times New Roman" w:hAnsi="Times New Roman"/>
          <w:sz w:val="18"/>
          <w:szCs w:val="18"/>
          <w:b w:val="1"/>
          <w:bCs w:val="1"/>
          <w:color w:val="auto"/>
        </w:rPr>
        <w:t>Filing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980" w:right="419" w:hanging="360"/>
        <w:spacing w:after="0" w:line="245"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an exempted company with limited liability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issuer of the Class A ordinary shares, par value US$0.001 per share (each, a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and, together with the Class B ordinary shares of the Company, par value US$0.001 per share (each, a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the Class A Shares represented by the American depositary shares, each representing five Class A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that is subject to the transaction pursuant to Rule 13e-3 under the Exchange Act;</w:t>
      </w:r>
    </w:p>
    <w:p>
      <w:pPr>
        <w:spacing w:after="0" w:line="100"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Investment Holding Limited, an exempted company with limited liability incorporated under the laws of the Cayman Islands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980" w:right="439" w:hanging="360"/>
        <w:spacing w:after="0" w:line="250"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Mr. Jian Tang, a citizen of the PRC, (ii) Igomax Inc., a company organized and existing under the laws of the British Virgin Islands and wholly-owned by Mr. Jian Tang, (iii) Mr. Wing Hong Sammy Hsieh, a citizen of Hong Kong S.A.R., and (iv) Bubinga Holdings Limited, a company organized and existing under the laws of the British Virgin Islands and wholly-owned by Mr. Wing Hong Sammy Hsieh (collectively, the “</w:t>
      </w:r>
      <w:r>
        <w:rPr>
          <w:rFonts w:ascii="Times New Roman" w:cs="Times New Roman" w:eastAsia="Times New Roman" w:hAnsi="Times New Roman"/>
          <w:sz w:val="18"/>
          <w:szCs w:val="18"/>
          <w:b w:val="1"/>
          <w:bCs w:val="1"/>
          <w:color w:val="auto"/>
        </w:rPr>
        <w:t>Founder Parties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1980" w:right="879" w:hanging="360"/>
        <w:spacing w:after="0" w:line="258"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Chain Investment Limited, a British Virgin Islands company, which is wholly-owned by Mr. Huang Jianjun, and Mr. Huang Jianjun, a citizen of the PRC (collectively,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w:t>
      </w:r>
    </w:p>
    <w:p>
      <w:pPr>
        <w:spacing w:after="0" w:line="74" w:lineRule="exact"/>
        <w:rPr>
          <w:rFonts w:ascii="Times New Roman" w:cs="Times New Roman" w:eastAsia="Times New Roman" w:hAnsi="Times New Roman"/>
          <w:sz w:val="18"/>
          <w:szCs w:val="18"/>
          <w:color w:val="auto"/>
        </w:rPr>
      </w:pPr>
    </w:p>
    <w:p>
      <w:pPr>
        <w:ind w:left="1980" w:right="739" w:hanging="360"/>
        <w:spacing w:after="0" w:line="254"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Capable Excel Limited, a British Virgin Islands company, (ii) Cheer Lead Global Limited, a British Virgin Islands company, (iii) Creative Big Limited, a British Virgin Islands company,</w:t>
      </w:r>
    </w:p>
    <w:p>
      <w:pPr>
        <w:jc w:val="both"/>
        <w:ind w:left="1980" w:right="519"/>
        <w:spacing w:after="0" w:line="238" w:lineRule="auto"/>
        <w:tabs>
          <w:tab w:leader="none" w:pos="230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Huge Superpower Limited, a British Virgin Islands company, (v) Infinity Global Fund SPC, a Cayman Islands company, (vi) Integrated Asset Management (Asia) Ltd., a British Virgin Islands company, (vii) Marine Central Limited, a British Virgin Islands company, (viii) Imen Yee May Pang, a citizen of Hong Kong S.A.R., (ix) Lau Ying Wai, a citizen of Hong Kong S.A.R.,</w:t>
      </w:r>
    </w:p>
    <w:p>
      <w:pPr>
        <w:spacing w:after="0" w:line="2"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Tsang Hing Sze, a citizen of Hong Kong S.A.R., (xi) Zhao Yong, a citizen of the PRC,</w:t>
      </w:r>
    </w:p>
    <w:p>
      <w:pPr>
        <w:spacing w:after="0" w:line="7" w:lineRule="exact"/>
        <w:rPr>
          <w:rFonts w:ascii="Times New Roman" w:cs="Times New Roman" w:eastAsia="Times New Roman" w:hAnsi="Times New Roman"/>
          <w:sz w:val="18"/>
          <w:szCs w:val="18"/>
          <w:color w:val="auto"/>
        </w:rPr>
      </w:pPr>
    </w:p>
    <w:p>
      <w:pPr>
        <w:ind w:left="2360" w:hanging="380"/>
        <w:spacing w:after="0" w:line="236" w:lineRule="auto"/>
        <w:tabs>
          <w:tab w:leader="none" w:pos="2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Likeable Limited, a company organized and existing under the laws of Hong Kong S.A.R.,</w:t>
      </w:r>
    </w:p>
    <w:p>
      <w:pPr>
        <w:ind w:left="1980" w:right="599"/>
        <w:spacing w:after="0" w:line="242" w:lineRule="auto"/>
        <w:tabs>
          <w:tab w:leader="none" w:pos="24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Chik Yu Chung Roni, a citizen of Hong Kong S.A.R., (xiv) Tse Kok Yu Ryan, a citizen of Hong Kong S.A.R., (xv) Yang Xin, a citizen of the PRC, (xvi) Chan Nai Hang, a citizen of Hong Kong S.A.R., and (xvii) Mr. Huang Jianjun (together with the Founder Parties, the “</w:t>
      </w:r>
      <w:r>
        <w:rPr>
          <w:rFonts w:ascii="Times New Roman" w:cs="Times New Roman" w:eastAsia="Times New Roman" w:hAnsi="Times New Roman"/>
          <w:sz w:val="18"/>
          <w:szCs w:val="18"/>
          <w:b w:val="1"/>
          <w:bCs w:val="1"/>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Rollover Shareholder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Founder Parties and Sponsor Parties are collectively referred to herein as the “</w:t>
      </w:r>
      <w:r>
        <w:rPr>
          <w:rFonts w:ascii="Times New Roman" w:cs="Times New Roman" w:eastAsia="Times New Roman" w:hAnsi="Times New Roman"/>
          <w:sz w:val="18"/>
          <w:szCs w:val="18"/>
          <w:b w:val="1"/>
          <w:bCs w:val="1"/>
          <w:color w:val="auto"/>
        </w:rPr>
        <w:t>Buyer Consortium.</w:t>
      </w:r>
      <w:r>
        <w:rPr>
          <w:rFonts w:ascii="Times New Roman" w:cs="Times New Roman" w:eastAsia="Times New Roman" w:hAnsi="Times New Roman"/>
          <w:sz w:val="18"/>
          <w:szCs w:val="18"/>
          <w:color w:val="auto"/>
        </w:rPr>
        <w:t>” The Buyer Consortium and the other Rollover Shareholders are collectively referred to herein as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24, 2023, Parent, Merger Sub and the Company entered into an agreement and plan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which included a plan of merger required to be filed with the Registrar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Companies of the Cayman Islands, substantially in the form attached as Exhibit A to the Merger Agreement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 of Merger</w:t>
      </w:r>
      <w:r>
        <w:rPr>
          <w:rFonts w:ascii="Times New Roman" w:cs="Times New Roman" w:eastAsia="Times New Roman" w:hAnsi="Times New Roman"/>
          <w:sz w:val="18"/>
          <w:szCs w:val="18"/>
          <w:color w:val="auto"/>
        </w:rPr>
        <w:t>”). The Merger Agreement provides for the merger of Merger Sub with and into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Company (the “Merger”) in accordance with the Companies Act (As Revised) of the Cayman Islands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CICA</w:t>
      </w:r>
      <w:r>
        <w:rPr>
          <w:rFonts w:ascii="Times New Roman" w:cs="Times New Roman" w:eastAsia="Times New Roman" w:hAnsi="Times New Roman"/>
          <w:sz w:val="18"/>
          <w:szCs w:val="18"/>
          <w:color w:val="auto"/>
        </w:rPr>
        <w:t>”), with the Company continuing as the surviving company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becoming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wholly owned subsidiary of Parent.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Parent will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 beneficially owned by the Buyer Group. The transactions contemplated by the Merger Agreement and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Plan of Merger, including the Merger, are collectively referred to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entered into a Support Agreement, dated as of November 24, 2023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whereby, among other things, subject to the terms and conditions of the Support Agreement, each Rollover Shareholder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line="233" w:lineRule="auto"/>
        <w:rPr>
          <w:sz w:val="20"/>
          <w:szCs w:val="20"/>
          <w:color w:val="auto"/>
        </w:rPr>
      </w:pPr>
      <w:r>
        <w:rPr>
          <w:rFonts w:ascii="Times New Roman" w:cs="Times New Roman" w:eastAsia="Times New Roman" w:hAnsi="Times New Roman"/>
          <w:sz w:val="18"/>
          <w:szCs w:val="18"/>
          <w:color w:val="auto"/>
        </w:rPr>
        <w:t>has agreed to (a) vote all Shares (including Shares represented by ADSs) beneficially owned by such 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her or it to Parent immediately prior to the Effective Time in exchange for newly issued shares of Parent and receive no consideration for the cancellation of the Rollover Shares in accordance with the Merger Agreement.</w:t>
      </w:r>
    </w:p>
    <w:p>
      <w:pPr>
        <w:spacing w:after="0" w:line="98" w:lineRule="exact"/>
        <w:rPr>
          <w:sz w:val="20"/>
          <w:szCs w:val="20"/>
          <w:color w:val="auto"/>
        </w:rPr>
      </w:pPr>
    </w:p>
    <w:p>
      <w:pPr>
        <w:jc w:val="both"/>
        <w:ind w:left="1260" w:right="579" w:firstLine="360"/>
        <w:spacing w:after="0" w:line="235"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an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93"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If the Merger is completed, the Company will continue its operations as a privately held company and will be wholly owned by Parent, and the Company’s ADSs, each representing five Class A Shares, will no longer be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ADS program for the ADSs will terminate. In addition, if the Merger is completed, the Company’s obligations to file periodic reports under the Exchange Act will be terminated and the Company will be indirectly privately held by the Buyer Group.</w:t>
      </w:r>
    </w:p>
    <w:p>
      <w:pPr>
        <w:spacing w:after="0" w:line="90"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and net of any applicable withholding taxes, except for (i) the Rollover Shares, (ii) Shares held by Parent and Merger Sub,</w:t>
      </w:r>
    </w:p>
    <w:p>
      <w:pPr>
        <w:spacing w:after="0" w:line="3" w:lineRule="exact"/>
        <w:rPr>
          <w:sz w:val="20"/>
          <w:szCs w:val="20"/>
          <w:color w:val="auto"/>
        </w:rPr>
      </w:pPr>
    </w:p>
    <w:p>
      <w:pPr>
        <w:ind w:left="1260" w:right="419"/>
        <w:spacing w:after="0" w:line="230" w:lineRule="auto"/>
        <w:tabs>
          <w:tab w:leader="none" w:pos="15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the Company or any of its subsidiaries, or held in the Company’s treasury, (iv) any Shares (including ADSs corresponding to such Shares) held by the Company or JPMorgan Chase Bank, N.A. (the “</w:t>
      </w:r>
      <w:r>
        <w:rPr>
          <w:rFonts w:ascii="Times New Roman" w:cs="Times New Roman" w:eastAsia="Times New Roman" w:hAnsi="Times New Roman"/>
          <w:sz w:val="18"/>
          <w:szCs w:val="18"/>
          <w:b w:val="1"/>
          <w:bCs w:val="1"/>
          <w:color w:val="auto"/>
        </w:rPr>
        <w:t>ADS Depositary</w:t>
      </w:r>
      <w:r>
        <w:rPr>
          <w:rFonts w:ascii="Times New Roman" w:cs="Times New Roman" w:eastAsia="Times New Roman" w:hAnsi="Times New Roman"/>
          <w:sz w:val="18"/>
          <w:szCs w:val="18"/>
          <w:color w:val="auto"/>
        </w:rPr>
        <w:t>”) and reserved for issuance and allocation pursuant to the Company Share Plans (as defined below) (the Shares described in clauses (i) to (iv), the “</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(v) Shares owned by holders who have validly exercised and not effectively withdrawn or otherwise lost their rights to dissent from the Merger pursuant to Section 238 of the CICA (such Shares,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$0.05 per ADS cancelled and any other fees and charges payable pursuant to the terms of the deposit agreement, dated December 21, 2017 and as amended on October 31, 2022, among the Company, the ADS Depositary and all holders from time to time of ADSs issued thereunder) without interest (the “</w:t>
      </w:r>
      <w:r>
        <w:rPr>
          <w:rFonts w:ascii="Times New Roman" w:cs="Times New Roman" w:eastAsia="Times New Roman" w:hAnsi="Times New Roman"/>
          <w:sz w:val="18"/>
          <w:szCs w:val="18"/>
          <w:b w:val="1"/>
          <w:bCs w:val="1"/>
          <w:color w:val="auto"/>
        </w:rPr>
        <w:t>Per ADS Merger Consideration</w:t>
      </w:r>
      <w:r>
        <w:rPr>
          <w:rFonts w:ascii="Times New Roman" w:cs="Times New Roman" w:eastAsia="Times New Roman" w:hAnsi="Times New Roman"/>
          <w:sz w:val="18"/>
          <w:szCs w:val="18"/>
          <w:color w:val="auto"/>
        </w:rPr>
        <w:t>”, and together with the Per Share Merger Consideration,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and net of any applicable withholding taxes;</w:t>
      </w:r>
    </w:p>
    <w:p>
      <w:pPr>
        <w:spacing w:after="0" w:line="3" w:lineRule="exact"/>
        <w:rPr>
          <w:rFonts w:ascii="Times New Roman" w:cs="Times New Roman" w:eastAsia="Times New Roman" w:hAnsi="Times New Roman"/>
          <w:sz w:val="18"/>
          <w:szCs w:val="18"/>
          <w:color w:val="auto"/>
        </w:rPr>
      </w:pPr>
    </w:p>
    <w:p>
      <w:pPr>
        <w:ind w:left="1260" w:right="419"/>
        <w:spacing w:after="0"/>
        <w:tabs>
          <w:tab w:leader="none" w:pos="1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w:t>
      </w:r>
      <w:r>
        <w:rPr>
          <w:rFonts w:ascii="Times New Roman" w:cs="Times New Roman" w:eastAsia="Times New Roman" w:hAnsi="Times New Roman"/>
          <w:sz w:val="18"/>
          <w:szCs w:val="18"/>
          <w:b w:val="1"/>
          <w:bCs w:val="1"/>
          <w:color w:val="auto"/>
        </w:rPr>
        <w:t>Vested Company RSU</w:t>
      </w:r>
      <w:r>
        <w:rPr>
          <w:rFonts w:ascii="Times New Roman" w:cs="Times New Roman" w:eastAsia="Times New Roman" w:hAnsi="Times New Roman"/>
          <w:sz w:val="18"/>
          <w:szCs w:val="18"/>
          <w:color w:val="auto"/>
        </w:rPr>
        <w:t>” means any restricted share unit granted under the Post-IPO Share Incentive Plan of the Company at or prior to the Effective Time (each, a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that shall have become vested at or prior to the Effective Time and remains outstanding in the form of an ADS at the Effective Time in accordance with the terms of such Company RSU.</w:t>
      </w: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under the terms of the Merger Agreement, at the Effective Time, each option to purchase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ADS granted under the 2018 Share Incentive Plan of the Company and the Post-IPO Share Incentive Plan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the Company (collectively, the “</w:t>
      </w:r>
      <w:r>
        <w:rPr>
          <w:rFonts w:ascii="Times New Roman" w:cs="Times New Roman" w:eastAsia="Times New Roman" w:hAnsi="Times New Roman"/>
          <w:sz w:val="18"/>
          <w:szCs w:val="18"/>
          <w:b w:val="1"/>
          <w:bCs w:val="1"/>
          <w:color w:val="auto"/>
        </w:rPr>
        <w:t>Company Share Plans</w:t>
      </w:r>
      <w:r>
        <w:rPr>
          <w:rFonts w:ascii="Times New Roman" w:cs="Times New Roman" w:eastAsia="Times New Roman" w:hAnsi="Times New Roman"/>
          <w:sz w:val="18"/>
          <w:szCs w:val="18"/>
          <w:color w:val="auto"/>
        </w:rPr>
        <w:t>”) at or prior to the Effective Time (each,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that shall have become vested at or prior to the Effective Time and remains outstanding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the Effective Time in accordance with the terms of such Company Option (each, a “</w:t>
      </w:r>
      <w:r>
        <w:rPr>
          <w:rFonts w:ascii="Times New Roman" w:cs="Times New Roman" w:eastAsia="Times New Roman" w:hAnsi="Times New Roman"/>
          <w:sz w:val="18"/>
          <w:szCs w:val="18"/>
          <w:b w:val="1"/>
          <w:bCs w:val="1"/>
          <w:color w:val="auto"/>
        </w:rPr>
        <w:t>Vested Company</w:t>
      </w:r>
    </w:p>
    <w:p>
      <w:pPr>
        <w:ind w:left="1260"/>
        <w:spacing w:after="0" w:line="234" w:lineRule="auto"/>
        <w:rPr>
          <w:sz w:val="20"/>
          <w:szCs w:val="20"/>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(excluding any Vested Company Option which has been converted into ADSs) will be cancelled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converted into the right to receive from the Surviving Company or one of its Subsidiaries, as soon 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practicable after the Effective Time pursuant to the Company’s ordinary payroll practices, an amount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cash, without interest and net of any applicable withholding taxes, equal to the excess, if any, of the Per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exercise price of any such Vested Company Option is equal to or greater than the Per ADS Merger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Consideration, such Vested Company Option shall be cancelled and the holder of any such Vested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 shall be entitled to a cash amount (without interest and net of any applicable withholding taxes)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equal to US$1.9305 with respect to each such Vested Company Option. Further, under the terms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Merger Agreement, at the Effective Time, each Company RSU that is not a Vested Company RSU (each, 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Unvested Company RSU</w:t>
      </w:r>
      <w:r>
        <w:rPr>
          <w:rFonts w:ascii="Times New Roman" w:cs="Times New Roman" w:eastAsia="Times New Roman" w:hAnsi="Times New Roman"/>
          <w:sz w:val="18"/>
          <w:szCs w:val="18"/>
          <w:color w:val="auto"/>
        </w:rPr>
        <w:t>”) will be cancelled in exchange for the right to receive an employee incentive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award by Parent to replace such Unvested Company RSU, pursuant to terms and conditions to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determined by Parent, which shall be substantially the same as the terms and conditions (including as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vesting) under the applicable Company Share Plans and the award agreement(s).</w:t>
      </w:r>
    </w:p>
    <w:p>
      <w:pPr>
        <w:spacing w:after="0" w:line="11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Merger remains subject to the satisfaction or waiver of the conditions set forth in the Merger Agreement. In order for the Merger to be completed, the Merger Agreement, the Plan of Merger and the Transactions, including the Merger, must be authorized and approved by special resolution passed by the holders of the Shares, being the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However, the authorization and approval of the Merger Agreement, the Plan of Merger and the Transactions, including the Merger, are not subject to the authorization and approval of holders of a majority of the Company’s outstanding Shares and ADSs unaffiliated with the Buyer Group.</w:t>
      </w:r>
    </w:p>
    <w:p>
      <w:pPr>
        <w:spacing w:after="0" w:line="30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Transaction Statement, the Buyer Group beneficially own in the aggregate 13,107,608 Class A Shares and 4,385,078 Class B Shares, which collectively represent approximately 35% of the total issued and outstanding shares in the Company and approximately 69% of the total voting power of the outstanding shares in the Company.</w:t>
      </w:r>
    </w:p>
    <w:p>
      <w:pPr>
        <w:spacing w:after="0" w:line="9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will make available to its shareholders a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 preliminary copy of which is attached as Exhibit (a)-(1) to this Transaction Statement), relating to the extraordinary general meeting of shareholders of the Company, at which the shareholders of the Company will consider and vote upon, among other proposals, a proposal to authorize and approve the Merger Agreement, the Plan of Merger and the Transactions, including the Merger. Copies of the Merger Agreement and the Plan of Merger are attached to the Proxy Statement as Annex A and Annex B and are incorporated herein by reference. As of the date hereof, the Proxy Statement is in preliminary form and is subject to completion.</w:t>
      </w:r>
    </w:p>
    <w:p>
      <w:pPr>
        <w:spacing w:after="0" w:line="31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cross-references below are being supplied pursuant to General Instruction G to Schedule 13E -3 and show the location in the Proxy Statement of the information required to be included in response to the items of Schedule 13E- 3. Pursuant to General Instruction F to Schedule 13E-3, the information contained in the Proxy Statement, including all annexes thereto, is incorporated in its entirety herein by this reference, and the responses to each item in this Transaction Statement are qualified in their entirety by the information contained in the Proxy Statement and the annexes thereto. Capitalized terms used but not defined in this Transaction Statement have the meanings given to them in the Proxy Statement.</w:t>
      </w:r>
    </w:p>
    <w:p>
      <w:pPr>
        <w:spacing w:after="0" w:line="100"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All information contained in this Transaction Statement concerning each Filing Person has been supplied by such Filing Person. No Filing Person, including the Company, has supplied any information with respect to any other Filing Person.</w:t>
      </w: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54"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48" w:lineRule="exact"/>
        <w:rPr>
          <w:sz w:val="20"/>
          <w:szCs w:val="20"/>
          <w:color w:val="auto"/>
        </w:rPr>
      </w:pPr>
    </w:p>
    <w:p>
      <w:pPr>
        <w:ind w:left="1620" w:right="73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57" w:lineRule="exact"/>
        <w:rPr>
          <w:rFonts w:ascii="Times New Roman" w:cs="Times New Roman" w:eastAsia="Times New Roman" w:hAnsi="Times New Roman"/>
          <w:sz w:val="18"/>
          <w:szCs w:val="18"/>
          <w:color w:val="auto"/>
        </w:rPr>
      </w:pPr>
    </w:p>
    <w:p>
      <w:pPr>
        <w:ind w:left="1620" w:right="135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Record Date; Shares and ADSs Entitled to Vote”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Market and Price.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of the Company’s ADSs, Dividends and Other Matters — Market Price of the ADSs”</w:t>
      </w:r>
    </w:p>
    <w:p>
      <w:pPr>
        <w:spacing w:after="0" w:line="144" w:lineRule="exact"/>
        <w:rPr>
          <w:rFonts w:ascii="Times New Roman" w:cs="Times New Roman" w:eastAsia="Times New Roman" w:hAnsi="Times New Roman"/>
          <w:sz w:val="18"/>
          <w:szCs w:val="18"/>
          <w:color w:val="auto"/>
        </w:rPr>
      </w:pPr>
    </w:p>
    <w:p>
      <w:pPr>
        <w:ind w:left="1620" w:right="139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of the Company’s ADSs, Dividends and Other Matters — Dividend Policy”</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Public Offerings.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 — Prior Public Offerings”</w:t>
      </w:r>
    </w:p>
    <w:p>
      <w:pPr>
        <w:spacing w:after="0" w:line="144"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Stock Purchases.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Related Party Transactions”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48" w:lineRule="exact"/>
        <w:rPr>
          <w:sz w:val="20"/>
          <w:szCs w:val="20"/>
          <w:color w:val="auto"/>
        </w:rPr>
      </w:pPr>
    </w:p>
    <w:p>
      <w:pPr>
        <w:ind w:left="1620" w:right="5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iClick Interactive Asia Group Limited is the subject company.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144" w:lineRule="exact"/>
        <w:rPr>
          <w:rFonts w:ascii="Times New Roman" w:cs="Times New Roman" w:eastAsia="Times New Roman" w:hAnsi="Times New Roman"/>
          <w:sz w:val="18"/>
          <w:szCs w:val="18"/>
          <w:color w:val="auto"/>
        </w:rPr>
      </w:pPr>
    </w:p>
    <w:p>
      <w:pPr>
        <w:ind w:left="1620" w:right="95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Background of Entities.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144"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Background of Natural Persons.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4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(1) Material Terms — Tender Offers. Not applicable.</w:t>
      </w:r>
    </w:p>
    <w:p>
      <w:pPr>
        <w:spacing w:after="0" w:line="131" w:lineRule="exact"/>
        <w:rPr>
          <w:sz w:val="20"/>
          <w:szCs w:val="20"/>
          <w:color w:val="auto"/>
        </w:rPr>
      </w:pPr>
    </w:p>
    <w:p>
      <w:pPr>
        <w:ind w:left="1620" w:right="43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Material Terms — Merger or Similar Transactions.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1" w:lineRule="exact"/>
        <w:rPr>
          <w:sz w:val="20"/>
          <w:szCs w:val="20"/>
          <w:color w:val="auto"/>
        </w:rPr>
      </w:pPr>
    </w:p>
    <w:p>
      <w:pPr>
        <w:ind w:left="1620" w:right="89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Terms.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Proposals to be Considered at the Extraordinary General Meeting”</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Dissenters’ Rights”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Dissenters’ Rights”</w:t>
      </w:r>
    </w:p>
    <w:p>
      <w:pPr>
        <w:spacing w:after="0" w:line="9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Rights of Shareholders Who Wish to Dissent from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“Dissenters’ Rights”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D — Cayman Islands Companies Act (As Amended) — Section 238”</w:t>
      </w:r>
    </w:p>
    <w:p>
      <w:pPr>
        <w:spacing w:after="0" w:line="130"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Unaffiliated Security Holders.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Unaffiliated Security Holders”</w:t>
      </w:r>
    </w:p>
    <w:p>
      <w:pPr>
        <w:spacing w:after="0" w:line="13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of Listing or Trading. Not applicable.</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5 Past Contracts, Transactions, Negotiations and Agreements</w:t>
      </w:r>
    </w:p>
    <w:p>
      <w:pPr>
        <w:spacing w:after="0" w:line="148" w:lineRule="exact"/>
        <w:rPr>
          <w:sz w:val="20"/>
          <w:szCs w:val="20"/>
          <w:color w:val="auto"/>
        </w:rPr>
      </w:pPr>
    </w:p>
    <w:p>
      <w:pPr>
        <w:ind w:left="1620" w:right="1139" w:hanging="360"/>
        <w:spacing w:after="0" w:line="26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Related Party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17"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Corporate Events.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107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or Contacts.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1" w:lineRule="exact"/>
        <w:rPr>
          <w:sz w:val="20"/>
          <w:szCs w:val="20"/>
          <w:color w:val="auto"/>
        </w:rPr>
      </w:pPr>
    </w:p>
    <w:p>
      <w:pPr>
        <w:ind w:left="1620" w:right="101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Involving the Subject Company’s Securities.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Support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Interim Investors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Support Agreement”</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Interim Investors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Voting by the Buyer Group at 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48" w:lineRule="exact"/>
        <w:rPr>
          <w:sz w:val="20"/>
          <w:szCs w:val="20"/>
          <w:color w:val="auto"/>
        </w:rPr>
      </w:pPr>
    </w:p>
    <w:p>
      <w:pPr>
        <w:ind w:left="1620" w:right="91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Securities Acquired.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113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Plans.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7 Purposes, Alternatives, Reasons and Effects</w:t>
      </w:r>
    </w:p>
    <w:p>
      <w:pPr>
        <w:spacing w:after="0" w:line="148" w:lineRule="exact"/>
        <w:rPr>
          <w:sz w:val="20"/>
          <w:szCs w:val="20"/>
          <w:color w:val="auto"/>
        </w:rPr>
      </w:pPr>
    </w:p>
    <w:p>
      <w:pPr>
        <w:ind w:left="1620" w:right="41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Plans for the Company after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44" w:lineRule="exact"/>
        <w:rPr>
          <w:rFonts w:ascii="Times New Roman" w:cs="Times New Roman" w:eastAsia="Times New Roman" w:hAnsi="Times New Roman"/>
          <w:sz w:val="18"/>
          <w:szCs w:val="18"/>
          <w:color w:val="auto"/>
        </w:rPr>
      </w:pPr>
    </w:p>
    <w:p>
      <w:pPr>
        <w:ind w:left="1620" w:right="117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Alternatives to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on the Company if the Merger is not Completed”</w:t>
      </w:r>
    </w:p>
    <w:p>
      <w:pPr>
        <w:spacing w:after="0" w:line="14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Alternatives to the Merger”</w:t>
      </w:r>
    </w:p>
    <w:p>
      <w:pPr>
        <w:spacing w:after="0" w:line="144"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on the Company if the Merger is not Completed”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U.S. Federal Income Tax Consequences”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PRC Income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Cayman Islands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Fairness of the Transaction</w:t>
      </w:r>
    </w:p>
    <w:p>
      <w:pPr>
        <w:spacing w:after="0" w:line="148" w:lineRule="exact"/>
        <w:rPr>
          <w:sz w:val="20"/>
          <w:szCs w:val="20"/>
          <w:color w:val="auto"/>
        </w:rPr>
      </w:pPr>
    </w:p>
    <w:p>
      <w:pPr>
        <w:ind w:left="1780" w:right="1059" w:hanging="521"/>
        <w:spacing w:after="0" w:line="282" w:lineRule="auto"/>
        <w:rPr>
          <w:sz w:val="20"/>
          <w:szCs w:val="20"/>
          <w:color w:val="auto"/>
        </w:rPr>
      </w:pPr>
      <w:r>
        <w:rPr>
          <w:rFonts w:ascii="Times New Roman" w:cs="Times New Roman" w:eastAsia="Times New Roman" w:hAnsi="Times New Roman"/>
          <w:sz w:val="18"/>
          <w:szCs w:val="18"/>
          <w:color w:val="auto"/>
        </w:rPr>
        <w:t>(a)-(b) Fairness; Factors Considered in Determining Fairness. The information set forth in the Proxy Statement under the following captions is incorporated herein by reference:</w:t>
      </w:r>
    </w:p>
    <w:p>
      <w:pPr>
        <w:spacing w:after="0" w:line="27" w:lineRule="exact"/>
        <w:rPr>
          <w:sz w:val="20"/>
          <w:szCs w:val="20"/>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Position of the Buyer Group as to the Fairness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71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Security Holders.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Shareholder Vote Required to Approve the Merger Agreement and the Plan of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Vote Required”</w:t>
      </w:r>
    </w:p>
    <w:p>
      <w:pPr>
        <w:spacing w:after="0" w:line="144" w:lineRule="exact"/>
        <w:rPr>
          <w:rFonts w:ascii="Times New Roman" w:cs="Times New Roman" w:eastAsia="Times New Roman" w:hAnsi="Times New Roman"/>
          <w:sz w:val="18"/>
          <w:szCs w:val="18"/>
          <w:color w:val="auto"/>
        </w:rPr>
      </w:pPr>
    </w:p>
    <w:p>
      <w:pPr>
        <w:ind w:left="1620" w:right="87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Representative.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Directors.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80" w:lineRule="exact"/>
        <w:rPr>
          <w:rFonts w:ascii="Times New Roman" w:cs="Times New Roman" w:eastAsia="Times New Roman" w:hAnsi="Times New Roman"/>
          <w:sz w:val="18"/>
          <w:szCs w:val="18"/>
          <w:color w:val="auto"/>
        </w:rPr>
      </w:pPr>
    </w:p>
    <w:p>
      <w:pPr>
        <w:ind w:left="1620" w:right="113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Offers.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Reports, Opinions, Appraisals and Negotiations</w:t>
      </w:r>
    </w:p>
    <w:p>
      <w:pPr>
        <w:spacing w:after="0" w:line="148" w:lineRule="exact"/>
        <w:rPr>
          <w:sz w:val="20"/>
          <w:szCs w:val="20"/>
          <w:color w:val="auto"/>
        </w:rPr>
      </w:pPr>
    </w:p>
    <w:p>
      <w:pPr>
        <w:ind w:left="1620" w:right="73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Opinion or Appraisal.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30"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Preparer and Summary of the Report, Opinion or Appraisal.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95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Documents.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You Can Find More Information”</w:t>
      </w:r>
    </w:p>
    <w:p>
      <w:pPr>
        <w:spacing w:after="0" w:line="117"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reports, opinions or appraisals referenced in this Item 9 will be made available for inspection and copying at the principal executive offices of the Company during its regular business hours by any interested holder of the Shares or his, her or its representative who has been so designated in writing.</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Source and Amount of Funds or Other Consideration</w:t>
      </w:r>
    </w:p>
    <w:p>
      <w:pPr>
        <w:spacing w:after="0" w:line="148" w:lineRule="exact"/>
        <w:rPr>
          <w:sz w:val="20"/>
          <w:szCs w:val="20"/>
          <w:color w:val="auto"/>
        </w:rPr>
      </w:pPr>
    </w:p>
    <w:p>
      <w:pPr>
        <w:ind w:left="1620" w:right="85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27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 — Financing”</w:t>
      </w:r>
    </w:p>
    <w:p>
      <w:pPr>
        <w:spacing w:after="0" w:line="144"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Fees and Expenses”</w:t>
      </w:r>
    </w:p>
    <w:p>
      <w:pPr>
        <w:spacing w:after="0" w:line="144" w:lineRule="exact"/>
        <w:rPr>
          <w:rFonts w:ascii="Times New Roman" w:cs="Times New Roman" w:eastAsia="Times New Roman" w:hAnsi="Times New Roman"/>
          <w:sz w:val="18"/>
          <w:szCs w:val="18"/>
          <w:color w:val="auto"/>
        </w:rPr>
      </w:pPr>
    </w:p>
    <w:p>
      <w:pPr>
        <w:ind w:left="1620" w:right="9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Funds.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 — Financing”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11 Interest in Securities of the Subject Company</w:t>
      </w:r>
    </w:p>
    <w:p>
      <w:pPr>
        <w:spacing w:after="0" w:line="148" w:lineRule="exact"/>
        <w:rPr>
          <w:sz w:val="20"/>
          <w:szCs w:val="20"/>
          <w:color w:val="auto"/>
        </w:rPr>
      </w:pPr>
    </w:p>
    <w:p>
      <w:pPr>
        <w:ind w:left="1620" w:right="47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 — Transactions in Prior 60 Days”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12 The Solicitation or Recommendation</w:t>
      </w:r>
    </w:p>
    <w:p>
      <w:pPr>
        <w:spacing w:after="0" w:line="148" w:lineRule="exact"/>
        <w:rPr>
          <w:sz w:val="20"/>
          <w:szCs w:val="20"/>
          <w:color w:val="auto"/>
        </w:rPr>
      </w:pPr>
    </w:p>
    <w:p>
      <w:pPr>
        <w:ind w:left="1620" w:right="11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 to Tender or Vote in a Going-Private Transaction.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Support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Support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Voting by the Buyer Group at 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Vote Required”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30"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of Others.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The Board’s Recommendation”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Financial Statements</w:t>
      </w:r>
    </w:p>
    <w:p>
      <w:pPr>
        <w:spacing w:after="0" w:line="148" w:lineRule="exact"/>
        <w:rPr>
          <w:sz w:val="20"/>
          <w:szCs w:val="20"/>
          <w:color w:val="auto"/>
        </w:rPr>
      </w:pPr>
    </w:p>
    <w:p>
      <w:pPr>
        <w:ind w:left="1620" w:right="559" w:hanging="360"/>
        <w:spacing w:after="0" w:line="251" w:lineRule="auto"/>
        <w:tabs>
          <w:tab w:leader="none" w:pos="1620" w:val="left"/>
        </w:tabs>
        <w:numPr>
          <w:ilvl w:val="0"/>
          <w:numId w:val="2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Financial Information. The audited financial statements of the Company for the fiscal years ended </w:t>
      </w:r>
      <w:hyperlink r:id="rId38">
        <w:r>
          <w:rPr>
            <w:rFonts w:ascii="Times New Roman" w:cs="Times New Roman" w:eastAsia="Times New Roman" w:hAnsi="Times New Roman"/>
            <w:sz w:val="18"/>
            <w:szCs w:val="18"/>
            <w:color w:val="auto"/>
          </w:rPr>
          <w:t xml:space="preserve">December 31, 2020, 2021 and 2022 are incorporated herein by reference to the Company’s </w:t>
        </w:r>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for the fiscal year ended December 31, 2022, filed on May 11,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page F-1 and following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pages).</w:t>
      </w:r>
    </w:p>
    <w:p>
      <w:pPr>
        <w:spacing w:after="0" w:line="295" w:lineRule="exact"/>
        <w:rPr>
          <w:rFonts w:ascii="Times New Roman" w:cs="Times New Roman" w:eastAsia="Times New Roman" w:hAnsi="Times New Roman"/>
          <w:sz w:val="18"/>
          <w:szCs w:val="18"/>
          <w:color w:val="0000EE"/>
        </w:rPr>
      </w:pPr>
    </w:p>
    <w:p>
      <w:pPr>
        <w:ind w:left="1620" w:right="439"/>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You Can Find More Information”</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Information. Not applicable.</w:t>
      </w:r>
    </w:p>
    <w:p>
      <w:pPr>
        <w:spacing w:after="0" w:line="208"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Persons/Assets, Retained, Employed, Compensated or Used</w:t>
      </w:r>
    </w:p>
    <w:p>
      <w:pPr>
        <w:spacing w:after="0" w:line="148"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or Recommendations.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Solicitation of Proxies”</w:t>
      </w:r>
    </w:p>
    <w:p>
      <w:pPr>
        <w:spacing w:after="0" w:line="171"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Corporate Assets. The information set forth in the Proxy Statement under the following captions is incorporated herein by reference: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221"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Additional Information</w:t>
      </w:r>
    </w:p>
    <w:p>
      <w:pPr>
        <w:spacing w:after="0" w:line="148"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The information contained in the Proxy Statement, including all annexes thereto, is incorporated herein by reference.</w:t>
      </w:r>
    </w:p>
    <w:p>
      <w:pPr>
        <w:spacing w:after="0" w:line="144"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ectPr>
          <w:pgSz w:w="11900" w:h="16838" w:orient="portrait"/>
          <w:cols w:equalWidth="0" w:num="1">
            <w:col w:w="9879"/>
          </w:cols>
          <w:pgMar w:left="580" w:top="97" w:right="1440" w:bottom="1440" w:gutter="0" w:footer="0" w:header="0"/>
        </w:sectPr>
      </w:pPr>
    </w:p>
    <w:p>
      <w:pPr>
        <w:spacing w:after="0" w:line="162"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(a)​-(1)​ ​ </w:t>
      </w:r>
      <w:r>
        <w:rPr>
          <w:rFonts w:ascii="Times New Roman" w:cs="Times New Roman" w:eastAsia="Times New Roman" w:hAnsi="Times New Roman"/>
          <w:sz w:val="18"/>
          <w:szCs w:val="18"/>
          <w:color w:val="0000EE"/>
        </w:rPr>
        <w:t>Preliminary Proxy Statement of the Company dated 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1254760</wp:posOffset>
            </wp:positionH>
            <wp:positionV relativeFrom="paragraph">
              <wp:posOffset>-7620</wp:posOffset>
            </wp:positionV>
            <wp:extent cx="342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ind w:left="1980" w:hanging="715"/>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Notice of Extraordinary General Meeting of Shareholders of the Company, incorporated herein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reference to the Proxy Statement.</w:t>
      </w:r>
    </w:p>
    <w:p>
      <w:pPr>
        <w:ind w:left="1260"/>
        <w:spacing w:after="0" w:line="219"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Form of Proxy Card, incorporated herein by reference to Annex F to the Proxy Statement.</w:t>
      </w:r>
    </w:p>
    <w:p>
      <w:pPr>
        <w:spacing w:after="0" w:line="1" w:lineRule="exact"/>
        <w:rPr>
          <w:rFonts w:ascii="Times New Roman" w:cs="Times New Roman" w:eastAsia="Times New Roman" w:hAnsi="Times New Roman"/>
          <w:sz w:val="18"/>
          <w:szCs w:val="18"/>
          <w:color w:val="auto"/>
        </w:rPr>
      </w:pPr>
    </w:p>
    <w:p>
      <w:pPr>
        <w:ind w:left="1980" w:right="100" w:hanging="715"/>
        <w:spacing w:after="0" w:line="19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(a)-(4)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Form of ADS Voting Instruction Card, incorporated herein by reference to Annex G to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4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sectPr>
          <w:pgSz w:w="11900" w:h="16838" w:orient="portrait"/>
          <w:cols w:equalWidth="0" w:num="2">
            <w:col w:w="9380" w:space="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(a)-(5) </w:t>
      </w:r>
      <w:r>
        <w:rPr>
          <w:rFonts w:ascii="Times New Roman" w:cs="Times New Roman" w:eastAsia="Times New Roman" w:hAnsi="Times New Roman"/>
          <w:sz w:val="35"/>
          <w:szCs w:val="35"/>
          <w:color w:val="auto"/>
          <w:vertAlign w:val="superscript"/>
        </w:rPr>
        <w:t>​ ​</w:t>
      </w:r>
    </w:p>
    <w:p>
      <w:pPr>
        <w:spacing w:after="0" w:line="36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(b)-(1)</w:t>
      </w:r>
      <w:r>
        <w:rPr>
          <w:rFonts w:ascii="Times New Roman" w:cs="Times New Roman" w:eastAsia="Times New Roman" w:hAnsi="Times New Roman"/>
          <w:sz w:val="35"/>
          <w:szCs w:val="35"/>
          <w:color w:val="auto"/>
          <w:vertAlign w:val="superscript"/>
        </w:rPr>
        <w:t>​ ​</w:t>
      </w:r>
    </w:p>
    <w:p>
      <w:pPr>
        <w:spacing w:after="0" w:line="36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(b)-(2)</w:t>
      </w:r>
      <w:r>
        <w:rPr>
          <w:rFonts w:ascii="Times New Roman" w:cs="Times New Roman" w:eastAsia="Times New Roman" w:hAnsi="Times New Roman"/>
          <w:sz w:val="35"/>
          <w:szCs w:val="35"/>
          <w:color w:val="auto"/>
          <w:vertAlign w:val="superscript"/>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359"/>
        <w:spacing w:after="0" w:line="215"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Press Release issued by the Company, dated November 24, 2023, incorporated herein by reference</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to Exhibit 99.1 to the Current Report on Form 6-K furnished by the Company to the SEC on</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November 24, 2023.</w:t>
        </w:r>
      </w:hyperlink>
    </w:p>
    <w:p>
      <w:pPr>
        <w:spacing w:after="0" w:line="38" w:lineRule="exact"/>
        <w:rPr>
          <w:rFonts w:ascii="Times New Roman" w:cs="Times New Roman" w:eastAsia="Times New Roman" w:hAnsi="Times New Roman"/>
          <w:sz w:val="18"/>
          <w:szCs w:val="18"/>
          <w:color w:val="0000EE"/>
        </w:rPr>
      </w:pPr>
    </w:p>
    <w:p>
      <w:pPr>
        <w:ind w:right="359"/>
        <w:spacing w:after="0" w:line="215"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Facility Agreement, dated November 24, 2023, by and between Merger Sub and NEW AGE SP II,</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incorporated herein by reference to Exhibit 99.9 of the Schedule 13D/A furnished by the Sponsor</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to the SEC on November 27, 2023.</w:t>
        </w:r>
      </w:hyperlink>
    </w:p>
    <w:p>
      <w:pPr>
        <w:spacing w:after="0" w:line="38"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4"/>
        </w:trPr>
        <w:tc>
          <w:tcPr>
            <w:tcW w:w="7080" w:type="dxa"/>
            <w:vAlign w:val="bottom"/>
            <w:gridSpan w:val="3"/>
            <w:vMerge w:val="restart"/>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Equity Commitment Letter, dated November 24, 2023, by and between Parent and Rise Chain</w:t>
              </w:r>
            </w:hyperlink>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7080" w:type="dxa"/>
            <w:vAlign w:val="bottom"/>
            <w:tcBorders>
              <w:bottom w:val="single" w:sz="8" w:color="0000EE"/>
            </w:tcBorders>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80" w:type="dxa"/>
            <w:vAlign w:val="bottom"/>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Investment Limited, incorporated herein by reference to Exhibit 99.6 of the Schedule 13D/A</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furnished by the Sponsor to the SEC on November 27, 2023.</w:t>
              </w:r>
            </w:hyperlink>
          </w:p>
        </w:tc>
        <w:tc>
          <w:tcPr>
            <w:tcW w:w="2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20" w:space="60"/>
            <w:col w:w="7899"/>
          </w:cols>
          <w:pgMar w:left="580" w:top="97" w:right="1440" w:bottom="1440" w:gutter="0" w:footer="0" w:header="0"/>
          <w:type w:val="continuous"/>
        </w:sectPr>
      </w:pPr>
    </w:p>
    <w:p>
      <w:pPr>
        <w:spacing w:after="0" w:line="2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(c)​-(1)​ ​</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(c)-(2) </w:t>
      </w:r>
      <w:r>
        <w:rPr>
          <w:rFonts w:ascii="Times New Roman" w:cs="Times New Roman" w:eastAsia="Times New Roman" w:hAnsi="Times New Roman"/>
          <w:sz w:val="35"/>
          <w:szCs w:val="35"/>
          <w:color w:val="auto"/>
          <w:vertAlign w:val="superscript"/>
        </w:rPr>
        <w:t>​ ​</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(d)-(1)</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u w:val="single" w:color="auto"/>
            <w:color w:val="0000EE"/>
          </w:rPr>
          <w:t>Opinion of Houlihan Lokey (China) Limited, dated November 23, 2023, incorporated herein by</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reference to Annex C to the Proxy Statement.</w:t>
        </w:r>
        <w:r>
          <w:rPr>
            <w:rFonts w:ascii="Times New Roman" w:cs="Times New Roman" w:eastAsia="Times New Roman" w:hAnsi="Times New Roman"/>
            <w:sz w:val="18"/>
            <w:szCs w:val="18"/>
            <w:color w:val="000000"/>
          </w:rPr>
          <w:t>*</w:t>
        </w:r>
      </w:hyperlink>
    </w:p>
    <w:p>
      <w:pPr>
        <w:spacing w:after="0" w:line="27" w:lineRule="exact"/>
        <w:rPr>
          <w:sz w:val="20"/>
          <w:szCs w:val="20"/>
          <w:color w:val="auto"/>
        </w:rPr>
      </w:pPr>
    </w:p>
    <w:p>
      <w:pPr>
        <w:spacing w:after="0" w:line="282" w:lineRule="auto"/>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Discussion Materials prepared by Houlihan Lokey (China) Limited for discussion with the special</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committee of the board of directors of the Company, dated November 22, 2023.</w:t>
        </w:r>
        <w:r>
          <w:rPr>
            <w:rFonts w:ascii="Times New Roman" w:cs="Times New Roman" w:eastAsia="Times New Roman" w:hAnsi="Times New Roman"/>
            <w:sz w:val="18"/>
            <w:szCs w:val="18"/>
            <w:color w:val="000000"/>
          </w:rPr>
          <w:t>*</w:t>
        </w:r>
      </w:hyperlink>
    </w:p>
    <w:p>
      <w:pPr>
        <w:spacing w:after="0" w:line="5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u w:val="single" w:color="auto"/>
          <w:color w:val="0000EE"/>
        </w:rPr>
        <w:t>Agreement and Plan of Merger, dated November 24, 2023, among the Company, Parent and Merger Sub, incorporated herein by reference to Annex A to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6" w:lineRule="exact"/>
        <w:rPr>
          <w:sz w:val="20"/>
          <w:szCs w:val="20"/>
          <w:color w:val="auto"/>
        </w:rPr>
      </w:pPr>
    </w:p>
    <w:p>
      <w:pPr>
        <w:sectPr>
          <w:pgSz w:w="11900" w:h="16838" w:orient="portrait"/>
          <w:cols w:equalWidth="0" w:num="3">
            <w:col w:w="1920" w:space="60"/>
            <w:col w:w="7400" w:space="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(d)-(2)</w:t>
      </w:r>
      <w:r>
        <w:rPr>
          <w:rFonts w:ascii="Times New Roman" w:cs="Times New Roman" w:eastAsia="Times New Roman" w:hAnsi="Times New Roman"/>
          <w:sz w:val="35"/>
          <w:szCs w:val="35"/>
          <w:color w:val="auto"/>
          <w:vertAlign w:val="superscript"/>
        </w:rPr>
        <w:t>​ ​</w:t>
      </w: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(d)-(3)</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Support Agreement, dated November 24, 2023, by and among Parent and the Rollover</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Shareholders, incorporated herein by reference to Exhibit 99.5 of the Schedule 13D/A furnished by</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the Sponsor to the SEC on November 27, 2023.</w:t>
        </w:r>
      </w:hyperlink>
    </w:p>
    <w:p>
      <w:pPr>
        <w:spacing w:after="0" w:line="81" w:lineRule="exact"/>
        <w:rPr>
          <w:rFonts w:ascii="Times New Roman" w:cs="Times New Roman" w:eastAsia="Times New Roman" w:hAnsi="Times New Roman"/>
          <w:sz w:val="18"/>
          <w:szCs w:val="18"/>
          <w:u w:val="single" w:color="auto"/>
          <w:color w:val="0000EE"/>
        </w:rPr>
      </w:pPr>
    </w:p>
    <w:p>
      <w:pPr>
        <w:jc w:val="both"/>
        <w:ind w:right="200"/>
        <w:spacing w:after="0" w:line="266" w:lineRule="auto"/>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Limited Guarantee, dated November 24, 2023, by Rise Chain Investment Limited in favor of the</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Company, incorporated herein by reference to Exhibit 99.7 of the Schedule 13D/A furnished by</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the Sponsor to 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EE"/>
        </w:rPr>
      </w:pPr>
    </w:p>
    <w:p>
      <w:pPr>
        <w:spacing w:after="0" w:line="36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49"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1920" w:space="60"/>
            <w:col w:w="748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4"/>
        </w:trPr>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7220" w:type="dxa"/>
            <w:vAlign w:val="bottom"/>
            <w:gridSpan w:val="2"/>
            <w:vMerge w:val="restart"/>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Interim Investors Agreement, dated November 24, 2023, by and among Parent, Merger Sub, the</w:t>
              </w:r>
            </w:hyperlink>
          </w:p>
        </w:tc>
        <w:tc>
          <w:tcPr>
            <w:tcW w:w="60" w:type="dxa"/>
            <w:vAlign w:val="bottom"/>
            <w:vMerge w:val="restart"/>
          </w:tcPr>
          <w:p>
            <w:pPr>
              <w:spacing w:after="0"/>
              <w:rPr>
                <w:sz w:val="16"/>
                <w:szCs w:val="16"/>
                <w:color w:val="auto"/>
              </w:rPr>
            </w:pPr>
          </w:p>
        </w:tc>
        <w:tc>
          <w:tcPr>
            <w:tcW w:w="26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(d)-(4)</w:t>
            </w:r>
          </w:p>
        </w:tc>
        <w:tc>
          <w:tcPr>
            <w:tcW w:w="220" w:type="dxa"/>
            <w:vAlign w:val="bottom"/>
          </w:tcPr>
          <w:p>
            <w:pPr>
              <w:spacing w:after="0"/>
              <w:rPr>
                <w:sz w:val="7"/>
                <w:szCs w:val="7"/>
                <w:color w:val="auto"/>
              </w:rPr>
            </w:pPr>
          </w:p>
        </w:tc>
        <w:tc>
          <w:tcPr>
            <w:tcW w:w="7220" w:type="dxa"/>
            <w:vAlign w:val="bottom"/>
            <w:tcBorders>
              <w:bottom w:val="single" w:sz="8" w:color="0000EE"/>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Founder Parties, and the Sponsor Parties, incorporated herein by reference to Exhibit 99.8 of the</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Schedule 13D/A furnished by the Sponsor to the SEC on November 27, 2023.</w:t>
              </w:r>
            </w:hyperlink>
          </w:p>
        </w:tc>
        <w:tc>
          <w:tcPr>
            <w:tcW w:w="1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rPr>
              <w:t>Dissenters’ Rights, incorporated herein by reference to the section entitled “Dissenters’ Rights” in</w:t>
            </w:r>
          </w:p>
        </w:tc>
        <w:tc>
          <w:tcPr>
            <w:tcW w:w="0" w:type="dxa"/>
            <w:vAlign w:val="bottom"/>
          </w:tcPr>
          <w:p>
            <w:pPr>
              <w:spacing w:after="0"/>
              <w:rPr>
                <w:sz w:val="1"/>
                <w:szCs w:val="1"/>
                <w:color w:val="auto"/>
              </w:rPr>
            </w:pPr>
          </w:p>
        </w:tc>
      </w:tr>
      <w:tr>
        <w:trPr>
          <w:trHeight w:val="86"/>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(f)-(1)</w:t>
            </w:r>
          </w:p>
        </w:tc>
        <w:tc>
          <w:tcPr>
            <w:tcW w:w="220" w:type="dxa"/>
            <w:vAlign w:val="bottom"/>
          </w:tcPr>
          <w:p>
            <w:pPr>
              <w:spacing w:after="0"/>
              <w:rPr>
                <w:sz w:val="7"/>
                <w:szCs w:val="7"/>
                <w:color w:val="auto"/>
              </w:rPr>
            </w:pPr>
          </w:p>
        </w:tc>
        <w:tc>
          <w:tcPr>
            <w:tcW w:w="7420" w:type="dxa"/>
            <w:vAlign w:val="bottom"/>
            <w:tcBorders>
              <w:bottom w:val="single" w:sz="8" w:color="0000EE"/>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the Proxy Statement.</w:t>
            </w:r>
          </w:p>
        </w:tc>
        <w:tc>
          <w:tcPr>
            <w:tcW w:w="5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20" w:type="dxa"/>
            <w:vAlign w:val="bottom"/>
            <w:gridSpan w:val="5"/>
            <w:vMerge w:val="restart"/>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Section 238 of the Companies Act (As Revised) of the Cayman Islands, incorporated herein by</w:t>
              </w:r>
            </w:hyperlink>
          </w:p>
        </w:tc>
        <w:tc>
          <w:tcPr>
            <w:tcW w:w="0" w:type="dxa"/>
            <w:vAlign w:val="bottom"/>
          </w:tcPr>
          <w:p>
            <w:pPr>
              <w:spacing w:after="0"/>
              <w:rPr>
                <w:sz w:val="1"/>
                <w:szCs w:val="1"/>
                <w:color w:val="auto"/>
              </w:rPr>
            </w:pPr>
          </w:p>
        </w:tc>
      </w:tr>
      <w:tr>
        <w:trPr>
          <w:trHeight w:val="81"/>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(f)-(2)</w:t>
            </w:r>
          </w:p>
        </w:tc>
        <w:tc>
          <w:tcPr>
            <w:tcW w:w="220" w:type="dxa"/>
            <w:vAlign w:val="bottom"/>
          </w:tcPr>
          <w:p>
            <w:pPr>
              <w:spacing w:after="0"/>
              <w:rPr>
                <w:sz w:val="7"/>
                <w:szCs w:val="7"/>
                <w:color w:val="auto"/>
              </w:rPr>
            </w:pPr>
          </w:p>
        </w:tc>
        <w:tc>
          <w:tcPr>
            <w:tcW w:w="7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reference to Annex D to the Proxy Statement.</w:t>
              </w:r>
              <w:r>
                <w:rPr>
                  <w:rFonts w:ascii="Times New Roman" w:cs="Times New Roman" w:eastAsia="Times New Roman" w:hAnsi="Times New Roman"/>
                  <w:sz w:val="18"/>
                  <w:szCs w:val="18"/>
                  <w:color w:val="000000"/>
                </w:rPr>
                <w:t>*</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9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(g)</w:t>
            </w:r>
          </w:p>
        </w:tc>
        <w:tc>
          <w:tcPr>
            <w:tcW w:w="220" w:type="dxa"/>
            <w:vAlign w:val="bottom"/>
          </w:tcPr>
          <w:p>
            <w:pPr>
              <w:spacing w:after="0"/>
              <w:rPr>
                <w:sz w:val="13"/>
                <w:szCs w:val="13"/>
                <w:color w:val="auto"/>
              </w:rPr>
            </w:pPr>
          </w:p>
        </w:tc>
        <w:tc>
          <w:tcPr>
            <w:tcW w:w="3440" w:type="dxa"/>
            <w:vAlign w:val="bottom"/>
            <w:gridSpan w:val="3"/>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Calculation of Filing Fee Tables.</w:t>
            </w:r>
          </w:p>
        </w:tc>
        <w:tc>
          <w:tcPr>
            <w:tcW w:w="494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5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107</w:t>
            </w:r>
          </w:p>
        </w:tc>
        <w:tc>
          <w:tcPr>
            <w:tcW w:w="220" w:type="dxa"/>
            <w:vAlign w:val="bottom"/>
          </w:tcPr>
          <w:p>
            <w:pPr>
              <w:spacing w:after="0"/>
              <w:rPr>
                <w:sz w:val="9"/>
                <w:szCs w:val="9"/>
                <w:color w:val="auto"/>
              </w:rPr>
            </w:pPr>
          </w:p>
        </w:tc>
        <w:tc>
          <w:tcPr>
            <w:tcW w:w="2480" w:type="dxa"/>
            <w:vAlign w:val="bottom"/>
            <w:tcBorders>
              <w:bottom w:val="single" w:sz="8" w:color="0000EE"/>
            </w:tcBorders>
            <w:gridSpan w:val="2"/>
            <w:vMerge w:val="continue"/>
          </w:tcPr>
          <w:p>
            <w:pPr>
              <w:spacing w:after="0"/>
              <w:rPr>
                <w:sz w:val="9"/>
                <w:szCs w:val="9"/>
                <w:color w:val="auto"/>
              </w:rPr>
            </w:pPr>
          </w:p>
        </w:tc>
        <w:tc>
          <w:tcPr>
            <w:tcW w:w="4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00" w:space="60"/>
            <w:col w:w="41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January 23, 2024</w:t>
      </w: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Philip Kan</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Chairperson of the Special Committee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6328410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Jian Tang</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810260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Chiu Sin Nang Kenny</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Deng Yazhi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9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Infinity Global Fund SPC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0"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Hin Wah Desmond Chu</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7000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638810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Yang Xin</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4976495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PRELIMINARY PROXY STATEMENT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of iClick Interactive Asia Group Limited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 Notice of Extraordinary General Meeting of Shareholders</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You are cordially invited to attend an extraordinary general meeting of shareholders of iClick Interactive Asia Group Limited, an exempted company with limited liability incorporated under the laws of the Cayman Islands (the “Company”), to be held on                      , 2024 at             (Hong Kong time) or</w:t>
      </w:r>
    </w:p>
    <w:p>
      <w:pPr>
        <w:ind w:left="1260" w:right="559"/>
        <w:spacing w:after="0" w:line="243" w:lineRule="auto"/>
        <w:tabs>
          <w:tab w:leader="none" w:pos="13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at           (New York time). The meeting will be held at             . The accompanying notice of the extraordinary general meeting and proxy statement provide information regarding the matters to be considered and voted on at the extraordinary general meeting, including at any adjournment or postponement thereof.</w:t>
      </w:r>
    </w:p>
    <w:p>
      <w:pPr>
        <w:spacing w:after="0" w:line="11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On November 24, 2023, the Company entered into an Agreement and Plan of Merger (the “Merger Agreement”) with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Parent and Merger Sub were formed solely for the purpose of the Merger. The purpose of the extraordinary general meeting is for you and the other shareholders of the Company to consider and vote, amongst other things, upon a proposal to authorize and approve the Merger Agreement, the plan of merger required to be filed with the Registrar of Companies of the Cayman Islands in connection with the Merger (the “Plan of Merger”), and the transactions contemplated by the Merger Agreement and the Plan of Merger (collectively, the “Transactions”), including the Merger. Copies of the Merger Agreement and the form of the Plan of Merger are attached as Annex A and Annex B, respectively, to the accompanying proxy statement.</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effective time of the Merger (the “Effective Time”), Parent will be beneficially owned by</w:t>
      </w:r>
    </w:p>
    <w:p>
      <w:pPr>
        <w:spacing w:after="0" w:line="16" w:lineRule="exact"/>
        <w:rPr>
          <w:sz w:val="20"/>
          <w:szCs w:val="20"/>
          <w:color w:val="auto"/>
        </w:rPr>
      </w:pPr>
    </w:p>
    <w:p>
      <w:pPr>
        <w:ind w:left="1260" w:right="539"/>
        <w:spacing w:after="0" w:line="238" w:lineRule="auto"/>
        <w:tabs>
          <w:tab w:leader="none" w:pos="14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Jian Tang, the chairman and chief executive officer of the Company (the “Chairman”), (ii) Igomax Inc. (“Igomax”), which is wholly owned by the Chairman, (iii) Mr. Wing Hong Sammy Hsieh, director and co-founder of the Company (together with the Chairman, the “Co-Founders”), (iv) Bubinga Holdings Limited (“Bubinga”), which is wholly owned by Mr. Wing Hong Sammy Hsieh, (v) Mr. Huang Jianjun,</w:t>
      </w:r>
    </w:p>
    <w:p>
      <w:pPr>
        <w:spacing w:after="0" w:line="2" w:lineRule="exact"/>
        <w:rPr>
          <w:rFonts w:ascii="Times New Roman" w:cs="Times New Roman" w:eastAsia="Times New Roman" w:hAnsi="Times New Roman"/>
          <w:sz w:val="18"/>
          <w:szCs w:val="18"/>
          <w:color w:val="auto"/>
        </w:rPr>
      </w:pPr>
    </w:p>
    <w:p>
      <w:pPr>
        <w:jc w:val="both"/>
        <w:ind w:left="1260" w:right="1079"/>
        <w:spacing w:after="0" w:line="242" w:lineRule="auto"/>
        <w:tabs>
          <w:tab w:leader="none" w:pos="15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Central Limited, which is controlled by Mr. Huang Jianjun, (vii) Rise Chain Investment Limited, which is wholly owned by Mr. Huang Jianjun (“Rise Chain”), (viii) Creative Big Limited,</w:t>
      </w:r>
    </w:p>
    <w:p>
      <w:pPr>
        <w:spacing w:after="0" w:line="1" w:lineRule="exact"/>
        <w:rPr>
          <w:rFonts w:ascii="Times New Roman" w:cs="Times New Roman" w:eastAsia="Times New Roman" w:hAnsi="Times New Roman"/>
          <w:sz w:val="18"/>
          <w:szCs w:val="18"/>
          <w:color w:val="auto"/>
        </w:rPr>
      </w:pPr>
    </w:p>
    <w:p>
      <w:pPr>
        <w:ind w:left="1260" w:right="639"/>
        <w:spacing w:after="0"/>
        <w:tabs>
          <w:tab w:leader="none" w:pos="15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Cheer Lead Global Limited, (x) Huge Superpower Limited, (xi) Capable Excel Limited, (xii) Infinity Global Fund SPC, (xiii) Integrated Asset Management (Asia) Ltd., (xiv) Chan Nai Hang, (xv) Likeable Limited, (xvi) Tsang Hing Sze, (xvii) Lau Ying Wai, (xviii) Chik Yu Chung Roni, (xix) Tse Kok Yu Ryan,</w:t>
      </w:r>
    </w:p>
    <w:p>
      <w:pPr>
        <w:ind w:left="1260" w:right="699"/>
        <w:spacing w:after="0" w:line="243" w:lineRule="auto"/>
        <w:tabs>
          <w:tab w:leader="none" w:pos="16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Imen Yee May Pang, (xxi) Zhao Yong and (xxii) Yang Xin (aforesaid (i) through (xxii), collectively, but excluding (vii), the “Rollover Shareholders”).</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Co-Founders, Igomax and Bubinga are collectively referred to herein as the “Founder Parties.” Rise Chain and Mr. Huang Jianjun are collectively referred to herein as the “Sponsor Parties.” The Founder Parties and Sponsor Parties are collectively referred to herein as the “Buyer Consortium.” The Buyer Consortium and the other Rollover Shareholders are collectively referred to herein as the “Buyer Group.” As of the date of the accompanying proxy statement, the Buyer Group together beneficially owns</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13,107,608 Class A ordinary shares, par value US$0.001 per share, of the Company (each, a “Class A Share”) and 4,385,078 Class B ordinary shares, par value US$0.001 per share, of the Company (each, a “Class B Share”), which collectively represent approximately 35% of the total issued and outstanding shares in the Company and approximately 69% of the total voting power of the outstanding shares in the Company (each, a “Share”).</w:t>
      </w:r>
    </w:p>
    <w:p>
      <w:pPr>
        <w:spacing w:after="0" w:line="327"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entered into a Support Agreement, dated as of November 24, 2023 (the “Support Agreement”), whereby, among other things, subject to the terms and conditions of the Support Agreement, each Rollover Shareholder has agreed to (a) vote all Shares (including Shares represented by ADSs) beneficially owned by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11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the Merger is completed, the Company will continue its operations as a privately held company and will be wholly owned by Parent, and the Company’s American depositary shares (“ADSs”), each representing five Class A Shares, will no longer be listed on the NASDAQ Global Market (“NASDAQ”) and the ADS program for the ADSs will terminate.</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“Per Share Merger Consideration”) and net of any applicable withholding taxes, except for (i) the Rollover Shares, (ii) Shares held by Parent, Merger Sub and the Rollover Shareholders, (iii) Shares held by the Company or any of its subsidiaries, or held in the Company’s treasury, (iv) any Shares (including ADSs corresponding to such Shares) held by the Company or JPMorgan Chase Bank, N.A. (the “ADS Depositary”) and reserved for issuance and allocation pursuant to the Company Share Plans (as defined below)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US$0.05 per ADS cancelled and any other fees, charges and expenses payable pursuant to the terms of the deposit agreement, dated December 21,</w:t>
      </w:r>
    </w:p>
    <w:p>
      <w:pPr>
        <w:spacing w:after="0" w:line="2"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2017 and as amended on October 31, 2022, among the Company, the ADS Depositary and all holders from time to time of ADSs issued thereunder (the “Deposit Agreement”)) without interest (the “Per ADS Merger Consideration”, and together with the Per Share Merger Consideration, the “Merger Consideration”)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“Vested Company RSU” means any restricted share unit granted under the Post-IPO Share Incentive Plan at or prior to the Effective Time (each, a “Company RSU”) that shall have become vested at or prior to the Effective Time and remains outstanding in the form of an ADS at the Effective Time in accordance with the terms of such Company RSU.</w:t>
      </w:r>
    </w:p>
    <w:p>
      <w:pPr>
        <w:spacing w:after="0" w:line="12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under the terms of the Merger Agreement, at the Effective Time, each option to purchase an ADS granted under the 2018 Share Incentive Plan of the Company and the Post-IPO Share Incentive Plan of the Company (collectively, the “Company Share Plans”) at or prior to the Effective Time (each, a “Company Option”) that shall have become vested at or prior to the Effective Time and remains outstanding at the Effective Time in accordance with the terms of such Company Option (each, a “Vested Company</w:t>
      </w:r>
    </w:p>
    <w:p>
      <w:pPr>
        <w:spacing w:after="0" w:line="3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Further, under the terms of the Merger Agreement, at the Effective Time, each Company RSU that is not a Vested Company RSU (each, an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Buyer Group intends to fund the merger consideration through a combination of (i) rollover equity (represented by the Rollover Shares) from the Rollover Shareholders, (ii) proceeds from the Equity Financing (See “Special Factors — Financing of the Merger — Equity Financing” beginning on page 62 for additional information), (iii) proceeds from the Debt Financing (See “Special Factors — Financing of the Merger — Debt Financing” beginning on page 62 for additional information), and (iv)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31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On November 23, 2023, a special committee of the board of directors of the Company (the “Board”), composed solely of independent directors (the “Special Committee”), acting with full power and authority delegated by the Board, reviewed and considered the terms and conditions of the Merger Agreement, the Plan of Merger, and the Transactions, including the Merger. The Special Committee, after consultation with its financial advisor and legal counsel and due consideration of all relevant factors, unanimously</w:t>
      </w:r>
    </w:p>
    <w:p>
      <w:pPr>
        <w:spacing w:after="0" w:line="3" w:lineRule="exact"/>
        <w:rPr>
          <w:sz w:val="20"/>
          <w:szCs w:val="20"/>
          <w:color w:val="auto"/>
        </w:rPr>
      </w:pPr>
    </w:p>
    <w:p>
      <w:pPr>
        <w:ind w:left="1260" w:right="419"/>
        <w:spacing w:after="0" w:line="251" w:lineRule="auto"/>
        <w:tabs>
          <w:tab w:leader="none" w:pos="15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execution of the Merger Agreement and the Plan of Merger, and the consummation of the Transactions, including the Merger, are fair to, and in the best and commercial interests of the Company and its unaffiliated security holders of the Company as such terms are defined in Rule 13e-3 of the Securities Exchange Act of 1934, as amended (the “Exchange Act”) (the “Unaffiliated Security Holders”), and (b) recommended that the Board (i) determine that the execution of the Merger Agreement and the Plan of Merger and consummation of the Transactions, including the Merger, are fair to, and in the best and commercial interests of the Company and Unaffiliated Security Holders (other than the holders of Excluded Shares), and declare that it is advisable for the Company to enter into the Merger Agreement and the Plan of Merger and consummate the Transactions, including the Merger, (ii) authorize and approve the execution, delivery and performance of the Merger Agreement, the Plan of Merger and the consummation of the Transactions, including the Merger, and (iii) resolve to recommend the authorization and approval of the Merger Agreement, the Plan of Merger and the consummation of the Transactions, including the Merger, by the Company’s shareholders at a meeting of the shareholders of the Company and direct that the Merger Agreement, the Plan of Merger and the consummation of the Transactions, including the Merger, be submitted to a vote of the Company’s shareholders for authorization and approval.</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November 24, 2023, the Board, acting upon the unanimous recommendation of the Special Committee,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Plan of Merger and the consummation of the Transactions, including the Merger, be submitted to the shareholders of the Company for authorization and approval.</w:t>
      </w:r>
    </w:p>
    <w:p>
      <w:pPr>
        <w:spacing w:after="0" w:line="7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Accordingly, the Board recommends that you vote FOR the proposal to authorize and approve the execution, delivery and performance of Merger Agreement, the Plan of Merger, and the consummation of the Transactions, including the Merger, and, upon the Merger becoming effective, the Variation of Capital and the Adoption of Amended M&amp;A (each as defined in the Notice of Extraordinary General Meeting of Shareholders),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In considering the recommendation of the Special Committee and the Board, you should be aware that some of the Company’s directors or executive officers have interests in the Merger that are different from, and/or in addition to, the interests of the Company’s shareholders and ADSs holders generally.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and                               Class B Shares expected to be issued and outstanding as of the close of business in the Cayman Islands on                               , 2024 (the “Share Record Date”), and assuming the Rollover Shareholders’ compliance with their voting obligations under the Support Agreement to vote all their Rollover Shares in favor of the special resolution,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32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accompanying proxy statement provides detailed information about the Merger and the extraordinary general meeting. We encourage you to read the entire document and all of the attachments and other documents referred to or incorporated by reference herein carefully. You may also obtain more information about the Company from documents the Company has filed with the United States Securities and Exchange Commission (the “SEC”), which are available for free at the SEC’s website www.sec.gov.</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Whether or not you plan to attend the extraordinary general meeting, if you are a holder of Shares (as opposed to ADSs) please complete the enclosed proxy card, in accordance with the instructions set forth on your proxy card, as promptly as possible. The deadline to lodge your proxy card is                      , 2024 at</w:t>
      </w:r>
    </w:p>
    <w:p>
      <w:pPr>
        <w:spacing w:after="0" w:line="2" w:lineRule="exact"/>
        <w:rPr>
          <w:sz w:val="20"/>
          <w:szCs w:val="20"/>
          <w:color w:val="auto"/>
        </w:rPr>
      </w:pPr>
    </w:p>
    <w:p>
      <w:pPr>
        <w:ind w:left="1260" w:right="499"/>
        <w:spacing w:after="0" w:line="246" w:lineRule="auto"/>
        <w:tabs>
          <w:tab w:leader="none" w:pos="13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(Hong Kong time) or                      , 2024 at           (New York time). Each shareholder has 1 vote for each Class A Share or 20 votes for each Class B Share held as of the close of business in the Cayman Islands on                               , 2024, the Share Record Date.</w:t>
      </w:r>
    </w:p>
    <w:p>
      <w:pPr>
        <w:spacing w:after="0" w:line="11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 the close of business in New York City on                               , 2024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Registered ADS holders are strongly urged to sign, complete and return the ADS Voting Instruction Card to the ADS Depositary in accordance with the instructions printed thereon, as soon as possible and, in any event, so as to be received by the ADS Depositary no later than 9:00 a.m. (New York time) on               </w:t>
      </w:r>
    </w:p>
    <w:p>
      <w:pPr>
        <w:spacing w:after="0" w:line="2" w:lineRule="exact"/>
        <w:rPr>
          <w:sz w:val="20"/>
          <w:szCs w:val="20"/>
          <w:color w:val="auto"/>
        </w:rPr>
      </w:pPr>
    </w:p>
    <w:p>
      <w:pPr>
        <w:ind w:left="1260" w:right="439"/>
        <w:spacing w:after="0"/>
        <w:tabs>
          <w:tab w:leader="none" w:pos="13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(or if the extraordinary general meeting is adjourned, such later date as may be notified by the Company or the ADS Depositary). As the registered holder of the Shares represented by ADSs, upon the timely receipt from an ADS holder as of the ADS Record Date of voting instructions in the manner specified by the ADS Depositary, the ADS Depositary will endeavor to vote (or will endeavor to cause the vote of), in so far as practicable and permitted under applicable law, the provisions of the Deposit Agreement and the memorandum and articles of association of the Company, the Shares represented by ADSs at the extraordinary general meeting in accordance with the voting instructions timely received from holders of ADSs as of the ADS Record Date.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5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25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Holders of ADSs will not be able to attend or vote directly (whether in person or by proxy) at the extraordinary general meeting unless they cancel their ADSs and become registered in the Company’s register of members as the holders of Shares prior to the Share Record Date. ADS holders who wish to attend and vote at the extraordinary general meeting need to make arrangements with their broker or custodian to deliver the ADSs to the ADS Depositary for cancellation before the close of business in New York City on                               , 2024 together with (a) delivery instructions for the corresponding Shares represented by such ADSs (including, if applicable, the name and address of the person who will be the registered holder of such Shares), (b) payment of the ADS Depositary’s fees associated with such cancellation (US$0.05 per ADS cancelled and any other fees, charges and expenses payable pursuant to the terms of the Deposit Agreement),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promptly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w:t>
      </w:r>
    </w:p>
    <w:p>
      <w:pPr>
        <w:spacing w:after="0" w:line="25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you hold ADSs through a broker or other securities intermediary, you should contact that broker or intermediary to determine the date by which you must instruct them to act in order that the necessary processing can be timely completed.</w:t>
      </w:r>
    </w:p>
    <w:p>
      <w:pPr>
        <w:spacing w:after="0" w:line="3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your Shares as determined by the Court under the CICA could be more than, the same as, or less than the merger consideration you would receive pursuant to the Merger Agreement if you do not exercise dissenters’ rights with respect to your Shares.</w:t>
      </w:r>
    </w:p>
    <w:p>
      <w:pPr>
        <w:spacing w:after="0" w:line="243" w:lineRule="exact"/>
        <w:rPr>
          <w:sz w:val="20"/>
          <w:szCs w:val="20"/>
          <w:color w:val="auto"/>
        </w:rPr>
      </w:pPr>
    </w:p>
    <w:p>
      <w:pPr>
        <w:ind w:left="1260" w:right="9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ADS HOLDERS WILL NOT HAVE THE RIGHT TO EXERCISE DISSENTERS’ RIGHTS AND RECEIVE PAYMENT OF THE FAIR VALUE OF THE SHARES UNDERLYING THEIR ADSs AS</w:t>
      </w:r>
    </w:p>
    <w:p>
      <w:pPr>
        <w:spacing w:after="0" w:line="2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w:t>
      </w:r>
    </w:p>
    <w:p>
      <w:pPr>
        <w:ind w:left="1260" w:right="419"/>
        <w:spacing w:after="0" w:line="265" w:lineRule="auto"/>
        <w:tabs>
          <w:tab w:leader="none" w:pos="1346"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1" w:lineRule="exact"/>
        <w:rPr>
          <w:rFonts w:ascii="Times New Roman" w:cs="Times New Roman" w:eastAsia="Times New Roman" w:hAnsi="Times New Roman"/>
          <w:sz w:val="17"/>
          <w:szCs w:val="17"/>
          <w:b w:val="1"/>
          <w:bCs w:val="1"/>
          <w:color w:val="auto"/>
        </w:rPr>
      </w:pPr>
    </w:p>
    <w:p>
      <w:pPr>
        <w:ind w:left="1260" w:right="499"/>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3" w:lineRule="exact"/>
        <w:rPr>
          <w:rFonts w:ascii="Times New Roman" w:cs="Times New Roman" w:eastAsia="Times New Roman" w:hAnsi="Times New Roman"/>
          <w:sz w:val="17"/>
          <w:szCs w:val="17"/>
          <w:b w:val="1"/>
          <w:bCs w:val="1"/>
          <w:color w:val="auto"/>
        </w:rPr>
      </w:pPr>
    </w:p>
    <w:p>
      <w:pPr>
        <w:ind w:left="1260" w:right="43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48"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regulatory agency has approved or disapproved the Merger, passed upon the merits or fairness of the Merger or passed upon the adequacy or accuracy of the disclosure in this letter or in the accompanying notice of the extraordinary general meeting or proxy statement. Any representation to the contrary is a criminal offense.</w:t>
      </w:r>
    </w:p>
    <w:p>
      <w:pPr>
        <w:spacing w:after="0" w:line="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or ADSs, please contact our Investor Relations Department at +852-3700-9100 or by email at ir@i-click.com, for China, or at +1 516 222 2560 or by email at tomc@coreir.com, for the U.S. ADS holders should contact their bank, broker, financial institution or administrator through which such ADSs are held with any questions or if assistance is needed.</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Sincerely,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40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tcPr>
          <w:p>
            <w:pPr>
              <w:spacing w:after="0"/>
              <w:rPr>
                <w:sz w:val="11"/>
                <w:szCs w:val="11"/>
                <w:color w:val="auto"/>
              </w:rPr>
            </w:pPr>
          </w:p>
        </w:tc>
        <w:tc>
          <w:tcPr>
            <w:tcW w:w="39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Philip Kan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Special Committee</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and is first being mailed to the Company’s shareholders on or about             .</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right="320"/>
        <w:spacing w:after="0" w:line="278" w:lineRule="auto"/>
        <w:rPr>
          <w:sz w:val="20"/>
          <w:szCs w:val="20"/>
          <w:color w:val="auto"/>
        </w:rPr>
      </w:pPr>
      <w:r>
        <w:rPr>
          <w:rFonts w:ascii="Times New Roman" w:cs="Times New Roman" w:eastAsia="Times New Roman" w:hAnsi="Times New Roman"/>
          <w:sz w:val="18"/>
          <w:szCs w:val="18"/>
          <w:b w:val="1"/>
          <w:bCs w:val="1"/>
          <w:color w:val="auto"/>
        </w:rPr>
        <w:t>ICLICK INTERACTIVE ASIA GROUP LIMITED NOTICE OF EXTRAORDINARY GENERAL MEETING OF SHAREHOLDERS TO BE HELD ON                      , 2024</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of the shareholders of iClick Interactive Asia Group Limited (referred to herein alternately as the “Company,” “us,” “we” or other terms correlative thereto), will be held on             at                                (Hong Kong time) or on                                (New York time) at             .</w:t>
      </w:r>
    </w:p>
    <w:p>
      <w:pPr>
        <w:spacing w:after="0" w:line="99"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Only registered holders of Class A ordinary shares of the Company, par value US$0.001 per share (each, a “Class A Share”), and Class B ordinary shares of the Company, par value US$0.001 per share (each, a “Class B Share;” and the Class B Shares together with the Class A Shares, the “Shares”), as of the close of business in the Cayman Islands on , 2024 (the “Share Record Date”) or their proxy holders are entitled to attend and vote at this extraordinary general meeting or any adjournment thereof. At the extraordinary general meeting, you will be asked to consider and vote upon the following resolutions:</w:t>
      </w:r>
    </w:p>
    <w:p>
      <w:pPr>
        <w:spacing w:after="0" w:line="116" w:lineRule="exact"/>
        <w:rPr>
          <w:sz w:val="20"/>
          <w:szCs w:val="20"/>
          <w:color w:val="auto"/>
        </w:rPr>
      </w:pPr>
    </w:p>
    <w:p>
      <w:pPr>
        <w:ind w:left="1980" w:right="419" w:hanging="360"/>
        <w:spacing w:after="0" w:line="252"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125" w:lineRule="exact"/>
        <w:rPr>
          <w:rFonts w:ascii="Times New Roman" w:cs="Times New Roman" w:eastAsia="Times New Roman" w:hAnsi="Times New Roman"/>
          <w:sz w:val="18"/>
          <w:szCs w:val="18"/>
          <w:b w:val="1"/>
          <w:bCs w:val="1"/>
          <w:color w:val="auto"/>
        </w:rPr>
      </w:pPr>
    </w:p>
    <w:p>
      <w:pPr>
        <w:ind w:left="1980" w:right="539" w:hanging="360"/>
        <w:spacing w:after="0" w:line="262"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Merger Sub be and is hereby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95" w:lineRule="exact"/>
        <w:rPr>
          <w:rFonts w:ascii="Times New Roman" w:cs="Times New Roman" w:eastAsia="Times New Roman" w:hAnsi="Times New Roman"/>
          <w:sz w:val="18"/>
          <w:szCs w:val="18"/>
          <w:b w:val="1"/>
          <w:bCs w:val="1"/>
          <w:color w:val="auto"/>
        </w:rPr>
      </w:pPr>
    </w:p>
    <w:p>
      <w:pPr>
        <w:ind w:left="1980" w:right="579" w:hanging="360"/>
        <w:spacing w:after="0" w:line="259"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Merger becoming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share capital of the Company be varied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US$50,000 divided into 50,000 ordinary shares of par value US$1.00 each (the “Variation of Capital”);</w:t>
      </w:r>
    </w:p>
    <w:p>
      <w:pPr>
        <w:spacing w:after="0" w:line="111"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Effective Time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111"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AN ORDINARY RESOLUTION THAT </w:t>
      </w:r>
      <w:r>
        <w:rPr>
          <w:rFonts w:ascii="Times New Roman" w:cs="Times New Roman" w:eastAsia="Times New Roman" w:hAnsi="Times New Roman"/>
          <w:sz w:val="18"/>
          <w:szCs w:val="18"/>
          <w:color w:val="auto"/>
        </w:rPr>
        <w:t>each of the members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459" w:hanging="360"/>
        <w:spacing w:after="0" w:line="262" w:lineRule="auto"/>
        <w:tabs>
          <w:tab w:leader="none" w:pos="1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NECESSARY, AS AN ORDINARY RESOLUTION, THAT </w:t>
      </w:r>
      <w:r>
        <w:rPr>
          <w:rFonts w:ascii="Times New Roman" w:cs="Times New Roman" w:eastAsia="Times New Roman" w:hAnsi="Times New Roman"/>
          <w:sz w:val="18"/>
          <w:szCs w:val="18"/>
          <w:color w:val="auto"/>
        </w:rPr>
        <w:t>the extraordinary general meeting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adjourned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3"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Please refer to the accompanying proxy statement, which is attached to and made a part of this notice. A list of the Company’s shareholders will be available at its principal executive office at 15/F Prosperity Millennia Plaza, 663 King’s Road, Quarry Bay, Hong Kong, China, during ordinary business hours for the two business days immediately prior to the extraordinary general meeting.</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the Support Agreement entered into on November 24, 2023, each of Rollover Shareholders will vote all Shares (including Shares represented by ADSs) beneficially owned by each of the Rollover Shareholders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Transactions, including the Merger, and to take certain other actions in furtherance of the Transactions, including the Merger. As of the date of this notice, the Rollover Shareholders collectively beneficially own 13,107,608 Class A Shares (including Class A Shares represented by ADSs) and 4,385,078 Class B Shares, which in the aggregate represent approximately 35% in number and approximately 69% in voting rights of the Company’s issued and outstanding Shares.</w:t>
      </w:r>
    </w:p>
    <w:p>
      <w:pPr>
        <w:spacing w:after="0" w:line="3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the</w:t>
      </w:r>
    </w:p>
    <w:p>
      <w:pPr>
        <w:spacing w:after="0" w:line="6" w:lineRule="exact"/>
        <w:rPr>
          <w:sz w:val="20"/>
          <w:szCs w:val="20"/>
          <w:color w:val="auto"/>
        </w:rPr>
      </w:pPr>
    </w:p>
    <w:p>
      <w:pPr>
        <w:ind w:left="1260" w:right="479"/>
        <w:spacing w:after="0" w:line="267" w:lineRule="auto"/>
        <w:rPr>
          <w:sz w:val="20"/>
          <w:szCs w:val="20"/>
          <w:color w:val="auto"/>
        </w:rPr>
      </w:pPr>
      <w:r>
        <w:rPr>
          <w:rFonts w:ascii="Times New Roman" w:cs="Times New Roman" w:eastAsia="Times New Roman" w:hAnsi="Times New Roman"/>
          <w:sz w:val="17"/>
          <w:szCs w:val="17"/>
          <w:color w:val="auto"/>
        </w:rPr>
        <w:t xml:space="preserve">shareholders of the Company for authorization and approval. </w:t>
      </w:r>
      <w:r>
        <w:rPr>
          <w:rFonts w:ascii="Times New Roman" w:cs="Times New Roman" w:eastAsia="Times New Roman" w:hAnsi="Times New Roman"/>
          <w:sz w:val="17"/>
          <w:szCs w:val="17"/>
          <w:b w:val="1"/>
          <w:bCs w:val="1"/>
          <w:color w:val="auto"/>
        </w:rPr>
        <w:t>The Board recommends that you vote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 to authorize and approve the execution, delivery and performance of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tabs>
          <w:tab w:leader="none" w:pos="1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Class B Shares expected to be issued and outstanding as of Share Record Date, and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Regardless of whether you plan to attend the extraordinary general meeting in person, we request that you submit your proxy in accordance with the instructions set forth on the proxy card as promptly as possible. To be valid, your proxy card must be completed, signed and returned to the Company’s offices (to the attention of: Investor Relations Department) at 15/F Prosperity Millennia Plaza, 663 King’s Road, Quarry Bay, Hong Kong, China, no later than            (Hong Kong time),            or            (New York time),            , being 48 hours before the time appointed for the extraordinary general meeting. The proxy card is the “instrument of proxy” and the “instrument appointing a proxy” as referred to in the Company’s articles of association. Each registered holder of Shares has 1 vote for each Class A Share or 20 votes for each Class B Share held as of             on the Share Record Date. If you receive more than one proxy card because you own Shares that are registered in different names, please vote all of your Shares shown on each of your proxy cards in accordance with the instructions set forth on the proxy card.</w:t>
      </w:r>
    </w:p>
    <w:p>
      <w:pPr>
        <w:spacing w:after="0" w:line="12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Completing the proxy card in accordance with the instructions set forth on the proxy card will not deprive you of your right to attend the extraordinary general meeting and vote your Shares in person. Please note, however, that if your Shares are registered in the name of a broker, bank or other nominee and you wish to vote at the extraordinary general meeting in person, you must obtain from the record holder a proxy issued in your name.</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you abstain from voting, fail to cast your vote in person, fail to complete and return your proxy card in accordance with the instructions set forth on the proxy card, or fail to give voting instructions to your broker, bank or other nominee, your vote will not be counted.</w:t>
      </w:r>
    </w:p>
    <w:p>
      <w:pPr>
        <w:spacing w:after="0" w:line="10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 2024 (the “ADS Record Date”) (and do not surrender such ADSs and become a registered holder of the Shares underlying such ADSs as explained below), you cannot vote at the extraordinary general meeting directly, but you may give voting instructions, utilizing the ADS Voting Instruction Card included herewith instructing JPMorgan Chase Bank, N.A., (the “ADS Depositary”), in its capacity as the ADS Depositary and the holder of the Shares underlying your ADSs, how to vote the Shares underlying your ADSs by completing and signing such ADS voting instruction card and returning it in accordance with the instructions printed on it as soon as possible. The ADS Depositary must receive your instructions no later than 9:00 a.m. (New York City time) on                               in order to ensure the Shares underlying your ADSs are voted at the extraordinary general meeting. If you hold your ADSs in a brokerage, bank, securities intermediary or other account, you must rely on the procedures of the broker, bank or other securities intermediary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32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 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Shares, the Shares they represent will be voted at the extraordinary general meeting in accordance with the instructions of such shareholders.</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their Shares as determined by the Court under the CICA could be more than, the same as, or less than the merger consideration they would receive pursuant to the Merger Agreement if they do not exercise dissenters’ rights with respect to their Shares.</w:t>
      </w:r>
    </w:p>
    <w:p>
      <w:pPr>
        <w:spacing w:after="0" w:line="32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7"/>
          <w:szCs w:val="17"/>
          <w:b w:val="1"/>
          <w:bCs w:val="1"/>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w:t>
      </w:r>
    </w:p>
    <w:p>
      <w:pPr>
        <w:spacing w:after="0" w:line="3" w:lineRule="exact"/>
        <w:rPr>
          <w:sz w:val="20"/>
          <w:szCs w:val="20"/>
          <w:color w:val="auto"/>
        </w:rPr>
      </w:pPr>
    </w:p>
    <w:p>
      <w:pPr>
        <w:ind w:left="1260" w:right="419"/>
        <w:spacing w:after="0" w:line="253" w:lineRule="auto"/>
        <w:tabs>
          <w:tab w:leader="none" w:pos="134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3" w:lineRule="exact"/>
        <w:rPr>
          <w:rFonts w:ascii="Times New Roman" w:cs="Times New Roman" w:eastAsia="Times New Roman" w:hAnsi="Times New Roman"/>
          <w:sz w:val="17"/>
          <w:szCs w:val="17"/>
          <w:b w:val="1"/>
          <w:bCs w:val="1"/>
          <w:color w:val="auto"/>
        </w:rPr>
      </w:pPr>
    </w:p>
    <w:p>
      <w:pPr>
        <w:ind w:left="1260" w:right="499"/>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5" w:lineRule="exact"/>
        <w:rPr>
          <w:rFonts w:ascii="Times New Roman" w:cs="Times New Roman" w:eastAsia="Times New Roman" w:hAnsi="Times New Roman"/>
          <w:sz w:val="17"/>
          <w:szCs w:val="17"/>
          <w:b w:val="1"/>
          <w:bCs w:val="1"/>
          <w:color w:val="auto"/>
        </w:rPr>
      </w:pPr>
    </w:p>
    <w:p>
      <w:pPr>
        <w:ind w:left="12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SUBJECT</w:t>
      </w: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59" w:lineRule="auto"/>
        <w:rPr>
          <w:sz w:val="20"/>
          <w:szCs w:val="20"/>
          <w:color w:val="auto"/>
        </w:rPr>
      </w:pPr>
      <w:r>
        <w:rPr>
          <w:rFonts w:ascii="Times New Roman" w:cs="Times New Roman" w:eastAsia="Times New Roman" w:hAnsi="Times New Roman"/>
          <w:sz w:val="18"/>
          <w:szCs w:val="18"/>
          <w:b w:val="1"/>
          <w:bCs w:val="1"/>
          <w:color w:val="auto"/>
        </w:rPr>
        <w:t>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116"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or ADSs, please contact our Investor Relations Department at +852-3700-9100 or by email at ir@i-click.com, for China, or at +1 516 222 2560 or by email at tomc@coreir.com, for the U.S.</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the Plan of Merger and the Transactions, including the Merger, are described in the accompanying proxy statement. Copies of the Merger Agreement and the Plan of Merger are included as Annex A and Annex B, respectively, to the accompanying proxy statement. We urge you to read the entire accompanying proxy statement carefully.</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ind w:left="1980" w:right="419" w:hanging="360"/>
        <w:spacing w:after="0" w:line="25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any one of such joint holders may vote, either in person or by proxy, in respect of such share as if he or she were solely entitled thereto, but if more than one of such joint holders be present at the extraordinary general meeting the vote of the senior holder who tenders a vote, whether in person or by proxy, shall be accepted to the exclusion of the votes of the other joint holders. For this purpose, seniority will be determined by the order in which the names stand in the register of members of the Company in respect of the joint holders.</w:t>
      </w:r>
    </w:p>
    <w:p>
      <w:pPr>
        <w:spacing w:after="0" w:line="119" w:lineRule="exact"/>
        <w:rPr>
          <w:rFonts w:ascii="Times New Roman" w:cs="Times New Roman" w:eastAsia="Times New Roman" w:hAnsi="Times New Roman"/>
          <w:sz w:val="18"/>
          <w:szCs w:val="18"/>
          <w:color w:val="auto"/>
        </w:rPr>
      </w:pPr>
    </w:p>
    <w:p>
      <w:pPr>
        <w:jc w:val="both"/>
        <w:ind w:left="1980" w:right="519" w:hanging="360"/>
        <w:spacing w:after="0" w:line="26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must be in writing under the hand of the appointer or of his or her attorney duly authorized in writing or, if the appointer is a corporation, either under its seal or under the hand of an officer, attorney or other person duly authorized to sign the same.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(registered shareholder) of the Company.</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must be deposited in the manner set out in the notice of the extraordinary general meeting. A proxy card that is not deposited in the manner permitted will be invalid.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given in accordance with the terms of a proxy card will be valid notwithstanding the previous death or insanity of the principal or revocation of the proxy or of the authority under which the proxy was executed, provided that no intimation in writing of such death, insanity or revocation was received by the Company at 15/F, Prosperity Millennia Plaza, 663 King’s Road, Quarry Bay, Hong Kong S.A.R., Attention: Investor Relations Department, at least 48 hours before the commencement of the extraordinary general meeting, or adjourned meeting at which such proxy is used.</w:t>
      </w:r>
    </w:p>
    <w:p>
      <w:pPr>
        <w:spacing w:after="0" w:line="31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Jian Tang</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Dated</w:t>
      </w:r>
      <w:r>
        <w:rPr>
          <w:rFonts w:ascii="Times New Roman" w:cs="Times New Roman" w:eastAsia="Times New Roman" w:hAnsi="Times New Roman"/>
          <w:sz w:val="18"/>
          <w:szCs w:val="18"/>
          <w:color w:val="auto"/>
        </w:rPr>
        <w:t xml:space="preserve">                   , 2024</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VOTING INSTRUCTIONS</w:t>
      </w:r>
    </w:p>
    <w:p>
      <w:pPr>
        <w:spacing w:after="0" w:line="158" w:lineRule="exact"/>
        <w:rPr>
          <w:sz w:val="20"/>
          <w:szCs w:val="20"/>
          <w:color w:val="auto"/>
        </w:rPr>
      </w:pPr>
    </w:p>
    <w:p>
      <w:pPr>
        <w:ind w:left="1260" w:right="9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Ensure that your shares of iClick Interactive Asia Group Limited can be voted at the extraordinary general meeting by submitting your proxy or contacting your broker, bank or other nominee.</w:t>
      </w:r>
    </w:p>
    <w:p>
      <w:pPr>
        <w:spacing w:after="0" w:line="51"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your shares are registered in the name of a broker, bank or other nominee: </w:t>
      </w:r>
      <w:r>
        <w:rPr>
          <w:rFonts w:ascii="Times New Roman" w:cs="Times New Roman" w:eastAsia="Times New Roman" w:hAnsi="Times New Roman"/>
          <w:sz w:val="18"/>
          <w:szCs w:val="18"/>
          <w:color w:val="auto"/>
        </w:rPr>
        <w:t>check the voting instruction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forwarded by your broker, bank or other nominee to see which voting options are available or contact your broker, bank or other nominee in order to obtain directions as to how to ensure that your shares are voted at the extraordinary general meeting.</w:t>
      </w:r>
    </w:p>
    <w:p>
      <w:pPr>
        <w:spacing w:after="0" w:line="109"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your shares are registered in your name: </w:t>
      </w:r>
      <w:r>
        <w:rPr>
          <w:rFonts w:ascii="Times New Roman" w:cs="Times New Roman" w:eastAsia="Times New Roman" w:hAnsi="Times New Roman"/>
          <w:sz w:val="18"/>
          <w:szCs w:val="18"/>
          <w:color w:val="auto"/>
        </w:rPr>
        <w:t>submit your proxy as soon as possible by signing, dating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returning the accompanying proxy card in the enclosed postage-paid envelope, so that your shares can be voted at the extraordinary general meeting in accordance with your instructions.</w:t>
      </w:r>
    </w:p>
    <w:p>
      <w:pPr>
        <w:spacing w:after="0" w:line="107"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you submit your proxy card without indicating how you wish to vote, the shares represented by your proxy will be voted in favor of the resolutions to be proposed at the extraordinary general meeting, unless you appoint a person other than the chairman of the meeting as your proxy, in which case the shares represented by your proxy will be voted (or not submitted for voting) as your proxy determines.</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are an ADS holder, please consult the enclosed ADS Voting Instruction Card to find out how you can provide the Depositary with voting instructions to vote the Class A Shares underlying your ADSs.</w:t>
      </w:r>
    </w:p>
    <w:p>
      <w:pPr>
        <w:spacing w:after="0" w:line="92"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If you have any questions, require assistance with voting your proxy card, or need additional copies of proxy material, please contact our Investor Relations Department at +852-3700-9100 or by email at ir@i-click.com, for China, or at +1 516 222 2560 or by email at tomc@coreir.com, for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4465320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7"/>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5260" w:type="dxa"/>
            <w:vAlign w:val="bottom"/>
            <w:gridSpan w:val="21"/>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The Parties Involved in the Merger</w:t>
            </w:r>
          </w:p>
        </w:tc>
        <w:tc>
          <w:tcPr>
            <w:tcW w:w="4800" w:type="dxa"/>
            <w:vAlign w:val="bottom"/>
            <w:gridSpan w:val="18"/>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The Merger (Page 82)</w:t>
            </w:r>
          </w:p>
        </w:tc>
        <w:tc>
          <w:tcPr>
            <w:tcW w:w="980" w:type="dxa"/>
            <w:vAlign w:val="bottom"/>
            <w:gridSpan w:val="6"/>
          </w:tcPr>
          <w:p>
            <w:pPr>
              <w:spacing w:after="0"/>
              <w:rPr>
                <w:sz w:val="20"/>
                <w:szCs w:val="20"/>
                <w:color w:val="auto"/>
              </w:rPr>
            </w:pPr>
          </w:p>
        </w:tc>
        <w:tc>
          <w:tcPr>
            <w:tcW w:w="4800" w:type="dxa"/>
            <w:vAlign w:val="bottom"/>
            <w:gridSpan w:val="18"/>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Merger Consideration (Page 83)</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Treatment of Company Equity Awards (Page 83)</w:t>
            </w:r>
          </w:p>
        </w:tc>
        <w:tc>
          <w:tcPr>
            <w:tcW w:w="3780" w:type="dxa"/>
            <w:vAlign w:val="bottom"/>
            <w:gridSpan w:val="11"/>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Record Date and Procedures for Voting (Pages 76 and 77)</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Shareholder Vote Required to Approve the Merger Agreement and the Plan of Merger (Page 77)</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Dissenters’ Rights (Page 69)</w:t>
            </w:r>
          </w:p>
        </w:tc>
        <w:tc>
          <w:tcPr>
            <w:tcW w:w="160" w:type="dxa"/>
            <w:vAlign w:val="bottom"/>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Purposes and Effects of the Merger (Pages 55 and 56)</w:t>
            </w: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Plans for the Company after the Merger (Page 60)</w:t>
            </w:r>
          </w:p>
        </w:tc>
        <w:tc>
          <w:tcPr>
            <w:tcW w:w="280" w:type="dxa"/>
            <w:vAlign w:val="bottom"/>
          </w:tcPr>
          <w:p>
            <w:pPr>
              <w:spacing w:after="0"/>
              <w:rPr>
                <w:sz w:val="21"/>
                <w:szCs w:val="21"/>
                <w:color w:val="auto"/>
              </w:rPr>
            </w:pP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Position of the Buyer Group as to the Fairness of the Merger (Page 45)</w:t>
            </w:r>
          </w:p>
        </w:tc>
        <w:tc>
          <w:tcPr>
            <w:tcW w:w="2040" w:type="dxa"/>
            <w:vAlign w:val="bottom"/>
            <w:gridSpan w:val="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Financing of the Merger (Page 61)</w:t>
            </w:r>
          </w:p>
        </w:tc>
        <w:tc>
          <w:tcPr>
            <w:tcW w:w="2040" w:type="dxa"/>
            <w:vAlign w:val="bottom"/>
            <w:gridSpan w:val="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Interim Investors Agreement (Page 63)</w:t>
            </w: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Limited Guarantee (Page 63)</w:t>
            </w:r>
          </w:p>
        </w:tc>
        <w:tc>
          <w:tcPr>
            <w:tcW w:w="820" w:type="dxa"/>
            <w:vAlign w:val="bottom"/>
            <w:gridSpan w:val="5"/>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Support Agreement (Page 63)</w:t>
            </w:r>
          </w:p>
        </w:tc>
        <w:tc>
          <w:tcPr>
            <w:tcW w:w="5160" w:type="dxa"/>
            <w:vAlign w:val="bottom"/>
            <w:gridSpan w:val="20"/>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Opinion of the Special Committee’s Financial Advisor (Page 50)</w:t>
            </w:r>
          </w:p>
        </w:tc>
        <w:tc>
          <w:tcPr>
            <w:tcW w:w="2500" w:type="dxa"/>
            <w:vAlign w:val="bottom"/>
            <w:gridSpan w:val="5"/>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Interests of the Company’s Executive Officers and Directors in the Merger (Page 65)</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 Solicitation (Page 92)</w:t>
            </w:r>
          </w:p>
        </w:tc>
        <w:tc>
          <w:tcPr>
            <w:tcW w:w="1000" w:type="dxa"/>
            <w:vAlign w:val="bottom"/>
            <w:gridSpan w:val="3"/>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Conditions to the Merger (Page 97)</w:t>
            </w:r>
          </w:p>
        </w:tc>
        <w:tc>
          <w:tcPr>
            <w:tcW w:w="4720" w:type="dxa"/>
            <w:vAlign w:val="bottom"/>
            <w:gridSpan w:val="17"/>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of the Merger Agreement (Page 99)</w:t>
            </w:r>
          </w:p>
        </w:tc>
        <w:tc>
          <w:tcPr>
            <w:tcW w:w="3780" w:type="dxa"/>
            <w:vAlign w:val="bottom"/>
            <w:gridSpan w:val="11"/>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Termination Fees and Reimbursement of Expenses (Page 100)</w:t>
            </w:r>
          </w:p>
        </w:tc>
        <w:tc>
          <w:tcPr>
            <w:tcW w:w="2700" w:type="dxa"/>
            <w:vAlign w:val="bottom"/>
            <w:gridSpan w:val="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U.S. Federal Income Tax Consequences (Page 69)</w:t>
            </w:r>
          </w:p>
        </w:tc>
        <w:tc>
          <w:tcPr>
            <w:tcW w:w="920" w:type="dxa"/>
            <w:vAlign w:val="bottom"/>
            <w:gridSpan w:val="4"/>
          </w:tcPr>
          <w:p>
            <w:pPr>
              <w:spacing w:after="0"/>
              <w:rPr>
                <w:sz w:val="21"/>
                <w:szCs w:val="21"/>
                <w:color w:val="auto"/>
              </w:rPr>
            </w:pPr>
          </w:p>
        </w:tc>
        <w:tc>
          <w:tcPr>
            <w:tcW w:w="2700" w:type="dxa"/>
            <w:vAlign w:val="bottom"/>
            <w:gridSpan w:val="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PRC Income Tax Consequences (Page 72)</w:t>
            </w:r>
          </w:p>
        </w:tc>
        <w:tc>
          <w:tcPr>
            <w:tcW w:w="3620" w:type="dxa"/>
            <w:vAlign w:val="bottom"/>
            <w:gridSpan w:val="10"/>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Cayman Islands Tax Consequences (Page 73)</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Regulatory Matters (Page 69)</w:t>
            </w:r>
          </w:p>
        </w:tc>
        <w:tc>
          <w:tcPr>
            <w:tcW w:w="1180" w:type="dxa"/>
            <w:vAlign w:val="bottom"/>
            <w:gridSpan w:val="7"/>
          </w:tcPr>
          <w:p>
            <w:pPr>
              <w:spacing w:after="0"/>
              <w:rPr>
                <w:sz w:val="21"/>
                <w:szCs w:val="21"/>
                <w:color w:val="auto"/>
              </w:rPr>
            </w:pPr>
          </w:p>
        </w:tc>
        <w:tc>
          <w:tcPr>
            <w:tcW w:w="3980" w:type="dxa"/>
            <w:vAlign w:val="bottom"/>
            <w:gridSpan w:val="13"/>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Litigation Relating to the Merger (Page 69)</w:t>
            </w:r>
          </w:p>
        </w:tc>
        <w:tc>
          <w:tcPr>
            <w:tcW w:w="4120" w:type="dxa"/>
            <w:vAlign w:val="bottom"/>
            <w:gridSpan w:val="1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Accounting Treatment of the Merger (Page 69)</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Market Price of the ADSs (Page 74)</w:t>
            </w:r>
          </w:p>
        </w:tc>
        <w:tc>
          <w:tcPr>
            <w:tcW w:w="860" w:type="dxa"/>
            <w:vAlign w:val="bottom"/>
            <w:gridSpan w:val="5"/>
          </w:tcPr>
          <w:p>
            <w:pPr>
              <w:spacing w:after="0"/>
              <w:rPr>
                <w:sz w:val="21"/>
                <w:szCs w:val="21"/>
                <w:color w:val="auto"/>
              </w:rPr>
            </w:pPr>
          </w:p>
        </w:tc>
        <w:tc>
          <w:tcPr>
            <w:tcW w:w="3860" w:type="dxa"/>
            <w:vAlign w:val="bottom"/>
            <w:gridSpan w:val="1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Remedies and Limitation on Liability (Page 64)</w:t>
            </w:r>
          </w:p>
        </w:tc>
        <w:tc>
          <w:tcPr>
            <w:tcW w:w="3780" w:type="dxa"/>
            <w:vAlign w:val="bottom"/>
            <w:gridSpan w:val="11"/>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QUESTIONS AND ANSWERS ABOUT THE EXTRAORDINARY GENERAL MEETING AND</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6040" w:type="dxa"/>
            <w:vAlign w:val="bottom"/>
            <w:gridSpan w:val="25"/>
          </w:tcPr>
          <w:p>
            <w:pPr>
              <w:spacing w:after="0"/>
              <w:rPr>
                <w:sz w:val="17"/>
                <w:szCs w:val="17"/>
                <w:color w:val="auto"/>
              </w:rPr>
            </w:pPr>
          </w:p>
        </w:tc>
        <w:tc>
          <w:tcPr>
            <w:tcW w:w="4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SPECIAL FACTORS</w:t>
            </w:r>
          </w:p>
        </w:tc>
        <w:tc>
          <w:tcPr>
            <w:tcW w:w="5780" w:type="dxa"/>
            <w:vAlign w:val="bottom"/>
            <w:gridSpan w:val="24"/>
          </w:tcPr>
          <w:p>
            <w:pPr>
              <w:spacing w:after="0"/>
              <w:rPr>
                <w:sz w:val="24"/>
                <w:szCs w:val="24"/>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Background of the Merger</w:t>
            </w:r>
          </w:p>
        </w:tc>
        <w:tc>
          <w:tcPr>
            <w:tcW w:w="5400" w:type="dxa"/>
            <w:vAlign w:val="bottom"/>
            <w:gridSpan w:val="2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Reasons for the Merger and Recommendation of the Special Committee and the Board</w:t>
            </w:r>
          </w:p>
        </w:tc>
        <w:tc>
          <w:tcPr>
            <w:tcW w:w="860" w:type="dxa"/>
            <w:vAlign w:val="bottom"/>
            <w:gridSpan w:val="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Position of the Buyer Group as to the Fairness of the Merger</w:t>
            </w:r>
          </w:p>
        </w:tc>
        <w:tc>
          <w:tcPr>
            <w:tcW w:w="1960" w:type="dxa"/>
            <w:vAlign w:val="bottom"/>
            <w:gridSpan w:val="5"/>
          </w:tcPr>
          <w:p>
            <w:pPr>
              <w:spacing w:after="0"/>
              <w:rPr>
                <w:sz w:val="21"/>
                <w:szCs w:val="21"/>
                <w:color w:val="auto"/>
              </w:rPr>
            </w:pPr>
          </w:p>
        </w:tc>
        <w:tc>
          <w:tcPr>
            <w:tcW w:w="860" w:type="dxa"/>
            <w:vAlign w:val="bottom"/>
            <w:gridSpan w:val="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Certain Financial Projections</w:t>
            </w:r>
          </w:p>
        </w:tc>
        <w:tc>
          <w:tcPr>
            <w:tcW w:w="2440" w:type="dxa"/>
            <w:vAlign w:val="bottom"/>
            <w:gridSpan w:val="14"/>
          </w:tcPr>
          <w:p>
            <w:pPr>
              <w:spacing w:after="0"/>
              <w:rPr>
                <w:sz w:val="21"/>
                <w:szCs w:val="21"/>
                <w:color w:val="auto"/>
              </w:rPr>
            </w:pPr>
          </w:p>
        </w:tc>
        <w:tc>
          <w:tcPr>
            <w:tcW w:w="2820" w:type="dxa"/>
            <w:vAlign w:val="bottom"/>
            <w:gridSpan w:val="7"/>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the Special Committee’s Financial Advisor</w:t>
            </w: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Purposes of and Reasons for the Merger</w:t>
            </w:r>
          </w:p>
        </w:tc>
        <w:tc>
          <w:tcPr>
            <w:tcW w:w="1100" w:type="dxa"/>
            <w:vAlign w:val="bottom"/>
            <w:gridSpan w:val="7"/>
          </w:tcPr>
          <w:p>
            <w:pPr>
              <w:spacing w:after="0"/>
              <w:rPr>
                <w:sz w:val="21"/>
                <w:szCs w:val="21"/>
                <w:color w:val="auto"/>
              </w:rPr>
            </w:pP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Effects of Merger on the Company</w:t>
            </w:r>
          </w:p>
        </w:tc>
        <w:tc>
          <w:tcPr>
            <w:tcW w:w="360" w:type="dxa"/>
            <w:vAlign w:val="bottom"/>
            <w:gridSpan w:val="2"/>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56</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Plans for the Company after the Merger</w:t>
            </w: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Alternatives to the Merger</w:t>
            </w:r>
          </w:p>
        </w:tc>
        <w:tc>
          <w:tcPr>
            <w:tcW w:w="960" w:type="dxa"/>
            <w:vAlign w:val="bottom"/>
            <w:gridSpan w:val="6"/>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-6617335</wp:posOffset>
            </wp:positionV>
            <wp:extent cx="52120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-6291580</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-5965825</wp:posOffset>
            </wp:positionV>
            <wp:extent cx="52120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52120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-4954270</wp:posOffset>
            </wp:positionV>
            <wp:extent cx="52120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-4611370</wp:posOffset>
            </wp:positionV>
            <wp:extent cx="52120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-4268470</wp:posOffset>
            </wp:positionV>
            <wp:extent cx="52120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52120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-3239770</wp:posOffset>
            </wp:positionV>
            <wp:extent cx="52120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52120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52120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52120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-6951345</wp:posOffset>
            </wp:positionV>
            <wp:extent cx="52120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8260" w:type="dxa"/>
            <w:vAlign w:val="bottom"/>
            <w:gridSpan w:val="29"/>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Effects on the Company if the Merger Is Not Completed</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Financing of the Merger</w:t>
            </w:r>
          </w:p>
        </w:tc>
        <w:tc>
          <w:tcPr>
            <w:tcW w:w="2460" w:type="dxa"/>
            <w:vAlign w:val="bottom"/>
            <w:gridSpan w:val="14"/>
          </w:tcPr>
          <w:p>
            <w:pPr>
              <w:spacing w:after="0"/>
              <w:rPr>
                <w:sz w:val="20"/>
                <w:szCs w:val="20"/>
                <w:color w:val="auto"/>
              </w:rPr>
            </w:pPr>
          </w:p>
        </w:tc>
        <w:tc>
          <w:tcPr>
            <w:tcW w:w="2760" w:type="dxa"/>
            <w:vAlign w:val="bottom"/>
            <w:gridSpan w:val="6"/>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Interim Investors Agreement</w:t>
            </w:r>
          </w:p>
        </w:tc>
        <w:tc>
          <w:tcPr>
            <w:tcW w:w="4820" w:type="dxa"/>
            <w:vAlign w:val="bottom"/>
            <w:gridSpan w:val="18"/>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Limited Guarantee</w:t>
            </w:r>
          </w:p>
        </w:tc>
        <w:tc>
          <w:tcPr>
            <w:tcW w:w="800" w:type="dxa"/>
            <w:vAlign w:val="bottom"/>
            <w:gridSpan w:val="6"/>
          </w:tcPr>
          <w:p>
            <w:pPr>
              <w:spacing w:after="0"/>
              <w:rPr>
                <w:sz w:val="20"/>
                <w:szCs w:val="20"/>
                <w:color w:val="auto"/>
              </w:rPr>
            </w:pPr>
          </w:p>
        </w:tc>
        <w:tc>
          <w:tcPr>
            <w:tcW w:w="4820" w:type="dxa"/>
            <w:vAlign w:val="bottom"/>
            <w:gridSpan w:val="18"/>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Support Agreement</w:t>
            </w:r>
          </w:p>
        </w:tc>
        <w:tc>
          <w:tcPr>
            <w:tcW w:w="5540" w:type="dxa"/>
            <w:vAlign w:val="bottom"/>
            <w:gridSpan w:val="23"/>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8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Remedies and Limitation on Liability</w:t>
            </w:r>
          </w:p>
        </w:tc>
        <w:tc>
          <w:tcPr>
            <w:tcW w:w="4160" w:type="dxa"/>
            <w:vAlign w:val="bottom"/>
            <w:gridSpan w:val="12"/>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Interests of Certain Persons in the Merger</w:t>
            </w:r>
          </w:p>
        </w:tc>
        <w:tc>
          <w:tcPr>
            <w:tcW w:w="3840" w:type="dxa"/>
            <w:vAlign w:val="bottom"/>
            <w:gridSpan w:val="10"/>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3840" w:type="dxa"/>
            <w:vAlign w:val="bottom"/>
            <w:gridSpan w:val="10"/>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Fees and Expenses</w:t>
            </w:r>
          </w:p>
        </w:tc>
        <w:tc>
          <w:tcPr>
            <w:tcW w:w="580" w:type="dxa"/>
            <w:vAlign w:val="bottom"/>
            <w:gridSpan w:val="5"/>
          </w:tcPr>
          <w:p>
            <w:pPr>
              <w:spacing w:after="0"/>
              <w:rPr>
                <w:sz w:val="21"/>
                <w:szCs w:val="21"/>
                <w:color w:val="auto"/>
              </w:rPr>
            </w:pPr>
          </w:p>
        </w:tc>
        <w:tc>
          <w:tcPr>
            <w:tcW w:w="5040" w:type="dxa"/>
            <w:vAlign w:val="bottom"/>
            <w:gridSpan w:val="1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Voting by the Buyer Group at the Extraordinary General Meeting</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Litigation Relating to the Merger</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Accounting Treatment of the Merger</w:t>
            </w: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Regulatory Matters</w:t>
            </w:r>
          </w:p>
        </w:tc>
        <w:tc>
          <w:tcPr>
            <w:tcW w:w="1320" w:type="dxa"/>
            <w:vAlign w:val="bottom"/>
            <w:gridSpan w:val="10"/>
          </w:tcPr>
          <w:p>
            <w:pPr>
              <w:spacing w:after="0"/>
              <w:rPr>
                <w:sz w:val="21"/>
                <w:szCs w:val="21"/>
                <w:color w:val="auto"/>
              </w:rPr>
            </w:pP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Dissenters’ Rights</w:t>
            </w:r>
          </w:p>
        </w:tc>
        <w:tc>
          <w:tcPr>
            <w:tcW w:w="5540" w:type="dxa"/>
            <w:vAlign w:val="bottom"/>
            <w:gridSpan w:val="2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U.S. Federal Income Tax Consequences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PRC Income Tax Consequences</w:t>
            </w:r>
          </w:p>
        </w:tc>
        <w:tc>
          <w:tcPr>
            <w:tcW w:w="4000" w:type="dxa"/>
            <w:vAlign w:val="bottom"/>
            <w:gridSpan w:val="11"/>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Cayman Islands Tax Consequences</w:t>
            </w:r>
          </w:p>
        </w:tc>
        <w:tc>
          <w:tcPr>
            <w:tcW w:w="4340" w:type="dxa"/>
            <w:vAlign w:val="bottom"/>
            <w:gridSpan w:val="1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MARKET PRICE OF THE COMPANY’S ADSs, DIVIDENDS AND OTHER MATTERS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Market Price of the ADSs</w:t>
            </w:r>
          </w:p>
        </w:tc>
        <w:tc>
          <w:tcPr>
            <w:tcW w:w="4820" w:type="dxa"/>
            <w:vAlign w:val="bottom"/>
            <w:gridSpan w:val="18"/>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5040" w:type="dxa"/>
            <w:vAlign w:val="bottom"/>
            <w:gridSpan w:val="1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THE EXTRAORDINARY GENERAL MEETING</w:t>
            </w:r>
          </w:p>
        </w:tc>
        <w:tc>
          <w:tcPr>
            <w:tcW w:w="3200" w:type="dxa"/>
            <w:vAlign w:val="bottom"/>
            <w:gridSpan w:val="7"/>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Date, Time and Place of the Extraordinary General Meeting</w:t>
            </w:r>
          </w:p>
        </w:tc>
        <w:tc>
          <w:tcPr>
            <w:tcW w:w="2480" w:type="dxa"/>
            <w:vAlign w:val="bottom"/>
            <w:gridSpan w:val="5"/>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Proposals to be Considered at the Extraordinary General Meeting</w:t>
            </w:r>
          </w:p>
        </w:tc>
        <w:tc>
          <w:tcPr>
            <w:tcW w:w="2060" w:type="dxa"/>
            <w:vAlign w:val="bottom"/>
            <w:gridSpan w:val="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The Board’s Recommendation</w:t>
            </w:r>
          </w:p>
        </w:tc>
        <w:tc>
          <w:tcPr>
            <w:tcW w:w="2640" w:type="dxa"/>
            <w:vAlign w:val="bottom"/>
            <w:gridSpan w:val="15"/>
          </w:tcPr>
          <w:p>
            <w:pPr>
              <w:spacing w:after="0"/>
              <w:rPr>
                <w:sz w:val="21"/>
                <w:szCs w:val="21"/>
                <w:color w:val="auto"/>
              </w:rPr>
            </w:pPr>
          </w:p>
        </w:tc>
        <w:tc>
          <w:tcPr>
            <w:tcW w:w="2060" w:type="dxa"/>
            <w:vAlign w:val="bottom"/>
            <w:gridSpan w:val="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6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Record Date; Shares and ADSs Entitled to Vote</w:t>
            </w:r>
          </w:p>
        </w:tc>
        <w:tc>
          <w:tcPr>
            <w:tcW w:w="3400" w:type="dxa"/>
            <w:vAlign w:val="bottom"/>
            <w:gridSpan w:val="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9"/>
              </w:rPr>
              <w:t>Quorum</w:t>
            </w:r>
          </w:p>
        </w:tc>
        <w:tc>
          <w:tcPr>
            <w:tcW w:w="2980" w:type="dxa"/>
            <w:vAlign w:val="bottom"/>
            <w:gridSpan w:val="19"/>
          </w:tcPr>
          <w:p>
            <w:pPr>
              <w:spacing w:after="0"/>
              <w:rPr>
                <w:sz w:val="21"/>
                <w:szCs w:val="21"/>
                <w:color w:val="auto"/>
              </w:rPr>
            </w:pPr>
          </w:p>
        </w:tc>
        <w:tc>
          <w:tcPr>
            <w:tcW w:w="3400" w:type="dxa"/>
            <w:vAlign w:val="bottom"/>
            <w:gridSpan w:val="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5920" w:type="dxa"/>
            <w:vAlign w:val="bottom"/>
            <w:gridSpan w:val="26"/>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Procedures for Voting</w:t>
            </w:r>
          </w:p>
        </w:tc>
        <w:tc>
          <w:tcPr>
            <w:tcW w:w="5380" w:type="dxa"/>
            <w:vAlign w:val="bottom"/>
            <w:gridSpan w:val="2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Proxy Holders for Registered Shareholders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Voting of Proxies and Failure to Vote</w:t>
            </w:r>
          </w:p>
        </w:tc>
        <w:tc>
          <w:tcPr>
            <w:tcW w:w="3760" w:type="dxa"/>
            <w:vAlign w:val="bottom"/>
            <w:gridSpan w:val="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1000" w:type="dxa"/>
            <w:vAlign w:val="bottom"/>
            <w:gridSpan w:val="7"/>
          </w:tcPr>
          <w:p>
            <w:pPr>
              <w:spacing w:after="0"/>
              <w:rPr>
                <w:sz w:val="21"/>
                <w:szCs w:val="21"/>
                <w:color w:val="auto"/>
              </w:rPr>
            </w:pP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Rights of Shareholders Who Wish to Dissent from the Merger</w:t>
            </w:r>
          </w:p>
        </w:tc>
        <w:tc>
          <w:tcPr>
            <w:tcW w:w="2320" w:type="dxa"/>
            <w:vAlign w:val="bottom"/>
            <w:gridSpan w:val="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Whom to Call for Assistance</w:t>
            </w:r>
          </w:p>
        </w:tc>
        <w:tc>
          <w:tcPr>
            <w:tcW w:w="2320" w:type="dxa"/>
            <w:vAlign w:val="bottom"/>
            <w:gridSpan w:val="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480" w:type="dxa"/>
            <w:vAlign w:val="bottom"/>
            <w:gridSpan w:val="3"/>
          </w:tcPr>
          <w:p>
            <w:pPr>
              <w:spacing w:after="0"/>
              <w:rPr>
                <w:sz w:val="21"/>
                <w:szCs w:val="21"/>
                <w:color w:val="auto"/>
              </w:rPr>
            </w:pPr>
          </w:p>
        </w:tc>
        <w:tc>
          <w:tcPr>
            <w:tcW w:w="4820" w:type="dxa"/>
            <w:vAlign w:val="bottom"/>
            <w:gridSpan w:val="1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Other Business</w:t>
            </w:r>
          </w:p>
        </w:tc>
        <w:tc>
          <w:tcPr>
            <w:tcW w:w="5300" w:type="dxa"/>
            <w:vAlign w:val="bottom"/>
            <w:gridSpan w:val="21"/>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THE MERGER AGREEMENT AND THE PLAN OF MERGER</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Structure and Completion of the Merger</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Memorandum and Articles of Association; Directors and Officers of the Surviving Company</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Merger Consideration</w:t>
            </w:r>
          </w:p>
        </w:tc>
        <w:tc>
          <w:tcPr>
            <w:tcW w:w="5380" w:type="dxa"/>
            <w:vAlign w:val="bottom"/>
            <w:gridSpan w:val="2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Treatment of Company Equity Awards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Exchange Procedures</w:t>
            </w:r>
          </w:p>
        </w:tc>
        <w:tc>
          <w:tcPr>
            <w:tcW w:w="1220" w:type="dxa"/>
            <w:vAlign w:val="bottom"/>
            <w:gridSpan w:val="10"/>
          </w:tcPr>
          <w:p>
            <w:pPr>
              <w:spacing w:after="0"/>
              <w:rPr>
                <w:sz w:val="21"/>
                <w:szCs w:val="21"/>
                <w:color w:val="auto"/>
              </w:rPr>
            </w:pPr>
          </w:p>
        </w:tc>
        <w:tc>
          <w:tcPr>
            <w:tcW w:w="4160" w:type="dxa"/>
            <w:vAlign w:val="bottom"/>
            <w:gridSpan w:val="1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3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4620" w:type="dxa"/>
            <w:vAlign w:val="bottom"/>
            <w:gridSpan w:val="16"/>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Conduct of Business Prior to Closing</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89</w:t>
            </w:r>
            <w:r>
              <w:rPr>
                <w:rFonts w:ascii="Times New Roman" w:cs="Times New Roman" w:eastAsia="Times New Roman" w:hAnsi="Times New Roman"/>
                <w:sz w:val="18"/>
                <w:szCs w:val="18"/>
                <w:color w:val="auto"/>
              </w:rPr>
              <w:t xml:space="preserve"> ​​</w:t>
            </w:r>
          </w:p>
        </w:tc>
      </w:tr>
      <w:tr>
        <w:trPr>
          <w:trHeight w:val="614"/>
        </w:trPr>
        <w:tc>
          <w:tcPr>
            <w:tcW w:w="1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ii</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-7654290</wp:posOffset>
            </wp:positionV>
            <wp:extent cx="52120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-7328535</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-7002780</wp:posOffset>
            </wp:positionV>
            <wp:extent cx="52120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-6659880</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-6316980</wp:posOffset>
            </wp:positionV>
            <wp:extent cx="52120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-5974080</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-5631180</wp:posOffset>
            </wp:positionV>
            <wp:extent cx="52120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-5288280</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-4945380</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52120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-4259580</wp:posOffset>
            </wp:positionV>
            <wp:extent cx="52120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-3916680</wp:posOffset>
            </wp:positionV>
            <wp:extent cx="52120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-3573780</wp:posOffset>
            </wp:positionV>
            <wp:extent cx="52120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52120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-2887980</wp:posOffset>
            </wp:positionV>
            <wp:extent cx="52120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-2545080</wp:posOffset>
            </wp:positionV>
            <wp:extent cx="52120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-2202180</wp:posOffset>
            </wp:positionV>
            <wp:extent cx="52120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52120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-7988935</wp:posOffset>
            </wp:positionV>
            <wp:extent cx="52120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Shareholders Meeting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Go Shop; No Solicitation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820"/>
        <w:spacing w:after="0" w:line="305" w:lineRule="auto"/>
        <w:rPr>
          <w:sz w:val="20"/>
          <w:szCs w:val="20"/>
          <w:color w:val="auto"/>
        </w:rPr>
      </w:pPr>
      <w:r>
        <w:rPr>
          <w:rFonts w:ascii="Times New Roman" w:cs="Times New Roman" w:eastAsia="Times New Roman" w:hAnsi="Times New Roman"/>
          <w:sz w:val="18"/>
          <w:szCs w:val="18"/>
          <w:u w:val="single" w:color="auto"/>
          <w:color w:val="0000EE"/>
        </w:rPr>
        <w:t>Communication and Provision of Information upon Receipt of a Competing Proposal No Change in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Indemnification; Directors’ and Officers’ Insurance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Agreement to Further Action and Use Reasonable Best Efforts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Additional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Conditions to the Merger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Termination Fees and Reimbursement of Expenses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Remedies and Limitations 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Amendment and Waiver</w:t>
      </w:r>
    </w:p>
    <w:p>
      <w:pPr>
        <w:spacing w:after="0" w:line="63" w:lineRule="exact"/>
        <w:rPr>
          <w:sz w:val="20"/>
          <w:szCs w:val="20"/>
          <w:color w:val="auto"/>
        </w:rPr>
      </w:pPr>
    </w:p>
    <w:p>
      <w:pPr>
        <w:ind w:left="1260" w:right="2500"/>
        <w:spacing w:after="0" w:line="313" w:lineRule="auto"/>
        <w:rPr>
          <w:sz w:val="20"/>
          <w:szCs w:val="20"/>
          <w:color w:val="auto"/>
        </w:rPr>
      </w:pPr>
      <w:r>
        <w:rPr>
          <w:rFonts w:ascii="Times New Roman" w:cs="Times New Roman" w:eastAsia="Times New Roman" w:hAnsi="Times New Roman"/>
          <w:sz w:val="18"/>
          <w:szCs w:val="18"/>
          <w:u w:val="single" w:color="auto"/>
          <w:color w:val="0000EE"/>
        </w:rPr>
        <w:t>PROVISIONS FOR UNAFFILIATED SECURITY HOLDERS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Requirements for Exercising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FINANCIAL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Selected Historical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Net Book Value per Company Share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TRANSACTIONS IN THE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Purchases by 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Purchases by the Buyer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Prior Public Offerings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Transactions in Prior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OF THE COMPANY</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FUTURE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280"/>
        <w:spacing w:after="0" w:line="313"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WHERE YOU CAN FIND MORE INFORMATION Annex A: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B: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right="8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Annex C: OPINION OF HOULIHAN LOKEY (CHINA) LIMITED AS FINANCIAL ADVISOR</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D: CAYMAN ISLANDS COMPANIES ACT (AS AMENDED) – SECTION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E: DIRECTORS AND EXECUTIVE OFFICERS OF EACH FILING PERSON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F: 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G: FORM OF ADS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108</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109</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D-1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E-1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G-1</w:t>
      </w:r>
      <w:r>
        <w:rPr>
          <w:rFonts w:ascii="Times New Roman" w:cs="Times New Roman" w:eastAsia="Times New Roman" w:hAnsi="Times New Roman"/>
          <w:sz w:val="18"/>
          <w:szCs w:val="18"/>
          <w:b w:val="1"/>
          <w:bCs w:val="1"/>
          <w:color w:val="auto"/>
        </w:rPr>
        <w:t>​</w:t>
      </w:r>
    </w:p>
    <w:p>
      <w:pPr>
        <w:sectPr>
          <w:pgSz w:w="11900" w:h="16838" w:orient="portrait"/>
          <w:cols w:equalWidth="0" w:num="2">
            <w:col w:w="8500" w:space="420"/>
            <w:col w:w="95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60"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i w:val="1"/>
          <w:iCs w:val="1"/>
          <w:color w:val="auto"/>
        </w:rPr>
        <w:t>This “Summary Term Sheet” and the “Questions and Answers About the Extraordinary General Meeting and the Merger” highlight selected information contained in this proxy statement (the “Proxy Statement”) regarding the Merger (as defined below) and may not contain all of the information that may be important to your consideration of the Merger and other transactions contemplated by the Merger Agreement (as defined below) and the Plan of Merger (as defined below). You should carefully read this entire Proxy Statement and the other documents to which this Proxy Statement refers for a more complete understanding of the matters being considered at the extraordinary general meeting. In addition, this Proxy Statement incorporates by reference important business and financial information about the Company. You are encouraged to read all of the documents incorporated by reference into this Proxy Statement and you may obtain such information without charge by following the instructions in “Where You Can Find More Information” beginning on page 115. In this Proxy Statement, the terms “the Company,” “us,” “we” or other terms correlative thereto refer to iClick Interactive Asia Group Limited. All references to “dollars”, “US$” and “$” in this Proxy Statement are to U.S. dollars, and all references to “RMB” in this Proxy Statement are to Renminbi, the lawful currency of the People’s Republic of China.</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Parties Involved in the Merger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the Cayman Islands.</w:t>
      </w:r>
    </w:p>
    <w:p>
      <w:pPr>
        <w:spacing w:after="0" w:line="108" w:lineRule="exact"/>
        <w:rPr>
          <w:sz w:val="20"/>
          <w:szCs w:val="20"/>
          <w:color w:val="auto"/>
        </w:rPr>
      </w:pPr>
    </w:p>
    <w:p>
      <w:pPr>
        <w:jc w:val="both"/>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Company’s principal executive offices are located at 15/F, Prosperity Millennia Plaza, 663 King’s Road, Quarry Bay, Hong Kong S.A.R. The Company’s telephone number at this address is +852 3700 9000. The Company’s registered office in the Cayman Islands is located at Maples Corporate Services Limited at PO Box 309, Ugland House, Grand Cayman, KY1-1104, Cayman Islands.</w:t>
      </w:r>
    </w:p>
    <w:p>
      <w:pPr>
        <w:spacing w:after="0" w:line="105"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For a more complete description of the Company’s business, history, and organizational structure, see the Company’s Annual Report on Form 20-F for the fiscal year ended December 31, 2022 filed with the SEC on May 11, 2023 (as further amended on October 31, 2023), which is incorporated herein by reference. Please see “Where You Can Find More Information” for instructions on obtaining a copy of the Company’s Annual Report.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Buyer Group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Parent</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TSH Investment Holding Limited (“Parent”) is an exempted company with limited liability incorporated under the laws of the Cayman Islands and is a holding company formed solely for the purpose of holding the equity interest in Merger Sub and completing the Transactions, including the Merger (each as defined below). The registered address of Parent is 4th Floor, Harbour Place, 103 South Church Street, P.O. Box 10240, Grand Cayman KY1-1002, George Town, Cayman Islands. The business address and telephone number of Parent is c/o Rise Chain Investment Limited, Unit 2B, 17/F, Chung Kiu Commercial Building, No. 47-51 Shantung Street, Mongkok, Kowloon, Hong Kong, +86 13682435235.</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TSH Merger Sub Limited (“Merger Sub”) is an exempted company with limited liability incorporated under the laws of the Cayman Islands and is a holding company formed solely for the purpose of effecting the Transactions, including the Merger. The registered address of Merger Sub is 4th Floor, Harbour Place, 103 South Church Street, P.O. Box 10240, Grand Cayman KY1-1002, George Town, Cayman Islands. The business address and telephone number of Merger Sub is c/o Rise Chain Investment Limited, Unit 2B, 17/F, Chung Kiu Commercial Building, No. 47-51 Shantung Street, Mongkok, Kowloon, Hong Kong, +86 13682435235.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Founder Parties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Igomax Inc. (“Igomax”) is a limited company incorporated under the laws of British Virgin Islands and is wholly owned by Mr. Jian Tang, the chairman and chief executive officer of the Company. The registered address of Igomax is Craigmuir Chambers, P.O. Box 71, Road Town, Tortola, VG1110, British Virgin Islands. The business address of Igomax is c/o iClick Interactive Asia Group Limited, 15/F Prosperity Millennia Plaza, 663 King’s Road, Quarry Bay, Hong Kong, China and its telephone number is +852 3700 9000.</w:t>
      </w:r>
    </w:p>
    <w:p>
      <w:pPr>
        <w:spacing w:after="0" w:line="33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Bubinga Holdings Limited (“Bubinga”) is a limited company incorporated under the laws of British Virgin Islands and is wholly owned by Mr. Wing Hong Sammy Hsieh. The business address of Bubinga is Vistra Corporate Services Centre, Wickhams Cay II, Road Town, Tortola VG 1110, British Virgin Islands. The business address of Bubinga is c/o iClick Interactive Asia Group Limited, 15/F Prosperity Millennia Plaza, 663 King’s Road, Quarry Bay, Hong Kong, China and its telephone number is +852 3700 9000.</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Sponsor Parties</w:t>
      </w:r>
    </w:p>
    <w:p>
      <w:pPr>
        <w:spacing w:after="0" w:line="14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Huang Jianjun is a citizen of the PRC. His principal occupation is as Co-founder of Success Jumbo Group Limited. His principal business address and telephone number is Unit 2B, 17/F., Chung Kiu Commercial Bldg., No. 47-51 Shantung Street, Mongkok, Kowloon, Hong Kong, +86 13682435235.</w:t>
      </w:r>
    </w:p>
    <w:p>
      <w:pPr>
        <w:spacing w:after="0" w:line="10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Rise Chain Investment Limited (“Rise Chain,” and together with Huang Jianjun, the “Sponsor Parties”) is principally an investment holding vehicle and a company organized and existing under the laws of the British Virgin Islands. The business address of Rise Chain is Unit 2B, 17/F, Chung Kiu Commercial Building, No. 47-51 Shantung Street, Mongkok, Kowloon, Hong Kong, and its telephone number is +86 13682435235.</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Rollover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to the Founder Parties, the other Rollover Shareholders include the following:</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Capable Excel Limited (“Capable Excel”) is principally an investment holding vehicle and a company organized and existing under the laws of the British Virgin Islands. Capable Excel’s business address is Unit A, 8th Floor, Winbase Centre, 208 Queen's Road Central, Hong Kong, and its telephone number is +852 2561 3121.</w:t>
      </w:r>
    </w:p>
    <w:p>
      <w:pPr>
        <w:spacing w:after="0" w:line="33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Cheer Lead Limited (“Cheer Lead”) is principally an investment holding vehicle and a company organized and existing under the laws of the British Virgin Islands. Cheer Lead’s business address is Room 3605, 36/F, Cheung Kong Center, 2 Queen’s Road, Central, Hong Kong, and its telephone number is +852 3892 6137.</w:t>
      </w:r>
    </w:p>
    <w:p>
      <w:pPr>
        <w:spacing w:after="0" w:line="33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Creative Big Limited (“Creative Big”) is principally an investment holding vehicle and a company organized and existing under the laws of the British Virgin Islands. Creative Big’s business address is Flat 23B, Block 6, Hanley Villa, 22 Yau Lai Road, Yau Kom Tau, Tsuen Wan, Hong Kong, and its telephone number is +852 90880328.</w:t>
      </w:r>
    </w:p>
    <w:p>
      <w:pPr>
        <w:spacing w:after="0" w:line="9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Huge Superpower Limited (“Huge Superpower”) is principally an investment holding vehicle and a company organized and existing under the laws of the British Virgin Islands. Huge Superpower’s business address is Room 33B, 24/F, Block D, Mai Luen Ind. Building, 23-31 King Yip Street, Kwai Chung, Hong Kong, and its telephone number is +852 3526 1189.</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Infinity Global Fund SPC (“Infinity Global”) is principally an investment holding vehicle and a company organized and existing under the laws of the Cayman Islands. Infinity Global’s business address is Room 3605, 36/F, Cheung Kong Center, 2 Queen’s Road, Central, Hong Kong, and its telephone number is +852 3465 5367.</w:t>
      </w:r>
    </w:p>
    <w:p>
      <w:pPr>
        <w:spacing w:after="0" w:line="33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Integrated Asset Management (Asia) Ltd. (“Integrated Asset Management”) is principally an investment holding vehicle and a company organized and existing under the laws of the British Virgin Islands. Integrated Asset Management’s business address is 21/F, 88 Gloucester Road, Wan Chai, Hong Kong, and its telephone number is +852 22092209.</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Likeable Limited is principally an investment holding vehicle and a company organized and existing under the laws of Hong Kong S.A.R. Likeable Limited’s business address and telephone number is 10/F, Guangdong Investment Tower, 148 Connaught Road Central, Hong Kong S.A.R., +852 2541 6632. During the last five years,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Marine Central Limited (“Marine Central”) is principally an investment holding vehicle and a company organized and existing under the laws of the British Virgin Islands. Marine Central’s business address is Unit 2B, 17/F., Chung Kiu Commercial Bldg., No. 47-51 Shantung Street, Mongkok, Kowloon, Hong Kong, and its telephone number +86 13682435235.</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Yang Xin is a citizen of China. Since January 2018 Yang Xin has been the Senior Vice President of Operations for Tetris Information Technology (Shanghai) Co., Ltd. (“Tetris”), a wholly-owned subsidiary of the Company that provides online advertising, SaaS products and services. The business address and telephone number for Yang Xin and Tetris is 15/F, Building 19, Phoenix Park, 1515 Gumei Road, Xuhui District, Shanghai, China, +86 1811621902. During the last five years, Yang Xin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2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Zhao Yong is a citizen of China. Zhao Yong is the Senior Vice President &amp; President of Smart Retail Division for Changyi (Shanghai) Information Technology Ltd., a wholly-owned subsidiary of the Company that provides SaaS products and services (“Changyi”). Zhao Yong founded Changyi, which was acquired by the Company in 2020, in 2014. The business address and telephone number for Zhao Yong and Changyi is 15/F, Building 19, Phoenix Park, 1515 Gumei Road, Xuhui District, Shanghai, China, +86 18616029299. During the last five years, Zhao Yong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Chan Nai Hang is a citizen of Hong Kong S.A.R. Chan Nai Hang is the Group CEO for CMRS Digital Solutions Limited, a wholly-owned subsidiary of the Company that provides online advertising, SaaS products and services (“CMRS Digital”). The business address for Chan Nai Hang and CMRS Digital is Unit B, 18/F, MG Tower, 133 Hoi Bun Road, Kwun Tong, Kowloon, Hong Kong S.A.R. The business telephone number for Chan Nai Hang is +852 3700 9000. During the last five years, Chan Nai Hang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3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Tsang Hing Sze is a citizen of Hong Kong S.A.R. Since February 2022 Tsang Hing Sze has been the Group Chief Operating Officer of CruiSo Digital Solutions Limited, a wholly-owned subsidiary of the Company that provides online advertising, SaaS products and services (“CruiSo Digital”). The business address for Tsang Hing Sze and CruiSo Digital is Unit B, 18/F, MG Tower, 133 Hoi Bun Road, Kwun Tong, Kowloon, Hong Kong S.A.R. The business telephone number for Tsang Hing Sze is +852 3700 9000. During the last five years, Tsang Hing Sze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Lau Ying Wai is a citizen of Hong Kong S.A.R. Since November 2020, Lau Ying Wai is a Group</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Partner of CMRS Group, which is an affiliate of the Company. The business address for CMRS Group is</w:t>
      </w:r>
    </w:p>
    <w:p>
      <w:pPr>
        <w:ind w:left="1260"/>
        <w:spacing w:after="0" w:line="234" w:lineRule="auto"/>
        <w:rPr>
          <w:sz w:val="20"/>
          <w:szCs w:val="20"/>
          <w:color w:val="auto"/>
        </w:rPr>
      </w:pPr>
      <w:r>
        <w:rPr>
          <w:rFonts w:ascii="Times New Roman" w:cs="Times New Roman" w:eastAsia="Times New Roman" w:hAnsi="Times New Roman"/>
          <w:sz w:val="18"/>
          <w:szCs w:val="18"/>
          <w:color w:val="auto"/>
        </w:rPr>
        <w:t>18B MG Tower, 133 Hoi Bun Road, Kwun Tong and its telephone number is +852 2815 3880. Since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2011, Lau Ying Wai has been a Managing Partner for Beyond Digital Solutions Limited, a wholly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subsidiary of the Company that provides online advertising, SaaS products and services (“Beyond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Digital”). The business address for Lau Ying Wai and Beyond Digital is Unit B, 18/F, MG Tower, 133 Hoi</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Bun Road, Kwun Tong, Kowloon, Hong Kong. S.A.R. The business telephone number for Lau Ying Wai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+852 2815 3880. Previously, Lau Ying Wai served as a director of Matrix Marketing Limited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October 2018 to October 2020. The business address of Matrix Marketing Limited is Room 1603, 16/F,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Phoenix, No. 23 Luard Road, Wanchai, Hong Kong. During the last five years, Lau Ying Wai has not been</w:t>
      </w:r>
    </w:p>
    <w:p>
      <w:pPr>
        <w:spacing w:after="0" w:line="7" w:lineRule="exact"/>
        <w:rPr>
          <w:sz w:val="20"/>
          <w:szCs w:val="20"/>
          <w:color w:val="auto"/>
        </w:rPr>
      </w:pPr>
    </w:p>
    <w:p>
      <w:pPr>
        <w:ind w:left="1260" w:right="419"/>
        <w:spacing w:after="0" w:line="241" w:lineRule="auto"/>
        <w:tabs>
          <w:tab w:leader="none" w:pos="15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7"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Chik Yu Chung Roni is a citizen of Hong Kong S.A.R. Chik Yu Ching Roni is the General Manager of CMRS Digital. The business address and telephone number for Chik Yu Chung Roni is Unit B, 18/F, MG Tower, 133 Hoi Bun Road, Kwun Tong, Kowloon, Hong Kong S.A.R., +852 3700 9000. During the last five years, Chik Yu Chung Roni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Tse Kok Yu Ryan is a citizen of Hong Kong S.A.R. Since February 2019 Tse Kok Yu Ryan has been the General Manager of Beyond Digital. The business address and telephone number for Tse Kok Yu Ryan is Unit B, 18/F, MG Tower, 133 Hoi Bun Road, Kwun Tong, Kowloon, Hong Kong S.A.R., +852 3700 9000. During the last five years, Tse Kok Yu Ryan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Imen Yee May Pang is a citizen of Hong Kong S.A.R. While not currently employed, Imen Yee May Pang previously served as the Associate Director — Moderation for Beyond Digital from February 2010 to October 2023. During the last five years, Imen Yee May Pang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Merger (Page 82)</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Company, Parent and Merger Sub have entered into an agreement and plan of merger, dated as of November 24, 2023 (the “Merger Agreement”), pursuant to which Merger Sub will be merged with and into the Company (the “Merger”) and cease to exist, with the Company continuing as the surviving company (the “Surviving Company”) and becoming a wholly owned subsidiary of Parent after the Merger.</w:t>
      </w:r>
    </w:p>
    <w:p>
      <w:pPr>
        <w:spacing w:after="0" w:line="11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You are being asked to vote to authorize and approve the Merger Agreement, the plan of merger required to be filed with the Registrar of Companies of the Cayman Islands (the “Cayman Registrar”) in connection with the Merger (the “Plan of Merger”) and the transactions contemplated by the Merger Agreement and the Plan of Merger (collectively, the “Transactions”), including the Merger, the variation of the authorized share capital of the Company at the effective time of the Merger (the “Effective Time”) from US$100,000 divided into 100,000,000 Shares of a par value of US$0.001 per Share, of which 80,000,000 are Class A ordinary shares, par value US$0.001 per share, of the Company (each, a “Class A Share”) and 20,000,000 are Class B ordinary shares, par value US$0.001 per share, of the Company (each, a “Class B Share”,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together with each Class A Share, collectively the “Shares” and each a “Share”), to US$50,000 divided into 50,000 ordinary shares of par value US$ 1.00 each (the “Variation of Capital”) and, upon the Merger becoming effective, the amendment and restatement of the memorandum and articles of association of the Company by the deletion in their entirety and the substitution in their place of the new memorandum and articles of association of the Company (as the Surviving Company) in the form attached to the Plan of Merger (the “Adoption of Amended M&amp;A”).</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completion and as a result of the Merger, the Company, as the Surviving Company, will be wholly owned by Parent and beneficially owned by the Buyer Group, and will continue to do business under the name “iClick Interactive Asia Group Limited”. If the Merger is completed, the Company’s American depositary shares program for Class A Shares maintained pursuant to the deposit agreement, dated December 21, 2017 and as amended on October 31, 2022 (the “Deposit Agreement”), by and among the Company, JPMorgan Chase Bank, N.A., in its capacity as ADS depositary (the “ADS Depositary”) and the owners and holders of the Company’s American depositary shares (“ADSs”), each representing five Class A Shares, issued thereunder will be terminated, the Company will cease to be a publicly traded company and ADSs will cease to be listed on the NASDAQ Global Market (“NASDAQ”), and price quotations with respect to sales of ADSs in the public market will no longer be available. In addition, 90 days after the filing of Form 15 in connection with the completion of the Merger or such longer period as may be determined by the U.S. Securities and Exchange Commission (the “SEC”), registration of the Shares under the Securities Exchange Act of 1934, as amended (the “Exchange Act”), will be terminated and the Company will no longer be required to file periodic reports with the SEC or otherwise be subject to the U.S. federal securities laws, including the Sarbanes-Oxley Act of 2002, applicable to public companies.</w:t>
      </w:r>
    </w:p>
    <w:p>
      <w:pPr>
        <w:spacing w:after="0" w:line="123"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Copies of the Merger Agreement and the Plan of Merger are attached as Annex A and Annex B, respectively, to this Proxy Statement. You should read the Merger Agreement and the Plan of Merger in their entirety because they, and not this Proxy Statement, are the legal documents that govern the Merger.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 (Page 83)</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(a) other than (i) Shares (including Shares represented by ADSs) beneficially owned by Rollover Shareholders as of the date of the Merger Agreement, together with any Shares acquired (whether beneficially or of record) by any Rollover Shareholder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(ii) Shares held by Parent and Merger Sub, (iii) Shares held by the Company or any of its subsidiaries, or held in the Company’s treasury,</w:t>
      </w:r>
    </w:p>
    <w:p>
      <w:pPr>
        <w:spacing w:after="0" w:line="2" w:lineRule="exact"/>
        <w:rPr>
          <w:sz w:val="20"/>
          <w:szCs w:val="20"/>
          <w:color w:val="auto"/>
        </w:rPr>
      </w:pPr>
    </w:p>
    <w:p>
      <w:pPr>
        <w:ind w:left="1260" w:right="439"/>
        <w:spacing w:after="0"/>
        <w:tabs>
          <w:tab w:leader="none" w:pos="15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(including ADSs corresponding to such Shares) held by the Company or the ADS Depositary and reserved for issuance and allocation pursuant to the Company’s 2018 Share Incentive Plan and Post-IPO Share Incentive Plan (collectively, the “Company Share Plans”)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Company Equity Awards (Page 83)</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the Company shall (a) terminate the Company Share Plans and any relevant award agreements entered into under the Company Share Plans,</w:t>
      </w:r>
    </w:p>
    <w:p>
      <w:pPr>
        <w:ind w:left="1260" w:right="699"/>
        <w:spacing w:after="0" w:line="243" w:lineRule="auto"/>
        <w:tabs>
          <w:tab w:leader="none" w:pos="15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each Company Option that is outstanding and unexercised, and (c) cancel each Company RSU that is outstanding.</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As soon as practicable after the Effective Time, each former holder of a Vested Company Option that is cancelled at the Effective Time shall, in exchange therefor, be paid by the Surviving Company or one of its subsidiaries pursuant to the Company’s ordinary payroll practices,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1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Procedures for Voting (Pages 76 and 77)</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You are entitled to attend and vote at the extraordinary general meeting if you have Shares registered in your name at the close of business in the Cayman Islands on               , 2024 (the “Share Record Date”). If you own Shares at the close of business in the Cayman Islands on the Share Record Date, the deadline for you to lodge your proxy card and vote is (Hong Kong time) on                               , 2024 or             (New York time) on                               , 2024.</w:t>
      </w:r>
    </w:p>
    <w:p>
      <w:pPr>
        <w:spacing w:after="0" w:line="11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 2024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 the Shares underlying your ADSs.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1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ADS Depositary must receive your instructions no later than 9:00 a.m. (New York City time) on                               in order to ensure the Shares underlying your ADSs are voted at the extraordinary general meeting. If you hold your ADSs in a brokerage, bank or other securities account, you must rely on the procedures of the broker, bank or other securities intermediary through which you hold your ADSs if you wish to voting instructions. Please note that the voting instruction deadline of your brokerage, bank, securities intermediary or other account holder will be sooner than the deadline set forth above for registered ADS holders.</w:t>
      </w:r>
    </w:p>
    <w:p>
      <w:pPr>
        <w:spacing w:after="0" w:line="32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surrender your ADSs and become a</w:t>
      </w: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registered holder of the Shares underlying your ADSs prior to the close of business in the Cayman Islands 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Vote Required to Approve the Merger Agreement and the Plan of Merger (Page 77)</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(such affirmative vote, the “Requisite Company Vote”). If this vote is not obtained, the Merger will not be consummated.</w:t>
      </w:r>
    </w:p>
    <w:p>
      <w:pPr>
        <w:spacing w:after="0" w:line="10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109 for additional information. These Shares will be voted in favor of the authorization and approval of the Merger Agreement, the Plan of Merger and the Transactions, including the Merger, at the extraordinary general meeting.</w:t>
      </w:r>
    </w:p>
    <w:p>
      <w:pPr>
        <w:spacing w:after="0" w:line="11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Neither the CICA nor the Merger Agreement requires that the Merger Agreement and Plan of Merger be approved by a majority of the Unaffiliated Security Holders (as defined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 (Page 69)</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Purposes and Effects of the Merger (Pages 55 and 56)</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purpose of the Merger is to enable Parent to acquire 100% control of the Company in a transaction in which the Shares (other than the Excluded Shares, the Dissenting Shares and Shares represented by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and ADSs (other than ADSs representing the Excluded Shares) will be cancelled in exchange for the Per Share Merger Consideration or the Per ADS Merger Consideration, as applicable. See “Special Factors —  Purposes of and Reasons for the Merger” beginning on page 55 for additional information.</w:t>
      </w:r>
    </w:p>
    <w:p>
      <w:pPr>
        <w:spacing w:after="0" w:line="10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ADSs are currently listed on NASDAQ under the symbol “ICLK.” It is expected that, following the consummation of the Merger, the Company will cease to be a publicly traded company and will instead become a private company beneficially owned by the Buyer Group. See “Special Factors — Effects of the Merger on the Company” beginning on page 56 for additional information.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Plans for the Company after the Merger (Page 60)</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62 for additional information.</w:t>
      </w:r>
    </w:p>
    <w:p>
      <w:pPr>
        <w:spacing w:after="0" w:line="11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Position of the Buyer Group as to the Fairness of the Merger (Page 45)</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member of the Buyer Group believes that the Merger is fair to the unaffiliated security holders of the Company (as such terms are defined in Rule 13e- 3 of the Securities Exchange Act of 1934, as amended) (the “Unaffiliated Security Holders”). Their belief is based upon the factors discussed under the section entitled “Special Factors — Position of the Buyer Group as to the Fairness of the Merger” beginning on page 45.</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Merger (Page 61)</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Financing of the Merger” beginning on page 61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Interim Investors Agreement (Page 63)</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Interim Investors Agreement” beginning on page 63 for additional information.</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Guarantee (Page 63)</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Rise Chain, as the Guarantor, executed and delivered the Limited Guarantee, in favor of the Company. Under the Limited Guarantee, the Guarantor has guaranteed in favor of the Company the payment obligations of Parent under the Merger Agreement for a termination fee of $ 1,800,000 to the Company (the “Parent Termination Fee”) and certain costs and expenses that may become payable to the Company by Parent under certain circumstances as set forth in the Merger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Limited Guarantee” beginning on page 63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Support Agreement (Page 63)</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each of the Rollover Shareholders entered into the Support Agreement, whereby, among other things, subject to the terms and conditions of the Support Agreement, each Rollover Shareholder has agreed to (a) vote all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Support Agreement” beginning on page 63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 (Page 50)</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Special Committee retained Houlihan Lokey (China) Limited (“Houlihan Lokey”) as its financial advisor in connection with the Proposed Transaction. In connection with this engagement, at the meeting of the Special Committee on November 23, 2023, Houlihan Lokey rendered its oral opinion to the Special Committee, which was subsequently confirmed in writing by delivery of Houlihan Lokey’s written opinion, dated November 23, 2023, to the Special Committee,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w:t>
      </w:r>
    </w:p>
    <w:p>
      <w:pPr>
        <w:spacing w:after="0" w:line="33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full text of the written opinion of Houlihan Lokey, dated November 23, 2023, which sets forth the procedures followed, assumptions made, matters considered and qualifications and limitations on the review undertaken in connection with the opinion, is attached as Annex C to this Proxy Statement and is incorporated herein by reference. The summary of the opinion of Houlihan Lokey set forth in this Proxy Statement is qualified in its entirety by reference to the full text of such opinion. Holders of Shares and ADSs are urged to read the opinion in its entirety. Houlihan Lokey’s written opinion is addressed to the Special Committee (in its capacity as such), is directed only to the fairness from a financial point of view of the Per Share Merger Consideration and the Per ADS Merger Consideration to the extent expressly specified in the opinion, does not address any terms or other aspects or implications of the Merger and does not constitute a recommendation to any holder of Shares or ADSs as to how such holder should vote or act with respect to the Merger or any other matter.</w:t>
      </w:r>
    </w:p>
    <w:p>
      <w:pPr>
        <w:spacing w:after="0" w:line="326"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Except for the fairness opinion delivered to the Special Committee by Houlihan Lokey in connection with the Merger, none of the Special Committee, the Company, or the Company’s affiliates received any other report, opinion, or appraisal from any outside third party that is materially related to the Merger.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Executive Officers and Directors in the Merger (Page 65)</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officers of the Company. As of the date of this Proxy Statement, 200 Unvested Company RSUs are held by the Special Committee member Mr. Philip Kan, in exchange for his services as an independent director of the Company;</w:t>
      </w:r>
    </w:p>
    <w:p>
      <w:pPr>
        <w:spacing w:after="0" w:line="79"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81"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directors of the Company, Mr. Jian Tang is affiliated with Igomax Inc., and Mr. Wing Hong Sammy Hsieh is affiliated with Bubinga Holdings Limited;</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cash-out of Vested Company Options held by the directors and executive officers of the Company;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and directors and officers liability insurance to be provided by the Surviving Company to former directors and officers of the Company pursuant to the Merger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and</w:t>
      </w:r>
    </w:p>
    <w:p>
      <w:pPr>
        <w:spacing w:after="0" w:line="71"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65 for additional information.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Solicitation (Page 92)</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restricts the Company’s ability, from the expiration of certain go-shop period to the Effective Time or the termination of the Merger Agreement, to solicit or engage in discussions or negotiations with third parties regarding any Competing Proposal (as defined in the section entitled “The Merger Agreement and Plan of Merger”). See and read carefully “The Merger Agreement and Plan of Merger — Go Shop; No Solicitation of Transactions” beginning on page 92.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Merger (Page 97)</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each party to the Merger Agreement to consummate the Merger are subject to the satisfaction or waiver of the following conditions:</w:t>
      </w:r>
    </w:p>
    <w:p>
      <w:pPr>
        <w:spacing w:after="0" w:line="54" w:lineRule="exact"/>
        <w:rPr>
          <w:sz w:val="20"/>
          <w:szCs w:val="20"/>
          <w:color w:val="auto"/>
        </w:rPr>
      </w:pPr>
    </w:p>
    <w:p>
      <w:pPr>
        <w:jc w:val="both"/>
        <w:ind w:left="1800" w:right="6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the Plan of Merger and the Transactions, including the Merger, shall have been authorized and approved by holders of Shares constituting the Requisite Company Vote;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of the following additional conditions:</w:t>
      </w:r>
    </w:p>
    <w:p>
      <w:pPr>
        <w:spacing w:after="0" w:line="54" w:lineRule="exact"/>
        <w:rPr>
          <w:sz w:val="20"/>
          <w:szCs w:val="20"/>
          <w:color w:val="auto"/>
        </w:rPr>
      </w:pPr>
    </w:p>
    <w:p>
      <w:pPr>
        <w:ind w:left="1800" w:right="43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the Merger Agreement shall be true and correct as of the date of the Merger Agreement and as of the closing date of the Merger (the “Closing” and the date on which the Closing actually occurs is referred to herein as the “Closing Date”), subject to certain qualifications;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all agreements and covenants required by the Merger Agreement to be performed or complied with by it on or prior to the Closing Date;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the Merger Agreement and is continuing;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the Closing Date, signed by a senior executive officer of the Company, certifying as to the satisfaction of the conditions above.</w:t>
      </w:r>
    </w:p>
    <w:p>
      <w:pPr>
        <w:spacing w:after="0" w:line="8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of the following additional conditions:</w:t>
      </w:r>
    </w:p>
    <w:p>
      <w:pPr>
        <w:spacing w:after="0" w:line="40" w:lineRule="exact"/>
        <w:rPr>
          <w:sz w:val="20"/>
          <w:szCs w:val="20"/>
          <w:color w:val="auto"/>
        </w:rPr>
      </w:pPr>
    </w:p>
    <w:p>
      <w:pPr>
        <w:ind w:left="1800" w:right="59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in the Merger Agreement shall be true and correct as of the date of the Merger Agreement and as of the Closing Date, subject to certain qualifications;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54"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the Closing Date, signed by a director or executive officer of Parent, certifying as to the satisfaction of the conditions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99)</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Effective Time (if by the Company, acting only upon the recommendation of the Special Committee):</w:t>
      </w:r>
    </w:p>
    <w:p>
      <w:pPr>
        <w:spacing w:after="0" w:line="95" w:lineRule="exact"/>
        <w:rPr>
          <w:sz w:val="20"/>
          <w:szCs w:val="20"/>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if: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(“Long Stop Date”);</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7"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81"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10" w:lineRule="exact"/>
        <w:rPr>
          <w:sz w:val="20"/>
          <w:szCs w:val="20"/>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Company shall not have this termination right if it is then in breach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agreements or covenants of the Company that would give rise to the failure of a condition to the obligations of Parent and Merger Sub to consummate the Merger;</w:t>
      </w:r>
    </w:p>
    <w:p>
      <w:pPr>
        <w:spacing w:after="0" w:line="86" w:lineRule="exact"/>
        <w:rPr>
          <w:rFonts w:ascii="Times New Roman" w:cs="Times New Roman" w:eastAsia="Times New Roman" w:hAnsi="Times New Roman"/>
          <w:sz w:val="18"/>
          <w:szCs w:val="18"/>
          <w:color w:val="auto"/>
        </w:rPr>
      </w:pPr>
    </w:p>
    <w:p>
      <w:pPr>
        <w:ind w:left="2160" w:right="579" w:hanging="180"/>
        <w:spacing w:after="0" w:line="266" w:lineRule="auto"/>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99"/>
        <w:spacing w:after="0" w:line="245" w:lineRule="auto"/>
        <w:rPr>
          <w:sz w:val="20"/>
          <w:szCs w:val="20"/>
          <w:color w:val="auto"/>
        </w:rPr>
      </w:pPr>
      <w:r>
        <w:rPr>
          <w:rFonts w:ascii="Times New Roman" w:cs="Times New Roman" w:eastAsia="Times New Roman" w:hAnsi="Times New Roman"/>
          <w:sz w:val="18"/>
          <w:szCs w:val="18"/>
          <w:color w:val="auto"/>
        </w:rPr>
        <w:t>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73" w:lineRule="exact"/>
        <w:rPr>
          <w:sz w:val="20"/>
          <w:szCs w:val="20"/>
          <w:color w:val="auto"/>
        </w:rPr>
      </w:pPr>
    </w:p>
    <w:p>
      <w:pPr>
        <w:ind w:left="2160" w:right="479" w:hanging="180"/>
        <w:spacing w:after="0" w:line="253" w:lineRule="auto"/>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Parent a termination fee of $1,200,000 (the “Company Termination Fee”) payable concurrently with or immediately after such termination (a “Superior Proposal Termination Event”).</w:t>
      </w:r>
    </w:p>
    <w:p>
      <w:pPr>
        <w:spacing w:after="0" w:line="9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72" w:lineRule="exact"/>
        <w:rPr>
          <w:rFonts w:ascii="Times New Roman" w:cs="Times New Roman" w:eastAsia="Times New Roman" w:hAnsi="Times New Roman"/>
          <w:sz w:val="18"/>
          <w:szCs w:val="18"/>
          <w:color w:val="auto"/>
        </w:rPr>
      </w:pPr>
    </w:p>
    <w:p>
      <w:pPr>
        <w:ind w:left="2160" w:right="1039" w:hanging="180"/>
        <w:spacing w:after="0" w:line="266" w:lineRule="auto"/>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Special Committee shall have effected a Change in the Company Recommendation (together with the events under the bulleting point immediately above, collectively, the “Parent Termination Events”).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Fees and Reimbursement of Expenses (Page 100)</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$1,200,000 if the Merger Agreement is terminated:</w:t>
      </w:r>
    </w:p>
    <w:p>
      <w:pPr>
        <w:spacing w:after="0" w:line="40" w:lineRule="exact"/>
        <w:rPr>
          <w:sz w:val="20"/>
          <w:szCs w:val="20"/>
          <w:color w:val="auto"/>
        </w:rPr>
      </w:pPr>
    </w:p>
    <w:p>
      <w:pPr>
        <w:ind w:left="1800" w:right="419" w:hanging="180"/>
        <w:spacing w:after="0" w:line="254"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8"/>
          <w:szCs w:val="18"/>
          <w:i w:val="1"/>
          <w:iCs w:val="1"/>
          <w:color w:val="auto"/>
        </w:rPr>
        <w:t>references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in the </w:t>
      </w:r>
      <w:r>
        <w:rPr>
          <w:rFonts w:ascii="Times New Roman" w:cs="Times New Roman" w:eastAsia="Times New Roman" w:hAnsi="Times New Roman"/>
          <w:sz w:val="18"/>
          <w:szCs w:val="18"/>
          <w:color w:val="auto"/>
        </w:rPr>
        <w:t>definition of “Competing Transaction” shall be deemed to be references to “50%”);</w:t>
      </w:r>
    </w:p>
    <w:p>
      <w:pPr>
        <w:spacing w:after="0" w:line="5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pursuant to any Parent Termination Event;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pursuant to a Superior Proposal Termination Event.</w:t>
      </w:r>
    </w:p>
    <w:p>
      <w:pPr>
        <w:spacing w:after="0" w:line="158"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Parent is required to pay the Company a termination fee of $1,800,000, if the Merger Agreement is terminated by the Company pursuant to a Parent Breach Termination Event or a Parent Failure to Close Termination Event.</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shall be paid by the party incurring such expenses, whether or not the Merger or any other Transaction is consummated,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59"/>
        <w:spacing w:after="0" w:line="238" w:lineRule="auto"/>
        <w:rPr>
          <w:sz w:val="20"/>
          <w:szCs w:val="20"/>
          <w:color w:val="auto"/>
        </w:rPr>
      </w:pPr>
      <w:r>
        <w:rPr>
          <w:rFonts w:ascii="Times New Roman" w:cs="Times New Roman" w:eastAsia="Times New Roman" w:hAnsi="Times New Roman"/>
          <w:sz w:val="18"/>
          <w:szCs w:val="18"/>
          <w:color w:val="auto"/>
        </w:rPr>
        <w:t>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(Page 69)</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receipt of cash pursuant to the Merger or through the exercise of dissenters’ rights in connection with the Merger will be a taxable transaction for U.S. federal income tax purposes and may also be a taxable transaction under applicable state, local and other tax laws. Special rules will apply if you are a “U.S. Holder” and the Company was or currently is a passive foreign investment company, or “PFIC.” See “Special Factors — U.S. Federal Income Tax Consequences” beginning on page 69. The tax consequences of the Merger or the exercise of dissenters’ rights to you will depend upon your personal circumstances. You should consult your tax advisors for a full understanding of the U.S. federal, state, local, non-U.S. and other tax consequences of the Merger to you.</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Income Tax Consequences (Page 72)</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Company does not believe that it should be considered a resident enterprise under the PRC Enterprise Income Tax Law (the “EIT Law”) or that the gains recognized on the receipt of cash for the Shares or ADSs should otherwise be subject to PRC tax to holders of such Shares or ADSs that are not PRC residents. However, there is uncertainty regarding whether the PRC tax authorities would deem the Company to be a resident enterprise. If the PRC tax authorities were to determine that the Company should be considered a resident enterprise, then gains recognized on the receipt of cash for our Shares or ADSs pursuant to the Merger by our shareholders or ADSs holders who are not PRC residents could be treated as PRC-source income that would be subject to PRC income tax at a rate of 10% in the case of enterprises or 20% in the case of individuals (subject to applicable tax treaty relief, if any), and, even in the event that the Company is not considered a resident enterprise, gains recognized on the receipt of cash for Shares or ADSs will be subject to PRC tax if the holders of such Shares or ADSs are PRC residents. It is unclear whether in practice non-PRC holders of our Shares or ADSs will be able to obtain the benefits of any applicable tax treaties if the Company is considered a resident enterprise for PRC tax purposes. The Company does not believe that the Merger is without reasonable commercial purpose for purposes of Bulletin 37 and Bulletin 7, and, as a result, the Company will not withhold any PRC tax (under Bulletin 7 and Bulletin 37) from the Merger consideration to be paid to holders of Shares or ADSs. You should consult your own tax advisor for a full understanding of the tax consequences of the Merger to you, including any PRC tax consequences.</w:t>
      </w:r>
    </w:p>
    <w:p>
      <w:pPr>
        <w:spacing w:after="0" w:line="125"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Please see “Special Factors — PRC Income Tax Consequences” beginning on page 72 for additional information.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 Consequences (Page 73)</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cash for the Shares and ADSs under the terms of the Merger Agreement. This is subject to the qualifications that (a) Cayman Islands stamp duty may be payable if any original transaction documents are brought into or executed or produced before a court in the Cayman Islands (for example, for enforcement), (b) registration fees will be payable to the Registrar of Companies in the Cayman Islands to register the Plan of Merger and (c) fees will be payable to the Cayman Islands Government Gazette Office to publish the notice of the Merger in the Cayman Islands Government Gazette.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Matters (Page 69)</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any material governmental regulatory approvals, filings or notices are required in connection with effecting the Merger other than (a) the approvals, filings or notices required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97 for additional information.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Litigation Related to the Merger (Page 69)</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are not aware of any lawsuit that challenges the Merger, the Merger Agreement or any of the Transactions.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69)</w:t>
      </w:r>
    </w:p>
    <w:p>
      <w:pPr>
        <w:spacing w:after="0" w:line="14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Merger is expected to be accounted for as a business combination by Parent in accordance with Accounting Standards Codification 805 “Business Combinations,” initially at a consideration of the fair value of the Company as of the Closing Date, which is the date of the acquisition.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Price of the ADSs (Page 74)</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 on Liability (Page 64)</w:t>
      </w:r>
    </w:p>
    <w:p>
      <w:pPr>
        <w:spacing w:after="0" w:line="162"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but subject to the satisfaction or waiver of such conditions at the Closing) have been satisfied or, if permissible, waived in accordance with the Merger Agreement,</w:t>
      </w:r>
    </w:p>
    <w:p>
      <w:pPr>
        <w:spacing w:after="0" w:line="4" w:lineRule="exact"/>
        <w:rPr>
          <w:sz w:val="20"/>
          <w:szCs w:val="20"/>
          <w:color w:val="auto"/>
        </w:rPr>
      </w:pPr>
    </w:p>
    <w:p>
      <w:pPr>
        <w:ind w:left="1260" w:right="419"/>
        <w:spacing w:after="0" w:line="241" w:lineRule="auto"/>
        <w:tabs>
          <w:tab w:leader="none" w:pos="15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required to complete the Closing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if the Equity Financing is funded at the Closing, and (d) the Company has irrevocably confirmed in writing that the Company is ready, willing and able to consummate the Closing, and if specific performance is granted and the Equity Financing and the Debt Financing are funded, then the Closing would occur.</w:t>
      </w:r>
    </w:p>
    <w:p>
      <w:pPr>
        <w:spacing w:after="0" w:line="326"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equitable remedies the parties may be entitled to as discussed above, the maximum</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liabilities of Parent and Merger Sub, on the one hand, and the Company, on the other hand, for</w:t>
      </w:r>
    </w:p>
    <w:p>
      <w:pPr>
        <w:ind w:left="1260"/>
        <w:spacing w:after="0"/>
        <w:rPr>
          <w:sz w:val="20"/>
          <w:szCs w:val="20"/>
          <w:color w:val="auto"/>
        </w:rPr>
      </w:pPr>
      <w:r>
        <w:rPr>
          <w:rFonts w:ascii="Times New Roman" w:cs="Times New Roman" w:eastAsia="Times New Roman" w:hAnsi="Times New Roman"/>
          <w:sz w:val="18"/>
          <w:szCs w:val="18"/>
          <w:color w:val="auto"/>
        </w:rPr>
        <w:t>monetary damages in connection with the Merger Agreement are limited to Parent Termination Fee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US$1,800,000 and Company Termination Fee of US$1,200,000, respectively, and reimbursement of certain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costs and expenses accrued in the event that the Company or Parent fails to pay the applicable termination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 when due together with certain interest on such unpaid termination fee and certain other costs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payable pursuant to the Merger Agreement.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QUESTIONS AND ANSWERS ABOUT THE EXTRAORDINARY GENERAL MEETING AND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address briefly some questions you may have regarding the extraordinary general meeting and the Merger. These questions and answers may not address all questions that may be important to you as a shareholder of the Company. Please refer to the more detailed information contained elsewhere in this Proxy Statement, the annexes to this Proxy Statement and the documents referred to or incorporated by reference in this Proxy Statement.</w:t>
      </w:r>
    </w:p>
    <w:p>
      <w:pPr>
        <w:spacing w:after="0" w:line="11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w:t>
      </w:r>
    </w:p>
    <w:p>
      <w:pPr>
        <w:spacing w:after="0" w:line="162" w:lineRule="exact"/>
        <w:rPr>
          <w:sz w:val="20"/>
          <w:szCs w:val="20"/>
          <w:color w:val="auto"/>
        </w:rPr>
      </w:pPr>
    </w:p>
    <w:p>
      <w:pPr>
        <w:ind w:left="1620" w:right="499" w:hanging="360"/>
        <w:spacing w:after="0" w:line="258"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24, 2023, we entered into the Merger Agreement with Parent and Merger Sub. You are receiving this Proxy Statement in connection with the solicitation of proxies by the Board in favor of the proposal to authorize and approve the Merger Agreement, the Plan of Merger and the Transactions, including the Merger, at an extraordinary general meeting or at any adjournment of such extraordinary general meeting.</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the extraordinary general meeting be held?</w:t>
      </w:r>
    </w:p>
    <w:p>
      <w:pPr>
        <w:spacing w:after="0" w:line="162" w:lineRule="exact"/>
        <w:rPr>
          <w:sz w:val="20"/>
          <w:szCs w:val="20"/>
          <w:color w:val="auto"/>
        </w:rPr>
      </w:pPr>
    </w:p>
    <w:p>
      <w:pPr>
        <w:ind w:left="1620" w:right="83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will take place on                 , 2024, at                     (Hong Kong time) or on               , 2024, at                     (New York time) at                               .</w:t>
      </w:r>
    </w:p>
    <w:p>
      <w:pPr>
        <w:spacing w:after="0" w:line="9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62" w:lineRule="exact"/>
        <w:rPr>
          <w:sz w:val="20"/>
          <w:szCs w:val="20"/>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asked to consider and vote on the following proposals:</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special resolutions, that the Merger Agreement, the Plan of Merger and the consummation of the Transactions, including the Merger, and, upon the Merger becoming effective, the Variation of Capital, and the Adoption of Amended M&amp;A be authorized and approved;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each of the members of the Special Committee and the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as an ordinary resolution,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Merger?</w:t>
      </w:r>
    </w:p>
    <w:p>
      <w:pPr>
        <w:spacing w:after="0" w:line="162" w:lineRule="exact"/>
        <w:rPr>
          <w:sz w:val="20"/>
          <w:szCs w:val="20"/>
          <w:color w:val="auto"/>
        </w:rPr>
      </w:pPr>
    </w:p>
    <w:p>
      <w:pPr>
        <w:ind w:left="1620" w:right="499" w:hanging="360"/>
        <w:spacing w:after="0" w:line="255"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a going-private transaction pursuant to which Merger Sub will be merged with and into the Company. Once the Merger Agreement and the Plan of Merger is authorized and approved by the shareholders of the Company and the other closing conditions under the Merger Agreement have been satisfied or waived, Merger Sub will be merged with and into the Company and cease to exist, with the Company continuing as the Surviving Company after the Merger. If the Merger is completed, the Company will be a privately held company beneficially owned by the Buyer Group, and as a result of the Merger, the ADSs will no longer be listed on NASDAQ, and the Company will cease to be a publicly traded company.</w:t>
      </w: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I receive in the Merger if I own Shares or ADSs (that are not Excluded Shares)?</w:t>
      </w:r>
    </w:p>
    <w:p>
      <w:pPr>
        <w:spacing w:after="0" w:line="162" w:lineRule="exact"/>
        <w:rPr>
          <w:sz w:val="20"/>
          <w:szCs w:val="20"/>
          <w:color w:val="auto"/>
        </w:rPr>
      </w:pPr>
    </w:p>
    <w:p>
      <w:pPr>
        <w:ind w:left="1620" w:right="439" w:hanging="360"/>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Shares (other than the Excluded Shares, Dissenting Shares and the Shares represented by ADSs) and the Merger is completed, you will be entitled to receive the Per Share Merger Consideration for each Share you own immediately prior to the Effective Time.</w:t>
      </w:r>
    </w:p>
    <w:p>
      <w:pPr>
        <w:spacing w:after="0" w:line="108" w:lineRule="exact"/>
        <w:rPr>
          <w:rFonts w:ascii="Times New Roman" w:cs="Times New Roman" w:eastAsia="Times New Roman" w:hAnsi="Times New Roman"/>
          <w:sz w:val="18"/>
          <w:szCs w:val="18"/>
          <w:color w:val="auto"/>
        </w:rPr>
      </w:pPr>
    </w:p>
    <w:p>
      <w:pPr>
        <w:ind w:left="1620" w:right="6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Shares will be cancelled and cease to exist at the Effective Time, and the holders of such Dissenting Shares shall not be entitled to receive the Per Share Merger Consideration of US$0.816 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75" w:lineRule="auto"/>
        <w:rPr>
          <w:sz w:val="20"/>
          <w:szCs w:val="20"/>
          <w:color w:val="auto"/>
        </w:rPr>
      </w:pPr>
      <w:r>
        <w:rPr>
          <w:rFonts w:ascii="Times New Roman" w:cs="Times New Roman" w:eastAsia="Times New Roman" w:hAnsi="Times New Roman"/>
          <w:sz w:val="18"/>
          <w:szCs w:val="18"/>
          <w:color w:val="auto"/>
        </w:rPr>
        <w:t>cash per Share without interest and shall instead be entitled to receive only the payment of the fair value of such Dissenting Shares as determined in accordance with the provisions of Section 238 of the CICA.</w:t>
      </w:r>
    </w:p>
    <w:p>
      <w:pPr>
        <w:spacing w:after="0" w:line="322"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If you own ADSs (other than ADSs representing Excluded Shares and ADSs (together with each Share represented by each such ADS) in the event described in the paragraph below) and the Merger is completed, you will be entitled to receive the Per ADS Merger Consideration for each ADS you own immediately prior to the Effective Time unless you (a) before                               (New York City Time) on                               , 2024, surrender your ADSs to the ADS Depositary for cancellation and delivery of Shares, pay the ADS Depositary’s fees required for the cancellation of your ADSs, and provide delivery instructions for the corresponding Shares, and sign a certification in a form provided by the ADS Depositary certifying that you either (i) beneficially owned the ADSs as of                 , 2024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a registered holders of Shares by the close of business in the Cayman Islands on the Share Record Date and (b) comply with the procedures and requirements for exercising dissenters’ rights for the Shares under Section 238 of the CICA.</w:t>
      </w:r>
    </w:p>
    <w:p>
      <w:pPr>
        <w:spacing w:after="0" w:line="344" w:lineRule="exact"/>
        <w:rPr>
          <w:sz w:val="20"/>
          <w:szCs w:val="20"/>
          <w:color w:val="auto"/>
        </w:rPr>
      </w:pPr>
    </w:p>
    <w:p>
      <w:pPr>
        <w:ind w:left="1620" w:right="539"/>
        <w:spacing w:after="0" w:line="254" w:lineRule="auto"/>
        <w:rPr>
          <w:sz w:val="20"/>
          <w:szCs w:val="20"/>
          <w:color w:val="auto"/>
        </w:rPr>
      </w:pPr>
      <w:r>
        <w:rPr>
          <w:rFonts w:ascii="Times New Roman" w:cs="Times New Roman" w:eastAsia="Times New Roman" w:hAnsi="Times New Roman"/>
          <w:sz w:val="18"/>
          <w:szCs w:val="18"/>
          <w:color w:val="auto"/>
        </w:rPr>
        <w:t>If you own certain ADSs (together with each Share represented by each such ADS) which were issued in connection with the conversion and exercise by certain Company employees of their Vested Company RSUs and/or Vested Company Options and which are held by The Core Group for and on behalf of such Company employees prior to Effective Time (other than ADSs representing the Excluded Shares, where applicable), and the Merger is completed, you will be entitled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w:t>
      </w:r>
    </w:p>
    <w:p>
      <w:pPr>
        <w:spacing w:after="0" w:line="11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Please see “Special Factors — U.S. Federal Income Tax Consequences,” “Special Factors — PRC Income Tax Consequences” and “Special Factors — Cayman Islands Tax Consequences” beginning on page 69 for a more detailed description of the tax consequences of the Merger. You should consult with your own tax advisor for a full understanding of how the Merger will affect your U.S. federal, state, local, foreign and other taxes.</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Company Options be treated in the Merger?</w:t>
      </w:r>
    </w:p>
    <w:p>
      <w:pPr>
        <w:spacing w:after="0" w:line="162" w:lineRule="exact"/>
        <w:rPr>
          <w:sz w:val="20"/>
          <w:szCs w:val="20"/>
          <w:color w:val="auto"/>
        </w:rPr>
      </w:pPr>
    </w:p>
    <w:p>
      <w:pPr>
        <w:ind w:left="1620" w:right="419" w:hanging="360"/>
        <w:spacing w:after="0" w:line="253"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Effective Time, each Vested Company Option (excluding any Vested Company Option which has been converted into ADSs) that is cancelled at the Effective Time will have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Unvested Company Option.</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Company RSUs be treated in the Merger?</w:t>
      </w:r>
    </w:p>
    <w:p>
      <w:pPr>
        <w:spacing w:after="0" w:line="162" w:lineRule="exact"/>
        <w:rPr>
          <w:sz w:val="20"/>
          <w:szCs w:val="20"/>
          <w:color w:val="auto"/>
        </w:rPr>
      </w:pPr>
    </w:p>
    <w:p>
      <w:pPr>
        <w:ind w:left="1620" w:right="459" w:hanging="360"/>
        <w:spacing w:after="0" w:line="256"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Time, each Unvested Company RSU that is cancelled at the Effective Time shall, in exchange therefor, be provided with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outstanding Vested Company RSU that has not been converted into ADSs.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effects will the Merger have on the Company?</w:t>
      </w:r>
    </w:p>
    <w:p>
      <w:pPr>
        <w:spacing w:after="0" w:line="175" w:lineRule="exact"/>
        <w:rPr>
          <w:sz w:val="20"/>
          <w:szCs w:val="20"/>
          <w:color w:val="auto"/>
        </w:rPr>
      </w:pPr>
    </w:p>
    <w:p>
      <w:pPr>
        <w:ind w:left="1620" w:right="439" w:hanging="360"/>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the Company will cease to be a publicly traded company and will instead become a private company beneficially owned by the Buyer Group. You will no longer have any interest in the future earnings or growth of the Company. Following the completion of the Merger, the registration of the Shares and ADSs and the Company’s reporting obligations with respect to the Shares and ADSs under the Exchange Act will be terminated upon application to the SEC. In addition, upon the completion of the Merger, the ADSs will no longer be listed or traded on any stock exchange, including NASDAQ, and the Company’s ADS program will terminate.</w:t>
      </w:r>
    </w:p>
    <w:p>
      <w:pPr>
        <w:spacing w:after="0" w:line="13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do you expect the Merger to be completed?</w:t>
      </w:r>
    </w:p>
    <w:p>
      <w:pPr>
        <w:spacing w:after="0" w:line="175" w:lineRule="exact"/>
        <w:rPr>
          <w:sz w:val="20"/>
          <w:szCs w:val="20"/>
          <w:color w:val="auto"/>
        </w:rPr>
      </w:pPr>
    </w:p>
    <w:p>
      <w:pPr>
        <w:ind w:left="1620" w:right="459" w:hanging="360"/>
        <w:spacing w:after="0" w:line="258"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consummating the Merger as soon as possible and currently expect the Merger to consummate during the first quarter of 2024, after all conditions to the Merger have been satisfied or waived. In order to complete the Merger, we must obtain shareholder approval of the Merger at the extraordinary general meeting and the other closing conditions under the Merger Agreement must be satisfied or waived in accordance with the Merger Agreement.</w:t>
      </w:r>
    </w:p>
    <w:p>
      <w:pPr>
        <w:spacing w:after="0" w:line="1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consummated?</w:t>
      </w:r>
    </w:p>
    <w:p>
      <w:pPr>
        <w:spacing w:after="0" w:line="175" w:lineRule="exact"/>
        <w:rPr>
          <w:sz w:val="20"/>
          <w:szCs w:val="20"/>
          <w:color w:val="auto"/>
        </w:rPr>
      </w:pPr>
    </w:p>
    <w:p>
      <w:pPr>
        <w:ind w:left="1620" w:right="419" w:hanging="360"/>
        <w:spacing w:after="0" w:line="253"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Company’s shareholders do not authorize and approve the Merger Agreement, the Plan of Merger and the consummation of the Transactions, including the Merger, or if the Merger is not completed for any other reason, the Company’s shareholders will not receive any payment for their Shares or ADSs pursuant to the Merger Agreement, nor will the holders of any Vested Company Options or any Vested Company RSU receive payment pursuant to the Merger Agreement, nor will the Unvested Company RSU be assumed and converted into equity incentive awards of the Surviving Company. In addition, the Company will remain a publicly traded company. The ADSs will continue to be listed and traded on NASDAQ;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continues to meet NASDAQ’s listing requirements. In addition, the Company will remain subject to the reporting obligations of the SEC. Therefore, the Company’s shareholders will continue to be subject to similar risks and opportunities as they currently are with respect to their ownership of Shares and ADSs.</w:t>
      </w:r>
    </w:p>
    <w:p>
      <w:pPr>
        <w:spacing w:after="0" w:line="342" w:lineRule="exact"/>
        <w:rPr>
          <w:rFonts w:ascii="Times New Roman" w:cs="Times New Roman" w:eastAsia="Times New Roman" w:hAnsi="Times New Roman"/>
          <w:sz w:val="18"/>
          <w:szCs w:val="18"/>
          <w:color w:val="auto"/>
        </w:rPr>
      </w:pPr>
    </w:p>
    <w:p>
      <w:pPr>
        <w:ind w:left="1620" w:right="5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the Company may be required to pay Parent or its designees a termination fee and reimburse Parent for certain costs and expenses in connection with the Merger, or Parent may be required to pay the Company or its designees a termination fee and reimburse the Company for certain costs and expenses in connection with the Merger, in each case as described in “The Merger Agreement and Plan of Merger — Termination Fees and Reimbursement of Expenses” beginning on page 100.</w:t>
      </w:r>
    </w:p>
    <w:p>
      <w:pPr>
        <w:spacing w:after="0" w:line="346" w:lineRule="exact"/>
        <w:rPr>
          <w:sz w:val="20"/>
          <w:szCs w:val="20"/>
          <w:color w:val="auto"/>
        </w:rPr>
      </w:pPr>
    </w:p>
    <w:p>
      <w:pPr>
        <w:jc w:val="center"/>
        <w:ind w:right="9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After the Merger is consummated, how will I receive the Merger consideration for my Shares?</w:t>
      </w:r>
    </w:p>
    <w:p>
      <w:pPr>
        <w:spacing w:after="0" w:line="175" w:lineRule="exact"/>
        <w:rPr>
          <w:sz w:val="20"/>
          <w:szCs w:val="20"/>
          <w:color w:val="auto"/>
        </w:rPr>
      </w:pPr>
    </w:p>
    <w:p>
      <w:pPr>
        <w:ind w:left="1620" w:right="459" w:hanging="360"/>
        <w:spacing w:after="0" w:line="255"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holder of Shares, promptly after the Effective Time, a paying agent appointed by Parent will email you with instructions to access an online portal maintained and operated by the paying agent, on which you will find (a) a form of letter of transmittal specifying how the delivery of the Exchange Fund to you will be effected and (b) instructions for use in effecting the surrender of any issued share certificates representing Shares (or affidavits and indemnities of loss in lieu of share certificates) or non-certificated Shares represented by book entry (“Uncertificated Shares”) or such other documents as may be required in exchange for the applicable Per Share Merger Consideration.</w:t>
      </w:r>
    </w:p>
    <w:p>
      <w:pPr>
        <w:spacing w:after="0" w:line="121" w:lineRule="exact"/>
        <w:rPr>
          <w:rFonts w:ascii="Times New Roman" w:cs="Times New Roman" w:eastAsia="Times New Roman" w:hAnsi="Times New Roman"/>
          <w:sz w:val="18"/>
          <w:szCs w:val="18"/>
          <w:color w:val="auto"/>
        </w:rPr>
      </w:pPr>
    </w:p>
    <w:p>
      <w:pPr>
        <w:ind w:left="16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validly exercise and have not effectively withdrawn or lost your dissenters’ rights in accordance with Section 238 of the CICA, upon your surrender of any share certificates (or an affidavit and indemnity of loss in lieu of the share certificates) or Uncertificated Shares, if applicable, and/or such other documents as may be required by the paying agent in accordance with the terms of such letter of transmittal, duly executed in accordance with the instructions thereto, you will receive by wire transfer or a check in the amount equal to (i) the number of your Shares (excluding Excluded Shares and Dissenting Shares) represented by such share certificate (or affidavits and indemnities of loss in lieu of share certificates) or the number of your Uncertificated Shares (excluding Excluded Shares and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Dissenting Shares), multiplied by (ii) US$0.816 per Share, in cash, without interest and net of any applicable withholding taxes, in exchange for your Shares (excluding Excluded Shares and Dissenting Shares).</w:t>
      </w:r>
    </w:p>
    <w:p>
      <w:pPr>
        <w:spacing w:after="0" w:line="102"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The Per Share Merger Consideration payable in the Merger may be subject to withholding taxes, including if the paying agent has not received from you a properly completed and signed U.S. Internal Revenue Service Form W-8 or W-9, as applicable.</w:t>
      </w:r>
    </w:p>
    <w:p>
      <w:pPr>
        <w:spacing w:after="0" w:line="102"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If your Shares are held through your broker, bank or other nominee, you will receive instructions from your broker, bank or other nominee on how to surrender your Shares and receive the Merger consideration for those Shares.</w:t>
      </w:r>
    </w:p>
    <w:p>
      <w:pPr>
        <w:spacing w:after="0" w:line="10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After the Merger is consummated, how will I receive the Merger consideration for my ADSs?</w:t>
      </w:r>
    </w:p>
    <w:p>
      <w:pPr>
        <w:spacing w:after="0" w:line="148" w:lineRule="exact"/>
        <w:rPr>
          <w:sz w:val="20"/>
          <w:szCs w:val="20"/>
          <w:color w:val="auto"/>
        </w:rPr>
      </w:pPr>
    </w:p>
    <w:p>
      <w:pPr>
        <w:ind w:left="1620" w:right="419" w:hanging="360"/>
        <w:spacing w:after="0" w:line="254"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holder of ADSs that are evidenced by certificates, also referred to as American depositary receipts (“ADRs”), unless you have surrendered your ADRs to the ADS Depositary for cancellation prior to the Effective Time, upon your surrender of your ADRs (or an affidavit and indemnity of loss in lieu of ADRs) together with a duly completed letter of transmittal (which will be supplied to you by the ADS Depositary after the Effective Time), the ADS Depositary will send you a check for US$4.08 per ADS (less US$0.05 per ADS cancelled and any other fees, charges and expenses payable pursuant to the terms of the Deposit Agreement), without interest and net of any applicable withholding taxes, for each ADS represented by the ADRs, in exchange for your ADRs after the completion of the Merger.</w:t>
      </w:r>
    </w:p>
    <w:p>
      <w:pPr>
        <w:spacing w:after="0" w:line="340" w:lineRule="exact"/>
        <w:rPr>
          <w:rFonts w:ascii="Times New Roman" w:cs="Times New Roman" w:eastAsia="Times New Roman" w:hAnsi="Times New Roman"/>
          <w:sz w:val="18"/>
          <w:szCs w:val="18"/>
          <w:color w:val="auto"/>
        </w:rPr>
      </w:pPr>
    </w:p>
    <w:p>
      <w:pPr>
        <w:ind w:left="1620" w:right="8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payable in the Merger may be subject to withholding taxes, including if the ADS Depositary has not received from you a properly completed and signed U.S. Internal Revenue Service Form W-8 or W-9, as applicable.</w:t>
      </w:r>
    </w:p>
    <w:p>
      <w:pPr>
        <w:spacing w:after="0" w:line="101" w:lineRule="exact"/>
        <w:rPr>
          <w:rFonts w:ascii="Times New Roman" w:cs="Times New Roman" w:eastAsia="Times New Roman" w:hAnsi="Times New Roman"/>
          <w:sz w:val="18"/>
          <w:szCs w:val="18"/>
          <w:color w:val="auto"/>
        </w:rPr>
      </w:pPr>
    </w:p>
    <w:p>
      <w:pPr>
        <w:ind w:left="1620" w:right="47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ADSs are held through your broker, bank or other nominee at the Depository Trust Company (“DTC”), you will not be required to take any action to receive the Per ADS Merger Consideration for your ADSs as the ADSs will be surrendered within DTC and the remittance of the Merger consideration (net of applicable fees, taxes or governmental charges, including US$0.05 per ADS cancelled and any other fees, charges and expenses payable pursuant to the terms of the Deposit Agreement) for distribution to your broker, bank or other nominee on your behalf. If you have any questions concerning the receipt of the Merger consideration, please contact your broker, bank or other nominee.</w:t>
      </w:r>
    </w:p>
    <w:p>
      <w:pPr>
        <w:spacing w:after="0" w:line="324" w:lineRule="exact"/>
        <w:rPr>
          <w:sz w:val="20"/>
          <w:szCs w:val="20"/>
          <w:color w:val="auto"/>
        </w:rPr>
      </w:pPr>
    </w:p>
    <w:p>
      <w:pPr>
        <w:ind w:left="1620" w:right="419" w:hanging="360"/>
        <w:spacing w:after="0" w:line="286" w:lineRule="auto"/>
        <w:tabs>
          <w:tab w:leader="none" w:pos="1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the Company’s shareholders is required to authorize and approve the Merger Agreement and the Plan of Merger?</w:t>
      </w:r>
    </w:p>
    <w:p>
      <w:pPr>
        <w:spacing w:after="0" w:line="78" w:lineRule="exact"/>
        <w:rPr>
          <w:sz w:val="20"/>
          <w:szCs w:val="20"/>
          <w:color w:val="auto"/>
        </w:rPr>
      </w:pPr>
    </w:p>
    <w:p>
      <w:pPr>
        <w:ind w:left="1620" w:right="439" w:hanging="360"/>
        <w:spacing w:after="0" w:line="256"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the Merger to be consummated, the Merger Agreement, the Plan of Merger and the consummation of the Transactions, including the Merger, must be authorized and approved by special resolutions (as defined in the CICA) of the Company’s shareholders, which requires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w:t>
      </w:r>
    </w:p>
    <w:p>
      <w:pPr>
        <w:spacing w:after="0" w:line="335" w:lineRule="exact"/>
        <w:rPr>
          <w:rFonts w:ascii="Times New Roman" w:cs="Times New Roman" w:eastAsia="Times New Roman" w:hAnsi="Times New Roman"/>
          <w:sz w:val="18"/>
          <w:szCs w:val="18"/>
          <w:color w:val="auto"/>
        </w:rPr>
      </w:pPr>
    </w:p>
    <w:p>
      <w:pPr>
        <w:ind w:left="1620" w:right="5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in the Cayman Islands on                               , 2024, the Share Record Date for the extraordinary general meeting,                               Class A Shares and                               Class B Shares are expected to be issued and outstanding and entitled to vote at the extraordinary general meeting.</w:t>
      </w:r>
    </w:p>
    <w:p>
      <w:pPr>
        <w:spacing w:after="0" w:line="323"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 among other things, the Rollover Shareholders have agreed to vote in favor of authorization and approval of the Merger Agreement, the Plan of Merger and the Transactions, including the Merger.</w:t>
      </w:r>
    </w:p>
    <w:p>
      <w:pPr>
        <w:spacing w:after="0" w:line="84" w:lineRule="exact"/>
        <w:rPr>
          <w:sz w:val="20"/>
          <w:szCs w:val="20"/>
          <w:color w:val="auto"/>
        </w:rPr>
      </w:pPr>
    </w:p>
    <w:p>
      <w:pPr>
        <w:ind w:left="1620" w:right="1479" w:hanging="360"/>
        <w:spacing w:after="0" w:line="286" w:lineRule="auto"/>
        <w:tabs>
          <w:tab w:leader="none" w:pos="1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the Company’s shareholders is required to approve the proposal to adjourn the extraordinary general meeting, if necessary, to solicit additional proxies?</w:t>
      </w:r>
    </w:p>
    <w:p>
      <w:pPr>
        <w:spacing w:after="0" w:line="91" w:lineRule="exact"/>
        <w:rPr>
          <w:sz w:val="20"/>
          <w:szCs w:val="20"/>
          <w:color w:val="auto"/>
        </w:rPr>
      </w:pPr>
    </w:p>
    <w:p>
      <w:pPr>
        <w:ind w:left="1620" w:right="69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adjourn the extraordinary general meeting, if necessary, to solicit additional proxies must be authorized and approved by an affirmative vote of holders of Shares representing a simple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39"/>
        <w:spacing w:after="0" w:line="258" w:lineRule="auto"/>
        <w:rPr>
          <w:sz w:val="20"/>
          <w:szCs w:val="20"/>
          <w:color w:val="auto"/>
        </w:rPr>
      </w:pPr>
      <w:r>
        <w:rPr>
          <w:rFonts w:ascii="Times New Roman" w:cs="Times New Roman" w:eastAsia="Times New Roman" w:hAnsi="Times New Roman"/>
          <w:sz w:val="18"/>
          <w:szCs w:val="18"/>
          <w:color w:val="auto"/>
        </w:rPr>
        <w:t>majority of the votes of such shareholders as, being entitled to do so, vote in person or by proxy, or in the case of corporations, by their duly authorized representatives, as a single class at the extraordinary general meeting.</w:t>
      </w:r>
    </w:p>
    <w:p>
      <w:pPr>
        <w:spacing w:after="0" w:line="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Board recommend that I vote on the proposals?</w:t>
      </w:r>
    </w:p>
    <w:p>
      <w:pPr>
        <w:spacing w:after="0" w:line="148" w:lineRule="exact"/>
        <w:rPr>
          <w:sz w:val="20"/>
          <w:szCs w:val="20"/>
          <w:color w:val="auto"/>
        </w:rPr>
      </w:pPr>
    </w:p>
    <w:p>
      <w:pPr>
        <w:ind w:left="1620" w:right="67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and upon the unanimous recommendation of the Special Committee, the Board recommends you to vote: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proposals to authorize and approve the execution, delivery and performance of the Merger Agreement, the Plan of Merger and the consummation of the Transactions, including the Merger, and, upon the Merger becoming effective, the Variation of Capital and the Adoption of Amended M&amp;A;</w:t>
      </w:r>
    </w:p>
    <w:p>
      <w:pPr>
        <w:spacing w:after="0" w:line="29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 to authorize each of the members of the Special Committee and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71"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2"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You should read “Special Factors — Reasons for the Merger and Recommendation of the Special Committee and the Board” beginning on page 37 for a discussion of the factors that the Special Committee and the Board considered in deciding to recommend the approval of the Merger Agreement. In addition, in considering the recommendation of the Special Committee and the Board with respect to the Merger Agreement, you should be aware that some of the Company’s directors and executive officers have interests in the Merger that are different from, or in addition to, the interests of the Company’s shareholders and ADSs holders generally. See “Special Factors — Interests of Certain Persons in the Merger” beginning on page 65.</w:t>
      </w:r>
    </w:p>
    <w:p>
      <w:pPr>
        <w:spacing w:after="0" w:line="10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extraordinary general meeting?</w:t>
      </w:r>
    </w:p>
    <w:p>
      <w:pPr>
        <w:spacing w:after="0" w:line="162" w:lineRule="exact"/>
        <w:rPr>
          <w:sz w:val="20"/>
          <w:szCs w:val="20"/>
          <w:color w:val="auto"/>
        </w:rPr>
      </w:pPr>
    </w:p>
    <w:p>
      <w:pPr>
        <w:ind w:left="1620" w:right="419" w:hanging="360"/>
        <w:spacing w:after="0" w:line="254"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Record Date is                               , 2024. Only shareholders entered in the register of members of the Company at the close of business in the Cayman Islands on the Share Record Date or their proxy holders are entitled to vote at the extraordinary general meeting or any adjournment thereof. The ADS Record Date is                               , 2024. Only ADS holders of the Company at the close of business in New York City on the ADS Record Date are entitled to instruct the ADS Depositary to vote at the extraordinary general meeting. Alternatively, you may vote at the extraordinary general meeting if you do not vote the ADSs and surrender and cancel your ADSs for delivery of Shares by the close of business in New York City on                               , 2024 and become a holder of Shares by the close of business in the Cayman Islands on the Share Record Date.</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extraordinary general meeting?</w:t>
      </w:r>
    </w:p>
    <w:p>
      <w:pPr>
        <w:spacing w:after="0" w:line="148" w:lineRule="exact"/>
        <w:rPr>
          <w:sz w:val="20"/>
          <w:szCs w:val="20"/>
          <w:color w:val="auto"/>
        </w:rPr>
      </w:pPr>
    </w:p>
    <w:p>
      <w:pPr>
        <w:ind w:left="1620" w:right="939" w:hanging="360"/>
        <w:spacing w:after="0" w:line="26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the extraordinary general meeting consists of two shareholders entitled to vote and present in person or by proxy, or if the shareholder is a legal entity, by its duly authorized representative.</w:t>
      </w:r>
    </w:p>
    <w:p>
      <w:pPr>
        <w:spacing w:after="0" w:line="104" w:lineRule="exact"/>
        <w:rPr>
          <w:sz w:val="20"/>
          <w:szCs w:val="20"/>
          <w:color w:val="auto"/>
        </w:rPr>
      </w:pPr>
    </w:p>
    <w:p>
      <w:pPr>
        <w:ind w:left="1620" w:right="699" w:hanging="360"/>
        <w:spacing w:after="0" w:line="286" w:lineRule="auto"/>
        <w:tabs>
          <w:tab w:leader="none" w:pos="1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directors and executive officers vote on the proposal to authorize and approve the Merger Agreement?</w:t>
      </w:r>
    </w:p>
    <w:p>
      <w:pPr>
        <w:spacing w:after="0" w:line="91" w:lineRule="exact"/>
        <w:rPr>
          <w:sz w:val="20"/>
          <w:szCs w:val="20"/>
          <w:color w:val="auto"/>
        </w:rPr>
      </w:pPr>
    </w:p>
    <w:p>
      <w:pPr>
        <w:ind w:left="1620" w:right="519" w:hanging="360"/>
        <w:spacing w:after="0" w:line="255"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Support Agreement, each Rollover Shareholder has agreed to vote in favor of authorization and approval of the Merger Agreement, the Plan of Merger and the consummation of the Transactions, including the Merger. As of the date of this Proxy Statement, the Rollover Shareholders beneficially own an aggregate of 13,107,608 Class A Shares and 4,385,078 Class B Shares, including Class A Shares represented by ADSs, which represent approximately 35% of the total issued and outstanding Shares and approximately 69% of the total voting power of the issued and outstanding Shares. The Co-Founders, both of whom being members of our Board, are also Rollover Shareholders.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7" w:lineRule="auto"/>
        <w:rPr>
          <w:sz w:val="20"/>
          <w:szCs w:val="20"/>
          <w:color w:val="auto"/>
        </w:rPr>
      </w:pPr>
      <w:r>
        <w:rPr>
          <w:rFonts w:ascii="Times New Roman" w:cs="Times New Roman" w:eastAsia="Times New Roman" w:hAnsi="Times New Roman"/>
          <w:sz w:val="18"/>
          <w:szCs w:val="18"/>
          <w:color w:val="auto"/>
        </w:rPr>
        <w:t>As of the date of this Proxy Statement, our directors and executive officers beneficially own, in the aggregate, 61% of the voting power of the total issued and outstanding Shares. These directors and executive officers have informed us that they intend, as of the date of this Proxy Statement, to vote all their Shares in favor of the authorization and approval of the Merger Agreement, the Plan of Merger and the Transactions, including the Merger. See “Security Ownership of Certain Beneficial Owners and Management of the Company” beginning on page 109 for additional information.</w:t>
      </w:r>
    </w:p>
    <w:p>
      <w:pPr>
        <w:spacing w:after="0" w:line="108" w:lineRule="exact"/>
        <w:rPr>
          <w:sz w:val="20"/>
          <w:szCs w:val="20"/>
          <w:color w:val="auto"/>
        </w:rPr>
      </w:pPr>
    </w:p>
    <w:p>
      <w:pPr>
        <w:ind w:left="1620" w:right="559" w:hanging="360"/>
        <w:spacing w:after="0" w:line="286" w:lineRule="auto"/>
        <w:tabs>
          <w:tab w:leader="none" w:pos="16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Company’s directors or executive officers have interests in the Merger that may differ from those of other shareholders?</w:t>
      </w:r>
    </w:p>
    <w:p>
      <w:pPr>
        <w:spacing w:after="0" w:line="78" w:lineRule="exact"/>
        <w:rPr>
          <w:sz w:val="20"/>
          <w:szCs w:val="20"/>
          <w:color w:val="auto"/>
        </w:rPr>
      </w:pPr>
    </w:p>
    <w:p>
      <w:pPr>
        <w:ind w:left="1620" w:right="459" w:hanging="360"/>
        <w:spacing w:after="0" w:line="258"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Some of the Company’s directors or executive officers have interests in the Merger that may differ from those of other shareholders. See “Special Factors — Interests of Certain Persons in the Merger” beginning on page 65 for a more detailed discussion of how some of the Company’s directors and executive officers have interests in the Merger that are different from, and/or in addition to, the interests of the Company’s shareholders and ADSs holders generally.</w:t>
      </w:r>
    </w:p>
    <w:p>
      <w:pPr>
        <w:spacing w:after="0" w:line="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if my Shares are registered in my name?</w:t>
      </w:r>
    </w:p>
    <w:p>
      <w:pPr>
        <w:spacing w:after="0" w:line="162" w:lineRule="exact"/>
        <w:rPr>
          <w:sz w:val="20"/>
          <w:szCs w:val="20"/>
          <w:color w:val="auto"/>
        </w:rPr>
      </w:pPr>
    </w:p>
    <w:p>
      <w:pPr>
        <w:ind w:left="1620" w:right="519" w:hanging="360"/>
        <w:spacing w:after="0" w:line="25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registered in your name (that is, you do not hold ADSs or otherwise hold through a bank or broker) as of the Share Record Date, you should simply indicate on your proxy card how you want to vote, and sign and mail your proxy card in the accompanying return envelope as soon as possible so that it is received by the Company no later than                               , 2024 at                               (Hong Kong time) or                               , 2024 at                               (New York time), the deadline to lodge your proxy card, so that your Shares may be represented and voted at the extraordinary general meeting.</w:t>
      </w:r>
    </w:p>
    <w:p>
      <w:pPr>
        <w:spacing w:after="0" w:line="335" w:lineRule="exact"/>
        <w:rPr>
          <w:rFonts w:ascii="Times New Roman" w:cs="Times New Roman" w:eastAsia="Times New Roman" w:hAnsi="Times New Roman"/>
          <w:sz w:val="18"/>
          <w:szCs w:val="18"/>
          <w:color w:val="auto"/>
        </w:rPr>
      </w:pPr>
    </w:p>
    <w:p>
      <w:pPr>
        <w:ind w:left="1620" w:right="45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you can attend the extraordinary general meeting and vote in person. To attend the extraordinary general meeting, you must present certain documents to verify your identities, such as your identification card or passport and your share certificate. If you decide to sign and send in your proxy card, and do not indicate how you want to vote, Shares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represented by your proxy card will be voted (or not submitted for voting) as your proxy determines.</w:t>
      </w:r>
    </w:p>
    <w:p>
      <w:pPr>
        <w:spacing w:after="0" w:line="333" w:lineRule="exact"/>
        <w:rPr>
          <w:sz w:val="20"/>
          <w:szCs w:val="20"/>
          <w:color w:val="auto"/>
        </w:rPr>
      </w:pPr>
    </w:p>
    <w:p>
      <w:pPr>
        <w:ind w:left="1620" w:right="1139"/>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nominee, please see below for additional information.</w:t>
      </w:r>
    </w:p>
    <w:p>
      <w:pPr>
        <w:spacing w:after="0" w:line="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if I own ADSs?</w:t>
      </w:r>
    </w:p>
    <w:p>
      <w:pPr>
        <w:spacing w:after="0" w:line="148" w:lineRule="exact"/>
        <w:rPr>
          <w:sz w:val="20"/>
          <w:szCs w:val="20"/>
          <w:color w:val="auto"/>
        </w:rPr>
      </w:pPr>
    </w:p>
    <w:p>
      <w:pPr>
        <w:ind w:left="1620" w:right="519" w:hanging="360"/>
        <w:spacing w:after="0" w:line="258"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request the ADS Depositary to arrange for the delivery to ADS holders as of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15" w:lineRule="exact"/>
        <w:rPr>
          <w:rFonts w:ascii="Times New Roman" w:cs="Times New Roman" w:eastAsia="Times New Roman" w:hAnsi="Times New Roman"/>
          <w:sz w:val="18"/>
          <w:szCs w:val="18"/>
          <w:color w:val="auto"/>
        </w:rPr>
      </w:pPr>
    </w:p>
    <w:p>
      <w:pPr>
        <w:ind w:left="1620" w:right="53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ADSs as of the close of business in New York City on the ADS Record Date (and do not cancel such ADSs and become a registered holder of the Shares underlying your ADSs as explained below), you cannot attend and vote at the extraordinary general meeting directly, but you may instruct the ADS Depositary (as the registered holder of Shares underlying your ADSs) how to vote the Shares underlying your ADSs by completing and signing the ADS Voting Instruction Card and returning it in accordance with the instructions printed on it as soon as possible. The ADS Depositary must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receive such instructions no later than 9:00 a.m. (New York City time) on                               , 2024 in order to ensure the Shares underlying your ADSs are voted at the extraordinary general meeting. The ADS Depositary will endeavor to vote (or will endeavor to cause the vote of), in so far as practicable and permitted under applicable law, the provisions of the Deposit Agreement and the memorandum and articles of association of the Company, the Shares represented by the ADSs at the extraordinary general meeting in accordance with the voting instructions timely received from holders of ADSs.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118" w:lineRule="exact"/>
        <w:rPr>
          <w:sz w:val="20"/>
          <w:szCs w:val="20"/>
          <w:color w:val="auto"/>
        </w:rPr>
      </w:pPr>
    </w:p>
    <w:p>
      <w:pPr>
        <w:ind w:left="1620" w:right="479"/>
        <w:spacing w:after="0" w:line="246" w:lineRule="auto"/>
        <w:rPr>
          <w:sz w:val="20"/>
          <w:szCs w:val="20"/>
          <w:color w:val="auto"/>
        </w:rPr>
      </w:pPr>
      <w:r>
        <w:rPr>
          <w:rFonts w:ascii="Times New Roman" w:cs="Times New Roman" w:eastAsia="Times New Roman" w:hAnsi="Times New Roman"/>
          <w:sz w:val="18"/>
          <w:szCs w:val="18"/>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114"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cancel your ADSs and become a holder of the Shares underlying your ADSs prior to the close of business in the Cayman Islands on the Share Record Date. If you wish to cancel your ADSs for the purpose of voting the corresponding Shares directly at the extraordinary general meeting after the ADS Record Date, you need to make arrangements with your broker or custodian to deliver your ADSs to the ADS Depositary for cancellation before 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nominee to find out what actions you need to take to instruct the broker, bank or other nominee to cancel the ADSs on your behalf. Upon cancellation of the ADSs, the ADS Depositary will direct the custodian holding the Shares, to deliver, or cause the delivery of the Shares represented by the ADSs so cancelled to or upon the written order of the person(s) designated in the order delivered to the ADS Depositary for such purpose.</w:t>
      </w:r>
    </w:p>
    <w:p>
      <w:pPr>
        <w:spacing w:after="0" w:line="336"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If after the registration of Shares in your name you wish to receive a certificate evidencing the Shares registered in your name, you will need to request the Registrar of Companies of the Cayman Islands, to issue and mail a certificate to your attention. If the Merger is not consummated, the Company will continue to be a public company in the United States and ADSs will continue to be listed on NASDAQ. As a result, if you have cancelled your ADSs to attend the extraordinary general meeting and you wish to be able to sell your Shares on a stock exchange, you will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w:t>
      </w:r>
    </w:p>
    <w:p>
      <w:pPr>
        <w:spacing w:after="0" w:line="101" w:lineRule="exact"/>
        <w:rPr>
          <w:sz w:val="20"/>
          <w:szCs w:val="20"/>
          <w:color w:val="auto"/>
        </w:rPr>
      </w:pPr>
    </w:p>
    <w:p>
      <w:pPr>
        <w:ind w:left="1620" w:right="679" w:hanging="360"/>
        <w:spacing w:after="0" w:line="286" w:lineRule="auto"/>
        <w:tabs>
          <w:tab w:leader="none" w:pos="16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or ADSs are held in a brokerage, bank or other securities account, will my broker, bank or other securities intermediary vote my Shares or ADSs on my behalf?</w:t>
      </w:r>
    </w:p>
    <w:p>
      <w:pPr>
        <w:spacing w:after="0" w:line="91" w:lineRule="exact"/>
        <w:rPr>
          <w:sz w:val="20"/>
          <w:szCs w:val="20"/>
          <w:color w:val="auto"/>
        </w:rPr>
      </w:pPr>
    </w:p>
    <w:p>
      <w:pPr>
        <w:ind w:left="1620" w:right="519" w:hanging="360"/>
        <w:spacing w:after="0" w:line="263"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will only vote your Shares on your behalf or give voting instructions with respect to the Shares underlying your ADSs if you instruct it how to vote. Therefore, it is important that you promptly follow the directions provided by your broker, bank or other nominee regarding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61" w:lineRule="auto"/>
        <w:rPr>
          <w:sz w:val="20"/>
          <w:szCs w:val="20"/>
          <w:color w:val="auto"/>
        </w:rPr>
      </w:pPr>
      <w:r>
        <w:rPr>
          <w:rFonts w:ascii="Times New Roman" w:cs="Times New Roman" w:eastAsia="Times New Roman" w:hAnsi="Times New Roman"/>
          <w:sz w:val="18"/>
          <w:szCs w:val="18"/>
          <w:color w:val="auto"/>
        </w:rPr>
        <w:t>how to instruct it to vote your Shares or ADSs. If you do not instruct your broker, bank or other nominee how to vote your Shares that it holds, those Shares or ADSs may not be voted. You should contact that broker or intermediary to determine the date by which you must instruct them to act in order that the necessary processing can be completed in time.</w:t>
      </w:r>
    </w:p>
    <w:p>
      <w:pPr>
        <w:spacing w:after="0" w:line="108" w:lineRule="exact"/>
        <w:rPr>
          <w:sz w:val="20"/>
          <w:szCs w:val="20"/>
          <w:color w:val="auto"/>
        </w:rPr>
      </w:pPr>
    </w:p>
    <w:p>
      <w:pPr>
        <w:ind w:left="1620" w:right="879" w:hanging="360"/>
        <w:spacing w:after="0" w:line="286" w:lineRule="auto"/>
        <w:tabs>
          <w:tab w:leader="none" w:pos="1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on the proposal to authorize and approve the Merger Agreement?</w:t>
      </w:r>
    </w:p>
    <w:p>
      <w:pPr>
        <w:spacing w:after="0" w:line="91" w:lineRule="exact"/>
        <w:rPr>
          <w:sz w:val="20"/>
          <w:szCs w:val="20"/>
          <w:color w:val="auto"/>
        </w:rPr>
      </w:pPr>
    </w:p>
    <w:p>
      <w:pPr>
        <w:ind w:left="1620" w:right="439" w:hanging="360"/>
        <w:spacing w:after="0" w:line="252"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direct shareholder on the books of the Company, you abstain from voting, fail to cast your vote in person, fail to complete and return your proxy card in accordance with the instructions set forth on the proxy card, or fail to give voting instructions to your broker, bank, or other nominee, your vote will not be counted; provided that if you decide to sign and send in your proxy card, and do not indicate how you want to vote, Shares (other than Shares represented by ADSs)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(other than Shares represented by ADSs) represented by your proxy card will be voted (or not submitted for voting) as your proxy determines.</w:t>
      </w:r>
    </w:p>
    <w:p>
      <w:pPr>
        <w:spacing w:after="0" w:line="32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w:t>
      </w:r>
    </w:p>
    <w:p>
      <w:pPr>
        <w:spacing w:after="0" w:line="162" w:lineRule="exact"/>
        <w:rPr>
          <w:sz w:val="20"/>
          <w:szCs w:val="20"/>
          <w:color w:val="auto"/>
        </w:rPr>
      </w:pPr>
    </w:p>
    <w:p>
      <w:pPr>
        <w:ind w:left="1620" w:hanging="360"/>
        <w:spacing w:after="0"/>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Shares, you may change your vote in one of the following three ways: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China, Attention: Investor Relations Department, at least 48 hours before the commencement of the extraordinary general meeting.</w:t>
      </w:r>
    </w:p>
    <w:p>
      <w:pPr>
        <w:spacing w:after="0" w:line="295"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complete, date and submit a new proxy card bearing a later date than the proxy card sought to be revoked to the Company so that it is received by the Company no later</w:t>
      </w:r>
    </w:p>
    <w:p>
      <w:pPr>
        <w:ind w:left="1800" w:right="10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(Hong Kong time) on                     , 2024 or                     (New York time) on                     , 2024, being 48 hours before the time appointed for the extraordinary general meeting which is the deadline to lodge your proxy card.</w:t>
      </w:r>
    </w:p>
    <w:p>
      <w:pPr>
        <w:spacing w:after="0" w:line="7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attend the extraordinary general meeting and vote in person. Attendance, by itself, will not revoke a proxy. It will only be revoked if the shareholder actually votes at the extraordinary general meeting.</w:t>
      </w:r>
    </w:p>
    <w:p>
      <w:pPr>
        <w:spacing w:after="0" w:line="108"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 broker, bank or other securities intermediary and you have instructed your broker, bank or other securities intermediary to vote your Shares, you must follow directions received from the broker, bank or other securities intermediary to change your instructions.</w:t>
      </w:r>
    </w:p>
    <w:p>
      <w:pPr>
        <w:spacing w:after="0" w:line="95" w:lineRule="exact"/>
        <w:rPr>
          <w:sz w:val="20"/>
          <w:szCs w:val="20"/>
          <w:color w:val="auto"/>
        </w:rPr>
      </w:pPr>
    </w:p>
    <w:p>
      <w:pPr>
        <w:ind w:left="1620" w:right="999"/>
        <w:spacing w:after="0" w:line="266" w:lineRule="auto"/>
        <w:rPr>
          <w:sz w:val="20"/>
          <w:szCs w:val="20"/>
          <w:color w:val="auto"/>
        </w:rPr>
      </w:pPr>
      <w:r>
        <w:rPr>
          <w:rFonts w:ascii="Times New Roman" w:cs="Times New Roman" w:eastAsia="Times New Roman" w:hAnsi="Times New Roman"/>
          <w:sz w:val="18"/>
          <w:szCs w:val="18"/>
          <w:color w:val="auto"/>
        </w:rPr>
        <w:t>Registered owners of ADSs may revoke their voting instructions to the ADS Depositary prior to 9:00 a.m. (New York City time) on                               , 2024 by submitting a new ADS voting instruction card, specific to that registered owner, to the ADS Depositary.</w:t>
      </w:r>
    </w:p>
    <w:p>
      <w:pPr>
        <w:spacing w:after="0" w:line="108" w:lineRule="exact"/>
        <w:rPr>
          <w:sz w:val="20"/>
          <w:szCs w:val="20"/>
          <w:color w:val="auto"/>
        </w:rPr>
      </w:pPr>
    </w:p>
    <w:p>
      <w:pPr>
        <w:ind w:left="1620" w:right="619"/>
        <w:spacing w:after="0" w:line="266" w:lineRule="auto"/>
        <w:rPr>
          <w:sz w:val="20"/>
          <w:szCs w:val="20"/>
          <w:color w:val="auto"/>
        </w:rPr>
      </w:pPr>
      <w:r>
        <w:rPr>
          <w:rFonts w:ascii="Times New Roman" w:cs="Times New Roman" w:eastAsia="Times New Roman" w:hAnsi="Times New Roman"/>
          <w:sz w:val="18"/>
          <w:szCs w:val="18"/>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62" w:lineRule="exact"/>
        <w:rPr>
          <w:sz w:val="20"/>
          <w:szCs w:val="20"/>
          <w:color w:val="auto"/>
        </w:rPr>
      </w:pPr>
    </w:p>
    <w:p>
      <w:pPr>
        <w:ind w:left="1620" w:right="459" w:hanging="360"/>
        <w:spacing w:after="0" w:line="25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or multiple proxies or voting instruction cards. For example, if you hold your Shares or ADSs in more than one brokerage, bank, securities intermediary or other account, you will receive a separate voting instruction card for each brokerage, bank, securities intermediary or other account in which you hold Shares or ADSs. If you are a holder of record and your Shares or your registered ADSs are registered in more than one name, you will receive more than one proxy or voting instruction card. Please submit each proxy card that you receive.</w:t>
      </w:r>
    </w:p>
    <w:p>
      <w:pPr>
        <w:spacing w:after="0" w:line="104" w:lineRule="exact"/>
        <w:rPr>
          <w:sz w:val="20"/>
          <w:szCs w:val="20"/>
          <w:color w:val="auto"/>
        </w:rPr>
      </w:pPr>
    </w:p>
    <w:p>
      <w:pPr>
        <w:ind w:left="1620" w:right="519" w:hanging="360"/>
        <w:spacing w:after="0" w:line="286" w:lineRule="auto"/>
        <w:tabs>
          <w:tab w:leader="none" w:pos="16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holder of certificated Shares or ADRs evidencing ADSs, should I send in my Share certificates or my ADRs now?</w:t>
      </w:r>
    </w:p>
    <w:p>
      <w:pPr>
        <w:spacing w:after="0" w:line="91" w:lineRule="exact"/>
        <w:rPr>
          <w:sz w:val="20"/>
          <w:szCs w:val="20"/>
          <w:color w:val="auto"/>
        </w:rPr>
      </w:pPr>
    </w:p>
    <w:p>
      <w:pPr>
        <w:ind w:left="1620" w:right="439" w:hanging="360"/>
        <w:spacing w:after="0" w:line="256"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 is consummated, you will be sent a form of letter of transmittal with detailed written instructions for exchanging your Share certificates for the Merger consideration. Please do not send in your Share certificates now. Similarly, you should not send in the ADRs that represent your ADSs at this time. Promptly after the Merger is consummated, the ADS Depositary will call for the surrender of all ADRs for delivery of the Merger consideration and ADR holders will receive a similar form of letter of transmittal and written instructions from the ADS Depositary relating to the foregoing.</w:t>
      </w:r>
    </w:p>
    <w:p>
      <w:pPr>
        <w:spacing w:after="0" w:line="119" w:lineRule="exact"/>
        <w:rPr>
          <w:rFonts w:ascii="Times New Roman" w:cs="Times New Roman" w:eastAsia="Times New Roman" w:hAnsi="Times New Roman"/>
          <w:sz w:val="18"/>
          <w:szCs w:val="18"/>
          <w:color w:val="auto"/>
        </w:rPr>
      </w:pPr>
    </w:p>
    <w:p>
      <w:pPr>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Uncertificated Shares (i.e., holders whose Shares are held in book entry) will also be sent the form of letter of transmittal and written instructions on how to receive their Merger consideration. All holders of uncertificated ADSs (i.e., holders whose ADSs are held in book entry) will automatically receive their Merger consideration (net of applicable fees and taxes) shortly after the Merger is consummated without any further action required on the part of such holders.</w:t>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Shares or ADSs before the extraordinary general meeting?</w:t>
      </w:r>
    </w:p>
    <w:p>
      <w:pPr>
        <w:spacing w:after="0" w:line="148" w:lineRule="exact"/>
        <w:rPr>
          <w:sz w:val="20"/>
          <w:szCs w:val="20"/>
          <w:color w:val="auto"/>
        </w:rPr>
      </w:pPr>
    </w:p>
    <w:p>
      <w:pPr>
        <w:ind w:left="1620" w:right="539" w:hanging="360"/>
        <w:spacing w:after="0" w:line="255"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Record Date for voting at the extraordinary general meeting is earlier than the date of the extraordinary general meeting and the date that the Merger is expected to be consummated. If you transfer your Shares after the Share Record Date for voting but before the extraordinary general meeting, you will retain your right to vote at the extraordinary general meeting unless you have given, and not revoked, a proxy to the person to whom you transfer your Shares, but will transfer the right to receive the Merger consideration to such person, so long as such person is registered as the owner of such Shares when the Merger is consummated.</w:t>
      </w:r>
    </w:p>
    <w:p>
      <w:pPr>
        <w:spacing w:after="0" w:line="121" w:lineRule="exact"/>
        <w:rPr>
          <w:rFonts w:ascii="Times New Roman" w:cs="Times New Roman" w:eastAsia="Times New Roman" w:hAnsi="Times New Roman"/>
          <w:sz w:val="18"/>
          <w:szCs w:val="18"/>
          <w:color w:val="auto"/>
        </w:rPr>
      </w:pPr>
    </w:p>
    <w:p>
      <w:pPr>
        <w:ind w:left="162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Record Date is the close of business in New York City on                               , 2024. If you transfer your ADSs after the ADS Record Date but before the extraordinary general meeting, you will retain your right to instruct the ADS Depositary to vote at the extraordinary general meeting, but will transfer the right to receive the Merger consideration to the person to whom you transfer your ADSs, so long as such person owns such ADSs when the Merger is consummated.</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Am I entitled to dissenters’ rights?</w:t>
      </w:r>
    </w:p>
    <w:p>
      <w:pPr>
        <w:spacing w:after="0" w:line="148" w:lineRule="exact"/>
        <w:rPr>
          <w:sz w:val="20"/>
          <w:szCs w:val="20"/>
          <w:color w:val="auto"/>
        </w:rPr>
      </w:pPr>
    </w:p>
    <w:p>
      <w:pPr>
        <w:ind w:left="1620" w:right="439" w:hanging="360"/>
        <w:spacing w:after="0" w:line="253"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26"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must, before                               (New York City Time) on 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her or its Shares on a stock exchange, such former ADS holder would need to deposit his, her or its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w:t>
      </w:r>
    </w:p>
    <w:p>
      <w:pPr>
        <w:spacing w:after="0" w:line="353" w:lineRule="exact"/>
        <w:rPr>
          <w:sz w:val="20"/>
          <w:szCs w:val="20"/>
          <w:color w:val="auto"/>
        </w:rPr>
      </w:pPr>
    </w:p>
    <w:p>
      <w:pPr>
        <w:ind w:left="1620" w:right="479"/>
        <w:spacing w:after="0" w:line="261" w:lineRule="auto"/>
        <w:rPr>
          <w:sz w:val="20"/>
          <w:szCs w:val="20"/>
          <w:color w:val="auto"/>
        </w:rPr>
      </w:pPr>
      <w:r>
        <w:rPr>
          <w:rFonts w:ascii="Times New Roman" w:cs="Times New Roman" w:eastAsia="Times New Roman" w:hAnsi="Times New Roman"/>
          <w:sz w:val="18"/>
          <w:szCs w:val="18"/>
          <w:color w:val="auto"/>
        </w:rPr>
        <w:t>We encourage you to read the section of this Proxy Statement entitled “Dissenters’ Rights” beginning on page 103 as well as “Annex D — Cayman Islands Companies Act (As Amended) — Section 238” to this Proxy Statement carefully and to consult your own Cayman Islands legal counsel if you desire to exercise your dissenters’ rights.</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48" w:lineRule="exact"/>
        <w:rPr>
          <w:sz w:val="20"/>
          <w:szCs w:val="20"/>
          <w:color w:val="auto"/>
        </w:rPr>
      </w:pPr>
    </w:p>
    <w:p>
      <w:pPr>
        <w:jc w:val="both"/>
        <w:ind w:left="1620" w:right="439" w:hanging="360"/>
        <w:spacing w:after="0" w:line="266"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any proxy solicitors be used in connection with the extraordinary general meeting?</w:t>
      </w:r>
    </w:p>
    <w:p>
      <w:pPr>
        <w:spacing w:after="0" w:line="162" w:lineRule="exact"/>
        <w:rPr>
          <w:sz w:val="20"/>
          <w:szCs w:val="20"/>
          <w:color w:val="auto"/>
        </w:rPr>
      </w:pPr>
    </w:p>
    <w:p>
      <w:pPr>
        <w:ind w:left="1620" w:right="539" w:hanging="360"/>
        <w:spacing w:after="0" w:line="256"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retained a third-party service provider to assist in the solicitation process. We will ask banks, brokers and other securities intermediaries to forward our proxy solicitation materials to the beneficial owners of Shares.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pay all expenses of filing, printing and mailing this Proxy Statement.</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2" w:lineRule="exact"/>
        <w:rPr>
          <w:sz w:val="20"/>
          <w:szCs w:val="20"/>
          <w:color w:val="auto"/>
        </w:rPr>
      </w:pPr>
    </w:p>
    <w:p>
      <w:pPr>
        <w:ind w:left="1620" w:right="499" w:hanging="360"/>
        <w:spacing w:after="0" w:line="263"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Merger or if you need additional copies of this Proxy Statement or the accompanying proxy card, you should contact our Investor Relations Department at +852-3700-9100 or by email at ir@i-click.com, for China, or at +1 516 222 2560 or by email at tomc@coreir.com, for the U.S.</w:t>
      </w:r>
    </w:p>
    <w:p>
      <w:pPr>
        <w:spacing w:after="0" w:line="330" w:lineRule="exact"/>
        <w:rPr>
          <w:sz w:val="20"/>
          <w:szCs w:val="20"/>
          <w:color w:val="auto"/>
        </w:rPr>
      </w:pPr>
    </w:p>
    <w:p>
      <w:pPr>
        <w:ind w:left="126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In order for you to receive timely delivery of any additional copy of this Proxy Statement or the accompanying proxy card in advance of the extraordinary general meeting, you must make your request no later than ten days prior to the date of the extraordinary general meeting.</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SPECIAL FACTORS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60"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Most of the events leading to the execution of the Merger Agreement described in this “Background of the Merger” occurred in the PRC and Hong Kong. As a result, all dates and times referenced in this Background of the Merger refer to China Standard Time unless otherwise specified.</w:t>
      </w:r>
    </w:p>
    <w:p>
      <w:pPr>
        <w:spacing w:after="0" w:line="101"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The Board and senior management of the Company periodically review the Company’s long-term strategic plans with the goal of maximizing shareholder value. As part of this ongoing process, the Board and senior management have, from time to time, considered strategic alternatives that may be available to the Company to enhance shareholder value, including potential commercial and strategic business partnerships, acquisition transactions, new business lines, and capital market events.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Preliminary Discussions with Sponsor A</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From June 2022 to August 2022, the Founder Parties and a Hong Kong-headquartered private equity firm (“Sponsor A”) engaged certain preliminary confidential discussions with respect to a potential transaction that could involve forming a consortium between Sponsor A and the Founder Parties to acquire control of the Company.</w:t>
      </w:r>
    </w:p>
    <w:p>
      <w:pPr>
        <w:spacing w:after="0" w:line="1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During their preliminary discussions in early August 2022, the Founder Parties and Sponsor A</w:t>
      </w:r>
    </w:p>
    <w:p>
      <w:pPr>
        <w:spacing w:after="0" w:line="16"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considered for discussion purposes a price to be paid to shareholders of the Company of US$5 per ADS (equivalent to US$1 per Share)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323"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From mid-August 2022, there were no further discussions between the Founder Parties and Sponsor A and, on November 4, 2022, Mr. Tang Jian provided written notice to Sponsor A formally terminating any ongoing understanding or discussion with respect to the proposed transaction. No proposal was made to the Board by any party as a result of the discussions between Sponsor A and the Founder Parties due to, among other reasons, uncertainty of value and lack of viable financing plans at the time to effect a potential transaction.</w:t>
      </w:r>
    </w:p>
    <w:p>
      <w:pPr>
        <w:spacing w:after="0" w:line="3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the foregoing discussions with Sponsor A, while the Company’s management had discussions from time to time with third parties regarding possible options over the past years, no such discussions resulted in any specific proposals for a strategic transaction prior to the events described below.</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Preliminary Discussions with Third Parties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September 23, 2021, the Board received a preliminary non-binding indicative proposal dated September 23, 2021 (the “September Proposal”) from PAG Pegasus Fund LP (acting through its general partner, PAG Pegasus GP Limited) and/or its designated affiliates, entities and co-investors (“PAG Pegasus”) and Oasis Management Company Ltd (“Oasis”) and/or its designated affiliates, entities and co-investors (collectively, the “September Proposal Proposing Buyers”) to acquire all of the outstanding shares of the Company (other than those shares held by the members of management and other strategic shareholders of the Company that may be rolled over in connection with the September Transaction) for US$67.5 per ADS in cash, subject to certain terms and conditions set forth in the September Proposal (the “September Transaction”)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According to the September Proposal, the September Proposal Proposing Buyers intended to fund the consideration payable with equity financing to be provided by investment funds managed or controlled by and/or affiliated with the September Proposal Proposing Buyers and debt financing. In connection with the receipt of the September Proposal, the Chairman and Mr. Wing Hong Sammy Hsieh indicated to the Board that they had not made any determination as to whether or not they would participate in the September Transaction.</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On September 24, 2021, the Company issued a press release announcing its receipt of the September Proposal and furnished the press release as an exhibit to its current report on form 6-K with the SEC.</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Following the receipt of the September Proposal, the Board received proposals from and/or conducted interviews with multiple investment banks and law firms that had expressed interest in being considered for the roles of financial advisor and legal counsel to the Special Committee, respectively.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October 5, 2021, the Company entered into a customary confidentiality agreement with Oasis.</w:t>
      </w:r>
    </w:p>
    <w:p>
      <w:pPr>
        <w:spacing w:after="0" w:line="14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On October 6, 2021, in light of the Board’s receipt of the September Proposal, the Board convened a meeting by telephone to discuss the September Proposal. During the meeting, the attending directors discussed, among other matters, the need to form a special committee of the Board to evaluate the September Transaction or any other potential alternative transaction involving the Company (each, a “Potential Transaction”), even though the Chairman and Mr. Wing Hong Sammy Hsieh had not made any determination as to whether or not they would participate in any Potential Transaction, and the various qualifications and independence of the directors of the Company to serve on such special committee. After the discussion, the Board determined that it was in the best interests of the Company and its shareholders to establish an independent committee consisting of directors who are independent and not members of the Company’s management (the “Special Committee”), to evaluate and take actions in respect of any Potential Transaction. The Board discussed that the Special Committee would consist of independent directors</w:t>
      </w:r>
    </w:p>
    <w:p>
      <w:pPr>
        <w:spacing w:after="0" w:line="4"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Mr. Dylan Huang, Mr. Lub Bun Chong, Mr. Matthew Chu Pong Fong and Mr. Philip Kan. At such meeting, after deliberations on relevant factors, including experience in similar transactions, qualifications, reputation and independence, the Board also shortlisted three financial advisors, including Nomura International (Hong Kong) Limited (“Nomura”), to act as financial advisor to the Special Committee.</w:t>
      </w:r>
    </w:p>
    <w:p>
      <w:pPr>
        <w:spacing w:after="0" w:line="12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On October 7, 2021, the Company entered into a customary confidentiality agreement with PAG Pegasus.</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October 12, 2021, the Board convened another meeting by telephone. During the meeting, the attending directors discussed and resolved to, among other matters, formally establish the Special Committee. The Special Committee was granted, by way of a unanimous vote cast by all members of the Board present at the meeting, the power and authority to, take any and all actions with respect to a Potential Transaction (including, without limitation, the sale of a portion or all of the outstanding shares of the Company, the sale of a portion or all of the assets of the Company or maintaining the Company’s current status as a reporting company). Specifically, the Board authorized the Special Committee to, among other things, (i) elect its chairman, (ii) undertake any review, discussion, consideration, deliberation, examination, investigation, analysis, assessment, evaluation, exploration, response, negotiation, termination, rejection, approval and/or authorization on behalf of the Company of the terms and conditions of any Potential Transaction, (iii) take any and all actions and to do or cause to be done any or all things that may appear to the Special Committee to be necessary or advisable with respect to any Potential Transaction with the same effect as if the Board had taken such action or done or caused such things to be done, (iv) retain any legal counsel, financial advisor, and other consultants and agents as the Special Committee deems necessary or appropriate to advise it and assist it in connection with fulfilling its duties (including retain Cleary Gottlieb Steen &amp; Hamilton LLP (“Cleary”) as U.S. legal counsel and Nomura as independent financial advisor),</w:t>
      </w:r>
    </w:p>
    <w:p>
      <w:pPr>
        <w:spacing w:after="0" w:line="214" w:lineRule="exact"/>
        <w:rPr>
          <w:sz w:val="20"/>
          <w:szCs w:val="20"/>
          <w:color w:val="auto"/>
        </w:rPr>
      </w:pPr>
    </w:p>
    <w:p>
      <w:pPr>
        <w:ind w:left="1260" w:right="679"/>
        <w:spacing w:after="0" w:line="253" w:lineRule="auto"/>
        <w:tabs>
          <w:tab w:leader="none" w:pos="15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all books, records, and other information and materials of the Company and any documents, reports and studies pertaining to any Potential Transaction as may be useful or helpful in the discharge of the Special Committee’s duties or as may be determined by the Special Committee, and (vi) solicit the views of the Company’s executive, financial and other officers regarding the terms and conditions of any Potential Transaction to assist the Special Committee in its review and evaluation of such terms and conditions.</w:t>
      </w:r>
    </w:p>
    <w:p>
      <w:pPr>
        <w:spacing w:after="0" w:line="32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On October 17, 2021, the Board received another unsolicited preliminary non-binding indicative offer dated October 13, 2021 (the “October Proposal”) from Infinity Equity Management Co. Ltd. and/or its affiliates, managed funds, co-invested entity and through special purpose vehicle to acquire all of the outstanding shares of the Company (other than management-owned shares and those existing shareholders of the Company who elect to roll over) for US$75.0 per ADS in cash, subject to certain terms and conditions set forth in the October Proposal (noting that, effective November 14, 2022, the Company changed the ratio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of the ADS representing its Class A Shares from one ADS representing one-half of one Class A Share to one ADS representing five Class A Shares, and the adjustment has been retrospectively applied to the prices quoted above).</w:t>
      </w:r>
    </w:p>
    <w:p>
      <w:pPr>
        <w:spacing w:after="0" w:line="10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On October 18, 2021, the Company issued a press release announcing its receipt of the October Proposal and furnished the press release as an exhibit to its current report on form 6-K with the SEC.</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On October 21, 2021, the Company issued a press release announcing, among other matters, its establishment of the Special Committee to evaluate and consider the September Proposal, the October Proposal and other Potential Transactions that the Company may pursue and the Special Committee’s engagement of Nomura as its financial advisor, and furnished the press release as an exhibit to its current report on form 6-K with the SEC.</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On October 29, 2021, the Special Committee convened a meeting by telephone with representatives of Cleary, Nomura and the Company, including the Company’s CFO at that time, Mr. Terence Chi Wai Li. Cleary explained to members of the Special Committee their fiduciary duties under laws of the Cayman Islands in respect of a Potential Transaction. Members of the Special Committee asked various questions regarding their fiduciary duties to which Cleary responded.</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From October 2021 to December 2021, with the unanimous approval by the Special Committee, Nomura reached out to certain potential bidders, including but not limited to proposing parties under the September Proposal and October Proposal, to explore a Potential Transaction. As part of the process, the Company entered into customary confidentiality agreements with various potential bidders before sharing any material information related to the bid submission process and/or the Company with such parties. During this time period, in addition to the September Proposal and the October Proposal which proposed to acquire all of the outstanding shares of the Company, certain other parties, including but not limited to the proposing party under the October Proposal, also expressed interest in an alternative Potential Transaction involving the sale of only a certain segment of the Company’s businesses. No party (including the proposing parties under the September Proposal and October Proposal) submitted a final proposal in connection with this first outreach process.</w:t>
      </w:r>
    </w:p>
    <w:p>
      <w:pPr>
        <w:spacing w:after="0" w:line="32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From March 2022 to early May 2022, with unanimous approval by the Special Committee, Nomura reached out to more potential bidders to explore any Potential Transaction. None of the parties (including the proposing parties under the September Proposal and October Proposal) expressed any firm commitment to proceed with a Potential Transaction with the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Discussions with the Buyer Consortium on the Merger</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December 20, 2022, the Buyer Consortium entered into a consortium agreement, pursuant to which the parties thereto proposed to form a consortium to undertake an acquisition and related transactions with respect to the Company and its subsidiaries by which the Company would be delisted from the NASDAQ and deregistered under the Exchange Act. A copy of such consortium agreement was filed as an exhibit to the Schedule 13D (as described below) with the SEC on December 22, 2022 (Eastern Time).</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On the same date, the Buyer Consortium submitted a preliminary non-binding proposal (the “Original Consortium Proposal”) to the Board, proposing to acquire all of the outstanding Shares and ADSs of the Company not already owned by the Buyer Consortium (the “Proposed Transaction”) for US$4.0672 per ADS in cash, or US$0.81344 per Share, subject to certain terms and conditions. The Buyer Consortium indicated its intention to fund the consideration payable in the Proposed Transaction with a combination of equity and debt financing.</w:t>
      </w:r>
    </w:p>
    <w:p>
      <w:pPr>
        <w:spacing w:after="0" w:line="11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On the same date, the Company issued a press release announcing its receipt of the Original Consortium Proposal, and furnished the press release as an exhibit to its current report on form 6-K with the SEC.</w:t>
      </w:r>
    </w:p>
    <w:p>
      <w:pPr>
        <w:spacing w:after="0" w:line="3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December 21, 2022, Prospera Law, LLP (“Prospera”), U.S. legal counsel to the Sponsor Parties, sent to the Special Committee an initial draft of the confidentiality agreement to be entered into between the Company and Rise Chain.</w:t>
      </w:r>
    </w:p>
    <w:p>
      <w:pPr>
        <w:spacing w:after="0" w:line="10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On December 22, 2022, the Special Committee convened a meeting by telephone with representatives of Cleary and the Company, including the Company’s CFO Mr. David Zhang. Cleary explained to members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47" w:lineRule="auto"/>
        <w:rPr>
          <w:sz w:val="20"/>
          <w:szCs w:val="20"/>
          <w:color w:val="auto"/>
        </w:rPr>
      </w:pPr>
      <w:r>
        <w:rPr>
          <w:rFonts w:ascii="Times New Roman" w:cs="Times New Roman" w:eastAsia="Times New Roman" w:hAnsi="Times New Roman"/>
          <w:sz w:val="18"/>
          <w:szCs w:val="18"/>
          <w:color w:val="auto"/>
        </w:rPr>
        <w:t>of the Special Committee their fiduciary duties under laws of the Cayman Islands in respect of the Proposed Transaction again given the time that had passed since the Special Committee was formed. Members of the Special Committee asked various questions regarding their fiduciary duties to which Cleary responded.</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Members of the Special Committee, Cleary and the Company also discussed next steps, including engaging a new financial advisor to assist the Special Committee to evaluate the Proposed Transaction, entering into a confidentiality agreement with Rise Chain, and having the management of the Company set up a working group to assist the Special Committee’s evaluation of the Proposed Transaction. Based on these discussions, members of the Special Committee instructed Cleary to negotiate the draft confidentiality agreement with Prospera and to finalize the confidentiality agreement in due course.</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22, 2022 (Eastern Time), the Chairman, Igomax, Mr. Wing Hong Sammy Hsieh and Bubinga jointly filed a Schedule 13D with the SEC in connection with the Original Consortium Proposal. On the same date, Mr. Huang Jianjun and Marine Central Limited also jointly filed a Schedule 13D with the SEC in connection with the Original Consortium Proposal.</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From December 2022 to November 2023, (a) representatives of the Buyer Consortium had extensive discussions with representatives of New Age SP II (the “Original Lender”) regarding the feasibility of providing debt financing for the Proposed Transaction, the structure of the Proposed Transaction and terms and conditions of proposed term loan facilities, and (b) Ropes &amp; Gray (“Ropes”) on behalf of Merger Sub as the Original Borrower on the one hand, and Michelman &amp; Robinson, LLP on behalf of the Original Lender on the other hand, negotiated and finalized the Facility Agreement. A copy of the Facility Agreement was filed by the Sponsor Parties as an exhibit to the Schedule 13D/A with the SEC on November 27, 2023 (Eastern Time).</w:t>
      </w:r>
    </w:p>
    <w:p>
      <w:pPr>
        <w:spacing w:after="0" w:line="32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From December 27, 2022 to January 11, 2023, Cleary and Prospera negotiated and finalized the confidentiality agreement.</w:t>
      </w:r>
    </w:p>
    <w:p>
      <w:pPr>
        <w:spacing w:after="0" w:line="6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January 11, 2023, the Company, at the direction of the Special Committee, and Rise Chain entered into the confidentiality agreement, which contains customary provisions restricting Rise Chain’s disclosure and use of confidential information relating to the Company and the Proposed Transaction and a twelve-month “standstill” provision restricting Rise Chain from acquiring any beneficial ownership in any publicly listed equity securities of the Company or any of its subsidiaries without the Special Committee’s prior written consent.</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After the Board’s receipt of the Original Consortium Proposal, the Special Committee, with assistance from Cleary and the Company’s working group, considered proposals from multiple investment banks that had expressed interest in acting as financial advisor to the Special Committee in connection with the Proposed Transaction. After due consideration of the qualifications, experience, reputation and other characteristics of each potential financial advisor candidate, on January 17, 2023, the Special Committee retained Houlihan Lokey as its financial advisor to assist the Special Committee in evaluating and negotiating the Proposed Transaction.</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January 20, 2023, the Special Committee convened a meeting by telephone with representatives of Cleary and Houlihan Lokey. Cleary explained to the Special Committee the key steps and illustrative timetable of the Proposed Transaction and reiterated the key duties, responsibilities and objectives of the Special Committee. The Special Committee asked various questions regarding these topics, to which Cleary responded. Houlihan Lokey then discussed certain factors which in their opinion may affect the actual timeline of the Proposed Transaction and answered related questions from members of the Special Committee. During the meeting, the Special Committee also approved and authorized Houlihan Lokey to start collecting certain financial information of the Company for the purposes of its financial analysis and for Cleary to contact Prospera to discuss next steps in respect of legal workstreams.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the same date, with approval by the Special Committee, the Company issued a press release announcing the engagement of Houlihan Lokey as financial advisor and Cleary as U.S. legal counsel, respectively, to assist the Special Committee in its evaluation of the Proposed Transaction, and furnished the press release as an exhibit to its current report on form 6-K with the SEC.</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 January 31, 2023, at the direction of the Special Committee, Cleary had a telephone meeting with Ropes and Prospera to discuss the Buyer Consortium’s financing plan and due diligence work plan, as well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as required documentation with respect to the Proposed Transaction. During the meeting, Ropes and Prospera requested that Cleary formally send a list of the Special Committee’s questions and information requests with respect to the Proposed Transaction to them so that the Buyer Consortium could consider and respond promptly.</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On February 1, 2023, in light of the meeting among Cleary, Ropes and Prospera on January 31, 2023, Cleary and Houlihan Lokey prepared a list of key questions and information requests for the Buyer Consortium (the “Questions List”) and Cleary sent such the Questions List as well as a summary of key items contained therein to the Special Committee for review. The Questions List requested that the Buyer Consortium (i) advise the Special Committee of the transaction structure (including the financing plan and material terms) and timeline contemplated by the Buyer Consortium, (ii) confirm that each of the Chairman and Mr. Wing Hong Sammy Hsieh only intends to acquire securities of the Company in the Proposed Transaction and does not intend to sell any of the equity securities of the Company to any other party, and</w:t>
      </w:r>
    </w:p>
    <w:p>
      <w:pPr>
        <w:spacing w:after="0" w:line="4" w:lineRule="exact"/>
        <w:rPr>
          <w:sz w:val="20"/>
          <w:szCs w:val="20"/>
          <w:color w:val="auto"/>
        </w:rPr>
      </w:pPr>
    </w:p>
    <w:p>
      <w:pPr>
        <w:ind w:left="1260" w:right="559"/>
        <w:spacing w:after="0" w:line="246" w:lineRule="auto"/>
        <w:tabs>
          <w:tab w:leader="none" w:pos="15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requests for purposes of the Buyer Consortium’s legal and financial due diligence on the Company. On the same date, Cleary also reported to the Special Committee key points of such meeting by email.</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February 3, 2023, the Special Committee convened a meeting by telephone with representatives of Cleary and Houlihan Lokey. During the meeting, Cleary revisited the key points of its telephone meeting with Ropes and Prospera on January 31, 2023. Houlihan Lokey provided the Special Committee with an update on the progress of Houlihan Lokey’s financial analysis, including the Company’s preparation of management financial projections. Members of the Special Committee reiterated that they would act in the best interests of the Company and timing was essential during the process of the Proposed Transaction. Cleary provided to the Special Committee an estimated timeline of the Proposed Transaction based on Houlihan Lokey’s work progress and Cleary’s experience in transactions of a similar nature. At the same meeting, the Special Committee (i) approved the Questions List and instructed Cleary to send the Questions List to Ropes and Prospera, (ii) instructed Cleary to prepare a protocol for process to establish certain “rules of the road” for the Buyer Consortium and its advisors in their future contacts, communications and discussions with the Company’s management and the Special Committee, and (iii) instructed Cleary to remind the Buyer Consortium and its advisors that any future due diligence requests or other information requests from them should be directed to Cleary and Houlihan Lokey rather than directly sent to the Company or the Special Committee. Following the meeting, on the same date, Cleary sent to Ropes and Prospera the Questions List and a protocol for process.</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February 17, 2023, the Special Committee convened a meeting by telephone with representatives of Cleary and Houlihan Lokey. During the meeting, Cleary and Houlihan Lokey respectively provided the Special Committee with an update on its overall work progress, including Cleary’s ongoing follow-ups with Ropes and Prospera, as well as Houlihan Lokey’s progress in relation to its financial analysis. Members of the Special Committee instructed Cleary to have a call with Ropes and Prospera to touch base about the Buyer Consortium side’s work progress.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On February 21, 2023, Prospera sent to Cleary the Buyer Consortium’s responses to the Questions List. In the responses, the Buyer Consortium confirmed that each of the Chairman and Mr. Wing Hong Sammy Hsieh only intends to acquire securities of the Company in the Proposed Transaction and does not intend to sell any of the equity securities of the Company to any party. Together with the responses, Prospera also sent to Cleary a list of preliminary due diligence requests for the Company. On February 22, 2023, Cleary reported the aforementioned responses to the Special Committee and received the Special Committee’s approval to send the preliminary due diligence requests to the Company’s management for further handling. The preliminary due diligence requests were sent to the Company’s management on the same day.</w:t>
      </w:r>
    </w:p>
    <w:p>
      <w:pPr>
        <w:spacing w:after="0" w:line="11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February 23, 2023, at the direction of the Special Committee, Cleary had a catch-up call with Ropes and Prospera to exchange their respective work progress.</w:t>
      </w:r>
    </w:p>
    <w:p>
      <w:pPr>
        <w:spacing w:after="0" w:line="8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February 25, 2023, Prospera sent to Cleary an updated list of due diligence requests, which was sent by Cleary to the Company’s management on February 26, 2023. On February 27, 2023, Cleary sent the Company’s first batch of responses to the diligence requests to Ropes and Prospera.</w:t>
      </w:r>
    </w:p>
    <w:p>
      <w:pPr>
        <w:spacing w:after="0" w:line="1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March 3, 2023, the Special Committee convened a meeting by telephone with representatives of Cleary and Houlihan Lokey. During the meeting, Houlihan Lokey provided the Special Committee with an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update on its overall work progress, including the progress in relation to its financial analysis and the Company’s progress in relation to finalization of management financial projections. In response to the Special Committee’s questions, Houlihan Lokey explained the process and potential methodologies that could be used as part of their financial analysis. As part of the discussion, Houlihan Lokey reviewed with the Special Committee various methodologies that could be used for the preliminary financial valuation analysis, which included (i) selected public companies analysis, (ii) selected precedent transactions analysis and (iii) discounted cash flow analysis, as well as certain additional information (for further information see “Opinion of the Special Committee’s Financial Advisor — Financial Analyses” beginning on page 53). Houlihan Lokey received no instructions from the Special Committee regarding the valuation analysis and methodologies utilized and no limitation was imposed by the Special Committee on the scope of Houlihan Lokey’s investigation. Houlihan Lokey also reported to the Special Committee that representatives of Houlihan Lokey and Cleary would have a meeting with the Chairman to have a high-level understanding of the recent business and financial performance of the Company and the Company’s development strategies.</w:t>
      </w:r>
    </w:p>
    <w:p>
      <w:pPr>
        <w:spacing w:after="0" w:line="120"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 March 5, 2023, representatives of Houlihan Lokey and Cleary had a meeting with the Chairman to have a high-level understanding of the recent business and financial performance of the Company and the Company’s development strategies as part of Houlihan Lokey’s due diligence process.</w:t>
      </w:r>
    </w:p>
    <w:p>
      <w:pPr>
        <w:spacing w:after="0" w:line="108"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March 16, 2023, Prospera sent to Cleary several due diligence follow-up requests, and Cleary sent these requests to the Company on the same day.</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On March 17, 2023, the Special Committee convened a meeting by telephone with representatives of Cleary, Houlihan Lokey and the Company, including the Company’s CFO Mr. David Zhang. During the meeting, Houlihan Lokey reported to the Special Committee the key points discussed at the meeting with the Chairman and provided the Special Committee with an update on its overall work progress, including the progress in relation to its financial analysis.</w:t>
      </w:r>
    </w:p>
    <w:p>
      <w:pPr>
        <w:spacing w:after="0" w:line="11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On March 23, 2023, Cleary sent the Company’s responses to the outstanding diligence requests to the Buyer Consortium.</w:t>
      </w:r>
    </w:p>
    <w:p>
      <w:pPr>
        <w:spacing w:after="0" w:line="9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March 30, 2023, the Special Committee convened a meeting by telephone with representatives of Cleary and Houlihan Lokey. During the meeting, Houlihan Lokey provided the Special Committee with an update on its overall work progress, including the progress in relation to its financial analysis and the Company’s progress in relation to finalization of management financial projections. In response to the Special Committee’s inquiries, Houlihan Lokey explained the estimated timeline for it to wrap up its preliminary financial analysis, and Cleary explained to the Special Committee the typical timeline for counsels to prepare transaction documents in connection with the Proposed Transaction.</w:t>
      </w:r>
    </w:p>
    <w:p>
      <w:pPr>
        <w:spacing w:after="0" w:line="108"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On April 21, 2023, the Special Committee convened a meeting by telephone with representatives of Cleary and Houlihan Lokey. During the meeting, Houlihan Lokey reported to the Special Committee the progress on their financial analysis. Houlihan Lokey, Cleary and the Special Committee then discussed market practice on the use, and pros and cons, of a pre-signing market check and a post-signing “go shop” as well as a “majority of the minority” vote requirement. Houlihan Lokey further introduced to the Special Committee the general scope, procedures and timeline of a pre-signing market check. Members of the Special Committee asked various questions, to which representatives of Houlihan Lokey and Cleary answered. The Special Committee then instructed Houlihan Lokey to request an increase in the offer price from the Buyer Consortium and in the meantime to continue to prepare the financial analysis based on the financial projections to be provided by the Company’s management and finalized audited financials for the year ended December 31, 2022.</w:t>
      </w:r>
    </w:p>
    <w:p>
      <w:pPr>
        <w:spacing w:after="0" w:line="124"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Following the Special Committee meeting, on the same date, per the Special Committee’s request, Houlihan Lokey sent to the Special Committee a market check fee proposal for the Special Committee’s consideration.</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On April 24, 2023, Houlihan Lokey received the Company’s draft financial projections (the “April Financial Projections”) from the Company’s management and shared the April Financial Projections with the Special Committee and Cleary.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On April 25, 2023, the Special Committee convened a meeting by telephone with representatives of Cleary and Houlihan Lokey. During the meeting, Houlihan Lokey, based on its due diligence with Company management, gave the Special Committee a presentation of the April Financial Projections and explained the key assumptions to the Special Committee. Members of the Special Committee asked various questions about the April Financial Projections, to which Houlihan Lokey responded. The Special Committee then authorized Houlihan Lokey to (i) proceed with its financial analysis based on the April Financial Projections, (ii) request the Buyer Consortium to increase the offer price, and (iii) initiate the pre-signing market check process.</w:t>
      </w:r>
    </w:p>
    <w:p>
      <w:pPr>
        <w:spacing w:after="0" w:line="279"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Special Committee meeting, on the same date, Cleary reached out to Prospera to request the contact information of the Buyer Consortium so that Houlihan Lokey could initiate its discussions with the Buyer Consortium on the offer price.</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April 27, 2023, the Special Committee convened a meeting by telephone with representatives of Cleary and Houlihan Lokey. At the meeting, Houlihan Lokey introduced to the Special Committee the list and background of the financial investors and strategic investors that would be invited to participate in the pre-signing market check. Members of the Special Committee asked various questions about the pre-signing market check process, including, among other matters, the confidentiality and sensitivity of the process, detailed steps and estimated timing of the process, to which Houlihan Lokey responded. At the same meeting, the Special Committee instructed Houlihan Lokey to consult with the Company’s management to confirm if it is appropriate to invite certain potential competitors of the Company to participate in the pre-signing market check. Following the Special Committee meeting and per subsequent discussion with Company management, Houlihan Lokey initiated the pre-signing market check process. In the pre- signing market check process, Houlihan Lokey included three potential strategic buyers and nine potential financial buyers and excluded certain potential competitors of the Company (due to their constraints on financial capability or the potential material business risks that disclosure of the Company’s information to them may bring to the Company’s operations).</w:t>
      </w:r>
    </w:p>
    <w:p>
      <w:pPr>
        <w:spacing w:after="0" w:line="324"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On May 5, 2023, per the Special Committee’s request, Houlihan Lokey sent an email to Prospera and Ropes and encouraged the Buyer Consortium to submit a revised and improved offer to increase the offer price.</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May 24, 2023, the Special Committee convened a meeting by telephone with representatives of Cleary and Houlihan Lokey. During the meeting, Houlihan Lokey reported the results of the pre-signing market check. Houlihan Lokey contacted twelve potential investors and none of the potential investors indicated any interest in pursuing a transaction with the Company. Houlihan Lokey then reported to the Special Committee that it had a discussion with representatives of the Buyer Consortium where it requested the Buyer Consortium to increase the offer price and presented its reasons for such request, and said Houlihan Lokey was waiting for the Buyer Consortium’s feedback on the offer price increase request before concluding its financial analysis. Members of the Special Committee asked various questions, to which Houlihan Lokey responded.</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May 30, 2023, Prospera on behalf of the Buyer Consortium replied to Houlihan Lokey and declined the Special Committee’s request to increase the offer price. The Buyer Consortium did not provide detailed reasons for such declination except for noting that their decision was made based on the Company’s latest financial positions (in particular its current cash and liabilities) and the Buyer Consortium’s internal assessment of the Company’s potential future financial performance, coupled with prevailing market conditions.</w:t>
      </w:r>
    </w:p>
    <w:p>
      <w:pPr>
        <w:spacing w:after="0" w:line="32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On June 6, 2023, the Special Committee convened a meeting by telephone with representatives of Cleary and Houlihan Lokey. During the meeting, Houlihan Lokey presented its preliminary review of the financial information of the Company as of March 31, 2023 and further explained the methodologies and assumptions that it was considering using in their analyses. At the same meeting, the Special Committee instructed Houlihan Lokey to ask the Buyer Consortium to reconsider increasing the offer price and provide more detailed reasons and explanations with respect of its position. On June 7, 2023, Houlihan Lokey reached out to the Buyer Consortium through Prospera on such basis.</w:t>
      </w:r>
    </w:p>
    <w:p>
      <w:pPr>
        <w:spacing w:after="0" w:line="11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June 16, 2023, the Buyer Consortium sent two supplemental due diligence requests, and Houlihan Lokey reported such requests to the Special Committee and noted that Houlihan Lokey would ask the Company’s management to provide the requested information.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July 6, 2023, in response to Houlihan Lokey’s request to the Buyer Consortium in respect of a price increase, Prospera on behalf of the Buyer Consortium sent to Houlihan Lokey a response letter, according to which the Buyer Consortium reiterated that the Original Consortium Proposal continues to reflect the Buyer Consortium’s position with regards to the proposed privatization of the Company and provided several reasons for its conclusion. According to the response letter, as a gesture of goodwill to further parties’ discussion and facilitate a decision, the Buyer Consortium increased its offer price to US$4.08 per ADS (the “Revised Consortium Proposal”).</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July 26, 2023, Houlihan Lokey received updated draft financial projections (the “July Financial Projections”) prepared by the Company’s management which covers financial years from 2023 to 2028 and shared the July Financial Projections with the Special Committee for its review and consideration.</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July 28, 2023, the Special Committee convened a meeting by telephone with representatives of Cleary and Houlihan Lokey. During the meeting, Houlihan Lokey reported to the Special Committee the key items in the July Financial Projections and compared key differences between the July Financial Projections and the April Financial Projections.</w:t>
      </w:r>
    </w:p>
    <w:p>
      <w:pPr>
        <w:spacing w:after="0" w:line="11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On August 2, 2023, the Special Committee convened a meeting by telephone with representatives of Cleary and Houlihan Lokey. During the meeting, Houlihan Lokey revisited the key items in the July Financial Projections and explained to the Special Committee the key changes since the April Financial Projections. Thereafter, at the same meeting, the members of the Special Committee and Houlihan Lokey had extensive discussions on the July Financial Projections. Based on such discussions, the Special Committee authorized and directed Houlihan Lokey to further discuss various queries raised by the members of the Special Committee with the Company’s management, including requesting management to provide more detailed data to support the assumptions underlying the July Financial Projections. Following the meeting, Houlihan Lokey reached out to the Company’s management on such basis.</w:t>
      </w:r>
    </w:p>
    <w:p>
      <w:pPr>
        <w:spacing w:after="0" w:line="10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August 9, 2023, Houlihan Lokey received the further updated draft financial projections (as subsequently adjusted, the “August Financial Projections”) prepared by the Company’s management based on the queries and input of the Special Committee and shared such further updated draft projections with the Special Committee. Compared to the July Financial Projections, the material differences mainly include the projected 2024 revenue growth rate of enterprise solutions business, the projected gross margin of enterprise solutions business from 2024 to 2028, the assumption of significant cut in headcount despite of the projected continuous growth of revenue from 2024 to 2028, as well as the resulting projected adjusted EBITDA from 2024 to 2028. These changes were made by the Company’s management considering the significantly under-expected performance of enterprise solutions business in the first half year of 2023, fierce competition of the enterprise solutions business, difficulty for the Company to raise new funds for business expansion, slow economy recovery in China, and low consumption sentiment, among other factors.</w:t>
      </w:r>
    </w:p>
    <w:p>
      <w:pPr>
        <w:spacing w:after="0" w:line="11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August 11, 2023, the Special Committee convened a meeting by telephone with representatives of Cleary and Houlihan Lokey. During the meeting, Houlihan Lokey reported to the Special Committee the key items in the August Financial Projections and explained to the Special Committee the material differences between the July Financial Projections and the August Financial Projections as discussed above. Thereafter, at the same meeting, the members of the Special Committee and Houlihan Lokey had extensive discussions on the August Financial Projections. Based on such discussions, the Special Committee authorized and adopted the August Financial Projections and directed Houlihan Lokey to proceed with its financial analyses based on such projections and reminded the Company’s management to share such projections with the Buyer Consortium. At the same meeting, the Special Committee also authorized and directed Cleary to start preparing the draft Merger Agreement for the Proposed Transaction.</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August 24, 2023, Cleary reached out to Prospera and Ropes to check, among other matters, (i) the status of the equity commitment and the debt financing from potential financing sources for the Proposed Transaction and (ii) whether any additional parties had joined the Buyer Consortium. Prospera replied to the aforesaid inquiries on August 25, 2023. In the same communication on August 24, 2023, Cleary also requested Prospera and Ropes to provide initial drafts of the equity commitment letter, debt commitment letter (and other related financing agreements) and support agreement for the Special Committee’s review.</w:t>
      </w:r>
    </w:p>
    <w:p>
      <w:pPr>
        <w:spacing w:after="0" w:line="11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From August 19, 2023 to August 31, 2023, Cleary prepared an initial draft of the Merger Agreement and sent the draft to the Special Committee and Houlihan Lokey respectively for their review. Cleary also</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sent the initial draft of the Merger Agreement to the Company’s management to solicit their views on the warranties and interim covenants of the Company in the draft Merger Agreement.</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August 28, 2023, the Special Committee convened a meeting by telephone with representatives of Cleary and Houlihan Lokey. During the meeting, Cleary walked the Special Committee through the key issues in the draft Merger Agreement and questions for the Special Committee. Members of the Special Committee asked various questions, including precedent analysis regarding the amounts of the Company Termination Fee and the Parent Termination Fee, to which Cleary and Houlihan Lokey answered. The Special Committee then instructed Cleary to revise the draft Merger Agreement per the Special Committee’s feedback.</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29, 2023, Prospera sent an initial draft of the Equity Commitment Letter to Cleary.</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On August 30, 2023, Prospera sent to Cleary an initial draft of the Support Agreement and a term sheet outlining the preliminary key terms of the Buyer Consortium’s proposed debt financing arrangement.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31, 2023, with unanimous approval by the members of the Special Committee, Cleary sent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draft Merger Agreement to Prospera and Ropes. Material terms in the draft Merger Agreement included,</w:t>
      </w:r>
    </w:p>
    <w:p>
      <w:pPr>
        <w:ind w:left="1260"/>
        <w:spacing w:after="0"/>
        <w:rPr>
          <w:sz w:val="20"/>
          <w:szCs w:val="20"/>
          <w:color w:val="auto"/>
        </w:rPr>
      </w:pPr>
      <w:r>
        <w:rPr>
          <w:rFonts w:ascii="Times New Roman" w:cs="Times New Roman" w:eastAsia="Times New Roman" w:hAnsi="Times New Roman"/>
          <w:sz w:val="18"/>
          <w:szCs w:val="18"/>
          <w:color w:val="auto"/>
        </w:rPr>
        <w:t>among other things: (i) the representations and warranties of the Company, on the one hand, and of Parent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Merger Sub, on the other hand, (ii) the interim covenants of the Company, (iii) the Company’s right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post-signing “go-shop”, (iv) the circumstances under which the Board would be permitted to change its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to the shareholders of the Company to vote in favor of the Merger, (v) the closing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conditions, including a condition to the obligations of the Company, Parent and Merger Sub to consummate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Merger that the Merger Agreement, the Plan of Merger and the Transactions, including the Merger shall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have been authorized and approved by holders of a majority of the outstanding Shares not beneficially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by the Rollover Shareholders (the “Majority of Minority Vote Closing Condition”), and (vi) 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amount of Parent Termination Fee of US$2,400,000 and an amount of Company Termination Fee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US$1,200,000, as well as the trigger events for the payment of the Parent Termination Fee and the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Fee, respectively.</w:t>
      </w:r>
    </w:p>
    <w:p>
      <w:pPr>
        <w:spacing w:after="0" w:line="12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the same date, Cleary reported to the Special Committee via email that it has reviewed the initial drafts of the Support Agreement and Equity Commitment Letter and provided comments according to market practice. Cleary also sent to the Special Committee a summary of the key terms of these two documents. In the same email, Cleary also reported to the Special Committee that it has prepared an initial draft of the Limited Guarantee and explained the purpose of this document.</w:t>
      </w:r>
    </w:p>
    <w:p>
      <w:pPr>
        <w:spacing w:after="0" w:line="11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September 1, 2023, with unanimous approval by the members of the Special Committee, Cleary sent to Prospera and Ropes (i) its comments on the draft Support Agreement and the draft Equity Commitment Letter, (ii) the draft Limited Guarantee, and (iii) its comments on the debt financing key terms.</w:t>
      </w:r>
    </w:p>
    <w:p>
      <w:pPr>
        <w:spacing w:after="0" w:line="95"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September 4, 2023, Prospera replied to Cleary that the Buyer Consortium had no further comment on the draft Equity Commitment Letter and only had one comment on the draft Support Agreement, which was thereafter accepted by Cleary.</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September 5, 2023, in connection with substantial finalization of the Equity Commitment Letter, Cleary asked Prospera and Ropes to advise on the source of funding from Rise Chain as the Sponsor and Mr. Huang Jianjun as the Sponsor Shareholder under the Equity Commitment Letter. On November 7, 2023, in response to Cleary’s request, Prospera sent to Cleary evidence of the financial capacity of Rise Chain. In the same communication on September 5, 2023, Cleary also requested Prospera and Ropes to provide a draft Interim Investors Agreement for the Special Committee’s review.</w:t>
      </w:r>
    </w:p>
    <w:p>
      <w:pPr>
        <w:spacing w:after="0" w:line="12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During September 4, 2023 to November 17, 2023, Prospera raised several questions and follow-up questions about the share count of the Company, including proposed treatment of options and RSUs of the Company, and the Company and Cleary worked on such questions and replied to Prospera.</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During September 7, 2023 to November 17, 2023, Prospera raised several follow-up requests related to the Buyer Consortium’s due diligence on the Company, and the Company and Cleary worked on such requests and replied to Prospera.</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September 8, 2023, Prospera reached out to Houlihan Lokey and requested a formal response from the Special Committee in regard to the Revised Consortium Proposal.</w:t>
      </w:r>
    </w:p>
    <w:p>
      <w:pPr>
        <w:spacing w:after="0" w:line="8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September 9, 2023, with unanimous approval by the members of the Special Committee, Houlihan Lokey replied to Prospera that (i) the Special Committee was fully engaged in the evaluation process, diligently reviewing the Buyer Consortium’s proposal and (ii) the Special Committee requested the Buyer Consortium’s feedback on the transaction documents and financing arrangements, and said it would take all of these into account in the deliberations and decision regarding the Revised Consortium Proposal.</w:t>
      </w:r>
    </w:p>
    <w:p>
      <w:pPr>
        <w:spacing w:after="0" w:line="11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2023, Prospera and Ropes provided a markup of the draft Merger Agreement to Cleary.</w:t>
      </w:r>
    </w:p>
    <w:p>
      <w:pPr>
        <w:spacing w:after="0" w:line="9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On September 13, 2023, Cleary provided to the Special Committee an issues list listing the Buyer</w:t>
      </w:r>
    </w:p>
    <w:p>
      <w:pPr>
        <w:spacing w:after="0" w:line="27" w:lineRule="exact"/>
        <w:rPr>
          <w:sz w:val="20"/>
          <w:szCs w:val="20"/>
          <w:color w:val="auto"/>
        </w:rPr>
      </w:pPr>
    </w:p>
    <w:p>
      <w:pPr>
        <w:jc w:val="both"/>
        <w:ind w:left="1260" w:right="479"/>
        <w:spacing w:after="0" w:line="239" w:lineRule="auto"/>
        <w:rPr>
          <w:sz w:val="20"/>
          <w:szCs w:val="20"/>
          <w:color w:val="auto"/>
        </w:rPr>
      </w:pPr>
      <w:r>
        <w:rPr>
          <w:rFonts w:ascii="Times New Roman" w:cs="Times New Roman" w:eastAsia="Times New Roman" w:hAnsi="Times New Roman"/>
          <w:sz w:val="18"/>
          <w:szCs w:val="18"/>
          <w:color w:val="auto"/>
        </w:rPr>
        <w:t>Consortium’s positions on the key issues of the Merger Agreement provided by Prospera and Ropes, which included, among other things: (i) deletion of the Majority of Minority Vote Closing Condition, (ii) deletion of Co-Founders knowledge qualifiers for the representations and warranties of the Company and deletion of the Company’s SEC disclosure qualifiers for certain representations and warranties of the Company,</w:t>
      </w:r>
    </w:p>
    <w:p>
      <w:pPr>
        <w:spacing w:after="0" w:line="1" w:lineRule="exact"/>
        <w:rPr>
          <w:sz w:val="20"/>
          <w:szCs w:val="20"/>
          <w:color w:val="auto"/>
        </w:rPr>
      </w:pPr>
    </w:p>
    <w:p>
      <w:pPr>
        <w:ind w:left="1260" w:right="499"/>
        <w:spacing w:after="0" w:line="242" w:lineRule="auto"/>
        <w:tabs>
          <w:tab w:leader="none" w:pos="15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interim covenants of the Company, (iv) a shorter post-signing “go-shop” period, (v) removal of the Company’s right to terminate the Merger Agreement in the event of a Change in Company Recommendation in light of an Intervening Event, and (vi) amounts of the Parent Termination Fee and Company Termination Fee of US$1,200,000 and US$600,000, respectively.</w:t>
      </w:r>
    </w:p>
    <w:p>
      <w:pPr>
        <w:spacing w:after="0" w:line="11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September 14, 2023, the Special Committee convened a meeting by telephone with representatives of Cleary and Houlihan Lokey. At the meeting, Cleary explained the Buyer Consortium’s positions on the key issues in the Merger Agreement. Based on these discussions, the Special Committee instructed Cleary to prepare a key issues list specifying the Special Committee’s positions on material issues in the Merger Agreement and send it to the Buyer Consortium.</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the same date, Cleary circulated such key issues list to Prospera and Ropes.</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September 20, 2023, Cleary, Prospera, Ropes and representatives from the Company and the Buyer Consortium convened a meeting by telephone to discuss the key issues list of the Merger Agreement circulated by Cleary on September 14, 2023, and the parties exchanged essential positions on the key issues of the Merger Agreement during the meeting.</w:t>
      </w:r>
    </w:p>
    <w:p>
      <w:pPr>
        <w:spacing w:after="0" w:line="11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On September 25, 2023, the Special Committee convened a meeting by telephone with representatives of Cleary. At the meeting, Cleary explained the Buyer Consortium’s positions on the key issues of the Merger Agreement pursuant to the meeting on September 20, 2023. Based on these discussions, the Special Committee instructed Cleary to prepare markups on the draft Merger Agreement and send it to the Buyer Consortium.</w:t>
      </w:r>
    </w:p>
    <w:p>
      <w:pPr>
        <w:spacing w:after="0" w:line="3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On September 26, 2023, Cleary circulated a revised draft Merger Agreement to Prospera and Ropes, which, among other things, (i) insisted on the Majority of Minority Vote Closing Condition, (ii) insisted on Co-Founders knowledge qualifiers for the representations and warranties of the Company, (iii) accepted the deletion of the Company’s SEC disclosure qualifiers for certain representations and warranties of the Company, (iv) accepted additional interim covenants of the Company proposed by the Buyer Consortium but revised certain monetary thresholds proposed by the Buyer Consortium and added certain qualifiers and exceptions, (v) stipulated a longer post-signing “go-shop” period as agreed between the Special Committee and the Buyer Consortium, (vi) insisted on the Company’s right to terminate the Merger Agreement in the event of a Change in Company Recommendation in light of an Intervening Event but offered a termination fee of US$900,000 to be provided by the Company in such scenario, and (vii) stipulated the amounts of the Parent Termination Fee and Company Termination Fee of US$1,800,000 and US$900,000, respectively.</w:t>
      </w:r>
    </w:p>
    <w:p>
      <w:pPr>
        <w:spacing w:after="0" w:line="12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On October 6, 2023, Prospera and Ropes circulated further comments on the revised draft Merger Agreement to Cleary.</w:t>
      </w:r>
    </w:p>
    <w:p>
      <w:pPr>
        <w:spacing w:after="0" w:line="9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October 9, 2023, Cleary prepared an updated key issues list of the Merger Agreement for the Special Committee, which reflects the Buyer Consortium’s key positions on the draft Merger Agreement circulated by Prospera and Ropes on October 6, 2023, including, among other things, (i) deletion of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Majority of Minority Vote Closing Condition, (ii) deletion of Co-Founders knowledge qualifiers for the representations and warranties of the Company and a narrower definition of “knowledge” of Co- Founders which is limited to Co- Founders’ actual knowledge only, (iii) deletion of the Company’s right to terminate the Merger Agreement in the event of a Change in Company Recommendation in light of an Intervening Event, and (iv) amounts of the Parent Termination Fee and Company Termination Fee of US$1,800,000 and US$1,200,000, respectively.</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October 11, 2023, Prospera circulated comments on the draft Limited Guarantee to Cleary. From October 11 to November 4, 2023, Prospera and Cleary exchanged comments and substantially finalized the Limited Guarantee.</w:t>
      </w:r>
    </w:p>
    <w:p>
      <w:pPr>
        <w:spacing w:after="0" w:line="102" w:lineRule="exact"/>
        <w:rPr>
          <w:sz w:val="20"/>
          <w:szCs w:val="20"/>
          <w:color w:val="auto"/>
        </w:rPr>
      </w:pPr>
    </w:p>
    <w:p>
      <w:pPr>
        <w:ind w:left="1260" w:right="1319" w:firstLine="360"/>
        <w:spacing w:after="0" w:line="266" w:lineRule="auto"/>
        <w:rPr>
          <w:sz w:val="20"/>
          <w:szCs w:val="20"/>
          <w:color w:val="auto"/>
        </w:rPr>
      </w:pPr>
      <w:r>
        <w:rPr>
          <w:rFonts w:ascii="Times New Roman" w:cs="Times New Roman" w:eastAsia="Times New Roman" w:hAnsi="Times New Roman"/>
          <w:sz w:val="18"/>
          <w:szCs w:val="18"/>
          <w:color w:val="auto"/>
        </w:rPr>
        <w:t>On October 13, 2023, Ropes circulated a draft Facility Agreement with respect to the Buyer Consortium’s proposed debt financing arrangement to Cleary.</w:t>
      </w:r>
    </w:p>
    <w:p>
      <w:pPr>
        <w:spacing w:after="0" w:line="95"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On October 16, 2023, Cleary prepared a summary of the draft Facility Agreement for the Special Committee.</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October 20, 2023, the Special Committee convened a meeting by telephone with representatives of Cleary and Houlihan Lokey. At the meeting, Cleary explained the Buyer Consortium’s positions on the key issues of the Merger Agreement pursuant to the latest draft Merger Agreement circulated by Prospera and Ropes on October 6, 2023. Based on these discussions, the Special Committee instructed Cleary to update the key issues list of the Merger Agreement specifying the Special Committee’s positions on material issues in the Merger Agreement and send it to the Buyer Consortium.</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the same date, Cleary circulated the updated key issues list of the Merger Agreement to Prospera and Ropes.</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November 1, 2023, Prospera and Ropes circulated the Buyer Consortium’s positions on the updated key issues list of the Merger Agreement to Cleary.</w:t>
      </w:r>
    </w:p>
    <w:p>
      <w:pPr>
        <w:spacing w:after="0" w:line="95"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November 3, 2023, Cleary, Prospera, Ropes and representatives of the Company and the Buyer Consortium discussed by telephone the outstanding key issues of the Merger Agreement.</w:t>
      </w:r>
    </w:p>
    <w:p>
      <w:pPr>
        <w:spacing w:after="0" w:line="8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On the same date, the Special Committee convened a meeting by telephone with representatives of Cleary and Houlihan Lokey. At the meeting, Cleary explained the Buyer Consortium’s positions on the key issues of the Merger Agreement pursuant to the latest key issues list of the Merger Agreement circulated by Prospera and Ropes on November 1, 2023 and the discussions at the telephone meeting among Cleary, Prospera and Ropes on November 3, 2023, including, among other things, warranties of the Company, liability for actions taken at the direction of the Parent or the Merger Sub and termination fee. Based on these discussions, the Special Committee instructed Cleary to prepare markups on the draft Merger Agreement and send it to the Buyer Consortium.</w:t>
      </w:r>
    </w:p>
    <w:p>
      <w:pPr>
        <w:spacing w:after="0" w:line="11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On November 4, 2023, Cleary circulated a further revised draft Merger Agreement to Prospera and</w:t>
      </w:r>
    </w:p>
    <w:p>
      <w:pPr>
        <w:spacing w:after="0" w:line="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Ropes, which, among other things, (i) accepted deletion of the Majority of Minority Vote Closing Condition,</w:t>
      </w:r>
    </w:p>
    <w:p>
      <w:pPr>
        <w:spacing w:after="0" w:line="7" w:lineRule="exact"/>
        <w:rPr>
          <w:sz w:val="20"/>
          <w:szCs w:val="20"/>
          <w:color w:val="auto"/>
        </w:rPr>
      </w:pPr>
    </w:p>
    <w:p>
      <w:pPr>
        <w:ind w:left="1260" w:right="519"/>
        <w:spacing w:after="0"/>
        <w:tabs>
          <w:tab w:leader="none" w:pos="154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deletion of Co-Founders knowledge qualifiers for the representations and warranties of the Company but added that the representations and warranties of the Company shall be qualified by reference to any information of which Rise Chain has knowledge, (iii) accepted deletion of the Company’s right to terminate the Merger Agreement in the event of a Change in Company Recommendation in light of an Intervening Event, and (iv) accepted amounts of the Parent Termination Fee and Company Termination Fee of US$1,800,000 and US$1,200,000, respectively.</w:t>
      </w:r>
    </w:p>
    <w:p>
      <w:pPr>
        <w:spacing w:after="0" w:line="11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November 9, 2023, Prospera circulated a revised draft Support Agreement to Cleary, and the names and share numbers of Rollover Shareholders (other than Buyer Consortium) were added in Schedule A of such Support Agreement.</w:t>
      </w:r>
    </w:p>
    <w:p>
      <w:pPr>
        <w:spacing w:after="0" w:line="102"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On November 13, 2023, Prospera and Ropes circulated further comments on the draft Merger Agreement to Cleary.</w:t>
      </w:r>
    </w:p>
    <w:p>
      <w:pPr>
        <w:spacing w:after="0" w:line="95"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On the same date, Prospera circulated a draft Interim Investors Agreement to be entered into by and among the Founder Parties, the Sponsor Parties, Parent and Merger Sub.</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From November 13, 2023 to November 22, 2023, Cleary, Prospera and Ropes continued to negotiate and exchange drafts of the Merger Agreement and substantially finalized the draft.</w:t>
      </w:r>
    </w:p>
    <w:p>
      <w:pPr>
        <w:spacing w:after="0" w:line="9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On November 19, 2023, Prospera circulated a finalized draft of the Facility Agreement together with relevant equitable mortgage to Cleary. On November 23, 2023, at the request of Cleary, Prospera sent to Cleary a binding commitment letter executed by New Age SP II as evidence of the lender’s funding capability under the Facility Agreement.</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Company’s management adjusted the revenue and gross profit margin for 2023 to 2028 in the August Financial Projections because the Company’s revenue in the third quarter of 2023 was slightly higher than the management’s prior expectation and the Company’s gross profit margin in the third quarter of 2023 was lower than the management’s prior expectation. The Special Committee approved that Houlihan Lokey take into account such adjustments for its financial analyses.</w:t>
      </w:r>
    </w:p>
    <w:p>
      <w:pPr>
        <w:spacing w:after="0" w:line="10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November 23, 2023, the Special Committee convened a meeting by video conference with representatives of Cleary and Houlihan Lokey. Cleary reviewed with the members of the Special Committee the key terms of the Merger Agreement and also delivered to the members of the Special Committee brief summaries of the Limited Guarantee, Facility Agreement, Support Agreement and Equity Commitment Letter. Thereafter, at the request of the Special Committee, Houlihan Lokey made a presentation on its financial analysis of the Company, where it reviewed and discussed its analyses based on the increased offer price of US$4.08 per ADS (or US$0.816 per Share). Thereafter, at the request of the Special Committee, Houlihan Lokey verbally rendered its opinion to the Special Committee (which was subsequently confirmed in writing by delivery of Houlihan Lokey’s written opinion to the Special Committee dated November 23, 2023),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 Please see “Special Factors — Opinion of the Special Committee’s Financial Advisor” for additional information regarding the financial analysis performed by Houlihan Lokey and the opinion rendered by Houlihan Lokey to the Special Committee. The full text of the written opinion of Houlihan Lokey to the Special Committee, dated November 23, 2023, is attached as Annex C to this Proxy Statement. Following a discussion of the key terms of the Merger Agreement, Limited Guarantee, Facility Agreement, Support Agreement and Equity Commitment Letter, as well as Houlihan Lokey’s presentation of its financial analyses and opinion, the Special Committee unanimously resolved to approve the Merger Agreement, the Plan of Merger and the Limited Guarantee, each substantially in the form of the drafts presented to the Special Committee, and the Transactions, including the Merger, and recommend that the Board authorize and approve the Merger Agreement, the Plan of Merger, the Limited Guarantee and the consummation of the Transactions, including the Merger.</w:t>
      </w:r>
    </w:p>
    <w:p>
      <w:pPr>
        <w:spacing w:after="0" w:line="353"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Following the meeting of the Special Committee, the Board convened a meeting on November 24, 2023, and based upon the unanimous recommendation of the Special Committee, and taking into account the other factors described below under the heading titled “Special Factors — Reasons for the Merger and Position of the Special Committee and the Board,” the Board unanimously (i) determined that it is fair to, and in the best and commercial interests of, the Company and its shareholders (other than the holders of Excluded Shares), and declared it advisable, for the Company to enter into the Merger Agreement and the Plan of Merger and consummate the Transactions, including the Merger, (ii) authorized and approved the execution, delivery and performance of the Merger Agreement and the Plan of Merger and the consummation of the Transactions, including the Merger, on the terms and subject to the conditions of the Merger Agreement, and (iii) resolved to recommend the authorization and approval of the Merger Agreement, the Plan of Merger and the consummation of the Transactions, including the Merger, by the holders of Shares at the Shareholders Meeting.</w:t>
      </w:r>
    </w:p>
    <w:p>
      <w:pPr>
        <w:spacing w:after="0" w:line="122"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On November 24, 2023 and after the Board meeting, the Company, Parent and Merger Sub executed and delivered the Merger Agreement, and the applicable parties executed and delivered the Limited Guarantee, Facility Agreement, Support Agreement, Equity Commitment Letter and Interim Investors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Later on the same day, the Company issued a press release announcing the execution of the Merger Agreement and furnished the press release as an exhibit to its current report on Form 6-K furnished to the SEC.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Merger and Recommendation of the Special Committee and the Board</w:t>
      </w:r>
    </w:p>
    <w:p>
      <w:pPr>
        <w:spacing w:after="0" w:line="162"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The Special Committee and the Board believe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323"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addition, as an SEC -reporting company, the Company’s management and accounting staff, which comprise a relatively small number of individuals, must devote significant time to SEC reporting and compliance matters. The Company is also required to disclose a considerable amount of business and financial information to the public, some of which would otherwise be considered competitively sensitive and would not be disclosed by a non-reporting company. As a result, the Company’s actual or potential competitors, customers, lenders and vendors would have ready access to such disclosed information, which may help them compete against the Company or make it more difficult for the Company to negotiate favorable terms with them, as the case may be.</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At a meeting on November 23, 2023, the Special Committee, after consultation with its independent financial advisor and legal counsel and due consideration, unanimously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and (b) recommended that the Board authorize and approve the Merger Agreement, the Plan of Merger and the consummation of the Transactions, including the Merger.</w:t>
      </w:r>
    </w:p>
    <w:p>
      <w:pPr>
        <w:spacing w:after="0" w:line="114"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At a meeting on November 24, 2023, 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and the Plan of Merger and to consummate the Transactions, including the Merger,</w:t>
      </w:r>
    </w:p>
    <w:p>
      <w:pPr>
        <w:spacing w:after="0" w:line="1" w:lineRule="exact"/>
        <w:rPr>
          <w:sz w:val="20"/>
          <w:szCs w:val="20"/>
          <w:color w:val="auto"/>
        </w:rPr>
      </w:pPr>
    </w:p>
    <w:p>
      <w:pPr>
        <w:ind w:left="1260" w:right="519"/>
        <w:spacing w:after="0" w:line="235" w:lineRule="auto"/>
        <w:tabs>
          <w:tab w:leader="none" w:pos="152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the Merger Agreement, the Plan of Merger, the Limited Guarantee and the consummation of the Transactions, including the Merger, and</w:t>
      </w:r>
    </w:p>
    <w:p>
      <w:pPr>
        <w:spacing w:after="0" w:line="1" w:lineRule="exact"/>
        <w:rPr>
          <w:rFonts w:ascii="Times New Roman" w:cs="Times New Roman" w:eastAsia="Times New Roman" w:hAnsi="Times New Roman"/>
          <w:sz w:val="18"/>
          <w:szCs w:val="18"/>
          <w:color w:val="auto"/>
        </w:rPr>
      </w:pPr>
    </w:p>
    <w:p>
      <w:pPr>
        <w:ind w:left="1260" w:right="419"/>
        <w:spacing w:after="0" w:line="245" w:lineRule="auto"/>
        <w:tabs>
          <w:tab w:leader="none" w:pos="15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the course of reaching their determination, the Special Committee and the Board considered the following factors and potential benefits of the Merger, each of which the Special Committee and the Board believe supported their determination that the Merger as contemplated in the Merger Agreement and the Plan of Merger is fair to, and in the best and commercial interests of the Company and the Unaffiliated Security Holders and their recommendation that the Merger Agreement the Plan of Merger and the consummation of the Transactions, including the Merger, be authorized and approved, by the Board and the shareholders of the company, respectively. These factors and potential benefits, which are not listed in any relative order of importance, are discussed below:</w:t>
      </w:r>
    </w:p>
    <w:p>
      <w:pPr>
        <w:spacing w:after="0" w:line="78" w:lineRule="exact"/>
        <w:rPr>
          <w:sz w:val="20"/>
          <w:szCs w:val="20"/>
          <w:color w:val="auto"/>
        </w:rPr>
      </w:pPr>
    </w:p>
    <w:p>
      <w:pPr>
        <w:ind w:left="1800" w:right="439" w:hanging="180"/>
        <w:spacing w:after="0" w:line="261"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and the Board’s knowledge of the Company’s business, financial condition, results of operations, prospects and competitive position and their respective belief that the Merger is financially more favorable to the Unaffiliated Security Holders than any other alternative reasonably available to the Company and the Unaffiliated Security Holders;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faced by the Company, including, among others:</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on the Company’s business, financial condition and results of operations caused by the general economic slowdown in China and globally and the challenges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19"/>
        <w:spacing w:after="0" w:line="282" w:lineRule="auto"/>
        <w:rPr>
          <w:sz w:val="20"/>
          <w:szCs w:val="20"/>
          <w:color w:val="auto"/>
        </w:rPr>
      </w:pPr>
      <w:r>
        <w:rPr>
          <w:rFonts w:ascii="Times New Roman" w:cs="Times New Roman" w:eastAsia="Times New Roman" w:hAnsi="Times New Roman"/>
          <w:sz w:val="18"/>
          <w:szCs w:val="18"/>
          <w:color w:val="auto"/>
        </w:rPr>
        <w:t>in the macroeconomic environment, which could reduce customers’ demands of and abilities to pay for the Company’s solution services;</w:t>
      </w:r>
    </w:p>
    <w:p>
      <w:pPr>
        <w:spacing w:after="0" w:line="40" w:lineRule="exact"/>
        <w:rPr>
          <w:sz w:val="20"/>
          <w:szCs w:val="20"/>
          <w:color w:val="auto"/>
        </w:rPr>
      </w:pPr>
    </w:p>
    <w:p>
      <w:pPr>
        <w:ind w:left="2160" w:hanging="180"/>
        <w:spacing w:after="0"/>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markets in which the Company participates;</w:t>
      </w:r>
    </w:p>
    <w:p>
      <w:pPr>
        <w:spacing w:after="0" w:line="103"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susceptibility to adverse developments in the industries in which the Company’s clients operate, such as gaming industries;</w:t>
      </w:r>
    </w:p>
    <w:p>
      <w:pPr>
        <w:spacing w:after="0" w:line="53"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possibilities that additional capital may not be available to the Company on favorable terms or may not be available at all;</w:t>
      </w:r>
    </w:p>
    <w:p>
      <w:pPr>
        <w:spacing w:after="0" w:line="53" w:lineRule="exact"/>
        <w:rPr>
          <w:rFonts w:ascii="Times New Roman" w:cs="Times New Roman" w:eastAsia="Times New Roman" w:hAnsi="Times New Roman"/>
          <w:sz w:val="18"/>
          <w:szCs w:val="18"/>
          <w:color w:val="auto"/>
        </w:rPr>
      </w:pPr>
    </w:p>
    <w:p>
      <w:pPr>
        <w:jc w:val="both"/>
        <w:ind w:left="2160" w:right="539" w:hanging="180"/>
        <w:spacing w:after="0" w:line="266" w:lineRule="auto"/>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geopolitical and economic risks associated with the Company’s business and the market for the Company’s ADSs in light of current relations between China and the United States and the potential for degradation of the relationship between the two countries;</w:t>
      </w:r>
    </w:p>
    <w:p>
      <w:pPr>
        <w:spacing w:after="0" w:line="67"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challenges faced by the Company in obtaining additional equity financing from the capital market as a Chinese concept stock with a small market capitalization;</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forecasts of the Company’s future financial performance prepared by the Company’s management (and the risks associated with meeting these forecasts and the possible future value of the Shares if such forecasts are, or are not, met), together with the Company’s management’s view of the Company’s financial condition, results of operations, business, prospects and competitive position;</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market prices of the ADSs, and the fact that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79"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trading volume of the ADSs on NASDAQ;</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regulatory compliance for public companies;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an SEC-reporting company, the Company’s management and accounting staff, which comprises a relatively small number of individuals, must devote significant time to SEC reporting and compliance matters;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71"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an SEC-reporting company, the Company is required to disclose a considerable amount of business and financial information to the public, some of which would otherwise be considered competitively sensitive and would not be disclosed by a non-reporting company and which may help our actual or potential competitors, customers, lenders and vendors compete against us or make it more difficult for us to negotiate favorable terms with them, as the case may be;</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alternatives to the Merger (including the possibility of continuing to operate the Company as an independent publicly traded entity and the perceived risks of that alternative), the range of potential benefits to the Unaffiliated Security Holders of the possible alternatives, and the assessment by the Special Committee that none of these alternatives was reasonably likely to present superior opportunities for the Company or to create greater value for its shareholders than the Merger, taking into account (i) the likelihood of any sale of the Company to another buyer being consummated, given (x) the percentage ownership beneficially held by the Buyer Group and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44" w:lineRule="auto"/>
        <w:rPr>
          <w:sz w:val="20"/>
          <w:szCs w:val="20"/>
          <w:color w:val="auto"/>
        </w:rPr>
      </w:pPr>
      <w:r>
        <w:rPr>
          <w:rFonts w:ascii="Times New Roman" w:cs="Times New Roman" w:eastAsia="Times New Roman" w:hAnsi="Times New Roman"/>
          <w:sz w:val="18"/>
          <w:szCs w:val="18"/>
          <w:color w:val="auto"/>
        </w:rPr>
        <w:t>intention of each of the Founder Parties, who are also members of the Buyer Group, to not sell their and their affiliates’ respective Shares in any other transaction involving the Company (as expressly affirmed by the Founder Parties throughout the process of negotiating the Merger) and (y)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 the business, competitive, industry and market risks if the Company continues to operate as an independent publicly traded company, including the risk of not being able to raise sufficient capital in the current market environment to meet the Company’s anticipated capital requirements due to its operating losses and additional expenditures as a listing company;</w:t>
      </w:r>
    </w:p>
    <w:p>
      <w:pPr>
        <w:spacing w:after="0" w:line="285" w:lineRule="exact"/>
        <w:rPr>
          <w:sz w:val="20"/>
          <w:szCs w:val="20"/>
          <w:color w:val="auto"/>
        </w:rPr>
      </w:pPr>
    </w:p>
    <w:p>
      <w:pPr>
        <w:ind w:left="1800" w:right="459" w:hanging="180"/>
        <w:spacing w:after="0" w:line="254"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viability of any transaction with a third party given (i) the voting power of the Company beneficially held by the Buyer Group, which was sufficient to prevent the consummation of any transaction with a third party that required shareholder approval, and the fact that none of the Founder Parties, who are also members of the Buyer Group, intends to sell their stake in the Company to any third party, as expressly affirmed by the Founder Parties throughout the process of negotiating the Merger, and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w:t>
      </w:r>
    </w:p>
    <w:p>
      <w:pPr>
        <w:spacing w:after="0" w:line="8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consideration payable in the Merger is entirely in cash, which will allow the Unaffiliated Security Holders to immediately realize liquidity for their investment and provide them with certainty of the value of their Shares or ADSs;</w:t>
      </w:r>
    </w:p>
    <w:p>
      <w:pPr>
        <w:spacing w:after="0" w:line="67" w:lineRule="exact"/>
        <w:rPr>
          <w:rFonts w:ascii="Times New Roman" w:cs="Times New Roman" w:eastAsia="Times New Roman" w:hAnsi="Times New Roman"/>
          <w:sz w:val="18"/>
          <w:szCs w:val="18"/>
          <w:color w:val="auto"/>
        </w:rPr>
      </w:pPr>
    </w:p>
    <w:p>
      <w:pPr>
        <w:jc w:val="both"/>
        <w:ind w:left="1800" w:right="87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it could take a considerable period of time before the trading price of ADSs would reach and sustain at least the Per ADS Merger Consideration of US$4.08, as adjusted for present value, and the possibility that such value might never be obtained;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negotiations with respect to the merger consideration and the fact that the Special Committee was able to negotiate an increase in the offer price from US$4.0672 per ADS or US$0.81344 per Share offered in the Original Consortium Proposal to US$4.08 per ADS or US$0.816 per Share, representing an increase of 0.3%;</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belief that, following negotiations with the Buyer Consortium, US$4.08 per ADS or US$0.816 per Share was the highest price that the Buyer Consortium would agree to pay;</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Merger would be consummated based on, among other things (not in any relative order of importance):</w:t>
      </w:r>
    </w:p>
    <w:p>
      <w:pPr>
        <w:spacing w:after="0" w:line="53" w:lineRule="exact"/>
        <w:rPr>
          <w:rFonts w:ascii="Times New Roman" w:cs="Times New Roman" w:eastAsia="Times New Roman" w:hAnsi="Times New Roman"/>
          <w:sz w:val="18"/>
          <w:szCs w:val="18"/>
          <w:color w:val="auto"/>
        </w:rPr>
      </w:pPr>
    </w:p>
    <w:p>
      <w:pPr>
        <w:ind w:left="2160" w:right="439" w:hanging="180"/>
        <w:spacing w:after="0" w:line="282"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Parent and Merger Sub had obtained equity and debt financing commitments for the Merger, the conditions to the financing and the reputation of the financing sources;</w:t>
      </w:r>
    </w:p>
    <w:p>
      <w:pPr>
        <w:spacing w:after="0" w:line="53" w:lineRule="exact"/>
        <w:rPr>
          <w:rFonts w:ascii="Times New Roman" w:cs="Times New Roman" w:eastAsia="Times New Roman" w:hAnsi="Times New Roman"/>
          <w:sz w:val="18"/>
          <w:szCs w:val="18"/>
          <w:color w:val="auto"/>
        </w:rPr>
      </w:pPr>
    </w:p>
    <w:p>
      <w:pPr>
        <w:ind w:left="2160" w:right="519" w:hanging="180"/>
        <w:spacing w:after="0" w:line="261"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nature of the conditions to completion of the Merger as provided by the Merger Agreement, including the absence of any financing condition in the Merger Agreement, and the fact that only customary SEC and Cayman Islands filings, in addition to shareholder approval, are required to be made in order to consummate the Merger;</w:t>
      </w:r>
    </w:p>
    <w:p>
      <w:pPr>
        <w:spacing w:after="0" w:line="71" w:lineRule="exact"/>
        <w:rPr>
          <w:rFonts w:ascii="Times New Roman" w:cs="Times New Roman" w:eastAsia="Times New Roman" w:hAnsi="Times New Roman"/>
          <w:sz w:val="18"/>
          <w:szCs w:val="18"/>
          <w:color w:val="auto"/>
        </w:rPr>
      </w:pPr>
    </w:p>
    <w:p>
      <w:pPr>
        <w:ind w:left="2160" w:right="619" w:hanging="180"/>
        <w:spacing w:after="0" w:line="266"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in certain circumstances as set out in the Merger Agreement, to seek specific performance to prevent breaches of the Merger Agreement and to enforce specifically the terms of the Merger Agreement, including the consummation of the Merger; and</w:t>
      </w:r>
    </w:p>
    <w:p>
      <w:pPr>
        <w:spacing w:after="0" w:line="67" w:lineRule="exact"/>
        <w:rPr>
          <w:rFonts w:ascii="Times New Roman" w:cs="Times New Roman" w:eastAsia="Times New Roman" w:hAnsi="Times New Roman"/>
          <w:sz w:val="18"/>
          <w:szCs w:val="18"/>
          <w:color w:val="auto"/>
        </w:rPr>
      </w:pPr>
    </w:p>
    <w:p>
      <w:pPr>
        <w:ind w:left="2160" w:right="499" w:hanging="180"/>
        <w:spacing w:after="0" w:line="257"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Rollover Shareholders, who hold approximately 35% of the total issued and outstanding Shares, representing approximately 69% of the total voting power of the outstanding Shares, have each duly executed and entered into the Support Agreement, pursuant to which each Rollover Shareholder has agreed to vote all the Shares and securities held by him or it in favor of the Merger, subject to, and in accordance with, the terms and conditions of the Support Agreement;</w:t>
      </w:r>
    </w:p>
    <w:p>
      <w:pPr>
        <w:spacing w:after="0" w:line="295" w:lineRule="exact"/>
        <w:rPr>
          <w:rFonts w:ascii="Times New Roman" w:cs="Times New Roman" w:eastAsia="Times New Roman" w:hAnsi="Times New Roman"/>
          <w:sz w:val="18"/>
          <w:szCs w:val="18"/>
          <w:color w:val="auto"/>
        </w:rPr>
      </w:pPr>
    </w:p>
    <w:p>
      <w:pPr>
        <w:jc w:val="both"/>
        <w:ind w:left="1800" w:right="103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that, in the event of a failure of the Merger to be consummated under certain circumstances, Parent will pay the Company a termination fee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59"/>
        <w:spacing w:after="0" w:line="258" w:lineRule="auto"/>
        <w:rPr>
          <w:sz w:val="20"/>
          <w:szCs w:val="20"/>
          <w:color w:val="auto"/>
        </w:rPr>
      </w:pPr>
      <w:r>
        <w:rPr>
          <w:rFonts w:ascii="Times New Roman" w:cs="Times New Roman" w:eastAsia="Times New Roman" w:hAnsi="Times New Roman"/>
          <w:sz w:val="18"/>
          <w:szCs w:val="18"/>
          <w:color w:val="auto"/>
        </w:rPr>
        <w:t>US$1,800,000 (see “The Merger Agreement — Termination Fees and Reimbursement of Expenses” beginning on page 100 for additional information) and the guarantee of such payment obligation by Rise Chain (as the Guarantor) pursuant to the Limited Guarantee;</w:t>
      </w:r>
    </w:p>
    <w:p>
      <w:pPr>
        <w:spacing w:after="0" w:line="61" w:lineRule="exact"/>
        <w:rPr>
          <w:sz w:val="20"/>
          <w:szCs w:val="20"/>
          <w:color w:val="auto"/>
        </w:rPr>
      </w:pPr>
    </w:p>
    <w:p>
      <w:pPr>
        <w:ind w:left="1800" w:right="479" w:hanging="180"/>
        <w:spacing w:after="0" w:line="25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reviewed by Houlihan Lokey with the Special Committee, as well as the oral opinion of Houlihan Lokey rendered to the Special Committee on November 23, 2023 (which was subsequently confirmed in writing by delivery of Houlihan Lokey’s written opinion, dated November 23, 2023, to the Special Committee), as to the fairness, from a financial point of view, of the Per Share Merger Consideration to be received by holders of the Shares (other than the Excluded Shares and Dissenting Shares) and the Per ADS Merger Consideration to be received by the holders of ADSs (other than ADSs representing the Excluded Shares), as of the date thereof, based upon and subject to the procedures followed, factors and matters considered and assumptions made, qualifications and limitations on the review undertaken and other matters considered by Houlihan Lokey in preparing its opinion (See “Special Factors — Opinion of the Special Committee’s Financial Advisor” beginning on page 50 for additional information). The Special Committee notes that the opinion delivered by Houlihan Lokey addresses the fairness, from a financial point of view, of the Per Share Merger Consideration to be received by holders of the Shares (other than the Excluded Shares and Dissenting Shares) and the Per ADS Merger Consideration to be received by holders of ADSs (other than ADSs representing the Excluded Shares);</w:t>
      </w:r>
    </w:p>
    <w:p>
      <w:pPr>
        <w:spacing w:after="0" w:line="8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since the Company’s announcement of its receipt of the Original Consortium Proposal on December 20, 2022, and prior to the execution of the Merger Agreement, no third party had contacted the Company, the Special Committee or Houlihan Lokey expressing an interest in exploring an alternative transaction with the Company;</w:t>
      </w:r>
    </w:p>
    <w:p>
      <w:pPr>
        <w:spacing w:after="0" w:line="58"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belief that it was fully informed about the extent to which the interests of the Rollover Shareholders in the Merger differ from those of the Unaffiliated Security Holders;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debt financing markets and uncertainty surrounding forecasted economic conditions in the near term and the long term, both globally and in the countries where the Company conducts business, which could negatively affect the Company’s financial performance; and</w:t>
      </w:r>
    </w:p>
    <w:p>
      <w:pPr>
        <w:spacing w:after="0" w:line="278"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continued depreciation of the Renminbi and the resulting negative impact on the valuation of the Company in U.S. dollar terms.</w:t>
      </w:r>
    </w:p>
    <w:p>
      <w:pPr>
        <w:spacing w:after="0" w:line="94"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addition, the Special Committee and the Board believed that sufficient procedural safeguards were and are present to ensure that the Merger is procedurally fair to the Unaffiliated Security Holders and to permit the Special Committee and the Board to represent effectively the interests of such Unaffiliated Security Holders, which procedural safeguards include the following, which are not listed in any relative order of importance:</w:t>
      </w:r>
    </w:p>
    <w:p>
      <w:pPr>
        <w:spacing w:after="0" w:line="282" w:lineRule="exact"/>
        <w:rPr>
          <w:sz w:val="20"/>
          <w:szCs w:val="20"/>
          <w:color w:val="auto"/>
        </w:rPr>
      </w:pPr>
    </w:p>
    <w:p>
      <w:pPr>
        <w:jc w:val="both"/>
        <w:ind w:left="1800" w:right="47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negotiation of the Merger Agreement was conducted entirely under the control and supervision of the Special Committee, which consists of four independent directors, and that no limitations were placed on the Special Committee’s authority;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Transactions, including the Merger, the Special Committee acted solely to represent the interests of the Unaffiliated Security Holders, and the Special Committee had full control of the extensive negotiations with the Buyer Consortium and their advisors on behalf of the Unaffiliated Security Holders;</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the Special Committee during the entire process were and are independent directors and free from any affiliation with any member of the Buyer Group; in addition, none of the members of the Special Committee is or ever was an employee of the Company or any of its subsidiaries or affiliates and none of the members of the Special Committee has any financial interest in the Merger that is different from that of the Unaffiliated Security Holders other than the members’ receipt of Board compensation in the ordinary course (which is not contingent 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7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assisted in negotiations with the Buyer Consortium and in its evaluation of the Merger by Houlihan Lokey as its independent financial advisor and Cleary as its U.S. legal advisor;</w:t>
      </w:r>
    </w:p>
    <w:p>
      <w:pPr>
        <w:spacing w:after="0" w:line="28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among other things, review, evaluate and negotiate the terms of the Merger and any Potential Transaction, and to recommend to the Board what action should be taken by the Company, including not to engage in the Transactions, including the Merger;</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which were the product of negotiations between the Special Committee and its advisors, on the one hand, and the Buyer Consortium and their advisors, on the other hand;</w:t>
      </w:r>
    </w:p>
    <w:p>
      <w:pPr>
        <w:spacing w:after="0" w:line="54" w:lineRule="exact"/>
        <w:rPr>
          <w:rFonts w:ascii="Times New Roman" w:cs="Times New Roman" w:eastAsia="Times New Roman" w:hAnsi="Times New Roman"/>
          <w:sz w:val="18"/>
          <w:szCs w:val="18"/>
          <w:color w:val="auto"/>
        </w:rPr>
      </w:pPr>
    </w:p>
    <w:p>
      <w:pPr>
        <w:ind w:left="1800" w:right="539" w:hanging="180"/>
        <w:spacing w:after="0" w:line="254"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and the Special Committee’s belief that the Company’s obligation to pay Parent the Company Termination Fee of US$1,200,000 under the occasions which are described and explained in more details under “The Merger Agreement and Plan of Merger — Termination Fees and Reimbursement of Expenses” beginning on page 100, as well as the right of Parent to match any Superior Proposal (as defined under the Merger Agreement) in accordance with the terms of the Merger Agreement, are reasonable under the circumstances and would not preclude other potential acquirors from making an alternative proposal to acquire the Company if they were interested in making such a proposal;</w:t>
      </w:r>
    </w:p>
    <w:p>
      <w:pPr>
        <w:spacing w:after="0" w:line="8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held meetings on multiple occasions with its financial and legal advisors to consider and review the terms of the Merger Agreement and the Transactions, including the Merger;</w:t>
      </w:r>
    </w:p>
    <w:p>
      <w:pPr>
        <w:spacing w:after="0" w:line="40"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by the Special Committee that the Special Committee had no obligation to recommend the Merger or any other Transactions;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is able, subject to compliance with the terms and conditions of the Merger Agreement, to terminate the Merger Agreement prior to the receipt of the approval of the Company’s shareholders of the Merger Agreement and the transactions contemplated thereby at the shareholder meeting convened for such purpose in order to enter into an alternative agreement with respect to an acquisition proposal that is a Superior Proposal, subject to the payment of a termination fee to the extent provided in the Merger Agreement;</w:t>
      </w:r>
    </w:p>
    <w:p>
      <w:pPr>
        <w:spacing w:after="0" w:line="79"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to change, withhold, withdraw, qualify or modify its recommendation that the shareholders vote to approve the Merger Agreement in the event of a Superior Proposal or an Intervening Event;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to evaluate bona fide, unsolicited alternative acquisition proposals that may arise between the date of the Merger Agreement and the date of the approval of the Merger by the Company’s shareholders, to furnish confidential information to and conduct negotiations with such third parties and, in certain circumstances, to terminate the Merger Agreement, subject to the payment to the Parent of a termination fee, and accept a Superior Proposal, consistent with the Special Committee’s fiduciary obligations;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 and</w:t>
      </w:r>
    </w:p>
    <w:p>
      <w:pPr>
        <w:spacing w:after="0" w:line="70"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dissenters’ rights to the Unaffiliated Security Holders who comply with all of the required procedures under Section 238 of the CICA, which allow such shareholders to receive payment of the fair value of their Shares as determined by the Court in accordance with Section 238 of the CICA.</w:t>
      </w:r>
    </w:p>
    <w:p>
      <w:pPr>
        <w:spacing w:after="0" w:line="33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Special Committee and the Board also considered and balanced against the potential benefits of the Merger a number of potentially adverse factors concerning the Merger Agreement and the Merger, including the following, which are not listed in any relative order of importance: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Agreement is not subject to the authorization and approval of holders of a majority of the Company’s outstanding Shares unaffiliated with the Buyer Group and given that the Rollover Shareholders together hold approximately 69% of the voting power of the total issued and outstanding Shares as of the date of this Proxy Statement,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portion of the voting power of the Shares owned by the Buyer Group, participation by the Founder Parties in the Buyer Group, together with the Founder Parties’ intention to not sell their shares to any third party (as expressly affirmed by the Founder Parties throughout the process of negotiating the Merger), may have deterred, and may continue to deter, other potentially interested parties from proposing to acquire the Company at a price per Share that is higher than US$0.816 or a price per ADS that is higher than US$4.08;</w:t>
      </w:r>
    </w:p>
    <w:p>
      <w:pPr>
        <w:spacing w:after="0" w:line="79"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Unaffiliated Security Holders will have no on-going equity participation in the Company following the Merger, and they will cease to participate in the Company’s future earnings or growth, if any, or to benefit from increases, if any, in the value of Shares, and will not participate in any potential future sale of the Company to a third party or any potential recapitalization of the Company, which could include a dividend to shareholders;</w:t>
      </w:r>
    </w:p>
    <w:p>
      <w:pPr>
        <w:spacing w:after="0" w:line="75"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the Company’s business prior to the consummation of the Merger, which may delay or prevent the Company from undertaking business opportunities that may arise or any other action it would otherwise take with respect to the operations of the Company pending the consummation of the Merger;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historical closing price of the Company’s ADSs (US$183.00 per ADS) since the Company became publicly listed on December 22, 2017, noting however that market, economic and industry conditions had each changed materially since that time, and the highest closing price of the Company’s ADS (US$49.50 per ADS) during the 52-week period prior to the date on which the Company announced its receipt of the Original Consortium Proposal on December 20, 2022 both exceed the Per ADS Merger Consideration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the Company if the Merger is not consummated, including (i) the potential loss of value to the Company’s shareholders, (ii) the diversion of management and employee attention, potential employee attrition and the potential disruptive effect on the Company’s business and customer relationships, (iii) the potential negative impact on the businesses and operations of the Company, (iv) the potential adverse effect on the market’s perception of the Company’s prospects if the Merger was delayed or not consummated, and (v) the potential decline in the trading price of the Company’s ADSs if the Merger was not consummated and the relative likelihood that it could take a considerable period of time, if ever, before the trading price of ADSs would reach and sustain a level equal to or greater than the Per ADS Merger Consideration of US$4.08;</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under certain circumstances, to pay Parent the Company Termination Fee of US$1,200,000 and reimbursement of certain costs and expense actually incurred or accrued in the event that the Company fails to pay such Company Termination Fee when due together with certain interest on such unpaid Company Termination Fee in connection with termination of the Merger Agreement;</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remedy in the event of a breach of the Merger Agreement by Parent and Merger Sub is limited, under certain circumstances, to receipt of the Parent Termination Fee of US$1,800,000 and reimbursement of certain costs and expenses actually incurred or accrued in the event that Parent fails to pay the Parent Termination Fee when due together with certain interest on such unpaid Parent Termination Fee and certain other costs and expenses payable pursuant to the Merger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319"/>
        <w:spacing w:after="0" w:line="282" w:lineRule="auto"/>
        <w:rPr>
          <w:sz w:val="20"/>
          <w:szCs w:val="20"/>
          <w:color w:val="auto"/>
        </w:rPr>
      </w:pPr>
      <w:r>
        <w:rPr>
          <w:rFonts w:ascii="Times New Roman" w:cs="Times New Roman" w:eastAsia="Times New Roman" w:hAnsi="Times New Roman"/>
          <w:sz w:val="18"/>
          <w:szCs w:val="18"/>
          <w:color w:val="auto"/>
        </w:rPr>
        <w:t>Agreement, and under certain circumstances the Company may not be entitled to a Parent Termination Fee or reimbursement of expenses at all;</w:t>
      </w:r>
    </w:p>
    <w:p>
      <w:pPr>
        <w:spacing w:after="0" w:line="40" w:lineRule="exact"/>
        <w:rPr>
          <w:sz w:val="20"/>
          <w:szCs w:val="20"/>
          <w:color w:val="auto"/>
        </w:rPr>
      </w:pPr>
    </w:p>
    <w:p>
      <w:pPr>
        <w:ind w:left="1800" w:right="599" w:hanging="180"/>
        <w:spacing w:after="0" w:line="261"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Rollover Shareholders and certain directors and officers of the Company may have interests in the Merger that are different from, and/or in addition to, those of the Unaffiliated Security Holders (see “Special Factors — Interests of Certain Persons in the Merger” beginning on page 65 for additional information);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consummated and the negative impact of such a public announcement on the Company’s sales and operating results, and the Company’s ability to attract and retain key management, marketing and technical personnel;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taxability of an all-cash transaction to the Unaffiliated Security Holders who are U.S. Holders (as defined under “Special Factors — U.S. Federal Income Tax Consequences”) for U.S. federal income tax purposes, and the likely taxability of such a transaction to the Unaffiliated Security Holders in other jurisdictions.</w:t>
      </w:r>
    </w:p>
    <w:p>
      <w:pPr>
        <w:spacing w:after="0" w:line="9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Special Committee and the Board is not intended to be exhaustive, but includes all material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recommended that the Board authorize and approve, and the Board authorized and approved, the Merger Agreement, the Plan of Merger and the Transactions, including the Merger, based upon the totality of the information presented to and considered by it.</w:t>
      </w:r>
    </w:p>
    <w:p>
      <w:pPr>
        <w:spacing w:after="0" w:line="337"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Special Committee and the Board noted that the authorization and approval of the execution of the Merger Agreement, the Plan of Merger and the consummation of the Transactions, including the Merger, are not subject to approval by a majority of the Unaffiliated Security Holders. Nevertheless, the Special Committee and the Board believe the Merger is procedurally fair to the Unaffiliated Security Holders because, among other things, (i) that the majority-of-the-minority voting requirement is not customary in going-private transactions involving Cayman Islands companies, and (ii) various safeguards and protective measures have been adopted to ensure the procedural fairness of the Transactions, including without limitation (a) the Board’s formation of the Special Committee and granting to the Special Committee of the authority to review, evaluate, and negotiate (and to ultimately either authorize or reject) the terms of the Merger Agreement, the Plan of Merger and the Transactions, including the Merger, (b) the Special Committee’s retention of, and receipt of advice from, competent and experienced legal counsel and independent financial advisor for purposes of negotiating the terms of the Transactions and/or preparing a report concerning the fairness of the Transactions, (c) the pre-signing market check that Houlihan Lokey had conducted pursuant to the Special Committee’s approval during April to May 2023, (d) the execution of the Merger Agreement, the Plan of Merger and the consummation of the Transactions, including the Merger, have been approved by all of the directors who are neither employees of the Company nor affiliated with the management of the Company or the Buyer Group, and (e) 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w:t>
      </w:r>
    </w:p>
    <w:p>
      <w:pPr>
        <w:spacing w:after="0" w:line="35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reaching its conclusion regarding the fairness of the Merger to the Unaffiliated Security Holders and its decision to recommend the authorization and approval of the Merger Agreement, the Plan of Merger and the Transactions, including the Merger, the Special Committee considered financial analyses presented by Houlihan Lokey. These analyses included, among others, historical trading ranges, range of broker target prices, and discounted cash flows analysis. All of the material analyses as presented to the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Special Committee on November 23, 2023 are summarized below under the section entitled “Special Factors — Opinion of the Special Committee’s Financial Advisor” beginning on page 50. The Special Committee and the Board expressly adopted these analyses and opinions, among other factors considered, in reaching their respective determination as to the fairness of the Transactions, including the Merger.</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Neither the Special Committee nor the Board considered the liquidation value of the Company’s assets because each considers the Company to be a viable going-concern business where value is derived from cash flows generated from its continuing operations. In addition, the Special Committee and the Board believe that the value of the Company’s assets that might be realized in a liquidation would be significantly less than its going-concern value for the reasons that (i) liquidation sales generally result in proceeds substantially less than the sales of a going concern; (ii) it is impracticable to determine a liquidation value given the significant execution risk involved in any breakup of a company; (iii) an ongoing operation has the ability to continue to earn profit, while a liquidated company does not, such that the “going-concern value” will be higher than the “liquidation value” of a company because the “going concern value” includes the liquidation value of a company’s tangible assets as well as the value of its intangible assets, such as goodwill; and (iv) a liquidation process would involve additional legal fees, costs of sale and other expenses that would reduce any amounts that shareholders might receive upon liquidation. Furthermore, the Company has no intention of liquidation and the Merger will not result in the liquidation of the Company. Each of the Special Committee and the Board believe the analyses and additional factors it reviewed provided an indication of the Company’s going-concern value. Each of the Special Committee and the Board also considered the historical market prices of the ADSs as described under the section entitled “Market Price of the Company’s ADSs, Dividends and Other Matters — Market Price of the ADSs” beginning on page 74. Each of the he Special Committee and the Board considered the purchase prices paid in previous purchases as described under “Transactions in the Shares and ADSs” beginning on page 107.</w:t>
      </w:r>
    </w:p>
    <w:p>
      <w:pPr>
        <w:spacing w:after="0" w:line="34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Neither the Special Committee nor the Board, however, consider the Company’s net book value, which is defined as total assets minus total liabilities, attributable to the Company’s shareholders, as a factor. The Special Committee and the Board believe that net book value is not a material indicator of the value of the Company as a going concern as it does not take into account the future prospects of the Company, market conditions, trends in the industry or the business risks inherent in competing with larger companies in that industry. See “Where You Can Find More Information” beginning on page 115 for a description of how to obtain a copy of the Company’s Annual Report for the fiscal year ended December 31, 2022.</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reaching its determination that the Merger Agreement, the Plan of Merger and the Transactions, including the Merger, are fair to, and in the best and commercial interests of, the Company and the Unaffiliated Security Holders and its decision to authorize and approve the Merger Agreement, the Plan of Merger and the Transactions, including the Merger, and recommend the authorization and approval of the Merger Agreement, the Plan of Merger and the Transactions, including the Merger, by the Company’s shareholders, the Board, on behalf of the Company, considered the analysis and factors described above under this section and under “Special Factors — Background of the Merger” and expressly adopted such determination, recommendation and analysis. During its consideration of the Merger Agreement and the Transactions, including the Merger, the Board was also aware that some of the Company’s shareholders, including the Rollover Shareholders and certain directors and employees of the Company, have interests with respect to the Merger that are, or may be, different from, and/or in addition to those of the Unaffiliated Security Holders generally, as described under the section entitled “Special Factors — Interests of Certain Persons in the Merger” beginning on page 65.</w:t>
      </w:r>
    </w:p>
    <w:p>
      <w:pPr>
        <w:spacing w:after="0" w:line="33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Except as set forth under “Special Factors — Background of the Merger” beginning on page 25, “Special Factors — Reasons for the Merger and Recommendation of the Special Committee and the Board” beginning on page 37 and “Special Factors — Opinion of the Special Committee’s Financial Advisor” beginning on page 50, no director who is not an employee of the Company has retained an unaffiliated representative to act solely on behalf of Unaffiliated Security Holders for purposes of negotiating the terms of the Transactions and/or preparing a report concerning the fairness of the Transactions.</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For the foregoing reasons, the Company and the Board believe that the Merger Agreement, the Plan of Merger and the Transactions, including the Merger, are fair to, and in the best and commercial interests of, the Company and the Unaffiliated Security 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Position of the Buyer Group as to the Fairness of the Merger</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SEC rules governing going-private transactions, each member of the Buyer Group is required to express his or its belief as to the fairness of the Merger to the Unaffiliated Security Holders.</w:t>
      </w:r>
    </w:p>
    <w:p>
      <w:pPr>
        <w:spacing w:after="0" w:line="9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member of the Buyer Group is making the statements included in this section solely for the purpose of complying with the requirements of Rule 13e-3 and related rules under the Exchange Act. The views of the Buyer Group as to the fairness of the Merger are not intended to be and should not be construed as a recommendation to any shareholder or holder of ADSs as to how that shareholder or holder of ADSs should vote on the proposal to authorize and approve the Merger Agreement, the Plan of Merger and the consummation of the Transactions, including the Merger. Members of the Buyer Group have interests in the Merger that are different from, and/or in addition to, those of the other shareholders or holders of ADSs by virtue of their continuing interests in the Surviving Company after the completion of the Merger. These interests are described under the section entitled “Special Factors — Interests of Certain Persons in the Merger — Interests of the Buyer Group” beginning on page 65.</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 member of the Buyer Group participated in the deliberations of the Special Committee regarding, nor received any advice from the Special Committee’s independent financial advisor and legal advisor as to, the fairness of the Merger to the Unaffiliated Security Holders. The members of the Buyer Group believe that the interests of the Unaffiliated Security Holders were represented by the Special Committee, which negotiated the terms and conditions of the Merger Agreement with the assistance of its independent financial advisor and legal advisor. The Buyer Group attempted to negotiate a transaction that would be most favorable to the Buyer Group, rather than to the Unaffiliated Security Holders and, accordingly, did not negotiate the Merger Agreement with a goal of obtaining terms that were substantively and procedurally fair to such holders.</w:t>
      </w:r>
    </w:p>
    <w:p>
      <w:pPr>
        <w:spacing w:after="0" w:line="32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Furthermore, the Buyer Group did not itself undertake a formal evaluation of the fairness of the Merger. No financial advisor provided the Buyer Group with any analysis or opinion with respect to the fairness of the Per ADS Merger Consideration to the Unaffiliated Security Holders.</w:t>
      </w:r>
    </w:p>
    <w:p>
      <w:pPr>
        <w:spacing w:after="0" w:line="10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Based on their knowledge and analysis of available information regarding the Company, as well as the factors considered by the Special Committee and the Board discussed under the section entitled “Special Factors — Reasons for the Merger and Recommendation of the Special Committee and the Board” beginning on page 37, and based on the following factors, which are not listed in any relative order of importance, the Buyer Group believes that the Merger is substantively fair to the Unaffiliated Security Holders:</w:t>
      </w:r>
    </w:p>
    <w:p>
      <w:pPr>
        <w:spacing w:after="0" w:line="285" w:lineRule="exact"/>
        <w:rPr>
          <w:sz w:val="20"/>
          <w:szCs w:val="20"/>
          <w:color w:val="auto"/>
        </w:rPr>
      </w:pPr>
    </w:p>
    <w:p>
      <w:pPr>
        <w:ind w:left="1800" w:right="439" w:hanging="180"/>
        <w:spacing w:after="0" w:line="258"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79"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Special Committee are not affiliated with any member of the Buyer Group and do not have any financial interests in the Merger different from, and/or in addition to, those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opinion of Houlihan Lokey was delivered to the Special Committee only and no member of the Buyer Group is entitled to rely or relied upon such opinion, the fact that the Special Committee received an opinion from Houlihan Lokey on November 23, 2023 stating that, as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6" w:lineRule="auto"/>
        <w:rPr>
          <w:sz w:val="20"/>
          <w:szCs w:val="20"/>
          <w:color w:val="auto"/>
        </w:rPr>
      </w:pPr>
      <w:r>
        <w:rPr>
          <w:rFonts w:ascii="Times New Roman" w:cs="Times New Roman" w:eastAsia="Times New Roman" w:hAnsi="Times New Roman"/>
          <w:sz w:val="18"/>
          <w:szCs w:val="18"/>
          <w:color w:val="auto"/>
        </w:rPr>
        <w:t>the date of such opinion, and based upon and subject to the procedures followed, assumptions made, qualifications and limitations on the review undertaken and other matters considered by Houlihan Lokey in preparing its opinion, the Per ADS Merger Consideration to be received by the holders of ADSs (other than ADSs representing the Excluded Shares) and the Per Share Merger Consideration to be received by the holders of Shares (other than Excluded Shares and Dissenting Shares) in the Merger was fair to them, from a financial point of view;</w:t>
      </w:r>
    </w:p>
    <w:p>
      <w:pPr>
        <w:spacing w:after="0" w:line="93" w:lineRule="exact"/>
        <w:rPr>
          <w:sz w:val="20"/>
          <w:szCs w:val="20"/>
          <w:color w:val="auto"/>
        </w:rPr>
      </w:pPr>
    </w:p>
    <w:p>
      <w:pPr>
        <w:ind w:left="1800" w:right="819" w:hanging="180"/>
        <w:spacing w:after="0" w:line="261"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and, upon the unanimous recommendation of the Special Committee, the Board determined that the Merger Agreement, the Plan of Merger and the consummation of the Transactions, including the Merger, are fair to and in the best and commercial interests of the Company and its shareholders (other than the holders of Excluded Shares);</w:t>
      </w:r>
    </w:p>
    <w:p>
      <w:pPr>
        <w:spacing w:after="0" w:line="71"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ability, under certain circumstances, to seek specific performance to prevent breaches of the Merger Agreement and to specifically enforce the terms of the Merger Agreement, including consummation of the Merger;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not conditioned on any financing being obtained by Parent or Merger Sub, thus increasing the likelihood that the Merger will be consummated and the merger consideration will be paid to the Unaffiliated Security Holders;</w:t>
      </w:r>
    </w:p>
    <w:p>
      <w:pPr>
        <w:spacing w:after="0" w:line="81" w:lineRule="exact"/>
        <w:rPr>
          <w:rFonts w:ascii="Times New Roman" w:cs="Times New Roman" w:eastAsia="Times New Roman" w:hAnsi="Times New Roman"/>
          <w:sz w:val="18"/>
          <w:szCs w:val="18"/>
          <w:color w:val="auto"/>
        </w:rPr>
      </w:pPr>
    </w:p>
    <w:p>
      <w:pPr>
        <w:ind w:left="1800" w:right="679" w:hanging="180"/>
        <w:spacing w:after="0" w:line="263"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to be paid to the Unaffiliated Security Holders in the Merger is all cash, allowing the Unaffiliated Security Holders to immediately realize a certain value for all of their Shares and/or ADSs, without incurring brokerage and other costs typically associated with market sales;</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continued depreciation of the Renminbi could negatively impact the valuation of the Company in U.S. dollar terms; and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dissenters’ rights to the Unaffiliated Security Holders who hold their Shares in their own names and comply with all of the required procedures under the CICA for exercising dissenters’ rights, which allow registered shareholders to receive payment of the fair value of their Shares as determined by the Court.</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Buyer Group’s consideration of the factors described above reflects its assessment of the fairness of the Per Share Merger Consideration of US$0.816 and Per ADS Merger Consideration of US$4.08, without interest and net of any withholding taxes, payable in the Merger to the Unaffiliated Security Holders in relation to the going-concern value of the Company.</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Buyer Group did not consider the liquidation value of the Company because the Buyer Group considers the Company to be a viable going concern and views the trading history of the Shares as an indication of the Company’s going-concern value, and, accordingly, did not believe liquidation value to be relevant to a determination as to the fairness of the Merger.</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Buyer Group did not consider the Company’s net book value, which is an accounting concept based on historical costs, as a factor because it believed that net book value is not a material indicator of the value of the Company as a going concern but rather is indicative of historical costs and therefore not a relevant measure in the determination as to the fairness of the Merger.</w:t>
      </w:r>
    </w:p>
    <w:p>
      <w:pPr>
        <w:spacing w:after="0" w:line="9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Buyer Group did not establish, and did not consider, a going-concern value for the Company as a public company to determine the fairness of the merger consideration to the Unaffiliated Security Holders because, following the Merger, the Company will have a significantly different capital structure. However, to the extent the pre-Merger going-concern value was reflected in the pre-announcement price of the Company’s Shares, the Per Share Merger Consideration of US$0.816 and Per ADS Merger Consideration of US$4.08 represent a premium to the going-concern value of the Company.</w:t>
      </w:r>
    </w:p>
    <w:p>
      <w:pPr>
        <w:spacing w:after="0" w:line="1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Buyer Group is not aware of, and thus did not consider, any offers or proposals made by any unaffiliated person during the past two years for (i) a merger or consolidation of the Company with or into another company, (ii) a sale or transfer of all or substantially all of the Company’s assets or (iii) the purchase of all or a substantial portion of the Shares that would enable such person to exercise control of or significant influence over the Company.</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Buyer Group did not perform or receive any independent reports, opinions or appraisals from any third party related to the Merger, and thus did not consider any such reports, opinions or appraisals in determining the substantive and procedural fairness of the Merger to the Unaffiliated Security Holders.</w:t>
      </w:r>
    </w:p>
    <w:p>
      <w:pPr>
        <w:spacing w:after="0" w:line="10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Buyer Group believes that the Merger is procedurally fair to the Unaffiliated Security Holders based on the following factors, which are not listed in any relative order of importance:</w:t>
      </w:r>
    </w:p>
    <w:p>
      <w:pPr>
        <w:spacing w:after="0" w:line="54" w:lineRule="exact"/>
        <w:rPr>
          <w:sz w:val="20"/>
          <w:szCs w:val="20"/>
          <w:color w:val="auto"/>
        </w:rPr>
      </w:pPr>
    </w:p>
    <w:p>
      <w:pPr>
        <w:ind w:left="1800" w:right="41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negotiation of the Merger Agreement on behalf of the Company were conducted entirely under the control and supervision of the Special Committee, which consists of four independent directors, as defined under applicable rules of NASDAQ, each of whom is an outside, non-employee director, and no limitations were placed on the Special Committee’s authority;</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transaction with the Buyer Group, the Special Committee acted solely to represent the interests of the Unaffiliated Security Holders, and the Special Committee had full control of the extensive negotiations with the members of the Buyer Group and their respective advisors on behalf of the Unaffiliated Security Holders;</w:t>
      </w:r>
    </w:p>
    <w:p>
      <w:pPr>
        <w:spacing w:after="0" w:line="58"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the Special Committee during the entire process were and are independent directors and free from any affiliation with any member of the Buyer Group; in addition, none of such Special Committee members has any financial interest in the Merger that is different from that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under the Merger Agreement;</w:t>
      </w:r>
    </w:p>
    <w:p>
      <w:pPr>
        <w:spacing w:after="0" w:line="7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retained and was advised by an independent financial advisor and an independent legal counsel, each of whom is experienced in advising committees such as the Special Committee in similar transactions;</w:t>
      </w:r>
    </w:p>
    <w:p>
      <w:pPr>
        <w:spacing w:after="0" w:line="54"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consider, attend to and take any and all actions in connection with the Original Consortium Proposal and the Revised Consortium Proposal and in connection with the Transactions from the date the Special Committee was established, and no evaluation, negotiation or response regarding the Transactions in connection therewith from that date forward was considered by the Board for approval unless the Special Committee had recommended such action to the Board;</w:t>
      </w:r>
    </w:p>
    <w:p>
      <w:pPr>
        <w:spacing w:after="0" w:line="282"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announcement of the receipt of the Original Consortium Proposal on December 20, 2022 and prior to the execution of the Merger Agreement, no third party had contacted the Company, the Special Committee or Houlihan Lokey expressing an interest in exploring an alternative transaction involving the Company;</w:t>
      </w:r>
    </w:p>
    <w:p>
      <w:pPr>
        <w:spacing w:after="0" w:line="58"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held meetings regularly to consider and review the terms of the Merger Agreement, the Plan of Merger and the Transactions, including the Merger;</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by the Special Committee and the Board that it had no obligation to recommend the Transactions;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75"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Group did not participate in or have any influence over the deliberative process of, or the conclusions reached by, the Special Committee or the negotiating positions of the Special Committee;</w:t>
      </w:r>
    </w:p>
    <w:p>
      <w:pPr>
        <w:spacing w:after="0" w:line="268"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subject to compliance with the terms and conditions of the Merger Agreement, (a) to solicit any Competing Proposal from any third party within 30 days following the execution of the Merger Agreement, and (b) to terminate the Merger Agreement prior to the receipt of shareholder approval in order to accept an alternative transaction proposed by a third party that is a Superior Proposal; and</w:t>
      </w:r>
    </w:p>
    <w:p>
      <w:pPr>
        <w:spacing w:after="0" w:line="48" w:lineRule="exact"/>
        <w:rPr>
          <w:rFonts w:ascii="Times New Roman" w:cs="Times New Roman" w:eastAsia="Times New Roman" w:hAnsi="Times New Roman"/>
          <w:sz w:val="18"/>
          <w:szCs w:val="18"/>
          <w:color w:val="auto"/>
        </w:rPr>
      </w:pPr>
    </w:p>
    <w:p>
      <w:pPr>
        <w:ind w:left="1800" w:right="105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and the Board, subject to compliance with the terms and conditions of the Merger Agreement, to change, withhold, withdraw, qualify or modify their recommendation of the Merger in the event of a Superior Proposal or an Intervening Event.</w:t>
      </w:r>
    </w:p>
    <w:p>
      <w:pPr>
        <w:spacing w:after="0" w:line="108"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foregoing is a summary of the information and factors considered and given weight by the Buyer Group in connection with its evaluation of the fairness of the Merger to the Unaffiliated Security 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which is not intended to be exhaustive, but is believed by the Buyer Group to include all material factors considered by it. The Buyer Group did not find it practicable to assign, and did not assign, relative weights to the individual factors considered in reaching its conclusion as to the fairness of the Merger to the Unaffiliated Security Holders. Rather, its fairness determination was made after consideration of all of the foregoing factors as a whole.</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Buyer Group believes these factors provide a reasonable basis for its belief that the Merger is both substantively and procedurally fair to the Unaffiliated Security Holders. This belief, however, is not intended to be and should not be construed as a recommendation by the Buyer Group to any Unaffiliated Security Holder of the Company as to how such Unaffiliated Security Holder should vote with respect to the authorization and approval of the Merger Agreement, the Plan of Merger and the consummation of the Transactions, including the Merger.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Company’s management provided the August Financial Projections for the fiscal year ending December 31, 2023 through the fiscal year ending December 31, 2028 to the Special Committee and Houlihan Lokey on August 9, 2023 in connection with the financial analysis of the Merger. On November 21, 2023, the Company’s management adjusted the revenue and gross profit margin for 2023 to 2028 in the August Financial Projections. See “Special Factors — Background of the Merger” beginning on page 25 for additional information. In addition, in connection with Houlihan Lokey’s financial analysis of the Merger, the Company also provided the April Financial Projections and the July Financial Projections for the fiscal year ending December 31, 2023 through the fiscal year ending December 31, 2028 to the Special Committee and Houlihan Lokey on April 24, 2023 and July 26, 2023, respectively (all these financial projections, together with the August Financial Projections, the “Company Financial Projections”). See “Special Factors — Background of the Merger” beginning on page 25 for additional information. These Company Financial Projections, which were based on Company management’s estimates of the Company’s future financial performance as of the date provided, were prepared by the Company’s management for internal use and for use by Houlihan Lokey in its financial analysis, and were not prepared with a view towards public disclosure or compliance with published guidelines of the SEC regarding forward-looking information or the guidelines established by the American Institute of Certified Public Accountants for preparation and presentation of financial forecasts. No member of the Buyer Group was entitled to rely on any of these Company Financial Projections.</w:t>
      </w:r>
    </w:p>
    <w:p>
      <w:pPr>
        <w:spacing w:after="0" w:line="326"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Company Financial Projections are not a guarantee of performance. They involve significant risks, uncertainties and assumptions. In compiling the Company Financial Projections, our management took into account historical performance, combined with estimates regarding net revenues, adjusted EBITDA, capital expenditures and change in net working capital. Although the Company Financial Projections are presented with numerical specificity, they were based on numerous assumptions and estimates as to future events made by our management that they believed were prepared on a reasonable basis, reflected the best estimates and judgments available at that time and presented, to the best of the management’s knowledge and belief, the expected course of action and the expected future financial performance of the Company. However, this information is not fact and should not be relied upon as being necessarily indicative of actual future results and shareholders are cautioned not to place undue reliance on the prospective financial information. In addition, factors such as industry performance, the market for our existing and new businesses, the competitive environment, expectations regarding general business, economic, regulatory, market and financial conditions, all of which are difficult to predict and beyond the control of our management, may cause actual future results to differ materially from the results forecasted in these Company Financial Projections.</w:t>
      </w:r>
    </w:p>
    <w:p>
      <w:pPr>
        <w:spacing w:after="0" w:line="33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These Company Financial Projections do not take into account any acquisitions of new businesses or assets, as management believed that the nature, timing and amount of any such acquisitions would be too difficult to predict. In addition, the Company Financial Projections do not take into account any circumstances or events occurring after the date that they were prepared. For instance, the Company Financial Projections do not give effect to the completion of the Merger or any changes to our operations or strategy that may be implemented after the time the projections were prepared. As a result, there can be no assurance that the Company Financial Projections will be realized, and the actual results may be significantly different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those contained in the Company Financial Projections. Neither the Company’s independent registered public accounting firm, nor any other independent accountants have examined, compiled or performed any procedures with respect to the Company Financial Projections or any amounts derived therefrom or built thereupon, nor have they given any opinion or any other form of assurance on such information or its achievability, and they assume no responsibility for, and disclaim any association with, the prospective information. The August Financial Projections included in this Proxy Statement are included solely to give shareholders access to certain information that was made available to the Special Committee and Houlihan Lokey, and are not included in this Proxy Statement in order to induce any holder of Shares or ADSs to vote in favor of authorization and approval of the Merger Agreement, the Plan of Merger and the Transactions, including the Merger or to elect not to exercise their rights to dissent from the Merger pursuant to</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238 of CICA (to the extent applicable).</w:t>
      </w:r>
    </w:p>
    <w:p>
      <w:pPr>
        <w:spacing w:after="0" w:line="12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August Financial Projections prepared by our management and considered by the Special Committee in connection with their analysis of the Merger and Houlihan Lokey in connection with the delivery of its fairness opinion:</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(Fiscal Year Ending December 31, dollars in US$ million)</w:t>
            </w: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 FY2023E ​</w:t>
            </w: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FY2024E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FY2025E ​</w:t>
            </w: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FY2026E ​</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FY2027E ​</w:t>
            </w: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FY2028E ​</w:t>
            </w:r>
          </w:p>
        </w:tc>
      </w:tr>
      <w:tr>
        <w:trPr>
          <w:trHeight w:val="196"/>
        </w:trPr>
        <w:tc>
          <w:tcPr>
            <w:tcW w:w="34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0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​143.1</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​153.3</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​169.9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​186.7</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​207.3</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 Growth</w:t>
            </w:r>
          </w:p>
        </w:tc>
        <w:tc>
          <w:tcPr>
            <w:tcW w:w="2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i w:val="1"/>
                <w:iCs w:val="1"/>
                <w:color w:val="auto"/>
              </w:rPr>
              <w:t>​ ​</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(15.4)%​​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7.1%​​</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10.8%​​</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9.9%​​</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8.3%​​</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0"/>
        </w:trPr>
        <w:tc>
          <w:tcPr>
            <w:tcW w:w="34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i w:val="1"/>
                <w:iCs w:val="1"/>
                <w:color w:val="auto"/>
              </w:rPr>
              <w:t>​ ​</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(24.5)%​​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(8.2)%​​</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(3.4)%​​</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0.8%​​</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3.3%​​</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3.8%</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r>
              <w:rPr>
                <w:rFonts w:ascii="Times New Roman" w:cs="Times New Roman" w:eastAsia="Times New Roman" w:hAnsi="Times New Roman"/>
                <w:sz w:val="18"/>
                <w:szCs w:val="18"/>
                <w:b w:val="1"/>
                <w:bCs w:val="1"/>
                <w:i w:val="1"/>
                <w:iCs w:val="1"/>
                <w:color w:val="auto"/>
              </w:rPr>
              <w:t>​</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Working Capital</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(2.5)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(0.4)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r>
              <w:rPr>
                <w:rFonts w:ascii="Times New Roman" w:cs="Times New Roman" w:eastAsia="Times New Roman" w:hAnsi="Times New Roman"/>
                <w:sz w:val="18"/>
                <w:szCs w:val="18"/>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-1105535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-1105535</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-1105535</wp:posOffset>
            </wp:positionV>
            <wp:extent cx="1289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-1105535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-1105535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-1105535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68580</wp:posOffset>
            </wp:positionV>
            <wp:extent cx="12344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8" w:lineRule="exact"/>
        <w:rPr>
          <w:sz w:val="20"/>
          <w:szCs w:val="20"/>
          <w:color w:val="auto"/>
        </w:rPr>
      </w:pPr>
    </w:p>
    <w:p>
      <w:pPr>
        <w:ind w:left="1620" w:right="1019" w:hanging="360"/>
        <w:spacing w:after="0" w:line="282" w:lineRule="auto"/>
        <w:tabs>
          <w:tab w:leader="none" w:pos="1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loss before (i) depreciation and amortization, (ii) finance cost, (iii) income tax expense, (iv) other losses, net (except for government grants).</w:t>
      </w:r>
    </w:p>
    <w:p>
      <w:pPr>
        <w:spacing w:after="0" w:line="9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August Financial Projections included in this Proxy Statement should not be considered in isolation or in lieu of the Company’s operating and other financial information prepared in accordance with U.S. GAAP. See “Financial Information — Selected Historical Financial Information” beginning on page</w:t>
      </w:r>
    </w:p>
    <w:p>
      <w:pPr>
        <w:spacing w:after="0" w:line="2" w:lineRule="exact"/>
        <w:rPr>
          <w:sz w:val="20"/>
          <w:szCs w:val="20"/>
          <w:color w:val="auto"/>
        </w:rPr>
      </w:pPr>
    </w:p>
    <w:p>
      <w:pPr>
        <w:ind w:left="1260" w:right="539"/>
        <w:spacing w:after="0"/>
        <w:tabs>
          <w:tab w:leader="none" w:pos="16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non-GAAP measure that is used by management as supplemental financial measures to evaluate the Company’s operational trends. This metric should be relied upon as an alternative to net loss. Adjusted EBITDA is not defined under U.S. GAAP and, accordingly, it may not be comparable measurement to those used by other companies and should not be relied upon as an alternative to GAAP measures.</w:t>
      </w:r>
    </w:p>
    <w:p>
      <w:pPr>
        <w:spacing w:after="0" w:line="327"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preparing the Company Financial Projections, the Company’s management necessarily made certain assumptions about future financial factors affecting the Company’s business. The main assumptions underlying these projections are:</w:t>
      </w:r>
    </w:p>
    <w:p>
      <w:pPr>
        <w:spacing w:after="0" w:line="61" w:lineRule="exact"/>
        <w:rPr>
          <w:sz w:val="20"/>
          <w:szCs w:val="20"/>
          <w:color w:val="auto"/>
        </w:rPr>
      </w:pPr>
    </w:p>
    <w:p>
      <w:pPr>
        <w:ind w:left="1800" w:right="47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marketing solutions and enterprise solutions will continue in line with management’s expectations; and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RMB and the overall economy in China will generally remain stable, and that there will be no material adverse change in the industry, and relevant regulations affecting the Company.</w:t>
      </w:r>
    </w:p>
    <w:p>
      <w:pPr>
        <w:spacing w:after="0" w:line="81"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For the foregoing reasons, as well as the bases and assumptions on which these projections were compiled, the inclusion of specific portions of the August Financial Projections in this Proxy Statement should not be regarded as an indication that the Company, the Special Committee or the Board considers such projections to be an accurate prediction of future events, and these projections should not be relied on as such an indication.</w:t>
      </w:r>
    </w:p>
    <w:p>
      <w:pPr>
        <w:spacing w:after="0" w:line="31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NONE OF THE COMPANY OR ITS AFFILIATES, ADVISORS, OFFICERS, DIRECTORS OR REPRESENTATIVES HAS MADE OR MAKES ANY REPRESENTATION TO ANY SHAREHOLDER OR OTHER PERSON REGARDING THE ULTIMATE PERFORMANCE OF THE COMPANY COMPARED TO THE INFORMATION CONTAINED IN THE PROJECTIONS OR THAT PROJECTED RESULTS WILL BE ACHIEVED.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BY INCLUDING IN THIS PROXY STATEMENT A SUMMARY OF ITS INTERNAL FINANCIAL PROJECTIONS, THE COMPANY UNDERTAKES NO OBLIGATIONS TO UPDATE, OR PUBLICLY DISCLOSE ANY UPDATE TO, THESE FINANCIAL PROJECTIONS TO REFLECT CIRCUMSTANCES OR EVENTS, INCLUDING UNANTICIPATED EVENTS, THAT MAY HAVE OCCURRED OR THAT MAY OCCUR AFTER THE PREPARATION OF THESE PROJECTIONS, EVEN IN THE EVENT THAT ANY OR ALL OF THE ASSUMPTIONS UNDERLYING THE FINANCIAL PROJECTIONS ARE SHOWN TO BE IN ERROR OR CHANGE, EXCEPT TO THE EXTENT REQUIRED BY APPLICABLE FEDERAL SECURITIES LAW.</w:t>
      </w:r>
    </w:p>
    <w:p>
      <w:pPr>
        <w:spacing w:after="0" w:line="11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financial projections are forward-looking statements. For information on factors that may cause the Company’s future financial results to materially vary, see “Cautionary Note Regarding Forward -Looking Statements” beginning on page 113 and “Item 3. Key Information — D. Risk Factors” included in the Company’s Annual Report on Form 20-F for the fiscal year ended December 31, 2022, filed with the SEC on May 11, 2023 and incorporated by reference into this Proxy Statement.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November 23, 2023, Houlihan Lokey verbally rendered its opinion to the Special Committee (which was subsequently confirmed in writing by delivery of Houlihan Lokey’s written opinion addressed to the Special Committee dated November 23, 2023),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based upon and subject to the procedures followed, assumptions made, qualifications and limitations on the review undertaken, and other matters considered by Houlihan Lokey in preparing its opinion.</w:t>
      </w:r>
    </w:p>
    <w:p>
      <w:pPr>
        <w:spacing w:after="0" w:line="3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Houlihan Lokey’s opinion was directed to the Special Committee (in its capacity as such) and only addressed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Annex C to this Proxy Statement and describes certain of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Merger.</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its opinion, Houlihan Lokey, among other things:</w:t>
      </w:r>
    </w:p>
    <w:p>
      <w:pPr>
        <w:spacing w:after="0" w:line="104" w:lineRule="exact"/>
        <w:rPr>
          <w:sz w:val="20"/>
          <w:szCs w:val="20"/>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Merger Agreement and Plan of Merger dated November 21, 2023;</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Houlihan Lokey deemed to be relevant;</w:t>
      </w:r>
    </w:p>
    <w:p>
      <w:pPr>
        <w:spacing w:after="0" w:line="53"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Houlihan Lokey by the Company, including the financial projections (and adjustments thereto) prepared by the management of the Company relating to the Company for the fiscal years ending December 31, 2023 through December 31, 2028;</w:t>
      </w:r>
    </w:p>
    <w:p>
      <w:pPr>
        <w:spacing w:after="0" w:line="75"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the Company regarding the businesses, operations, financial condition and prospects of the Company, the Merger and related matters;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61"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certificates and/or confirmation emails addressed to Houlihan Lokey from senior management of the Company which contains, among other things, representations regarding the accuracy of the information, data and other materials (financial or otherwise) provided to, or discussed with, Houlihan Lokey by or on behalf of the Company; and</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9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giving its opinion, 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Company advised Houlihan Lokey, and Houlihan Lokey assumed, that the financial projections (and adjustments thereto) reviewed by it were reasonably prepared in good faith on bases reflecting the best currently available estimates and judgments of such management as to the future financial results and condition of the Company and the other matters covered thereby, and Houlihan Lokey expressed no opinion with respect to such projections or the assumptions on which they were based. Houlihan Lokey relied upon and assumed, without independent verification, that there had been no change in the businesses, assets, liabilities, financial condition, results of operations, cash flows or prospects of the Company since the respective dates of the most recent financial statements and other information, financial or otherwise, provided to Houlihan Lokey that would be material to its analyses or its opinion, and that there was no information or any facts that would make any of the information reviewed by Houlihan Lokey incomplete or misleading. The credit, financial and stock markets have recently been experiencing unusual volatility and Houlihan Lokey expressed no opinion or view as to any potential effects of such volatility on the Merger, and its opinion did not purport to address potential developments in any such markets. In addition, Houlihan Lokey expressed no view as to, and its opinion did not address, foreign currency exchange risks (if any) associated with the Merger, the financial projections or otherwise.</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(a) the representations and warranties of all parties to the Merger Agreement and all other related documents and instruments that were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would be satisfied without waiver thereof, and (d) the Merger would be consummated in a timely manner in accordance with the terms described in the Merger Agreement and such other related documents and instruments, without any amendments or modifications thereto. Houlihan Lokey relied upon and assumed, without independent verification, that (i) the Merger would be consummated in a manner that complies in all respects with all applicable foreign, federal and state statutes, rules and regulations, and (ii) all governmental, regulatory, and other consents and approvals necessary for the consummation of the Merger would be obtained and that no delay, limitations, restrictions or conditions would be imposed or amendments, modifications or waivers made that would result in the disposition of any assets of the Company or the Parent, or otherwise have an effect on the Merger or the Company that would be material to Houlihan Lokey’s analyses or its opinion. Houlihan Lokey also relied upon and assumed, without independent verification, at the direction of the Company, that any adjustments to the Per Share Merger Consideration or the Per ADS Merger Consideration pursuant to the Merger Agreement would not be material to its analyses or its opinion. In addition, Houlihan Lokey relied upon and assumed, without independent verification, that the final form of the merger agreement would not differ in any respect from the draft identified above.</w:t>
      </w:r>
    </w:p>
    <w:p>
      <w:pPr>
        <w:spacing w:after="0" w:line="3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Furthermore, in connection with such opinion, Houlihan Lokey was not requested to make and did not make any physical inspection or independent appraisal or evaluation of any of the assets, properties, or liabilities (fixed, contingent, derivative, off-balance-sheet or otherwise) of the Company, or any other party, nor was Houlihan Lokey provided with any such appraisal or evaluation. Houlihan Lokey did not estimate, and expressed no opinion regarding, the liquidation value of any entity or business. Houlihan Lokey undertook no independent analysis of any potential or actual litigation, regulatory action, possible unasserted claims, or other contingent liabilities, to which the Company was or may have been a party or was or may have been subject, or of any governmental investigation of any possible unasserted claims or other contingent liabilities to which the Company was or may have been a party or was or may have been subject.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Houlihan Lokey was not requested to, and did not, (a) negotiate the terms of the Merger, or (b) advise the Special Committee, the Board, or any other party with respect to alternatives to the Merger. Houlihan Lokey’s opinion was necessarily based on financial, economic, market, and other conditions as in effect on, and the information made available to Houlihan Lokey as of, the date of such opinion. Houlihan Lokey did not undertake, and is under no obligation, to update, revise, reaffirm or withdraw its opinion, or otherwise comment on or consider events occurring or coming to its attention after the date of such opinion.</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Houlihan Lokey’s opinion was furnished for the use of the Special Committee (in its capacity as such) in connection with the Special Committee’s evaluation of the Merger, and may not be used for any other purpose without Houlihan Lokey’s prior written consent. Houlihan Lokey has consented to the inclusion of its opinion in its entirety and the description thereof which is subject to, and qualified in its entirety by reference to Houlihan Lokey’s opinion, in this Proxy Statement. Houlihan Lokey’s opinion was not intended to be, and did not constitute, a recommendation to the Special Committee, the Board, any security holder, or any other party as to how to act or vote or make any election with respect to any matter relating to the Merger or otherwise.</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Special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Per Share Merger Consideration and the Per ADS Merger Consideration to the extent expressly specified in Houlihan Lokey’s opinion), (iii) the fairness of any portion or aspect of the Merger to the holders of any class of securities, creditors, or other constituencies of the Company or Parent, or to any other party, except if and only to the extent expressly set forth in the last sentence of Houlihan Lokey’s opinion, (iv) the relative merits of the Merger as compared to any alternative business strategies or transactions that might be available 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w:t>
      </w:r>
    </w:p>
    <w:p>
      <w:pPr>
        <w:spacing w:after="0" w:line="2" w:lineRule="exact"/>
        <w:rPr>
          <w:sz w:val="20"/>
          <w:szCs w:val="20"/>
          <w:color w:val="auto"/>
        </w:rPr>
      </w:pPr>
    </w:p>
    <w:p>
      <w:pPr>
        <w:ind w:left="1260" w:right="439"/>
        <w:spacing w:after="0" w:line="241" w:lineRule="auto"/>
        <w:tabs>
          <w:tab w:leader="none" w:pos="16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creditworthiness, or fair value of the Company,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Per Share Merger Consideration or the Per ADS Merger Consideration or otherwise. Furthermore, no opinion, counsel, or interpretation was intended in matters that require legal, regulatory, accounting, insurance, tax, or other similar professional advice. Houlihan Lokey assumed that such opinions, counsel, or interpretations were or would be obtained from appropriate professional sources. Furthermore, Houlihan Lokey relied, with the consent of the Special Committee, on the assessments by the Special Committee, the Board, the Company, Parent, and their respective advisors, as to all legal, regulatory, accounting, insurance, tax and other similar matters with respect to the Company, the Parent and the Merger or otherwise.</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proposed Merger and an evaluation of the results of those analyses is not entirely mathematical. The estimates contained in the financial projections (and adjustments thereto)prepared by the management of the Company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the Company. Much of the information used in, and accordingly the results of, Houlihan Lokey’s analyses are inherently subject to substantial uncertainty.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Special Committee and the Board in evaluating the proposed Merger. Neither Houlihan Lokey’s opinion nor its analyses were determinative of the Per Share Merger Consideration or the Per ADS Merger Consideration or of the views of the Special Committee, the Board or management of the Company with respect to the Per Share Merger Consideration, the Per ADS Merger Consideration or the Merger. Under the terms of its engagement by the Company, neither Houlihan Lokey’s opinion nor any other advice or services rendered by it in connection with the proposed Merger or otherwise, should be construed as creating, and Houlihan Lokey should not be deemed to have, any fiduciary duty to, or agency relationships with, the Special Committee, the Board, the Company, the Parent, any security holder or creditor of the Company, the Parent or any other person, regardless of any prior or ongoing advice or relationships. The type and amount of consideration payable in the Merger were determined through negotiation between the Special Committee on the one hand and the Buyer Consortium on the other hand, and the decision to enter into the Merger Agreement was solely that of the Special Committee and the Board.</w:t>
      </w:r>
    </w:p>
    <w:p>
      <w:pPr>
        <w:spacing w:after="0" w:line="330"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Except for the fairness opinion delivered to the Special Committee by Houlihan Lokey in connection with the Merger, none of the Special Committee, the Company, or the Company’s affiliates received any other report, opinion, or appraisal from any outside third party that is materially related to the Merger.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In preparing its opinion to the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are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330"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Special Committee on November 23, 2023. The order of the analyses does not represent relative importance or weight given to those analyses by Houlihan Lokey.</w:t>
      </w:r>
    </w:p>
    <w:p>
      <w:pPr>
        <w:spacing w:after="0" w:line="32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estimates of the future financial performance of the Company relied upon for the financial analyses described below were based on the financial projections (and adjustments thereto) prepared by the management of the Company relating to the Company for the fiscal years ending December 31, 2023 through December 31, 2028.</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Selected Companies Analysis</w:t>
      </w:r>
      <w:r>
        <w:rPr>
          <w:rFonts w:ascii="Times New Roman" w:cs="Times New Roman" w:eastAsia="Times New Roman" w:hAnsi="Times New Roman"/>
          <w:sz w:val="18"/>
          <w:szCs w:val="18"/>
          <w:color w:val="auto"/>
        </w:rPr>
        <w:t>. Houlihan Lokey considered performing a selected companies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due to the limited comparability of the Company to other public companies, Houlihan Lokey concluded that it would not be able to derive a meaningful result for which an implied valuation range could be concluded based on an analysis of comparable companies.</w:t>
      </w:r>
    </w:p>
    <w:p>
      <w:pPr>
        <w:spacing w:after="0" w:line="10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Selected Transactions Analysis</w:t>
      </w:r>
      <w:r>
        <w:rPr>
          <w:rFonts w:ascii="Times New Roman" w:cs="Times New Roman" w:eastAsia="Times New Roman" w:hAnsi="Times New Roman"/>
          <w:sz w:val="18"/>
          <w:szCs w:val="18"/>
          <w:color w:val="auto"/>
        </w:rPr>
        <w:t>. Houlihan Lokey considered performing a selected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However, due to the limited comparability of the Company to other companies subject to transactions for which financial information was made publicly available, Houlihan Lokey concluded that it would not be able to derive a meaningful result for which an implied valuation range could be concluded based on an analysis of comparable transactions.</w:t>
      </w:r>
    </w:p>
    <w:p>
      <w:pPr>
        <w:spacing w:after="0" w:line="106"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Houlihan Lokey performed a discounted cash flow analysis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calculating the estimated net present value of the projected unlevered, after-tax free cash flows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of the Company based on the financial projections (and adjustments thereto) prepared by the management of the Company. Houlihan Lokey calculated terminal values for the Company by applying a range of perpetuity growth rates of 2% to 3% to the Company’s projected 2028 unlevered free cash flows, which were adjusted to account for expected levels of taxes in the future. The perpetuity growth rates were derived based on an estimate of the expected long-term growth rate of the Chinese economy and the Company’s business. The net present values of the Company’s projected future cash flows and terminal values were then calculated using discount rates ranging from 12.5% to 17.5%, which was derived based on certain financial metrics, including betas, capital structures and tax rates for the Company, risk-free rates for the U.S. and China, and size premium data as provided by third party sources. The discounted cash flow analysis indicated an implied per ADS value reference range of US$2.62 to US$3.99 per ADS, as compared to the proposed Per ADS Merger Consideration of US$4.08 per ADS.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Houlihan Lokey was engaged by the Special Committee to provide an opinion to the Special Committee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The Special Committee engaged Houlihan Lokey based on Houlihan Lokey’s experience and reputation. Houlihan Lokey is regularly engaged to provide financial advisory services in connection with mergers and acquisitions, financings, and financial restructurings.</w:t>
      </w:r>
    </w:p>
    <w:p>
      <w:pPr>
        <w:spacing w:after="0" w:line="11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Pursuant to its engagement by the Special Committee, Houlihan Lokey is entitled to a fixed fee of US$725,000, US$250,000 of which became payable upon the execution of Houlihan Lokey’s engagement letter,US$150,000 of which became payable upon the Special Committee’s request of Houlihan Lokey to perform market check services, US$75,000 of which became payable when the addendum to Houlihan Lokey’s engagement letter was executed for the additional time and efforts expended by Houlihan Lokey in connection with the Merger, and US$250,000 of which became payable upon the delivery of Houlihan Lokey’s opinion. No portion of Houlihan Lokey’s fee is contingent upon the successful completion of the Merger. The Company has also agreed to reimburse Houlihan Lokey for certain expenses and to indemnify Houlihan Lokey and its affiliates against certain liabilities and expenses arising out of or related to Houlihan Lokey’s engagement.</w:t>
      </w:r>
    </w:p>
    <w:p>
      <w:pPr>
        <w:spacing w:after="0" w:line="32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Purposes of and Reasons for the Merger</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Buyer Group</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Under the SEC rules governing “going private” transactions, the Buyer Group is required to express its reasons for the Merger to the Unaffiliated Security Holders. The Buyer Group is making the statements included in this section solely for the purpose of complying with the requirements of Rule 13e -3 and related rules under the Exchange Act. The views of the Buyer Group as to the purpose of and reasons for the Merger are not intended to be and should not be construed as a recommendation to any holder of Shares or ADSs as to how those holders should vote on the proposal to authorize and approve the Merger Agreement, the Plan of Merger and the consummation of the Transactions, including the Merger.</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the Buyer Group, the purpose of the Merger is to enable Parent to acquire 100% of the Company in a transaction in which the Shares (other than the Excluded Shares, the Dissenting Shares and Shares represented by ADSs) and ADSs (other than ADSs representing the Excluded Shares) will be cancelled in exchange for US$0.816 per Share or US$4.08 per ADS (less US$0.05 per ADS cancelled and any other fees, charges and expenses payable pursuant to the terms of the Deposit Agreement), in each case, in cash, without interest and net of any applicable withholding taxes, so Parent will bear the rewards and risks of the sole ownership of the Company after the Shares and ADSs are cancelled, including any increases in value of the Company as a result of improvements to the Company’s operations or acquisitions of other businesses.</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Buyer Group decided to undertake the Merger at this time because they want to take advantage of the benefits of the Company being privately held. The Buyer Group believes that the operating environment and the financing market have changed in a significant manner since the Company’s initial public offering (including a number of changes that could negatively impact the Company’s business, financial condition or results of operations, such as the challenges of continuing to raise sufficient capital as a public company in the current market environment to meet the Company’s capital needs, increased competition, fluctuations in interest rate and exchange rate and resulting increase in financing costs) and these changes have increased the uncertainty and volatility inherent in the business model of companies similar to the Company. Responding to current market challenges will require tolerance for volatility in the performance of the Company’s business and a willingness to make business and fundraising decisions focused on improving the Company’s long-term growth opportunity and profitability. The Buyer Group believes that these strategies would be most effectively implemented in the context of a private company structure. As a privately held entity, the Company’s management will have greater flexibility to focus on improving long- term profitability without the pressures exerted by the public market’s valuation of the Company and its emphasis on short-term period-to-period performance. Further, 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course of considering the going-private transaction, the Buyer Group believes that structuring the transaction in such manner is preferable to other alternative transaction structures because (i) it will enable Parent to acquire all of the outstanding Shares of the Company at the same time and (ii) it represents an opportunity for the Company’s Unaffiliated Security Holders to immediately realize the value of its investment in the Company at a price of US$0.816 per Share or US$4.08 per ADS (less US$0.05 per ADS cancelled and any other fees, charges and expenses payable pursuant to the terms of the Deposit Agreement), in each case, in cash, without interest and net of any applicable withholding taxes, in accordance with and subject to the terms and conditions set forth in the Merger Agreement. The Buyer Group did not consider alternative transaction structures or other alternative means to accomplish the purposes set forth above because no other alternatives would enable them to achieve the same objectives.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46"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color w:val="auto"/>
        </w:rPr>
        <w:t>The Company’s purpose for engaging in the Merger is to enable its shareholders and ADS holders to receive US$0.816 per Share and US$4.08 per ADS (less $0.05 per ADS cancelled and any other fees, charges</w:t>
      </w: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and expenses payable pursuant to the terms of the Deposit Agreement) in each case, in cash, without interest and net of any applicable withholding taxes. The Company believes its long-term objectives can best be pursued as a private company. The Company has determined to undertake the Merger at this time based on the analyses, determinations and conclusions of the Special Committee and the Board described in detail above under “— Reasons for the Merger and Recommendation of the Special Committee and the Board.”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the Merger on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Ownership</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ADSs are currently listed on NASDAQ under the symbol “ICLK.”</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result of the Merger, the ADSs will no longer be listed on any securities exchange or quotation system, including NASDAQ, and the Company will cease to be a publicly traded company. The Company will request NASDAQ to file an application on Form 25 with the SEC notifying the SEC of the delisting of the ADSs and underlying Class A ordinary shares on NASDAQ and the deregistration of the Company’s registered securities. The deregistration will become effective 90 days after the filing of Form 25 or such shorter period as may be determined by the SEC. The Company intends to suspend its reporting obligations under the Exchange Act by filing a Form 15 with the SEC in approximately 10 days following the filing of the Form 25. The Company’s obligations to file with the SEC certain reports and forms, including Form 20-F and Form 6-K, will be suspended immediately as of the filing date of the Form 15 and will terminate once the deregistration becomes effective.</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(and the Shares underlying such ADSs)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32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receive an employee incentive award by Parent to replace such Unvested Company RSU, pursuant to terms</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and conditions to be determined by Parent, which shall be substantially the same as the terms and conditions (including as to vesting) under the applicable Company Share Plans and the award agreement(s). The Company has no outstanding Vested Company RSUs that has not been converted into ADSs.</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For the maximum amount of cash payments to be received by the directors and executive officers of the Company in respect of their Shares, ADSs and Company Options, upon the completion of the merger, see “— Interests of Certain Persons in the Merger — Treatment of Company Equity Awards” beginning on page 66.</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Management of the Surviving Company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Primary Benefits and Detriments of the Merger</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primary benefits of the Merger to the Unaffiliated Security Holders include, without limitation, the following:</w:t>
      </w:r>
    </w:p>
    <w:p>
      <w:pPr>
        <w:spacing w:after="0" w:line="54" w:lineRule="exact"/>
        <w:rPr>
          <w:sz w:val="20"/>
          <w:szCs w:val="20"/>
          <w:color w:val="auto"/>
        </w:rPr>
      </w:pPr>
    </w:p>
    <w:p>
      <w:pPr>
        <w:ind w:left="1800" w:right="43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and</w:t>
      </w:r>
    </w:p>
    <w:p>
      <w:pPr>
        <w:spacing w:after="0" w:line="88"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avoidance of the risk associated with any possible decrease in the Company’s future revenues and free cash flow, growth or value following the Merger, as well as the uncertainties and risks associated with growing existing and new businesses of the Company, including, among others, as a result of (i) intense competition from other companies, (ii) possibilities that additional capital may not be available to the Company on favorable terms or may not be available at all, (iii) challenges faced in retaining existing or attracting new clients of the Company, (iv) the general economic slowdown in China and globally and the challenges in the macroeconomic environment, which could reduce customers’ demands of and abilities to pay for the Company’s solution services, (v) the geopolitical and economic risks in light of current relations between China and the United States and the potential for degradation of the relationship between the two countries, and (vi) significant challenges faced by the Company in obtaining additional equity financing from the capital market as a Chinese concept stock with a small market capitalization.</w:t>
      </w:r>
    </w:p>
    <w:p>
      <w:pPr>
        <w:spacing w:after="0" w:line="32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primary detriments of the Merger to the Unaffiliated Security Holders include, without limitation, the following:</w:t>
      </w:r>
    </w:p>
    <w:p>
      <w:pPr>
        <w:spacing w:after="0" w:line="54" w:lineRule="exact"/>
        <w:rPr>
          <w:sz w:val="20"/>
          <w:szCs w:val="20"/>
          <w:color w:val="auto"/>
        </w:rPr>
      </w:pPr>
    </w:p>
    <w:p>
      <w:pPr>
        <w:ind w:left="1800" w:right="419" w:hanging="180"/>
        <w:spacing w:after="0" w:line="26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shareholders and ADS holders will cease to have an interest in the Company and, therefore, will no longer benefit from possible increases in the future revenues and free cash flow, growth or value of the Company or payment of dividends on the Shares, if any;</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receipt of cash pursuant to the Merger or through the exercise of dissenters’ rights will be a taxable transaction for U.S. federal income tax purposes and may also be a taxable transaction under other applicable tax laws. See “Special Factors — U.S. Federal Income Tax Consequences” beginning on page 69 for additional information; and</w:t>
      </w:r>
    </w:p>
    <w:p>
      <w:pPr>
        <w:spacing w:after="0" w:line="71"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historical closing price of ADS was US$183.00 per share since the Company became publicly listed on NASDAQ in 2017, and the highest closing price of the Company’s ADS was US$49.50 per share during the 52-week period prior to the date on which the Company announced its receipt of the Original Consortium Proposal on December 20, 2022 both exceed the Per Share Merger Consideration (noting that, effective November 14, 2022, the Company changed the ratio</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819"/>
        <w:spacing w:after="0" w:line="258" w:lineRule="auto"/>
        <w:rPr>
          <w:sz w:val="20"/>
          <w:szCs w:val="20"/>
          <w:color w:val="auto"/>
        </w:rPr>
      </w:pPr>
      <w:r>
        <w:rPr>
          <w:rFonts w:ascii="Times New Roman" w:cs="Times New Roman" w:eastAsia="Times New Roman" w:hAnsi="Times New Roman"/>
          <w:sz w:val="18"/>
          <w:szCs w:val="18"/>
          <w:color w:val="auto"/>
        </w:rPr>
        <w:t>of the ADS representing its Class A Shares from one ADS representing one-half of one Class A Share to one ADS representing five Class A Shares, and the adjustment has been retrospectively applied to the prices quoted above).</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primary benefits of the Merger to the Company’s directors and executive officers include, without limitation,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rights to advancement of fees and directors and officers liability insurance to be provided by the Surviving Company to former directors and officers of the Company;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service of the executive officers of the Company with the Surviving Company in positions that are substantially similar to their current positions;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Parent of Unvested Company RSUs held by certain directors and executive officers of the Company (including but not limited to 200 Unvested Company RSUs held by the Special Committee member Mr. Philip Kan as of the date of this Proxy Statement, in exchange for his services as an independent director of the Company), which would enable them to indirectly benefit from any future growth in the revenues, profitability, or overall value of the Company; and</w:t>
      </w:r>
    </w:p>
    <w:p>
      <w:pPr>
        <w:spacing w:after="0" w:line="75"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w:t>
      </w:r>
    </w:p>
    <w:p>
      <w:pPr>
        <w:spacing w:after="0" w:line="99"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primary detriments of the Merger to the Company’s directors and executive officers include, without limitation, the following:</w:t>
      </w:r>
    </w:p>
    <w:p>
      <w:pPr>
        <w:spacing w:after="0" w:line="40" w:lineRule="exact"/>
        <w:rPr>
          <w:sz w:val="20"/>
          <w:szCs w:val="20"/>
          <w:color w:val="auto"/>
        </w:rPr>
      </w:pPr>
    </w:p>
    <w:p>
      <w:pPr>
        <w:ind w:left="1800" w:right="479" w:hanging="180"/>
        <w:spacing w:after="0" w:line="263"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directors and executive officers to the extent and in their capacity as holders of Shares that are not Excluded Shares and ADSs, will no longer benefit from possible increases in the future revenues and free cash flow, growth or value of the Company or payment of dividends on the Shares, if any; and</w:t>
      </w:r>
    </w:p>
    <w:p>
      <w:pPr>
        <w:spacing w:after="0" w:line="278"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receipt of cash pursuant to the Merger will be a taxable transaction for U.S. federal income tax purposes and may also be a taxable transaction under other applicable tax laws.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primary benefits of the Merger to the Buyer Group include the following:</w:t>
      </w:r>
    </w:p>
    <w:p>
      <w:pPr>
        <w:spacing w:after="0" w:line="117" w:lineRule="exact"/>
        <w:rPr>
          <w:sz w:val="20"/>
          <w:szCs w:val="20"/>
          <w:color w:val="auto"/>
        </w:rPr>
      </w:pPr>
    </w:p>
    <w:p>
      <w:pPr>
        <w:ind w:left="1800" w:right="619" w:hanging="180"/>
        <w:spacing w:after="0" w:line="261"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successfully executes its business strategies, the value of the Buyer Group’s equity investment could increase because of possible increases in future revenues and free cash flow, increases in the underlying value of the Company or the payment of dividends, if any, that will accrue to the Buyer Group;</w:t>
      </w:r>
    </w:p>
    <w:p>
      <w:pPr>
        <w:spacing w:after="0" w:line="58"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 longer have continued pressure to meet quarterly forecasts set by analysts. In contrast, as a publicly traded company, the Company currently faces pressure from public shareholders and investment analysts to make decisions that may produce better short-term results but which may not maximize equity value in the long term;</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 will have more freedom to focus on long-term strategic planning in a highly competitive business with increasing competition and regulation;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 will have more flexibility to change its capital spending strategies without public market scrutiny or analysts’ quarterly expectations;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able to introduce new services or change its pricing strategies to attract customers without public market scrutiny or the pressure to meet short-term forecasts;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reduction of the costs and administrative burdens associated with operating the Company as a U.S. publicly traded company, including the costs associated with regulatory filings and compliance requirements.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primary detriments of the Merger to the Buyer Group include the following:</w:t>
      </w:r>
    </w:p>
    <w:p>
      <w:pPr>
        <w:spacing w:after="0" w:line="117" w:lineRule="exact"/>
        <w:rPr>
          <w:sz w:val="20"/>
          <w:szCs w:val="20"/>
          <w:color w:val="auto"/>
        </w:rPr>
      </w:pPr>
    </w:p>
    <w:p>
      <w:pPr>
        <w:ind w:left="1800" w:right="119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risks of any possible decrease in the Company’s revenues, free cash flow or value following the Merger will be borne by the Buyer Group;</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risks facing the Company, including increased competition and government regulation, will be borne by the Buyer Group;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investment in the Surviving Company by the Buyer Group following the Merger will involve substantial risk resulting from the limited liquidity of such an investment since there will be no trading market for the Surviving Company’s equity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Company’s Net Book Value and Net Loss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Parent and Merger Sub do not currently own any interest in the Company. Immediately after the closing of the Merger, Parent will own 100% of the outstanding Shares of the Surviving Company. The Company’s net loss attributable to the Company’s ordinary shareholders for the fiscal year ended December 31, 2022 was US$200.9 million, and net book value attributable to the Company’s shareholders as of December 31, 2022 was approximately US$79.3 million.</w:t>
      </w:r>
    </w:p>
    <w:p>
      <w:pPr>
        <w:spacing w:after="0" w:line="116"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table below sets out the direct or indirect share in the Company’s net book value and net loss for the parties listed below before and immediately after the Merger, based on the historical net book value and net loss attributable to the Company’s ordinary shareholders as of and for the year ended December 31, 2022.</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20656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3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Ownership prior to the Merger</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Ownership after the Merger</w:t>
            </w:r>
          </w:p>
        </w:tc>
      </w:tr>
      <w:tr>
        <w:trPr>
          <w:trHeight w:val="223"/>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r>
      <w:tr>
        <w:trPr>
          <w:trHeight w:val="223"/>
        </w:trPr>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4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2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-7620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-7620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-7620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-7620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-7620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-7620</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ectPr>
          <w:pgSz w:w="11900" w:h="16838" w:orient="portrait"/>
          <w:cols w:equalWidth="0" w:num="3">
            <w:col w:w="3840" w:space="720"/>
            <w:col w:w="4900" w:space="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shd w:val="clear" w:color="auto" w:fill="CCEEFF"/>
        </w:rPr>
        <w:t>Igomax Inc. (wholly owned by Jian Tang)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Jian Tang</w:t>
      </w:r>
    </w:p>
    <w:p>
      <w:pPr>
        <w:spacing w:after="0" w:line="36"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Bubinga Holdings Limited (wholly owned by Wing Hong Sammy Hsieh)</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Wing Hong Sammy Hsieh</w:t>
      </w:r>
    </w:p>
    <w:p>
      <w:pPr>
        <w:spacing w:after="0" w:line="50" w:lineRule="exact"/>
        <w:rPr>
          <w:sz w:val="20"/>
          <w:szCs w:val="20"/>
          <w:color w:val="auto"/>
        </w:rPr>
      </w:pPr>
    </w:p>
    <w:p>
      <w:pPr>
        <w:ind w:left="1440" w:right="220" w:hanging="179"/>
        <w:spacing w:after="0" w:line="281" w:lineRule="auto"/>
        <w:rPr>
          <w:sz w:val="20"/>
          <w:szCs w:val="20"/>
          <w:color w:val="auto"/>
        </w:rPr>
      </w:pPr>
      <w:r>
        <w:rPr>
          <w:rFonts w:ascii="Times New Roman" w:cs="Times New Roman" w:eastAsia="Times New Roman" w:hAnsi="Times New Roman"/>
          <w:sz w:val="18"/>
          <w:szCs w:val="18"/>
          <w:color w:val="auto"/>
        </w:rPr>
        <w:t>Rise Chain Investment Limited (wholly owned by Huang Jianjun)</w:t>
      </w:r>
    </w:p>
    <w:p>
      <w:pPr>
        <w:spacing w:after="0" w:line="1" w:lineRule="exact"/>
        <w:rPr>
          <w:sz w:val="20"/>
          <w:szCs w:val="20"/>
          <w:color w:val="auto"/>
        </w:rPr>
      </w:pPr>
    </w:p>
    <w:p>
      <w:pPr>
        <w:ind w:left="1440" w:right="260" w:hanging="179"/>
        <w:spacing w:after="0" w:line="282" w:lineRule="auto"/>
        <w:rPr>
          <w:sz w:val="20"/>
          <w:szCs w:val="20"/>
          <w:color w:val="auto"/>
        </w:rPr>
      </w:pPr>
      <w:r>
        <w:rPr>
          <w:rFonts w:ascii="Times New Roman" w:cs="Times New Roman" w:eastAsia="Times New Roman" w:hAnsi="Times New Roman"/>
          <w:sz w:val="18"/>
          <w:szCs w:val="18"/>
          <w:color w:val="auto"/>
        </w:rPr>
        <w:t>Marine Central Limited (Controlled by Huang Jianjun)</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Huang Jianjun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Creative Big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Cheer Lead Global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Huge Superpower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Capable Excel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Infinity Global Fund SPC</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shd w:val="clear" w:color="auto" w:fill="CCEEFF"/>
        </w:rPr>
        <w:t>Integrated Asset Management (Asia) Ltd.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 Nai Hang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Likeable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Tsang Hing Sze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Lau Ying Wai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Chik Yu Chung Roni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Tse Kok Yu Ryan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Imen Yee May Pang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Zhao Yong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Yang Xin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4,073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5.1​​%​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10,291​​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5.1​​%​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 xml:space="preserve">​ </w:t>
            </w:r>
            <w:r>
              <w:rPr>
                <w:rFonts w:ascii="Times New Roman" w:cs="Times New Roman" w:eastAsia="Times New Roman" w:hAnsi="Times New Roman"/>
                <w:sz w:val="18"/>
                <w:szCs w:val="18"/>
                <w:color w:val="auto"/>
                <w:shd w:val="clear" w:color="auto" w:fill="CCEEFF"/>
              </w:rPr>
              <w:t>7,977​​</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20,210​​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10.1</w:t>
            </w:r>
            <w:r>
              <w:rPr>
                <w:rFonts w:ascii="Times New Roman" w:cs="Times New Roman" w:eastAsia="Times New Roman" w:hAnsi="Times New Roman"/>
                <w:sz w:val="18"/>
                <w:szCs w:val="18"/>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44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3,721</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9,402​​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7,289​​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18,465​​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1,952​​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3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23,437​​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59,379​​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w:t>
            </w:r>
          </w:p>
        </w:tc>
      </w:tr>
      <w:tr>
        <w:trPr>
          <w:trHeight w:val="48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4,179</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10,561​​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20,741​​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4,156</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8,140​​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20,622​​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1,159​​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w:t>
            </w:r>
            <w:r>
              <w:rPr>
                <w:rFonts w:ascii="Times New Roman" w:cs="Times New Roman" w:eastAsia="Times New Roman" w:hAnsi="Times New Roman"/>
                <w:sz w:val="18"/>
                <w:szCs w:val="18"/>
                <w:b w:val="1"/>
                <w:bCs w:val="1"/>
                <w:color w:val="auto"/>
              </w:rPr>
              <w:t>​</w:t>
            </w:r>
          </w:p>
        </w:tc>
        <w:tc>
          <w:tcPr>
            <w:tcW w:w="3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3,711​​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2,876​​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r>
        <w:trPr>
          <w:trHeight w:val="24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7,948</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20,083​​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15,568​​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19.6​​%​</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39,441​​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19.6</w:t>
            </w:r>
            <w:r>
              <w:rPr>
                <w:rFonts w:ascii="Times New Roman" w:cs="Times New Roman" w:eastAsia="Times New Roman" w:hAnsi="Times New Roman"/>
                <w:sz w:val="18"/>
                <w:szCs w:val="18"/>
                <w:color w:val="auto"/>
              </w:rPr>
              <w:t>​%</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1,304</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2,554​​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6,470​​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-3848100</wp:posOffset>
            </wp:positionV>
            <wp:extent cx="521208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-3376930</wp:posOffset>
            </wp:positionV>
            <wp:extent cx="5212080" cy="3086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-2759710</wp:posOffset>
            </wp:positionV>
            <wp:extent cx="52120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-2416810</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-2073910</wp:posOffset>
            </wp:positionV>
            <wp:extent cx="52120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-1388110</wp:posOffset>
            </wp:positionV>
            <wp:extent cx="52120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-1045210</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-702310</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-359410</wp:posOffset>
            </wp:positionV>
            <wp:extent cx="52120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100"/>
            <w:col w:w="5319"/>
          </w:cols>
          <w:pgMar w:left="580" w:top="97" w:right="1440" w:bottom="1440" w:gutter="0" w:footer="0" w:header="0"/>
          <w:type w:val="continuous"/>
        </w:sectPr>
      </w:pP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1620" w:right="599" w:hanging="360"/>
        <w:spacing w:after="0" w:line="282" w:lineRule="auto"/>
        <w:tabs>
          <w:tab w:leader="none" w:pos="1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percentages prior to the Merger are based on 49,523,183 Shares issued and outstanding as of the date of this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Plans for the Company after the Merger</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62 for additional information.</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11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Except as set forth in this Proxy Statement and transactions already under consideration by the Company, the Buyer Group has no present plans or proposals that relate to or would result in an extraordinary corporate transaction involving the Company’s corporate structure, business, or management, such as a merger, reorganization, liquidation, relocation of any material operations, or sale or transfer of a material amount of assets. However, the Buyer Group will continue to evaluate the Company’s entire business and operations from time to time, and may propose or develop plans and proposals that they consider to be in the best interests of the Company and its equity holders, including the disposition or acquisition of material assets, alliances, joint ventures, and other forms of cooperation with third parties or other extraordinary transactions, including the possibility of relisting the Company or a substantial part of its business on another stock exchange. The Buyer Group expressly reserves the right to make any changes they deem appropriate to the operation of the Surviving Company in light of such evaluation and review as well as any future developments.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Alternatives to the Merger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did not independently determine to initiate a process for the sale of the Company. The</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Special Committee was formed on October 12, 2021, in response to the receipt of the September Proposal. The Special Committee determined that there was no viable alternative transaction in light of (i) the express intention of the Founder Parties, who are also members of the Buyer Group, not to sell their Shares to any third party (as expressly affirmed by the Founder Parties throughout the process of negotiating the Merger) and the voting power of the Buyer Group (which includes all Rollover Shareholders) of approximately 69% of the entire issued and outstanding Shares (including Shares represented by ADSs) which is sufficient to prevent the consummation of any transaction with a third party that requires shareholder approval,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(iii) the fact that, since the announcement of the Original Consortium Proposal and prior to the entry into the Merger Agreement, the Company has not received any offer from any third party for a merger or consolidation of the Company with another company, the sale or transfer of all or substantially all of the Company’s assets or the purchase of all or a substantial portion of the Company’s voting securities that would enable such person to exercise control of or significant influence over the Company. The Special Committee also took into account that prior to the receipt of shareholder approval, the Company can terminate the Merger Agreement in order to enter into an alternative acquisition agreement with respect to a Competing Proposal that the Board or the Special Committee determines constitutes a Superior Proposal in accordance with the terms of the Merger Agreement, subject to the payment of a termination fee to the extent provided in the Merger Agreement. In this regard, the Special Committee recognized that it has flexibility under the Merger Agreement to respond to an alternative transaction proposed</w:t>
      </w: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by a third party that is or is reasonably likely to result in a Superior Proposal, including the ability to provide information to and engage in discussions and negotiations with such party (and, if such proposal is a Superior Proposal, recommend such proposal to the Company’s shareholders).</w:t>
      </w:r>
    </w:p>
    <w:p>
      <w:pPr>
        <w:spacing w:after="0" w:line="10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the Special Committee and the Board considered, as an alternative to the Merger, remaining as a public company. However, based on the considerations set forth in the section entitled “Special Factors — Reasons for the Merger and Recommendation of the Special Committee and the Board” beginning on page 37, the Special Committee and the Board have concluded that it is more beneficial to the Unaffiliated Security Holders to enter into the Merger Agreement and pursue the consummation of the Transactions, including the Merger, and become a private company rather than to remain a public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Completed</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Merger Agreement, the Plan of Merger and the Transactions, including the Merger, are not authorized and approved by the shareholders of the Company or if the Merger is not completed for any other reason, the shareholders or ADS holders of the Company will not receive any payment for their Shares or ADSs pursuant to the Merger Agreement, nor will the holders of any Vested Company Options or Vested Company RSUs receive any payment pursuant to the Merger Agreement, nor will the Unvested Company RSUs be assumed and converted into equity incentive awards of the Surviving Company. In addition, the Company will remain a publicly traded company, the ADSs will continue to be listed and traded on NASDAQ, provided that the Company continues to meet NASDAQ’s listing requirements, and the Company will remain subject to SEC reporting obligations. Therefore, the Company’s shareholders and ADS holders will continue to be subject to similar risks and opportunities as they currently are with respect to their ownership of the Shares and ADSs. In addition, if the Merger is not completed, the shareholders and ADS holders may be subject to the risks in relation to the future value of the Shares or ADSs, including the risk that the market price of the ADSs may decline to the extent that the current market price reflects a market assumption that the Merger will be completed.</w:t>
      </w:r>
    </w:p>
    <w:p>
      <w:pPr>
        <w:spacing w:after="0" w:line="3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Under specified circumstances, the Company may be required to pay Parent the Company Termination Fee of US $1,200,000 and reimbursement of certain costs and expense actually incurred or accrued in the event that the Company fails to pay such Company Termination Fee when due together with certain interest on such unpaid Company Termination Fee, or the Parent may be required to pay the Company the Parent Termination Fee of US$1,800,000 and reimbursement of certain costs and expense actually incurred or accrued in the event that Parent fails to pay such Parent Termination Fee when due together with certain interest on such unpaid Parent Termination Fee, in each case, as described under the caption “The Merger Agreement — Termination Fees and Reimbursement of Expenses” beginning on page 100.</w:t>
      </w:r>
    </w:p>
    <w:p>
      <w:pPr>
        <w:spacing w:after="0" w:line="11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the Merger is not completed, the Board will, from time to time, evaluate and review, among other things, the business, operations, dividend policy and capitalization of the Company and make such changes as are deemed appropriate and continue to seek to identify strategic alternatives to enhance shareholder value. If the Merger Agreement is not approved by the shareholders or if the Merger is not completed for any other reason, we cannot assure you that any other transaction acceptable to the Company will be offered, or that the business, prospects or results of operations of the Company will not be adversely impacted.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 This amount includes the cash to be paid to the Unaffiliated Security Holders and holders of Vested Company Options in connection with the Transactions.</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Effective Time (other than ADSs representing the Excluded Shares, where applicable) and (y) Vested Company Options (excluding any Vested Company Option which has been converted into ADSs).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Pursuant to the Equity Commitment Letter, Rise Chain, as the Sponsor, has committed, subject to the terms and conditions therein, to subscribe, or cause to be subscribed, equity securities of Parent, at or prior to the Effective Time, in an aggregate cash amount of up to US$8 million (the “Equity Financing”). Such funds are to be used by Parent solely to (i) fund a portion of the Merger Consideration pursuant to the Merger Agreement, and (ii) pay a portion of any other amounts required to be paid pursuant to the Merger Agreement and the fees and expenses in connection with the Transactions.</w:t>
      </w:r>
    </w:p>
    <w:p>
      <w:pPr>
        <w:spacing w:after="0" w:line="114"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funding of the Sponsor’s equity commitment under the Equity Commitment Letter is conditioned upon (i) the execution and delivery of the Merger Agreement by the Company, Parent and Merger Sub,</w:t>
      </w:r>
    </w:p>
    <w:p>
      <w:pPr>
        <w:jc w:val="both"/>
        <w:ind w:left="1260" w:right="439"/>
        <w:spacing w:after="0" w:line="246" w:lineRule="auto"/>
        <w:tabs>
          <w:tab w:leader="none" w:pos="154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by Parent or Merger Sub, as the case may be, of the conditions to Parent’s and Merger Sub’s obligations to effect the Merger set forth in the Merger Agreement, and (iii) the funding of the Debt Financing in accordance with its terms.</w:t>
      </w:r>
    </w:p>
    <w:p>
      <w:pPr>
        <w:spacing w:after="0" w:line="11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obligation of the Sponsor to fund the equity commitment under the Equity Commitment Letter will terminate automatically and immediately upon the earlier to occur of (i) the Effective Time (at which time all such obligations shall be discharged, but subject to the performance of such obligations), and (ii) the valid termination of the Merger Agreement in accordance with its terms.</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Company is an express third-party beneficiary of the Equity Commitment Letter to the extent of its right to seek specific performance of the equity commitment pursuant to the terms and subject to the conditions of the Equity Commitment Letter.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Merger Sub, as the Original Borrower, has entered into the Facility Agreement, pursuant to which, New Age SP II, as the Original Lender, has agreed to provide senior term loan facilities of up to US$20 million (the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and the financing contemplated under the Facilities, the “Debt Financing”) to Merger Sub, subject to the conditions set forth therein, for the purpose of financing the consideration for the Merger.</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described herein, there is no other plan or arrangement to finance the Merger.</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Buyer Group expects to use cash generated from the business operations of the Company and its subsidiaries to repay the debt incurred under the Facilities.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Terms of the Facilities</w:t>
      </w:r>
    </w:p>
    <w:p>
      <w:pPr>
        <w:spacing w:after="0" w:line="119" w:lineRule="exact"/>
        <w:rPr>
          <w:sz w:val="20"/>
          <w:szCs w:val="20"/>
          <w:color w:val="auto"/>
        </w:rPr>
      </w:pPr>
    </w:p>
    <w:p>
      <w:pPr>
        <w:ind w:left="1800" w:right="479" w:hanging="180"/>
        <w:spacing w:after="0" w:line="284"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Rate</w:t>
      </w:r>
      <w:r>
        <w:rPr>
          <w:rFonts w:ascii="Times New Roman" w:cs="Times New Roman" w:eastAsia="Times New Roman" w:hAnsi="Times New Roman"/>
          <w:sz w:val="18"/>
          <w:szCs w:val="18"/>
          <w:color w:val="auto"/>
        </w:rPr>
        <w:t>. The Facilities will bear interest at a rate agreed between Merger Sub and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w:t>
      </w:r>
    </w:p>
    <w:p>
      <w:pPr>
        <w:spacing w:after="0" w:line="50" w:lineRule="exact"/>
        <w:rPr>
          <w:rFonts w:ascii="Times New Roman" w:cs="Times New Roman" w:eastAsia="Times New Roman" w:hAnsi="Times New Roman"/>
          <w:sz w:val="18"/>
          <w:szCs w:val="18"/>
          <w:color w:val="auto"/>
        </w:rPr>
      </w:pPr>
    </w:p>
    <w:p>
      <w:pPr>
        <w:ind w:left="1800" w:right="479" w:hanging="180"/>
        <w:spacing w:after="0" w:line="27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Facilities will mature after six (6) months from the first utilization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with an option to extend the maturity to up to twelve (12) months from the first utilization date.</w:t>
      </w:r>
    </w:p>
    <w:p>
      <w:pPr>
        <w:spacing w:after="0" w:line="279" w:lineRule="exact"/>
        <w:rPr>
          <w:rFonts w:ascii="Times New Roman" w:cs="Times New Roman" w:eastAsia="Times New Roman" w:hAnsi="Times New Roman"/>
          <w:sz w:val="18"/>
          <w:szCs w:val="18"/>
          <w:color w:val="auto"/>
        </w:rPr>
      </w:pPr>
    </w:p>
    <w:p>
      <w:pPr>
        <w:ind w:left="1800" w:right="539" w:hanging="180"/>
        <w:spacing w:after="0" w:line="284"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The loan under the Facilities is expected to be repaid in full upon the maturity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w:t>
      </w:r>
    </w:p>
    <w:p>
      <w:pPr>
        <w:spacing w:after="0" w:line="3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The availability of the Facilities is subject to, among other things,</w:t>
      </w:r>
    </w:p>
    <w:p>
      <w:pPr>
        <w:spacing w:after="0" w:line="29" w:lineRule="exact"/>
        <w:rPr>
          <w:rFonts w:ascii="Times New Roman" w:cs="Times New Roman" w:eastAsia="Times New Roman" w:hAnsi="Times New Roman"/>
          <w:sz w:val="18"/>
          <w:szCs w:val="18"/>
          <w:color w:val="auto"/>
        </w:rPr>
      </w:pPr>
    </w:p>
    <w:p>
      <w:pPr>
        <w:ind w:left="1800" w:right="8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execution of the ancillary documents required under the definitive documents governing the Facilities, and (b) certain other customary conditions set forth in the Facility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Terms of the Facilities</w:t>
      </w:r>
    </w:p>
    <w:p>
      <w:pPr>
        <w:spacing w:after="0" w:line="119" w:lineRule="exact"/>
        <w:rPr>
          <w:sz w:val="20"/>
          <w:szCs w:val="20"/>
          <w:color w:val="auto"/>
        </w:rPr>
      </w:pPr>
    </w:p>
    <w:p>
      <w:pPr>
        <w:ind w:left="1800" w:right="479" w:hanging="180"/>
        <w:spacing w:after="0" w:line="267"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The Facilities will be secured, subject to agreed exceptions, by (a) security over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Merger Sub by Parent, and (b) (upon the completion of the Merger) security over all the shares in the Surviving Company by Parent, provided that the delivery of other security will not be a</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79"/>
        <w:spacing w:after="0" w:line="282" w:lineRule="auto"/>
        <w:rPr>
          <w:sz w:val="20"/>
          <w:szCs w:val="20"/>
          <w:color w:val="auto"/>
        </w:rPr>
      </w:pPr>
      <w:r>
        <w:rPr>
          <w:rFonts w:ascii="Times New Roman" w:cs="Times New Roman" w:eastAsia="Times New Roman" w:hAnsi="Times New Roman"/>
          <w:sz w:val="18"/>
          <w:szCs w:val="18"/>
          <w:color w:val="auto"/>
        </w:rPr>
        <w:t>condition precedent to the availability of the Facilities, but will be required to be delivered on or following the closing date of the Merger.</w:t>
      </w:r>
    </w:p>
    <w:p>
      <w:pPr>
        <w:spacing w:after="0" w:line="38" w:lineRule="exact"/>
        <w:rPr>
          <w:sz w:val="20"/>
          <w:szCs w:val="20"/>
          <w:color w:val="auto"/>
        </w:rPr>
      </w:pPr>
    </w:p>
    <w:p>
      <w:pPr>
        <w:ind w:left="1800" w:right="859" w:hanging="180"/>
        <w:spacing w:after="0" w:line="258"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Major Terms</w:t>
      </w:r>
      <w:r>
        <w:rPr>
          <w:rFonts w:ascii="Times New Roman" w:cs="Times New Roman" w:eastAsia="Times New Roman" w:hAnsi="Times New Roman"/>
          <w:sz w:val="18"/>
          <w:szCs w:val="18"/>
          <w:color w:val="auto"/>
        </w:rPr>
        <w:t>. The Facilities will contain certain customary representations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affirmative and negative covenants in relation to Merger Sub, the Company (as the surviving entity of the Merger) and certain of its subsidiaries, including, among other things, restrictions on indebtedness, sales of assets and mergers. The Facilities will also include certain customary events of default, including non-payment and insolvency proceedings.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Interim Investors Agreement</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Among others, the Interim Investors Agreement provides that, subject to certain conditions and restrictions, (i) the Founder Parties and Sponsor Parties (collectively, the “Requisite Parties”) acting jointly will have the sole power, authority and discretion to cause Parent and Merger Sub to take any action or refrain from taking any action in order for Parent and Merger Sub to comply with its obligations, satisfy its closing conditions or exercise its rights under the Merger Agreement, (ii) Parent or Merger Sub will, at the direction of the Founder Parties, enforce the provisions of the Equity Commitment Letter in accordance with the terms of the Merger Agreement and the Equity Commitment Letter, (iii) none of the Sponsor Parties shall amend or modify the Equity Commitment Letter, or withdraw, terminate or rescind in any respect its obligation to fund the Equity Commitment set forth therein, in each case, except as expressly permitted in the Equity Commitment Letter, (iv) Parent will, at the direction of the Requisite Parties (other than any party that it will be enforced against), enforce the provisions of the Support Agreement in accordance with the terms of the Merger Agreement and the Support Agreement, (v) the Sponsor Parties shall pay (or cause to be paid) in full, for and on behalf of Parent, the Parent Termination Fee and, if applicable, the Company Reimbursement, in each case, pursuant to the terms of the Merger Agreement and the Limited Guarantee, and (vi) the Sponsor Parties shall be entitled to 100% of the Company Termination Fee (if any).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Guarantee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Rise Chain, as the Guarantor, executed and delivered the Limited Guarantee, dated as of November 24, 2023, in favor of the Company. Under the Limited Guarantee, the Guarantor has guaranteed in favor of the Company the payment obligations of Parent under the Merger Agreement for the Parent Termination Fee and certain costs and expenses that may become payable to the Company by Parent under certain circumstances as set forth in the Merger Agreement. The Limited Guarantee will terminate upon the earliest to occurrence of (i) the Effective Time, (ii) the payment in full of the guaranteed obligations under such Limited Guarantee, and (iii) the valid termination of the Merger Agreement in accordance with its terms under the circumstances in which Parent would not be obligated to make a payment of the Parent Termination Fee or pay any other amounts pursuant to the Merger Agreement.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each of the Rollover Shareholders entered into the Support Agreement.</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Pursuant to the Support Agreement, each Rollover Shareholder agreed, until the first to occur of (a) the closing contemplated by the Merger Agreement, and (b) the date of valid termination of the Merger Agreement in accordance with its terms, to vote, among other things, (i) in favor of the authorization and approval of the Merger Agreement, the Merger, the Plan of Merger and the other transactions contemplated by the Merger Agreement, and any action required in furtherance thereof; (ii) against any Competing Proposal or any other transaction, proposal, agreement or action made in opposition to authorization 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2" w:lineRule="auto"/>
        <w:rPr>
          <w:sz w:val="20"/>
          <w:szCs w:val="20"/>
          <w:color w:val="auto"/>
        </w:rPr>
      </w:pPr>
      <w:r>
        <w:rPr>
          <w:rFonts w:ascii="Times New Roman" w:cs="Times New Roman" w:eastAsia="Times New Roman" w:hAnsi="Times New Roman"/>
          <w:sz w:val="18"/>
          <w:szCs w:val="18"/>
          <w:color w:val="auto"/>
        </w:rPr>
        <w:t>approval of the Merger Agreement or in competition or inconsistent with the transactions contemplated by the Merger Agreement, including the Merger; (iii) against any other action, agreement or transaction that is intended, that could reasonably be expected, or the effect of which could reasonably be expected, to materially impede, interfere with, delay, postpone, discourage or adversely affect any of the transactions contemplated by the Merger Agreement, including the Merger, or the Support Agreement or the performance by it or him of its or his obligations under the Support Agreement; (iv)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 (v) in favor of any adjournment or postponement of the Shareholders Meeting or other annual or extraordinary general meeting of the shareholders of the Company, however called, at which any of the matters described above is to be considered (and any adjournment or postponement thereof) as may be reasonably requested by Parent; and</w:t>
      </w:r>
    </w:p>
    <w:p>
      <w:pPr>
        <w:spacing w:after="0" w:line="7" w:lineRule="exact"/>
        <w:rPr>
          <w:sz w:val="20"/>
          <w:szCs w:val="20"/>
          <w:color w:val="auto"/>
        </w:rPr>
      </w:pPr>
    </w:p>
    <w:p>
      <w:pPr>
        <w:ind w:left="1260" w:right="439"/>
        <w:spacing w:after="0" w:line="276" w:lineRule="auto"/>
        <w:tabs>
          <w:tab w:leader="none" w:pos="158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 necessary to effect the transactions contemplated by the Merger Agreement, including the Merger.</w:t>
      </w:r>
    </w:p>
    <w:p>
      <w:pPr>
        <w:spacing w:after="0" w:line="100"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Pursuant to the Support Agreement, each Rollover Shareholder also agreed, subject to the terms and conditions of the Support Agreement, to receive no consideration from the Company for cancellation of the Rollover Shares and to subscribe for or otherwise receive newly issued shares in the Parent.</w:t>
      </w:r>
    </w:p>
    <w:p>
      <w:pPr>
        <w:spacing w:after="0" w:line="115"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As of the date of this Proxy Statement, the Rollover Shares consist of 13,107,608 Class A Shares and 4,385,078 Class B Shares, including Class A Shares represented by ADSs, which represent approximately 35% of the total issued and outstanding Shares and approximately 69% of the total voting power of the outstanding Shares.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 on Liability</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 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w:t>
      </w:r>
    </w:p>
    <w:p>
      <w:pPr>
        <w:spacing w:after="0" w:line="13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equitable remedies the parties may be entitled to as discussed above, the maximum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liabilities of Parent and Merger Sub, on the one hand, and the Company, on the other hand,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monetary damages in connection with the Merger Agreement are limited to Parent Termination Fee of</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US$1,800,000 and Company Termination Fee of US$1,200,000, respectively and reimbursement of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expenses accrued in the event that the Company or Parent fails to pay the applicable termination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 when due together with certain interest on such unpaid termination fee and certain other costs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payable pursuant to the Merger Agreement.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Merger</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you should be aware that each Rollover Shareholder has interests in the Transactions, including the Merger, that are different from, and/or in addition to, the interests of the Company’s shareholders and ADS holders generally. The Board and Special Committee were aware of such interests and considered them, among other matters, in reaching their decisions to authorize and approve the Merger Agreement, the Plan of Merger and the Transactions, including the Merger, and recommend that the Company’s shareholders vote in favor of authorizing and approving the Merger Agreement, the Plan of Merger and the Transactions, including the Merger.</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Interests of the Buyer Group</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a result of the Merger, Parent will own 100% of the equity interest in the Company, as the Surviving Company, immediately following the completion of the Merger. Immediately following the completion of the Merger, the Buyer Group will beneficially own approximately 100% of the equity interests in the Surviving Company indirectly through Parent. The Buyer Group will directly or indirectly enjoy the benefits from any future earnings and growth of the Company after the Merger, which, if the Company is successfully managed, could result in an increase in the value of their investments in the Company. The Buyer Group will also bear the corresponding risks of any possible decreases in the future earnings, growth or value of the Company. As there will be no public trading market for the Surviving Company’s shares, the Buyer Group will have no certainty of any future opportunity to sell such shares at an attractive price, or that any dividend paid by the Surviving Company will be sufficient to recover their respective investments in the Company.</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Merger may also provide additional means to enhance shareholder value for the Buyer Group, including improved profitability due to the elimination of the expenses associated with public company reporting and compliance, increased flexibility and responsiveness in management of the business to achieve growth and respond to competition without the restrictions of short- term earnings comparisons, and additional means for making liquidity available to the Buyer Group, such as through dividends or other distributions.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Interests of the Company’s Executive Officers and Directors in the Merger</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pacing w:after="0" w:line="69" w:lineRule="exact"/>
        <w:rPr>
          <w:sz w:val="20"/>
          <w:szCs w:val="20"/>
          <w:color w:val="auto"/>
        </w:rPr>
      </w:pPr>
    </w:p>
    <w:p>
      <w:pPr>
        <w:ind w:left="1800" w:right="439" w:hanging="180"/>
        <w:spacing w:after="0" w:line="25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officers of the Company. As of the date of this Proxy Statement, 200 Unvested Company RSUs are held by the Special Committee member Mr. Philip Kan, in exchange for his services as an independent director of the Company;</w:t>
      </w:r>
    </w:p>
    <w:p>
      <w:pPr>
        <w:spacing w:after="0" w:line="79"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directors of the Company, Mr. Jian Tang is affiliated with Igomax Inc., and Mr. Wing Hong Sammy Hsieh is affiliated with Bubinga Holdings Limited;</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cash-out of Vested Company Options held by the directors and executive officers of the Company;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and directors and officers liability insurance to be provided by the Surviving Company to former directors and officers of the Company pursuant to the Merger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2240"/>
        <w:spacing w:after="0" w:line="282" w:lineRule="auto"/>
        <w:rPr>
          <w:sz w:val="20"/>
          <w:szCs w:val="20"/>
          <w:color w:val="auto"/>
        </w:rPr>
      </w:pPr>
      <w:r>
        <w:rPr>
          <w:rFonts w:ascii="Times New Roman" w:cs="Times New Roman" w:eastAsia="Times New Roman" w:hAnsi="Times New Roman"/>
          <w:sz w:val="18"/>
          <w:szCs w:val="18"/>
          <w:color w:val="auto"/>
        </w:rPr>
        <w:t>not contingent upon the closing of the Merger or the Special Committee’s or the Board’s recommendation of the Merger); and</w:t>
      </w:r>
    </w:p>
    <w:p>
      <w:pPr>
        <w:spacing w:after="0" w:line="67" w:lineRule="exact"/>
        <w:rPr>
          <w:sz w:val="20"/>
          <w:szCs w:val="20"/>
          <w:color w:val="auto"/>
        </w:rPr>
      </w:pPr>
    </w:p>
    <w:p>
      <w:pPr>
        <w:ind w:left="1800" w:right="1600" w:hanging="180"/>
        <w:spacing w:after="0" w:line="26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95" w:lineRule="exact"/>
        <w:rPr>
          <w:sz w:val="20"/>
          <w:szCs w:val="20"/>
          <w:color w:val="auto"/>
        </w:rPr>
      </w:pPr>
    </w:p>
    <w:p>
      <w:pPr>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65 for additional information.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Treatment of Company Options</w:t>
      </w:r>
    </w:p>
    <w:p>
      <w:pPr>
        <w:spacing w:after="0" w:line="160" w:lineRule="exact"/>
        <w:rPr>
          <w:sz w:val="20"/>
          <w:szCs w:val="20"/>
          <w:color w:val="auto"/>
        </w:rPr>
      </w:pPr>
    </w:p>
    <w:p>
      <w:pPr>
        <w:ind w:left="1260" w:right="1260" w:firstLine="360"/>
        <w:spacing w:after="0" w:line="253" w:lineRule="auto"/>
        <w:rPr>
          <w:sz w:val="20"/>
          <w:szCs w:val="20"/>
          <w:color w:val="auto"/>
        </w:rPr>
      </w:pPr>
      <w:r>
        <w:rPr>
          <w:rFonts w:ascii="Times New Roman" w:cs="Times New Roman" w:eastAsia="Times New Roman" w:hAnsi="Times New Roman"/>
          <w:sz w:val="18"/>
          <w:szCs w:val="18"/>
          <w:color w:val="auto"/>
        </w:rPr>
        <w:t xml:space="preserve">At the Effective Time, each Vested Company Option (excluding any Vested Company Option which has been converted into ADSs) will be cancelled in exchange for the right of each holder of such Vested Company Option to receive from the Surviving Company or one of its subsidiaries pursuant to the Company’s ordinary payroll practices, cash, without interest and net of any applicable withholding taxes, in the amount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exercise price of such Vested Company Option is equal to or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Treatment of Company RSUs</w:t>
      </w:r>
    </w:p>
    <w:p>
      <w:pPr>
        <w:spacing w:after="0" w:line="160" w:lineRule="exact"/>
        <w:rPr>
          <w:sz w:val="20"/>
          <w:szCs w:val="20"/>
          <w:color w:val="auto"/>
        </w:rPr>
      </w:pPr>
    </w:p>
    <w:p>
      <w:pPr>
        <w:ind w:left="1260" w:right="1360" w:firstLine="360"/>
        <w:spacing w:after="0" w:line="257"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323" w:lineRule="exact"/>
        <w:rPr>
          <w:sz w:val="20"/>
          <w:szCs w:val="20"/>
          <w:color w:val="auto"/>
        </w:rPr>
      </w:pPr>
    </w:p>
    <w:p>
      <w:pPr>
        <w:ind w:left="1260" w:right="1520"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as of the date of this Proxy Statement, for each director and executive officer of the Company, (a) the number of Shares owned (excluding the Rollover Shares), (b) the cash payment that will be made in respect of the Shares (excluding the Rollover Shares) at the Effective Time,</w:t>
      </w:r>
    </w:p>
    <w:p>
      <w:pPr>
        <w:spacing w:after="0" w:line="1" w:lineRule="exact"/>
        <w:rPr>
          <w:sz w:val="20"/>
          <w:szCs w:val="20"/>
          <w:color w:val="auto"/>
        </w:rPr>
      </w:pPr>
    </w:p>
    <w:p>
      <w:pPr>
        <w:ind w:left="1260" w:right="1620"/>
        <w:spacing w:after="0" w:line="255" w:lineRule="auto"/>
        <w:tabs>
          <w:tab w:leader="none" w:pos="15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Vested Company Options granted under the Company Share Plans, and (d) the cash payment that will be made in respect of the Vested Company Options granted under the Company Share Plans at the Effective Time (in all cases before applicable withholding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Vested Company Options</w:t>
            </w:r>
          </w:p>
        </w:tc>
        <w:tc>
          <w:tcPr>
            <w:tcW w:w="126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(excluding</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payment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Rollover</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5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(US$)  </w:t>
            </w:r>
            <w:r>
              <w:rPr>
                <w:rFonts w:ascii="Times New Roman" w:cs="Times New Roman" w:eastAsia="Times New Roman" w:hAnsi="Times New Roman"/>
                <w:sz w:val="24"/>
                <w:szCs w:val="24"/>
                <w:b w:val="1"/>
                <w:bCs w:val="1"/>
                <w:color w:val="auto"/>
                <w:vertAlign w:val="subscript"/>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26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11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6,000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Matthew Chu Pong Fong</w:t>
            </w:r>
          </w:p>
        </w:tc>
        <w:tc>
          <w:tcPr>
            <w:tcW w:w="1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 4,000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3,264​​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Dylan Huang</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607"/>
        </w:trPr>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-1464945</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-1464945</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-1464945</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-1464945</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-1464945</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-1464945</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-1464945</wp:posOffset>
            </wp:positionV>
            <wp:extent cx="12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Vested Company Options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(excluding</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Rollover</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(US$)  </w:t>
            </w:r>
            <w:r>
              <w:rPr>
                <w:rFonts w:ascii="Times New Roman" w:cs="Times New Roman" w:eastAsia="Times New Roman" w:hAnsi="Times New Roman"/>
                <w:sz w:val="24"/>
                <w:szCs w:val="24"/>
                <w:b w:val="1"/>
                <w:bCs w:val="1"/>
                <w:color w:val="auto"/>
                <w:vertAlign w:val="subscript"/>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Kan</w:t>
            </w:r>
          </w:p>
        </w:tc>
        <w:tc>
          <w:tcPr>
            <w:tcW w:w="18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3,000 ​​ ​​ 2,448​​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Zhang</w:t>
            </w: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​13,500 ​​ ​​11,016​​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w:t>
            </w:r>
          </w:p>
        </w:tc>
        <w:tc>
          <w:tcPr>
            <w:tcW w:w="200" w:type="dxa"/>
            <w:vAlign w:val="bottom"/>
            <w:shd w:val="clear" w:color="auto" w:fill="CCEEFF"/>
          </w:tcPr>
          <w:p>
            <w:pPr>
              <w:spacing w:after="0"/>
              <w:rPr>
                <w:sz w:val="19"/>
                <w:szCs w:val="19"/>
                <w:color w:val="auto"/>
              </w:rPr>
            </w:pPr>
          </w:p>
        </w:tc>
        <w:tc>
          <w:tcPr>
            <w:tcW w:w="162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​32,500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​26,520</w:t>
            </w:r>
            <w:r>
              <w:rPr>
                <w:rFonts w:ascii="Times New Roman" w:cs="Times New Roman" w:eastAsia="Times New Roman" w:hAnsi="Times New Roman"/>
                <w:sz w:val="18"/>
                <w:szCs w:val="18"/>
                <w:color w:val="auto"/>
              </w:rPr>
              <w:t>​​ ​</w:t>
            </w:r>
          </w:p>
        </w:tc>
        <w:tc>
          <w:tcPr>
            <w:tcW w:w="6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5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offices as a Group</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4"/>
            <w:vMerge w:val="continue"/>
            <w:shd w:val="clear" w:color="auto" w:fill="CCEEFF"/>
          </w:tcPr>
          <w:p>
            <w:pPr>
              <w:spacing w:after="0"/>
              <w:rPr>
                <w:sz w:val="22"/>
                <w:szCs w:val="22"/>
                <w:color w:val="auto"/>
              </w:rPr>
            </w:pPr>
          </w:p>
        </w:tc>
        <w:tc>
          <w:tcPr>
            <w:tcW w:w="680" w:type="dxa"/>
            <w:vAlign w:val="bottom"/>
            <w:tcBorders>
              <w:right w:val="single" w:sz="8" w:color="CCEEFF"/>
            </w:tcBorders>
            <w:vMerge w:val="continue"/>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-642620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-642620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-642620</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-642620</wp:posOffset>
            </wp:positionV>
            <wp:extent cx="1289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-642620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-642620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-642620</wp:posOffset>
            </wp:positionV>
            <wp:extent cx="1200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See “The Merger Agreement — Indemnification; Directors’ and Officers’ Insurance” beginning on page 95.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Special Committee</w:t>
      </w:r>
    </w:p>
    <w:p>
      <w:pPr>
        <w:spacing w:after="0" w:line="148" w:lineRule="exact"/>
        <w:rPr>
          <w:sz w:val="20"/>
          <w:szCs w:val="20"/>
          <w:color w:val="auto"/>
        </w:rPr>
      </w:pPr>
    </w:p>
    <w:p>
      <w:pPr>
        <w:jc w:val="both"/>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On October 12, 2021, the Board established the Special Committee to consider the September Proposal and any other Potential Transactions and to take any actions it deems appropriate to assess the fairness and viability of such proposals. The Special Committee consisted of four independent directors, namely</w:t>
      </w:r>
    </w:p>
    <w:p>
      <w:pPr>
        <w:spacing w:after="0" w:line="1"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Mr. Philip Kan, who serves as the chairperson of the Special Committee, Mr. Dylan Huang, Mr. Lub Bun Chong and Mr. Matthew Chu Pong Fong. Other than their receipt of Board compensation (which are not contingent upon the closing of the Merger or the Special Committee’s or the Board’s recommendation and/or authorization and approval of the Merger) and their indemnification and liability insurance rights under their respective indemnification agreement entered into with the Company and the Merger Agreement, none of the members of the Special Committee has a financial interest in the Transactions, including the Merger, that is different from that of the Unaffiliated Security Holders and none of them is related to any member of the Buyer Group. The Board did not place any limitations on the authority of the Special Committee regarding its investigation and evaluation of the Merger.</w:t>
      </w:r>
    </w:p>
    <w:p>
      <w:pPr>
        <w:spacing w:after="0" w:line="12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compensates each member of the Special Committee in exchange for his service as an independent director of the Company at a rate of US$40,000 per year in cash. Such payments are not contingent upon the closing of the Merger or the Special Committee’s or the Board’s recommendation of the Merger. The Company does not give additional compensations to any member of the Special Committee in exchange for his services as a member of the Special Committee.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Position with the Surviving Company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has adopted an audit committee charter that requires the audit committee to review on an ongoing basis and approve all related party transactions.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transactions nor balances with related parties as of and for the years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2022. See “Item 7. Major Shareholders and Related Party Transactions” included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Annual Report on Form 20-F for the fiscal year ended December 31, 2022 filed with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 on May 11, 2023, which is incorporated by reference into this Proxy Statement and “Where You Can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Find More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Information” beginning on page 115 for a description of how to obtain a copy of the Company’s Annual Report for the fiscal year ended December 31, 2022.</w:t>
      </w:r>
    </w:p>
    <w:p>
      <w:pPr>
        <w:spacing w:after="0" w:line="5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acquisition of Changyi, as consideration of the acquisition, the Company has issued (i) 134,473 ADSs and 11,060 Company RSUs to Zhao Yong, and (ii) 20,094 ADSs to Yang Xin, during the past two years. In addition, during the past two years, the Company has also issued 20,000 Company RSUs as employee incentive awards to Yang Xin.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100" w:lineRule="exact"/>
        <w:rPr>
          <w:sz w:val="20"/>
          <w:szCs w:val="20"/>
          <w:color w:val="auto"/>
        </w:rPr>
      </w:pPr>
    </w:p>
    <w:p>
      <w:pPr>
        <w:ind w:left="1260" w:right="97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acquisition of CMRS Group Holding Limited, as consideration of the acquisition, the Company has issued (i) 17,568 ADSs to Chan Nai Hang, (ii) 9,399 ADSs to Likeable Limited, (iii) 3,418 ADSs to Tsang Hing Sze, and (iv) 3,794 ADSs to Lau Ying Wai, during the past</w:t>
      </w:r>
    </w:p>
    <w:p>
      <w:pPr>
        <w:spacing w:after="0" w:line="2"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two years.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3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Other than the transactions and arrangements in connection with the Merger discussed elsewhere in this Proxy Statement and the transactions and arrangements discussed above, during the past two years (i) there were no negotiations, transactions or material contacts between the Company and its affiliates, on the one hand, and Parent, Merger Sub or the Buyer Group,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the Company’s consolidated revenues with Parent, Merger Sub or the Buyer Group, and (iii) none of the Company’s executive officers, directors or affiliates that is a natural person entered into any transaction during the past two years with an aggregate value (in respect of such transaction or series of similar transactions with that person) exceeding US$60,000 with Parent, Merger Sub or the Buyer Group.</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Fees and expenses incurred or to be incurred by the Company and the Buyer Group in connection with the Merger are estimated at the date of this Proxy Statement to be as follows. Such fees are subject to change pending completion of the Merger.</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(US$))  </w:t>
            </w:r>
            <w:r>
              <w:rPr>
                <w:rFonts w:ascii="Times New Roman" w:cs="Times New Roman" w:eastAsia="Times New Roman" w:hAnsi="Times New Roman"/>
                <w:sz w:val="24"/>
                <w:szCs w:val="24"/>
                <w:b w:val="1"/>
                <w:bCs w:val="1"/>
                <w:color w:val="auto"/>
                <w:vertAlign w:val="subscript"/>
              </w:rPr>
              <w:t>​</w:t>
            </w:r>
          </w:p>
        </w:tc>
      </w:tr>
      <w:tr>
        <w:trPr>
          <w:trHeight w:val="20"/>
        </w:trPr>
        <w:tc>
          <w:tcPr>
            <w:tcW w:w="5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​​2,820,000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advisory fees and expenses and other professional fees</w:t>
            </w:r>
          </w:p>
        </w:tc>
        <w:tc>
          <w:tcPr>
            <w:tcW w:w="82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​​1,112,500​</w:t>
            </w:r>
          </w:p>
        </w:tc>
      </w:tr>
      <w:tr>
        <w:trPr>
          <w:trHeight w:val="25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fees</w:t>
            </w:r>
          </w:p>
        </w:tc>
        <w:tc>
          <w:tcPr>
            <w:tcW w:w="8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Printing, proxy solicitation and mailing costs</w:t>
            </w:r>
          </w:p>
        </w:tc>
        <w:tc>
          <w:tcPr>
            <w:tcW w:w="820" w:type="dxa"/>
            <w:vAlign w:val="bottom"/>
          </w:tcPr>
          <w:p>
            <w:pPr>
              <w:spacing w:after="0"/>
              <w:rPr>
                <w:sz w:val="22"/>
                <w:szCs w:val="22"/>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liability insurance and others</w:t>
            </w:r>
          </w:p>
        </w:tc>
        <w:tc>
          <w:tcPr>
            <w:tcW w:w="820" w:type="dxa"/>
            <w:vAlign w:val="bottom"/>
            <w:shd w:val="clear" w:color="auto" w:fill="CCEEFF"/>
          </w:tcPr>
          <w:p>
            <w:pPr>
              <w:spacing w:after="0"/>
              <w:rPr>
                <w:sz w:val="23"/>
                <w:szCs w:val="23"/>
                <w:color w:val="auto"/>
              </w:rPr>
            </w:pP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​​1,601,100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​​5,556,757​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-1019810</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These fees and expenses will not reduce the aggregate Merger Consideration to be received by the Company’s shareholders and ADS holders. Whether or not the Merger is consummated, all costs and expenses incurred in connection with the Merger Agreement, the Plan of Merger and the Transactions, including the Merger, will be paid by the party incurring such costs and expenses except as otherwise stated in the section entitled “The Merger Agreement and Plan of Merger — Termination Fee and Reimbursement of Expenses.”</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the Buyer Group at the Extraordinary General Meeting</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 each of the Rollover Shareholders has agreed, until the earliest to occur of (i) the Effective Time and (ii) the valid termination of the Merger Agreement pursuant to and in accordance with its terms, to vote or cause to be voted all of its or his securities in the Company:</w:t>
      </w:r>
    </w:p>
    <w:p>
      <w:pPr>
        <w:spacing w:after="0" w:line="48" w:lineRule="exact"/>
        <w:rPr>
          <w:sz w:val="20"/>
          <w:szCs w:val="20"/>
          <w:color w:val="auto"/>
        </w:rPr>
      </w:pPr>
    </w:p>
    <w:p>
      <w:pPr>
        <w:ind w:left="1980" w:right="1259" w:hanging="359"/>
        <w:spacing w:after="0" w:line="282" w:lineRule="auto"/>
        <w:rPr>
          <w:sz w:val="20"/>
          <w:szCs w:val="20"/>
          <w:color w:val="auto"/>
        </w:rPr>
      </w:pPr>
      <w:r>
        <w:rPr>
          <w:rFonts w:ascii="Times New Roman" w:cs="Times New Roman" w:eastAsia="Times New Roman" w:hAnsi="Times New Roman"/>
          <w:sz w:val="18"/>
          <w:szCs w:val="18"/>
          <w:color w:val="auto"/>
        </w:rPr>
        <w:t>(a). for the authorization and approval of the Merger Agreement, the Plan of Merger and the Transactions, including the Merger;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39" w:hanging="359"/>
        <w:spacing w:after="0" w:line="266" w:lineRule="auto"/>
        <w:rPr>
          <w:sz w:val="20"/>
          <w:szCs w:val="20"/>
          <w:color w:val="auto"/>
        </w:rPr>
      </w:pPr>
      <w:r>
        <w:rPr>
          <w:rFonts w:ascii="Times New Roman" w:cs="Times New Roman" w:eastAsia="Times New Roman" w:hAnsi="Times New Roman"/>
          <w:sz w:val="18"/>
          <w:szCs w:val="18"/>
          <w:color w:val="auto"/>
        </w:rPr>
        <w:t>(b). against any Competing Proposal or any other transaction, proposal, agreement or action made in opposition to authorization and approval of the Merger Agreement or in competition or inconsistent with the Transactions;</w:t>
      </w:r>
    </w:p>
    <w:p>
      <w:pPr>
        <w:spacing w:after="0" w:line="68" w:lineRule="exact"/>
        <w:rPr>
          <w:sz w:val="20"/>
          <w:szCs w:val="20"/>
          <w:color w:val="auto"/>
        </w:rPr>
      </w:pPr>
    </w:p>
    <w:p>
      <w:pPr>
        <w:ind w:left="1980" w:right="839" w:hanging="359"/>
        <w:spacing w:after="0" w:line="266" w:lineRule="auto"/>
        <w:rPr>
          <w:sz w:val="20"/>
          <w:szCs w:val="20"/>
          <w:color w:val="auto"/>
        </w:rPr>
      </w:pPr>
      <w:r>
        <w:rPr>
          <w:rFonts w:ascii="Times New Roman" w:cs="Times New Roman" w:eastAsia="Times New Roman" w:hAnsi="Times New Roman"/>
          <w:sz w:val="18"/>
          <w:szCs w:val="18"/>
          <w:color w:val="auto"/>
        </w:rPr>
        <w:t>(c). against any other action, agreement or transaction that is intended, that could reasonably be expected, or the effect of which could reasonably be expected, to materially impede, interfere with, delay, postpone, discourage or adversely affect any of the Transactions;</w:t>
      </w:r>
    </w:p>
    <w:p>
      <w:pPr>
        <w:spacing w:after="0" w:line="68" w:lineRule="exact"/>
        <w:rPr>
          <w:sz w:val="20"/>
          <w:szCs w:val="20"/>
          <w:color w:val="auto"/>
        </w:rPr>
      </w:pPr>
    </w:p>
    <w:p>
      <w:pPr>
        <w:ind w:left="1980" w:right="559" w:hanging="359"/>
        <w:spacing w:after="0" w:line="261" w:lineRule="auto"/>
        <w:rPr>
          <w:sz w:val="20"/>
          <w:szCs w:val="20"/>
          <w:color w:val="auto"/>
        </w:rPr>
      </w:pPr>
      <w:r>
        <w:rPr>
          <w:rFonts w:ascii="Times New Roman" w:cs="Times New Roman" w:eastAsia="Times New Roman" w:hAnsi="Times New Roman"/>
          <w:sz w:val="18"/>
          <w:szCs w:val="18"/>
          <w:color w:val="auto"/>
        </w:rPr>
        <w:t>(d).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w:t>
      </w:r>
    </w:p>
    <w:p>
      <w:pPr>
        <w:spacing w:after="0" w:line="72" w:lineRule="exact"/>
        <w:rPr>
          <w:sz w:val="20"/>
          <w:szCs w:val="20"/>
          <w:color w:val="auto"/>
        </w:rPr>
      </w:pPr>
    </w:p>
    <w:p>
      <w:pPr>
        <w:ind w:left="1980" w:right="759" w:hanging="359"/>
        <w:spacing w:after="0" w:line="261" w:lineRule="auto"/>
        <w:rPr>
          <w:sz w:val="20"/>
          <w:szCs w:val="20"/>
          <w:color w:val="auto"/>
        </w:rPr>
      </w:pPr>
      <w:r>
        <w:rPr>
          <w:rFonts w:ascii="Times New Roman" w:cs="Times New Roman" w:eastAsia="Times New Roman" w:hAnsi="Times New Roman"/>
          <w:sz w:val="18"/>
          <w:szCs w:val="18"/>
          <w:color w:val="auto"/>
        </w:rPr>
        <w:t>(e). in favor of any adjournment or postponement of the shareholders’ meeting or other annual or extraordinary general meeting of the shareholders of the Company, at which any of the matters described above is to be considered (and any adjournment or postponement thereof) as may be reasonably requested by Parent; and</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  in favor of any other matter necessary to effect the Transactions, including the Merger.</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the Share Record Date, we expect that the Rollover Shareholders will beneficially own, in the aggregate, approximately 35% of the total issued and outstanding Shares in the Company and approximately 69% of the total voting power of the outstanding Shares in the Company.</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Litigation Related to the Merger</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are not aware of any lawsuit that challenges the Merger, the Merger Agreement or any of the Transactions.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Merger is expected to be accounted for as a business combination by Parent in accordance with Accounting Standards Codification 805 “Business Combinations”.</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97 for additional information.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Merger to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(as defined below) whose Shares or ADSs are exchanged for cash pursuant to the Merger.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U.S. Holder whose Shares or ADSs are exchanged for cash pursuant to the Merger. In particular, this summary is directed only to U.S. Holders that hold Shares or ADSs as capital assets and does not address particular tax consequences that may be applicable to U.S. Holders who are Rollover Shareholders or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holders that own or are treated as owning 10% or more of our stock by vote or value, persons holding Shares or ADSs as part of a hedging or conversion transaction or a straddle, or persons whose functional currency is not the U.S. dollar. Moreover, this summary does not address state, local or foreign taxes, the U.S. federal estate and gift taxes, or the Medicare contribution tax applicable to net investment income of certain non-corporate U.S. Holders, or the alternative minimum tax.</w:t>
      </w:r>
    </w:p>
    <w:p>
      <w:pPr>
        <w:spacing w:after="0" w:line="11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Shares or ADSs that is a citizen or resident of the United States or a U.S. domestic corporation or that otherwise is subject to U.S. federal income taxation on a net income basis in respect of such Shares or ADSs.</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Shares that are represented by those ADSs.</w:t>
      </w:r>
    </w:p>
    <w:p>
      <w:pPr>
        <w:spacing w:after="0" w:line="9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ALL HOLDERS OF SHARES OR ADSs SHOULD CONSULT THEIR TAX ADVISORS REGARDING THE SPECIFIC TAX CONSEQUENCES OF THE MERGER IN LIGHT OF THEIR PARTICULAR SITUATIONS, INCLUDING THE APPLICABILITY AND EFFECT OF U.S. FEDERAL, STATE, LOCAL, NON-U.S. AND OTHER LAWS.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Merger Generally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by a U.S. Holder in exchange for Shares or ADSs pursuant to the Merger will be a taxable transaction for U.S. federal income tax purposes. In general, subject to the “passive foreign investment company,” or “PFIC,” discussion below, a U.S. Holder who receives cash in exchange for Shares or ADSs pursuant to the Merger will recognize gain or loss in an amount equal to the difference, if any, between (1) the amount of cash received and (2) the U.S. Holder’s adjusted tax basis in those Shares or ADSs. If a U.S. Holder acquired different blocks of Shares or ADSs at different times and different prices, that holder generally must determine its adjusted tax basis and holding period separately with respect to each block of Shares or ADSs. The deductibility of capital losses is subject to limitations. Subject to the PFIC rules discussed below, capital gain recognized by an individual U.S. Holder is generally eligible for the preferential long-term capital gains rate if such individual U.S. Holder’s holding period in its Shares or ADSs exchanged in the Merger is greater than one year as of the effective date of the Merger.</w:t>
      </w:r>
    </w:p>
    <w:p>
      <w:pPr>
        <w:spacing w:after="0" w:line="11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Any capital gain or loss will generally be U.S.-source gain or loss for U.S. foreign tax credit purposes. In the event that we are deemed to be a PRC resident enterprise under PRC tax law, and gain from the disposition of the Shares or ADSs would be subject to tax in the PRC, as described in “Special Factors —  PRC Income Tax Consequences” beginning on page 72. U.S. Holders should consult their tax advisors regarding the tax considerations if a non-U.S. tax is imposed on a disposition of our Shares or ADSs, including the availability of the foreign tax credit under their particular circumstances.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Passive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income generally includes dividends, interest, royalties, rents, annuities, net gains from the sale or exchange of property producing such income and net foreign currency gains. The PFIC status determination is based on the facts and circumstances, such as the valuation of our assets, including goodwill and other intangible assets.</w:t>
      </w:r>
    </w:p>
    <w:p>
      <w:pPr>
        <w:spacing w:after="0" w:line="323"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If we were classified as a PFIC for any taxable year during which a U.S. Holder held our Shares or ADSs, the PFIC tax rules discussed generally will apply to such U.S. Holder for such taxable year and, unless the U.S. Holder makes certain elections, will apply in subsequent years even if we ceased to be a PFIC.</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As explained in the Company’s Annual Report at “Item 10. Additional Information — E. Taxation — United States Federal Income Tax Considerations — Passive Foreign Investment Company Considerations,”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taxable year). Because of the continued fluctuations of the market price of our ADSs and/or ordinary shares, we cannot assure you of our PFIC status for the current taxable year. In addition, if we determine not to deploy significant amounts of cash for active purposes, or if it were determined that we do not own the stock of the consolidated variable interest entities for U.S. federal income tax purposes, our risk of being a PFIC may substantially increase.</w:t>
      </w:r>
    </w:p>
    <w:p>
      <w:pPr>
        <w:spacing w:after="0" w:line="32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our Shares or ADSs, such holder generally will be subject to special tax rules with respect to any gain such holder realizes from the exchange of Shares or ADSs pursuant to the Merger, unless such holder made a mark -to-market election as described in the Company’s Annual Report at “Item 10. Additional Information — E. Taxation — United States Federal Income Tax Considerations — Passive Foreign Investment Company Rules.” Under these special tax rules:</w:t>
      </w:r>
    </w:p>
    <w:p>
      <w:pPr>
        <w:spacing w:after="0" w:line="285" w:lineRule="exact"/>
        <w:rPr>
          <w:sz w:val="20"/>
          <w:szCs w:val="20"/>
          <w:color w:val="auto"/>
        </w:rPr>
      </w:pPr>
    </w:p>
    <w:p>
      <w:pPr>
        <w:ind w:left="1800" w:hanging="180"/>
        <w:spacing w:after="0"/>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will be allocated ratably over such holder’s holding period for the Shares or ADSs;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our Shares or ADSs and any of our non-U.S. subsidiaries were also PFICs, such holder will be treated as having owned a proportionate amount (by value) of the shares of such non-U.S. subsidiary classified as a PFIC for purposes of the application of these rules.</w:t>
      </w:r>
    </w:p>
    <w:p>
      <w:pPr>
        <w:spacing w:after="0" w:line="110" w:lineRule="exact"/>
        <w:rPr>
          <w:sz w:val="20"/>
          <w:szCs w:val="20"/>
          <w:color w:val="auto"/>
        </w:rPr>
      </w:pPr>
    </w:p>
    <w:p>
      <w:pPr>
        <w:ind w:left="1260" w:right="599" w:firstLine="360"/>
        <w:spacing w:after="0" w:line="250" w:lineRule="auto"/>
        <w:tabs>
          <w:tab w:leader="none" w:pos="18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 who made a mark-to-market election, as described in the Company’s Annual Report at “Item 10. Additional Information — E. Taxation — United States Federal Income Tax Considerations —  Passive Foreign Investment Company Rules,” for such holder’s taxable years prior to the taxable year in which the Merger is closed should be able to avoid any interest charge for those years.</w:t>
      </w:r>
    </w:p>
    <w:p>
      <w:pPr>
        <w:spacing w:after="0" w:line="108"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U.S. Holders should consult their tax advisors concerning the effects of the Merger and the possibility of the Company having been or being a PFIC.</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Cash payments made to a holder of Shares or ADSs pursuant to the Merger may be subject to information reporting to the IRS and possible U.S. backup withholding at the applicable statutory rate (currently 24%). Backup withholding will not apply, however, if the holder of Shares or ADSs is a corporation, is a U.S. Holder who furnishes a correct taxpayer identification number and makes any other required certification, or is otherwise exempt from backup withholding. A holder that is not a U.S. Holder may be required to comply with certification and identification procedures in order to establish its exemption from information reporting and backup withholding.</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such holder may obtain a refund of any excess amounts withheld under the backup withholding rules by filing the appropriate claim for refund with the IRS and furnishing any required information in a timely manner. Each Holder should consult its tax advisor regarding the application of the U.S. information reporting and backup withholding rules.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certain U.S. Holders who are individuals that hold certain foreign financial assets (which may include the Shares or ADSs) are required to report information relating to such assets, subject to certain exceptions. U.S. Holders are urged to consult their tax advisors regarding the effect, if any, of this requirement on their ownership and disposition of the Shares or ADSs.</w:t>
      </w:r>
    </w:p>
    <w:p>
      <w:pPr>
        <w:spacing w:after="0" w:line="106"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All Holders of Shares or ADSs should consult their own tax advisors regarding the specific tax consequences of the Merger in the light of their particular situations, including the applicability of U.S. federal, state, local, or non-U.S. income and other tax laws.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Income Tax Consequences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Under the Enterprise Income Tax Law (the “EIT Law”), which took effect on January 1, 2008, and as amended on February 24, 2017 and December 29, 2018 respectively, enterprises established outside of China whose “de facto management bodies” are located in the PRC are considered “resident enterprises,” and thus will generally be subject to the enterprise income tax at the rate of 25% on their global income. On December 6, 2007, the State Council adopted the Regulation on the Implementation of Enterprise Income Tax Law, as amended on April 23, 2019, which defines the “de facto management body” as an establishment that has substantial management and control over the business, personnel, accounts and properties of an enterprise. The State Administration of Taxation issued the Notice Regarding the Determination of Chinese-Controlled Offshore Incorporated Enterprises as PRC Tax Resident Enterprises on the Basis of De Facto Management Bodies (“Circular 82”) on April 22, 2009, and as amended on December 29, 2017. Circular 82 provides certain specific criteria for determining whether the “de facto management body” of a Chinese-controlled offshore incorporated enterprise is located in China. Under the EIT Law and its implementation regulations, the PRC income tax at the rate of 10% is applicable to any gain recognized on receipt of consideration by a “non-resident enterprise” from transfer of its equity in a PRC resident enterprise;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“non-resident enterprise” does not have a de facto management body in the PRC and also</w:t>
      </w:r>
    </w:p>
    <w:p>
      <w:pPr>
        <w:spacing w:after="0" w:line="7" w:lineRule="exact"/>
        <w:rPr>
          <w:sz w:val="20"/>
          <w:szCs w:val="20"/>
          <w:color w:val="auto"/>
        </w:rPr>
      </w:pPr>
    </w:p>
    <w:p>
      <w:pPr>
        <w:ind w:left="1260" w:right="499"/>
        <w:spacing w:after="0" w:line="242" w:lineRule="auto"/>
        <w:tabs>
          <w:tab w:leader="none" w:pos="151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 establishment or place of business in the PRC or (b) has an establishment or place of business in the PRC, but the relevant income is not effectively connected with the establishment or place of business, to the extent such gain is derived from sources within the PRC. Under the Individual Income Tax Law, an individual who disposes a capital asset in China is subject to PRC individual income tax at the rate of 20%. Reduction of or relief from these taxes may be sought under applicable Income Tax Treaties with China.</w:t>
      </w:r>
    </w:p>
    <w:p>
      <w:pPr>
        <w:spacing w:after="0" w:line="327"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The Company does not believe it is a “resident enterprise” defined and regulated by the aforesaid regulations or that the gain recognized on the receipt of consideration for your Share or ADSs should otherwise be subject to PRC income tax to holders of such Shares or ADSs that are not PRC residents, however, as there has not been a definitive determination of the Company’s status by the PRC tax authorities, the Company cannot confirm whether it would be considered a PRC resident enterprise under the EIT Law or whether the gain recognized on the receipt of consideration for Shares or ADSs would otherwise be subject to PRC tax to holders of such Shares or ADSs that are not PRC tax residents.</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under the Bulletin on Certain Issues Relating to Indirect Transfer of Assets by Non-resident Enterprises (“Bulletin 7”) issued by the State Administration of Taxation, which became effective on February 3, 2015, and the Bulletin on the Source of Deduction of Income Tax for Non-resident Enterprises (“Bulletin 37”) issued by the State Administration of Taxation, which became effective on December 1, 2017, if a non-resident enterprise transfers PRC taxable assets indirectly by disposing of equity interests in an overseas holding company directly or indirectly holding such PRC taxable assets without any reasonable commercial purpose, the non-resident enterprise may be subject to a 10% PRC income tax on the gain from such equity transfer, unless (i) the non-resident enterprise derives income from the indirect transfer of PRC taxable assets by acquiring and selling shares of an overseas listed company which holds such PRC taxable assets on a public market or (ii) where there is an indirect transfer of PRC taxable assets, but if the non-resident enterprise had directly held and disposed of such PRC taxable assets, the income from the transfer would have been exempted from PRC enterprise income tax under an applicable tax treaty 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arrangement. According to Bulletin 7, where a non-resident enterprise indirectly holds and transfers equity of a PRC resident enterprise held through an offshore holding company, a list of factors set out by Bulletin 7 should be taken into consideration to assess whether the transfer arrangement would be deemed as having a reasonable commercial purpose. Where non-resident enterprises indirectly transfer PRC resident enterprises’ equity and avoid obligations to pay enterprise income tax through arrangement without a reasonable commercial purpose, PRC taxation authorities have the power to redefine and deem the transaction as a direct transfer of PRC resident enterprises’ equity and impose a 10% income tax on the gain from such offshore share transfer. Pursuant to Bulletin 37, where the party responsible to withhold such income tax did not or was unable to withhold, and non-resident enterprises receiving such income failed to declare and pay the taxes that should have been withheld to the relevant tax authority, both the transferor and the transferee may be subject to penalties under PRC tax laws. Bulletin 37 or Bulletin 7 may be determined by the PRC tax authorities to be applicable to the Merger where non-PRC resident corporate shareholders were involved, if the Merger is determined by the PRC tax authorities to lack reasonable commercial purpose. The Company does not believe that the Merger is without reasonable commercial purpose for purposes of Bulletin 37 and Bulletin 7, and, as a result, the Company (as purchaser and withholding agent) will not withhold any PRC tax (under Bulletin 7 and Bulletin 37) from the Merger consideration to be paid to holders of Shares. However, if PRC tax authorities were to invoke Bulletin 37 or Bulletin 7 and impose tax on the receipt of consideration for Shares, then any gain recognized on the receipt of consideration for such Shares pursuant to the Merger by the Company’s non-PRC- resident shareholders could be treated as PRC-source income and thus be subject to PRC income tax at a rate of 10% (subject to applicable treaty relief).</w:t>
      </w:r>
    </w:p>
    <w:p>
      <w:pPr>
        <w:spacing w:after="0" w:line="33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January 17, 2020, the Ministry of Finance and the State Taxation Administration jointly issued the Public Notice on Individual Income Tax (“IIT”) Policy Concerning Foreign Income (“Bulletin 3”) which applies to tax matters taking place in 2019 and onwards. Generally, income generated from the transfer of equity interest in a foreign entity is considered as foreign sourced income from PRC IIT perspective. However, Bulletin 3 introduces an exception to the above general principle. If the foreign entity has more than 50% of its value derived directly or indirectly from immovable properties in the PRC in any three years before the transfer, income from the transfer of equity interest in the foreign entity would be considered as PRC-source income and the non-PRC resident individual shareholders could be subject to PRC IIT at a rate of 20%.</w:t>
      </w:r>
    </w:p>
    <w:p>
      <w:pPr>
        <w:spacing w:after="0" w:line="34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advisor for a full understanding of the tax consequences of the Merger to you, including any PRC tax consequences.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Cayman Islands currently have no form of income, corporate or capital gains tax and no estate duty, inheritance tax or gift tax. No taxes, fees or charges will payable (either by direct assessment or withholding) to the government or other taxing authority in the Cayman Islands under the laws of the Cayman Islands in respect of the Merger or the receipt of cash for Shares and ADSs under the terms of the Merger Agreement. 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of the Cayman Islands to register the Plan of Merger and (iii) fees will be payable to the Cayman Islands Government Gazette Office to publish the notice of the Merger in the Cayman Islands Government Gazette.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MARKET PRICE OF THE COMPANY’S ADSs, DIVIDENDS AND 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Price of the ADSs</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ADSs, each representing five Class A Shares, on NASDAQ under the symbol “ICLK” for the periods indicated.</w:t>
      </w: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Quarterly:</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2024</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 (through January 05,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Trading Price</w:t>
            </w:r>
            <w:r>
              <w:rPr>
                <w:rFonts w:ascii="Times New Roman" w:cs="Times New Roman" w:eastAsia="Times New Roman" w:hAnsi="Times New Roman"/>
                <w:sz w:val="17"/>
                <w:szCs w:val="17"/>
                <w:b w:val="1"/>
                <w:bCs w:val="1"/>
                <w:color w:val="auto"/>
                <w:w w:val="92"/>
                <w:vertAlign w:val="superscript"/>
              </w:rPr>
              <w:t>(1)</w:t>
            </w:r>
          </w:p>
        </w:tc>
        <w:tc>
          <w:tcPr>
            <w:tcW w:w="40" w:type="dxa"/>
            <w:vAlign w:val="bottom"/>
          </w:tcPr>
          <w:p>
            <w:pPr>
              <w:spacing w:after="0"/>
              <w:rPr>
                <w:sz w:val="17"/>
                <w:szCs w:val="17"/>
                <w:color w:val="auto"/>
              </w:rPr>
            </w:pPr>
          </w:p>
        </w:tc>
      </w:tr>
      <w:tr>
        <w:trPr>
          <w:trHeight w:val="214"/>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High  </w:t>
            </w:r>
            <w:r>
              <w:rPr>
                <w:rFonts w:ascii="Times New Roman" w:cs="Times New Roman" w:eastAsia="Times New Roman" w:hAnsi="Times New Roman"/>
                <w:sz w:val="27"/>
                <w:szCs w:val="27"/>
                <w:b w:val="1"/>
                <w:bCs w:val="1"/>
                <w:color w:val="auto"/>
                <w:vertAlign w:val="subscript"/>
              </w:rPr>
              <w:t>​</w:t>
            </w:r>
          </w:p>
        </w:tc>
        <w:tc>
          <w:tcPr>
            <w:tcW w:w="5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Low</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​​191.00​​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​​136.00​​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​​97.30​</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​​111.40​​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76.30​​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48.30​​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14.30​​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2.90​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2.95​</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1.77​</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3.79​</w:t>
            </w:r>
          </w:p>
        </w:tc>
      </w:tr>
    </w:tbl>
    <w:p>
      <w:pPr>
        <w:spacing w:after="0" w:line="200" w:lineRule="exact"/>
        <w:rPr>
          <w:sz w:val="20"/>
          <w:szCs w:val="20"/>
          <w:color w:val="auto"/>
        </w:rPr>
      </w:pPr>
    </w:p>
    <w:p>
      <w:pPr>
        <w:sectPr>
          <w:pgSz w:w="11900" w:h="16838" w:orient="portrait"/>
          <w:cols w:equalWidth="0" w:num="2">
            <w:col w:w="7020" w:space="720"/>
            <w:col w:w="2139"/>
          </w:cols>
          <w:pgMar w:left="580" w:top="97" w:right="1440" w:bottom="1440" w:gutter="0" w:footer="0" w:header="0"/>
          <w:type w:val="continuous"/>
        </w:sectPr>
      </w:pP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92" w:lineRule="exact"/>
        <w:rPr>
          <w:sz w:val="20"/>
          <w:szCs w:val="20"/>
          <w:color w:val="auto"/>
        </w:rPr>
      </w:pPr>
    </w:p>
    <w:p>
      <w:pPr>
        <w:ind w:left="1620" w:right="439" w:hanging="360"/>
        <w:spacing w:after="0" w:line="263"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14, 2022, the Company changed the ratio of the ADS representing its Class A Shares from one ADS representing one-half of one Class A Share to one ADS representing five Class A Shares. The price of ADSs presented in this section have been retroactively adjusted to reflect the ratio change.</w:t>
      </w:r>
    </w:p>
    <w:p>
      <w:pPr>
        <w:spacing w:after="0" w:line="3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You are urged to obtain a current market price quotation for your Shares in connection with voting your Shares.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Company has not declared or paid any cash dividends, nor has any present plan to declare or pay any dividends on the Shares or ADSs in the foreseeable future.</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160" w:lineRule="exact"/>
        <w:rPr>
          <w:sz w:val="20"/>
          <w:szCs w:val="20"/>
          <w:color w:val="auto"/>
        </w:rPr>
      </w:pPr>
    </w:p>
    <w:p>
      <w:pPr>
        <w:ind w:left="1260" w:right="6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We are furnishing this Proxy Statement to you, as a holder of the Shares, as part of the solicitation of proxies by the Special Committee for use at the extraordinary general meeting described below.</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extraordinary general meeting will be held on             , 2024 at               (Hong Kong time) or 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2024 at               (New York time) at               .</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Proposals to be Considered at the Extraordinary General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meeting, you will be asked to consider, and if thought fit, approve the following resolutions:</w:t>
      </w:r>
    </w:p>
    <w:p>
      <w:pPr>
        <w:spacing w:after="0" w:line="140" w:lineRule="exact"/>
        <w:rPr>
          <w:sz w:val="20"/>
          <w:szCs w:val="20"/>
          <w:color w:val="auto"/>
        </w:rPr>
      </w:pPr>
    </w:p>
    <w:p>
      <w:pPr>
        <w:ind w:left="1980" w:right="419" w:hanging="360"/>
        <w:spacing w:after="0" w:line="252"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112" w:lineRule="exact"/>
        <w:rPr>
          <w:rFonts w:ascii="Times New Roman" w:cs="Times New Roman" w:eastAsia="Times New Roman" w:hAnsi="Times New Roman"/>
          <w:sz w:val="18"/>
          <w:szCs w:val="18"/>
          <w:b w:val="1"/>
          <w:bCs w:val="1"/>
          <w:color w:val="auto"/>
        </w:rPr>
      </w:pPr>
    </w:p>
    <w:p>
      <w:pPr>
        <w:ind w:left="1980" w:right="539" w:hanging="360"/>
        <w:spacing w:after="0" w:line="262"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Merger Sub be and is hereby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108" w:lineRule="exact"/>
        <w:rPr>
          <w:rFonts w:ascii="Times New Roman" w:cs="Times New Roman" w:eastAsia="Times New Roman" w:hAnsi="Times New Roman"/>
          <w:sz w:val="18"/>
          <w:szCs w:val="18"/>
          <w:b w:val="1"/>
          <w:bCs w:val="1"/>
          <w:color w:val="auto"/>
        </w:rPr>
      </w:pPr>
    </w:p>
    <w:p>
      <w:pPr>
        <w:ind w:left="1980" w:right="579" w:hanging="360"/>
        <w:spacing w:after="0" w:line="259"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Merger becoming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share capital of the Company be varied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US$50,000 divided into 50,000 ordinary shares of par value US$1.00 each (the “Variation of Capital”);</w:t>
      </w:r>
    </w:p>
    <w:p>
      <w:pPr>
        <w:spacing w:after="0" w:line="98"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Effective Time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111"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AN ORDINARY RESOLUTION THAT </w:t>
      </w:r>
      <w:r>
        <w:rPr>
          <w:rFonts w:ascii="Times New Roman" w:cs="Times New Roman" w:eastAsia="Times New Roman" w:hAnsi="Times New Roman"/>
          <w:sz w:val="18"/>
          <w:szCs w:val="18"/>
          <w:color w:val="auto"/>
        </w:rPr>
        <w:t>each of the members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98" w:lineRule="exact"/>
        <w:rPr>
          <w:rFonts w:ascii="Times New Roman" w:cs="Times New Roman" w:eastAsia="Times New Roman" w:hAnsi="Times New Roman"/>
          <w:sz w:val="18"/>
          <w:szCs w:val="18"/>
          <w:b w:val="1"/>
          <w:bCs w:val="1"/>
          <w:color w:val="auto"/>
        </w:rPr>
      </w:pPr>
    </w:p>
    <w:p>
      <w:pPr>
        <w:ind w:left="1980" w:right="459" w:hanging="360"/>
        <w:spacing w:after="0" w:line="262" w:lineRule="auto"/>
        <w:tabs>
          <w:tab w:leader="none" w:pos="19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NECESSARY, AS AN ORDINARY RESOLUTION, THAT </w:t>
      </w:r>
      <w:r>
        <w:rPr>
          <w:rFonts w:ascii="Times New Roman" w:cs="Times New Roman" w:eastAsia="Times New Roman" w:hAnsi="Times New Roman"/>
          <w:sz w:val="18"/>
          <w:szCs w:val="18"/>
          <w:color w:val="auto"/>
        </w:rPr>
        <w:t>the extraordinary general meeting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adjourned in order to allow the Company to solicit additional proxies in the event that there are insufficient proxies received at the time of the extraordinary general meeting to pass the special resolutions to be proposed at the extraordinary general meeting.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At the Effective Time, all Shares will be cancelled and cease to exist. If the Merger is consummated, each issued and outstanding Share (other than the Excluded Shares, Dissenting Shares and Shares represented by ADSs) will be cancelled in exchange for the right to receive US$0.816 in cash per Share, without interest and net of any applicable withholding taxes, and each ADS issued and outstanding immediately prior to the Effective Time, other than ADSs representing Excluded Shares, will represent only a right to receive US$4.08 in cash per ADS, without interest and net of any applicable withholding taxes, in accordance with the terms and conditions set forth in the Merger Agreement. The Rollover Shares will be cancelled and cease to exist without payment of any consideration or distribution therefor. The Dissenting Shares will thereafter represent only the right to receive the fair value of each Share as determined by the Court under Section 238 of the CICA.</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In addition to the foregoing, 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US$ 4.08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Share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Vested Company RSU that has not been converted into ADSs.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Board’s Recommendation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acting on the unanimous recommendation of the Special Committee:</w:t>
      </w:r>
    </w:p>
    <w:p>
      <w:pPr>
        <w:spacing w:after="0" w:line="117" w:lineRule="exact"/>
        <w:rPr>
          <w:sz w:val="20"/>
          <w:szCs w:val="20"/>
          <w:color w:val="auto"/>
        </w:rPr>
      </w:pPr>
    </w:p>
    <w:p>
      <w:pPr>
        <w:ind w:left="1800" w:right="53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the Merger Agreement, the Plan of Merger, and the consummation of the Transactions, including the Merger;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in favor of the authorization and approval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Shares and ADSs Entitled to Vote</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You are entitled to attend and vote at the extraordinary general meeting if you have Shares registered in your name as of the close of business in the Cayman Islands on the Share Record Date. If you own Shares as of the close of business in the Cayman Islands on the Share Record Date, you should lodge your proxy card so that the proxy card is received by the Company no later than                      (Hong Kong time) on</w:t>
      </w:r>
    </w:p>
    <w:p>
      <w:pPr>
        <w:spacing w:after="0" w:line="2" w:lineRule="exact"/>
        <w:rPr>
          <w:sz w:val="20"/>
          <w:szCs w:val="20"/>
          <w:color w:val="auto"/>
        </w:rPr>
      </w:pPr>
    </w:p>
    <w:p>
      <w:pPr>
        <w:ind w:left="1260" w:right="459"/>
        <w:spacing w:after="0" w:line="243" w:lineRule="auto"/>
        <w:tabs>
          <w:tab w:leader="none" w:pos="13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or                      (New York time) on                      , 2024, being 48 hours before the time appointed for the extraordinary general meeting.</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Shares underlying your ADSs. The ADS Depositary must receive your voting instructions no later than</w:t>
      </w:r>
    </w:p>
    <w:p>
      <w:pPr>
        <w:spacing w:after="0" w:line="27" w:lineRule="exact"/>
        <w:rPr>
          <w:sz w:val="20"/>
          <w:szCs w:val="20"/>
          <w:color w:val="auto"/>
        </w:rPr>
      </w:pPr>
    </w:p>
    <w:p>
      <w:pPr>
        <w:ind w:left="1260" w:right="739"/>
        <w:spacing w:after="0" w:line="260" w:lineRule="auto"/>
        <w:tabs>
          <w:tab w:leader="none" w:pos="135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City time) on                      , 2024 in order to ensure the Shares underlying your ADSs are voted at the extraordinary general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quorum of the Company’s shareholders is necessary to have a valid shareholders’ meeting. A quorum for the extraordinary general meeting consists of two shareholders entitled to vote and present in person or by proxy, or if the shareholder is a legal entity, by its duly authorized representative. In the event that a quorum is not present at the extraordinary general meeting, we currently expect that we will adjourn the extraordinary general meeting to solicit additional proxies in favor of the authorization and approval of the Merger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If this vote is not obtained, the Merger will not be consummated.</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 44,488,756 Class A Shares and 5,034,427 Class B Shares are issued and outstanding, all of which are entitled to vote on the proposals at the extraordinary general meeting, subject to the procedures described below under “Procedures for Voting.” We expect that, as of the Share Record Date, there will be                      Class A Shares and                      Class B Shares issued and outstanding, all of which will be entitled to vote on the proposals at the extraordinary general meeting, subject to the procedures described below under “Procedures for Voting.” Each shareholder has 1 vote for each Class A Share or 20 votes for each Class B Share held as of the Share Record Date.</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109 for additional information. These Shares will be voted in favor of the authorization and approval of the Merger Agreement, the Plan of Merger and the Transactions, including the Merger, at the extraordinary general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Only shareholders registered in the register of members of the Company as of the close of business in the Cayman Islands on the Share Record Date will receive the final proxy statement and proxy card directly from the Company. Shareholders registered in the register of members of the Company as of the close of business in the Cayman Islands on the Share Record Date or their proxy holders are entitled to vote and may participate in the extraordinary general meeting or any adjournment thereof. Shareholders who have acquired Shares after the close of business in the Cayman Islands on the Share Record Date may not attend or vote at the extraordinary general meeting unless they receive a proxy from the person or entity who was the registered holder of such Shares as of the Share Record Date.</w:t>
      </w:r>
    </w:p>
    <w:p>
      <w:pPr>
        <w:spacing w:after="0" w:line="111"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Shareholders wanting to vote by proxy should indicate on their proxy card how they want to vote, sign and date the proxy card, and mail the proxy card in the return envelope as soon as possible so that it is received by the Company no later than                      (Hong Kong time) on                      or                </w:t>
      </w:r>
    </w:p>
    <w:p>
      <w:pPr>
        <w:spacing w:after="0" w:line="1" w:lineRule="exact"/>
        <w:rPr>
          <w:sz w:val="20"/>
          <w:szCs w:val="20"/>
          <w:color w:val="auto"/>
        </w:rPr>
      </w:pPr>
    </w:p>
    <w:p>
      <w:pPr>
        <w:ind w:left="1260" w:right="479"/>
        <w:spacing w:after="0" w:line="255" w:lineRule="auto"/>
        <w:tabs>
          <w:tab w:leader="none" w:pos="13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time) on                      , being 48 hours before the time appointed for the extraordinary general meeting, the deadline to lodge the proxy card. Shareholders can also attend the extraordinary general meeting and vote in person.</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Shareholders who have questions or requests for assistance in completing and submitting proxy cards or need additional copies of this Proxy Statement or the accompanying proxy card should contact our Investor Relations Department at +852-3700-9100 or by email at ir@i-click.com, for China, or at +1 516 222 2560 or by email at tomc@coreir.com, for the U.S.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w:t>
      </w:r>
    </w:p>
    <w:p>
      <w:pPr>
        <w:spacing w:after="0" w:line="27" w:lineRule="exact"/>
        <w:rPr>
          <w:sz w:val="20"/>
          <w:szCs w:val="20"/>
          <w:color w:val="auto"/>
        </w:rPr>
      </w:pPr>
    </w:p>
    <w:p>
      <w:pPr>
        <w:ind w:left="1260" w:right="419"/>
        <w:spacing w:after="0" w:line="241" w:lineRule="auto"/>
        <w:tabs>
          <w:tab w:leader="none" w:pos="13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(the “ADS Record Date”) of an ADS Voting Instruction Card, and ADS holders as of the close of business in New York City on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Holders of ADSs as of the close of business on                      , 2024 (New York City time) (who do not cancel such ADSs and become a registered holder of the Shares underlying such ADSs, as explained in the following paragraph) cannot attend or vote at the extraordinary general meeting directly (whether in person or by proxy), but may instruct the ADS Depositary how to vote the Shares underlying the ADSs by completing and signing the ADS Voting Instruction Card if you are a registered ADS holder provided by the ADS Depositary if they are a registered ADS holder and returning it in accordance with the instructions printed on the card. The ADS Depositary must receive the ADS voting instruction card no later</w:t>
      </w:r>
    </w:p>
    <w:p>
      <w:pPr>
        <w:spacing w:after="0" w:line="4"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your voting instructions. If you hold your ADSs in a brokerage, bank, securities intermediary or other account, you must follow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12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Holders of ADSs will not be able to attend the extraordinary general meeting directly (whether in person or by proxy) unless they cancel their ADSs and become registered in the Company’s register of members as the holders of Shares prior to the close of business in the Cayman Islands on                     , 2024, the Share Record Date. ADS holders who wish to attend and vote at the extraordinary general meeting need to make arrangements with their broker or custodian to deliver the ADSs to the ADS Depositary for cancellation before                     together with (a) delivery instructions for the corresponding Shares by such ADSs (including, if applicable, the name and address of the person who will be the registered holder of the Shares), (b) payment of the ADS Depositary’s fees associated with such cancellation (US$0.05 per ADS cancelled and any other fees, charges and expenses payable pursuant to the terms of the Deposit Agreement), and any applicable taxes and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 If after the registration of Shares in your name you wish to receive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certificate evidencing the Shares registered in your name, you will need to request the Cayman Registrar, to issue and mail a certificate to your attention. If the Merger is not completed, the Company would continue to be a public company in the U.S. and the ADSs would continue to be listed on NASDAQ. The Company’s Shares are not listed and cannot be traded on any stock exchange other than NASDAQ, and in such case only in the form of ADSs. As a result, if you have cancelled your ADSs to attend the extraordinary general meeting and the Merger is not completed and you wish to be able to sell your Shares on a stock exchange, you would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stock transfer taxes (if any) and related charges pursuant to the Deposit Agreement.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Holders for Registered Shareholders</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Shareholders registered in the register of members of the Company as of the close of business in the Cayman Islands on the Share Record Date who are unable to participate in the extraordinary general meeting may appoint the chairman of the extraordinary general meeting as proxy holder by completing and returning the form of proxy in accordance with the instructions printed thereon. With regard to the items listed on the agenda and without any explicit instructions to the contrary, the chairman of the extraordinary general meeting as proxy holder will vote in favor of the resolutions proposed at the extraordinary general meeting according to the recommendation of the Special Committee. If new proposals (other than those on the agenda) are put forth before the extraordinary general meeting, the chairman of the extraordinary general meeting as proxy holder will vote in accordance with the position of the Board.</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of Proxies and Failure to Vote</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All Shares represented by valid proxies will be voted at the extraordinary general meeting in the manner specified by the holder. If a shareholder returns a properly signed proxy card but does not indicate how the shareholder wants to vote, Shares represented by that proxy card will be voted FOR the proposal to authorize and approve the Merger Agreement, the Plan of Merger and the consummation of the Transactions, including the Merger,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FOR the proposal to adjourn the extraordinary general meeting in order to allow the Company to solicit additional proxies in the event that there are insufficient proxies received to pass the special resolutions during the extraordinary general meeting, unless the shareholder appoints a person other than the chairman of the meeting as proxy, in which case the Shares represented by that proxy card will be voted (or not submitted for voting) as the proxy determines. If a shareholder fails to vote by proxy or in person, it will be more difficult for the Company to obtain the necessary quorum to transact business at the extraordinary general meeting and to obtain required votes described in “The Extraordinary General Meeting — Vote Required.”</w:t>
      </w:r>
    </w:p>
    <w:p>
      <w:pPr>
        <w:spacing w:after="0" w:line="33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Holders of ADSs as of the close of business on                     , 2024 (New York City time) (who do not cancel such ADSs and become a registered holder of the Shares underlying such ADSs) cannot attend or vote at the extraordinary general meeting directly (whether in person or by proxy), but may instruct the ADS Depositary how to vote the Shares underlying the ADSs by completing and signing an ADS Voting Instruction Card if they are a registered ADS holder provided by the ADS Depositary and returning it in accordance with the instructions printed on the card. The ADS Depositary must receive the ADS voting instruction card no later 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the ADS holder’s voting instructions timely received from the holders of ADSs as of the ADS Record Date. Pursuant to the Deposit Agreement,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Brokers, banks and other nominees who hold ADSs for their customers do not have discretionary</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authority to provide the ADS Depositary with voting instructions on how to vote the Shares underlying the ADSs with respect to the authorization and approval of the Merger Agreement, the Plan of Merger and the Transactions, including the Merger. Accordingly, if banks, brokers or other nominees do not receive specific voting instructions from the beneficial owner of ADSs, they may not provide the ADS Depositary with voting instructions on how to vote the Shares underlying the ADSs with respect to the authorization and approval of the Merger Agreement, the Plan of Merger and the Transactions, including the Merger.</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Registered holders of our Shares may revoke their proxies in one of three ways:</w:t>
      </w:r>
    </w:p>
    <w:p>
      <w:pPr>
        <w:spacing w:after="0" w:line="158" w:lineRule="exact"/>
        <w:rPr>
          <w:sz w:val="20"/>
          <w:szCs w:val="20"/>
          <w:color w:val="auto"/>
        </w:rPr>
      </w:pPr>
    </w:p>
    <w:p>
      <w:pPr>
        <w:ind w:left="1980" w:right="539" w:hanging="360"/>
        <w:spacing w:after="0" w:line="256" w:lineRule="auto"/>
        <w:tabs>
          <w:tab w:leader="none" w:pos="19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a registered shareholder can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S.A.R, People’s Republic of China, Attention: Investor Relations Department, at least 48 hours before the commencement of the extraordinary general meeting.</w:t>
      </w:r>
    </w:p>
    <w:p>
      <w:pPr>
        <w:spacing w:after="0" w:line="106" w:lineRule="exact"/>
        <w:rPr>
          <w:rFonts w:ascii="Times New Roman" w:cs="Times New Roman" w:eastAsia="Times New Roman" w:hAnsi="Times New Roman"/>
          <w:sz w:val="18"/>
          <w:szCs w:val="18"/>
          <w:b w:val="1"/>
          <w:bCs w:val="1"/>
          <w:color w:val="auto"/>
        </w:rPr>
      </w:pPr>
    </w:p>
    <w:p>
      <w:pPr>
        <w:ind w:left="1980" w:right="599" w:hanging="360"/>
        <w:spacing w:after="0" w:line="258" w:lineRule="auto"/>
        <w:tabs>
          <w:tab w:leader="none" w:pos="19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a registered shareholder can complete, date and submit a new proxy card bearing a later date than the proxy card sought to be revoked to the Company so that the new proxy card is received by the Company no later than                     (Hong Kong time) on                     , 2024 or                     (New York time) on                     , 2024, being 48 hours before the time appointed for the extraordinary general meeting, the deadline for shareholders to lodge proxy cards.</w:t>
      </w:r>
    </w:p>
    <w:p>
      <w:pPr>
        <w:spacing w:after="0" w:line="102" w:lineRule="exact"/>
        <w:rPr>
          <w:rFonts w:ascii="Times New Roman" w:cs="Times New Roman" w:eastAsia="Times New Roman" w:hAnsi="Times New Roman"/>
          <w:sz w:val="18"/>
          <w:szCs w:val="18"/>
          <w:b w:val="1"/>
          <w:bCs w:val="1"/>
          <w:color w:val="auto"/>
        </w:rPr>
      </w:pPr>
    </w:p>
    <w:p>
      <w:pPr>
        <w:ind w:left="1980" w:right="599" w:hanging="360"/>
        <w:spacing w:after="0" w:line="266" w:lineRule="auto"/>
        <w:tabs>
          <w:tab w:leader="none" w:pos="19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Third, a registered shareholder can attend the meeting and vote in person. Attendance, by itself, will not revoke a proxy. It will only be revoked if the registered shareholder actually votes at the extraordinary general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Registered owners of ADSs may revoke their voting instructions to the ADS Depositary prior to</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9:00 a.m. (New York City time) on                     , 2024 by submitting a new ADS voting instruction card,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specific to that registered owner, to the ADS Depositary.</w:t>
      </w:r>
    </w:p>
    <w:p>
      <w:pPr>
        <w:spacing w:after="0" w:line="11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of Shareholders Who Wish to Dissent from the Merger</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Registered holders of Shares who validly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18" w:lineRule="exact"/>
        <w:rPr>
          <w:sz w:val="20"/>
          <w:szCs w:val="20"/>
          <w:color w:val="auto"/>
        </w:rPr>
      </w:pPr>
    </w:p>
    <w:p>
      <w:pPr>
        <w:ind w:left="1260" w:right="639" w:firstLine="360"/>
        <w:spacing w:after="0" w:line="243" w:lineRule="auto"/>
        <w:rPr>
          <w:sz w:val="20"/>
          <w:szCs w:val="20"/>
          <w:color w:val="auto"/>
        </w:rPr>
      </w:pPr>
      <w:r>
        <w:rPr>
          <w:rFonts w:ascii="Times New Roman" w:cs="Times New Roman" w:eastAsia="Times New Roman" w:hAnsi="Times New Roman"/>
          <w:sz w:val="18"/>
          <w:szCs w:val="18"/>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 2024, SURRENDER THEIR ADSs TO THE ADS DEPOSITARY FOR CANCELLATION AND DELIVERY OF SHARES, PAY THE ADS DEPOSITARY’S FEES REQUIRED FOR THE CANCELLATION OF THEIR ADSs (US$0.05 PER ADS CANCELLED AND ANY OTHER FEES, CHARGES AND EXPENSES PAYABLE PURSUANT TO THE TERMS OF</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 SUBJECT TO THE TERMS AND CONDITIONS OF APPLICABLE LAW AND THE DEPOSIT AGREEMENT, INCLUDING, AMONG OTHER THINGS, PAYMENT OF RELEVANT FEES OF THE ADS DEPOSITARY FOR THE ISSUANCE OF ADSs</w:t>
      </w:r>
    </w:p>
    <w:p>
      <w:pPr>
        <w:spacing w:after="0" w:line="6" w:lineRule="exact"/>
        <w:rPr>
          <w:sz w:val="20"/>
          <w:szCs w:val="20"/>
          <w:color w:val="auto"/>
        </w:rPr>
      </w:pPr>
    </w:p>
    <w:p>
      <w:pPr>
        <w:ind w:left="1260" w:right="719"/>
        <w:spacing w:after="0" w:line="260" w:lineRule="auto"/>
        <w:rPr>
          <w:sz w:val="20"/>
          <w:szCs w:val="20"/>
          <w:color w:val="auto"/>
        </w:rPr>
      </w:pPr>
      <w:r>
        <w:rPr>
          <w:rFonts w:ascii="Times New Roman" w:cs="Times New Roman" w:eastAsia="Times New Roman" w:hAnsi="Times New Roman"/>
          <w:sz w:val="18"/>
          <w:szCs w:val="18"/>
          <w:color w:val="auto"/>
        </w:rPr>
        <w:t>(US$0.05 PER ADS ISSUED) AND ANY APPLICABLE SHARE TRANSFER TAXES (IF ANY) AND RELATED CHARGES PURSUANT TO THE DEPOSIT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Whom to Call for Assistance</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you need assistance, including help in changing or revoking your proxy, please contact our Investor Relations Department at +852-3700-9100 or by email at ir@i-click.com, for China, or at +1 516 222 2560 or by email at tomc@coreir.com, for the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not retained a third-party service provider to assist in the solicitation process. We will ask banks, brokers and other custodians, nominees and fiduciaries to forward our proxy solicitation materials to the beneficial owners of Shares registered in the name of such nominee holders.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reimburse banks, brokers, nominees, custodians and fiduciaries for their reasonable expenses in forwarding copies of this Proxy Statement to the beneficial owners of our Shares and in obtaining voting instructions from those owners. We will pay all expenses of filing, printing and mailing this Proxy Statement.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are not currently aware of any business to be acted upon at the extraordinary general meeting other than the matters discussed in this Proxy Statement.</w:t>
      </w: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THE MERGER AGREEMENT AND THE PLAN OF MERGER</w:t>
      </w:r>
    </w:p>
    <w:p>
      <w:pPr>
        <w:spacing w:after="0" w:line="160"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provisions of the Merger Agreement. This summary may not include all of the information about the Merger Agreement that is important to you. This summary is subject to, and qualified in its entirety by reference to, the Merger Agreement and the Plan of Merger, which are attached as Annex A and Annex B respectively, and incorporated by reference into this section of this Proxy Statement. You are urged to read each of the Merger Agreement and the Plan of Merger carefully and in its entirety, as they are the legal documents governing the Merger.</w:t>
      </w:r>
    </w:p>
    <w:p>
      <w:pPr>
        <w:spacing w:after="0" w:line="11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summary of the Merger Agreement below is included in this Proxy Statement only to provide you with information regarding the terms and conditions of the Merger Agreement, and not to provide any other factual information regarding the Company, Parent, Merger Sub (or any other members of the Buyer Group) or their respective businesses. Accordingly, the representations and warranties and other provisions of the Merger Agreement should not be read alone, but instead should be read only in conjunction with the information provided elsewhere in this Proxy Statement and in the documents incorporated by reference into this Proxy Statement. See “Where You Can Find More Information” beginning on page 115.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and Consummation of the Merger</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the Company on the terms, and subject to the conditions, of the Merger Agreement, with the Company being the Surviving Company of the Merger. If the Merger is consummated, the Company will cease to be a publicly traded company and will become a wholly owned subsidiary of Parent. The closing will take place no later than the tenth business day following the date on which all of the closing conditions have been satisfied or waived (other than those conditions that by their nature are to be satisfied or, if permissible, waived at the closing), or at such other time and place as the Company and Parent may agree in writing. On the closing date, Parent, Merger Sub and the Company shall (a) cause the Merger to be consummated under the CICA by executing and filing the Plan of Merger, together with such other documents required under the CICA, with the Registrar of Companies of the Cayman Islands as provided by Section 233 of the CICA, and (b) make any other filings, recordings or publications required by CICA to be made by the Company or Merger Sub.</w:t>
      </w:r>
    </w:p>
    <w:p>
      <w:pPr>
        <w:spacing w:after="0" w:line="12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Merger will become effective upon the time of registration of the Plan of Merger by the Registrar of Companies of the Cayman Islands, or on a later date as may be agreed in writing by Parent and the Company and specified in the Plan of Merger.</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Merger will be completed during the first quarter of 2024, after all conditions to the Merger have been satisfied or waived. We cannot specify when, or assure you that, all conditions to the Merger will be satisfied or waived; however, we intend to complete the Merger as promptly as practicable.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 Directors and Officers of the Surviving Company</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the Effective Time, the memorandum and articles of association of Merger Sub, as in effect immediately prior to the Effective Time, shall become the memorandum and articles of association of the Surviving Company until thereafter amended in accordance with applicable law or such memorandum and articles of association;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all references therein to the name “TSH Merger Sub Limited” shall be amended to “iClick Interactive Asia Group Limited”,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specified in the Merger Agreement.</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Please see “Dissenters’ Rights” beginning on page 103 for additional information.</w:t>
      </w:r>
    </w:p>
    <w:p>
      <w:pPr>
        <w:spacing w:after="0" w:line="33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each ordinary share, par value US$1.00 per share, of Merger Sub issued and outstanding immediately prior to the Effective Time will be converted into and become one validly issued, fully paid and non-assessable ordinary share, par value US$1.00 per share, of the Surviving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At the Effective Time, the Company shall (a) terminate the Company Share Plans and any relevant award agreements entered into under the Company Share Plans, including for the avoidance of doubt, the cancellation of all authorized but unissued Shares under the Company Share Plans, (b) cancel each Company Option that is outstanding and unexercised, whether or not vested or exercisable, and (c) cancel each Company RSU that is outstanding, whether or not vested.</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soon as practicable after the Effective Time (and pursuant to the Company’s ordinary payroll practices), each former holder of a Vested Company Option that is cancelled at the Effective Time shall, in exchange therefor, be paid by the Surviving Company or one of its subsidiaries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Procedures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the Effective Time, Parent will select and appoint a paying agent with the Company’s prior consent, and Parent will enter into an agreement with such paying agent with respect to the Merger on terms reasonably acceptable to the Company. At or prior to the Effective Time, or in the case of payments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of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 when required thereby, Parent will deposit or cause to be deposited with the paying agent for the benefit of the holders of Shares and ADSs (other than Excluded Shares) a cash amount in immediately available funds that is sufficient in the aggregate to pay the full amount of the Merger Consideration.</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Promptly after the Effective Time (and in any event within five business days thereafter), the Surviving Company will cause the paying agent to email to each former holder of Shares (in each case, other than holders of Excluded Shares and Dissenting Shares) that immediately prior to the Effective Time represented issued and outstanding Shares with instructions to access an online portal maintained and operated by the paying agent, which online portal will contain (a) a letter of transmittal in customary form reasonably acceptable to Parent and the Company, specifying the manner in which the delivery of the exchange fund to registered holders of such Shares shall be effected and contain such other provisions as Parent and the Company may mutually agree, and (b) instructions for use in effecting the surrender of certificates or exchange of non-certificated Shares represented by book entry (“Uncertificated Shares”), as applicable, for the aggregate Per Share Merger Consideration.</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Upon surrender of share certificates (or affidavits and indemnities of loss in lieu of the share certificates as provided in the Merger Agreement)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the Merger Agreement) and each registered holder of Uncertificated Shares, shall be entitled to receive, and Parent and the Company shall cause the paying agent to pay and deliver as promptly as reasonably practicable after the Effective Time, a cash amount in immediately available funds (after giving effect to any required tax withholding) equal to the product obtained by multiplying (A) the number of Shares represented by such surrendered share certificate (or affidavit and indemnity of loss in lieu of the share certificate as provided in the Merger Agreement) or the number of Uncertificated Shares by (B) the Per Share Merger Consideration of US$0.816, and the certificates so surrendered shall immediately be cancelled. In the event that any share certificates shall have been lost, stolen or destroyed, the paying agent shall send by wire transfer or issue a check in exchange for such lost, stolen or destroyed certificates, upon the making of an affidavit of that fact by the holder thereof, an amount in cash (after giving effect to any required tax withholdings) equal to the product of the number of Shares (other than Excluded Shares and Dissenting Shares) represented by such certificates multiplied by the Per Share Merger Consideration of US$0.816.</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event of a transfer of ownership of Shares or ADSs that is not registered in the register of members of the Company maintained by the Company or in the books maintained by the ADS Depositary, as applicable, or if payment of the aggregate Per Share Merger Consideration or the aggregate Per ADS Merger Consideration is to be made to a person other than the person in whose name the share certificates, the book- entry Shares or ADSs, as applicable, are registered, a check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ADS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33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Prior to the Effective Time, Parent and the Company shall establish procedures with the paying agent to ensure that the paying agent will transmit to the ADS Depositary as promptly as reasonably practicable following the Effective Time an amount in cash in immediately available funds equal to the product of</w:t>
      </w:r>
    </w:p>
    <w:p>
      <w:pPr>
        <w:spacing w:after="0" w:line="2" w:lineRule="exact"/>
        <w:rPr>
          <w:sz w:val="20"/>
          <w:szCs w:val="20"/>
          <w:color w:val="auto"/>
        </w:rPr>
      </w:pPr>
    </w:p>
    <w:p>
      <w:pPr>
        <w:ind w:left="1260" w:right="419"/>
        <w:spacing w:after="0" w:line="244" w:lineRule="auto"/>
        <w:tabs>
          <w:tab w:leader="none" w:pos="152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(other than Excluded Shares and the Shares represented by the ADSs which were issued in connection with the conversion and exercise by certain Company employees of their Vested Company RSUs and/or Vested Company Options and held by The Core Group for and on behalf of such Company employees prior to Effective Time) currently registered in the name of the ADS Depositary for the benefit of holders of ADSs and (y) the Per Share Merger Consideration of US$0.816.</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No interest shall be paid or will accrue on any amount payable in respect of the Shares or ADSs or the surrender or transfer of any share certificates.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the Company to Parent and Merger Sub and representations and warranties made by Parent and Merger Sub jointly and severally to the Company. The statements embodied in those representations and warranties were made for purposes of the Merger Agreement and are subject to important qualifications and limitations agreed by the parties in connection with negotiating the terms of the Merger Agreement (including those set forth in the disclosure schedule delivered by the Company in connection therewith, but not reflected in the Merger Agreement).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consummate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the public disclosure and filings made by it with the SEC since January 1, 2022 and prior to the date of the Merger Agreement. It should also be noted that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w:t>
      </w:r>
    </w:p>
    <w:p>
      <w:pPr>
        <w:spacing w:after="0" w:line="3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representations and warranties made by the Company to Parent and Merger Sub include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representations and warranties (subject to their respective materiality qualifications as provided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Agreement, where applicable) relating to, among other things:</w:t>
      </w:r>
    </w:p>
    <w:p>
      <w:pPr>
        <w:spacing w:after="0" w:line="99" w:lineRule="exact"/>
        <w:rPr>
          <w:sz w:val="20"/>
          <w:szCs w:val="20"/>
          <w:color w:val="auto"/>
        </w:rPr>
      </w:pPr>
    </w:p>
    <w:p>
      <w:pPr>
        <w:ind w:left="1800" w:right="519" w:hanging="180"/>
        <w:spacing w:after="0" w:line="275"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where applicable, good standing of the Company and each of its subsidiaries; power and authority of the Company and each of its subsidiaries to carry on its businesses;</w:t>
      </w:r>
    </w:p>
    <w:p>
      <w:pPr>
        <w:spacing w:after="0" w:line="281"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in any material respect of the memorandum and articles of association or equivalent organizational documents of the Company and its subsidiaries;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the Company, and the absence of violation of any pre-emptive rights, purchase options, call or right of first refusal or similar rights;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power and authority to execute, deliver, and perform its obligations under the Merger Agreement and to consummate the Transactions, and the enforceability of the Merger Agreement against the Company;</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Special Committee of a fairness opinion from Houlihan Lokey, and upon recommendation of the Special Committee, the declaration of advisability, the authorization and approval, and the recommendation to the shareholders of the Company, of the Merger Agreement, the Plan of Merger and the Transactions, including the Merger, by the Board;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(a) conflict with the organizational documents of the Company and its subsidiaries, (b) requirement to obtain consent or waiver of, modification, violation or breach of, or default under, any contract, (c) any lien (other than permitted liens), or (d) violation of any applicable order or law, in each case as a result of the execution and delivery of the Merger Agreement by the Company and the performance of the Merger Agreement by the Company and the consummation by the Company of the Transactions;</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permit, authorization, consent or approval required for the execution and delivery of the Merger Agreement by the Company and the performance of the Merger Agreement by the Company and the consummation by the Company of the Transactions;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by the Company and each of its subsidiaries of franchises, grants, authorizations, licenses, permits, easements, variances, exceptions, consents, certificates, approvals and orders of governmental authorities which are necessary for the 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the applicable listing, corporate governance and other rules and regulations of NASDAQ in all material respects;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anti-corruption laws violation for the preceding 5 years by the Company or any of its subsidiaries, any officer or director of any of the foregoing, or, to the knowledge of the Company, any agent, employee or other person acting on behalf of any of the foregoing;</w:t>
      </w:r>
    </w:p>
    <w:p>
      <w:pPr>
        <w:spacing w:after="0" w:line="54"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SEC filings since January 1, 2022 and the financial statements included or incorporated by reference in such SEC filings, as well as the bank accounts of the Company and each of its subsidiaries, VIE entities and controlled entities;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liability or obligation of any nature of the Company and its subsidiaries;</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in all material respects with the applicable provisions of the United States Sarbanes-Oxley Act of 2002;</w:t>
      </w:r>
    </w:p>
    <w:p>
      <w:pPr>
        <w:spacing w:after="0" w:line="2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system established and administered in accordance with GAAP in all material respects, and the Company and its subsidiaries’ internal accounting controls system that is sufficient to provide reasonable assurance regarding the liability of financial reporting and preparation of financial statements for external purpose in accordance with GAAP;</w:t>
      </w:r>
    </w:p>
    <w:p>
      <w:pPr>
        <w:spacing w:after="0" w:line="5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the Company in the Schedule 13E-3 and this Proxy Statement;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by the Company and its subsidiaries in all material respects in the ordinary course of business and in a manner consistent with past practice since December 31, 2022;</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including any Company Material Adverse Effect since December 31, 2022;</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material legal proceedings;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plans and certain labor and employment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real property and title to material properties and assets;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9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the absence of any undisclosed material default under, or breach or violation of, any material contract, and absence of undisclosed receipt by the Company or any of its subsidiaries of any written claim of default under any material contract within the last 12 months prior to the date of the Merger Agreement;</w:t>
      </w:r>
    </w:p>
    <w:p>
      <w:pPr>
        <w:spacing w:after="0" w:line="58"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anti-takeover statute or regulation enacted under any laws, or shareholder rights plan, poison pill or similar contract to each of which the Company is a party with respect to any shares of capital stock of the Company, and the Board has taken all necessary action so any takeover statute does not, and will not apply to the Merger Agreement and the Transactions, including the Merger;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9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broker’s or finder’s fees, other than with respect to the Company’s financial advisor;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 documents in relation to the “variable interest entity” structure of the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outstanding material unsecured financial indebtedness;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insurance policies;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and warranties by the Company to Parent and Merger Sub, other than the representations and warranties made by the Company in the Merger Agreement.</w:t>
      </w:r>
    </w:p>
    <w:p>
      <w:pPr>
        <w:spacing w:after="0" w:line="8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Many of the representations and warranties in the Merger Agreement made by the Company are qualified as to “materiality” or “Company Material Adverse Effect.” For purposes of the Merger Agreement,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a “Company Material Adverse Effect” means any fact, event, circumstance, change, condition,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with all other Effects, is or would reasonably be expected to,</w:t>
      </w:r>
    </w:p>
    <w:p>
      <w:pPr>
        <w:spacing w:after="0" w:line="108" w:lineRule="exact"/>
        <w:rPr>
          <w:sz w:val="20"/>
          <w:szCs w:val="20"/>
          <w:color w:val="auto"/>
        </w:rPr>
      </w:pPr>
    </w:p>
    <w:p>
      <w:pPr>
        <w:ind w:left="1980" w:right="479" w:hanging="360"/>
        <w:spacing w:after="0" w:line="261" w:lineRule="auto"/>
        <w:tabs>
          <w:tab w:leader="none" w:pos="1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 material adverse effect on the business, financial condition, assets, liabilities, properties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arising out of or resulting from any of the following shall be taken into account in determining whether a Company Material Adverse Effect has occurred or is reasonably expected to occur:</w:t>
      </w:r>
    </w:p>
    <w:p>
      <w:pPr>
        <w:spacing w:after="0" w:line="112" w:lineRule="exact"/>
        <w:rPr>
          <w:rFonts w:ascii="Times New Roman" w:cs="Times New Roman" w:eastAsia="Times New Roman" w:hAnsi="Times New Roman"/>
          <w:sz w:val="18"/>
          <w:szCs w:val="18"/>
          <w:color w:val="auto"/>
        </w:rPr>
      </w:pPr>
    </w:p>
    <w:p>
      <w:pPr>
        <w:jc w:val="both"/>
        <w:ind w:left="2420" w:right="79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any outbreak or escalation of war or major hostilities, any act of sabotage or terrorism, natural or man-made disasters, pandemic (including COVID-19), epidemic or other public health crises, or other force majeure events,</w:t>
      </w:r>
    </w:p>
    <w:p>
      <w:pPr>
        <w:spacing w:after="0" w:line="108" w:lineRule="exact"/>
        <w:rPr>
          <w:rFonts w:ascii="Times New Roman" w:cs="Times New Roman" w:eastAsia="Times New Roman" w:hAnsi="Times New Roman"/>
          <w:sz w:val="18"/>
          <w:szCs w:val="18"/>
          <w:color w:val="auto"/>
        </w:rPr>
      </w:pPr>
    </w:p>
    <w:p>
      <w:pPr>
        <w:ind w:left="2420" w:right="839" w:hanging="440"/>
        <w:spacing w:after="0" w:line="282"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GAAP or enforcement or interpretation thereof, in each case proposed, adopted or enacted after the date of the Merger Agreement,</w:t>
      </w:r>
    </w:p>
    <w:p>
      <w:pPr>
        <w:spacing w:after="0" w:line="107" w:lineRule="exact"/>
        <w:rPr>
          <w:rFonts w:ascii="Times New Roman" w:cs="Times New Roman" w:eastAsia="Times New Roman" w:hAnsi="Times New Roman"/>
          <w:sz w:val="18"/>
          <w:szCs w:val="18"/>
          <w:color w:val="auto"/>
        </w:rPr>
      </w:pPr>
    </w:p>
    <w:p>
      <w:pPr>
        <w:ind w:left="2420" w:right="679" w:hanging="440"/>
        <w:spacing w:after="0" w:line="282"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conditions that generally affect the industry and market in which the Company and its subsidiaries operate,</w:t>
      </w:r>
    </w:p>
    <w:p>
      <w:pPr>
        <w:spacing w:after="0" w:line="94" w:lineRule="exact"/>
        <w:rPr>
          <w:rFonts w:ascii="Times New Roman" w:cs="Times New Roman" w:eastAsia="Times New Roman" w:hAnsi="Times New Roman"/>
          <w:sz w:val="18"/>
          <w:szCs w:val="18"/>
          <w:color w:val="auto"/>
        </w:rPr>
      </w:pPr>
    </w:p>
    <w:p>
      <w:pPr>
        <w:jc w:val="both"/>
        <w:ind w:left="2420" w:right="41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credit or other securities or capital markets, or in general economic, business, regulatory, legislative or political conditions of any country or jurisdiction in which the Company and its subsidiaries operate,</w:t>
      </w:r>
    </w:p>
    <w:p>
      <w:pPr>
        <w:spacing w:after="0" w:line="108" w:lineRule="exact"/>
        <w:rPr>
          <w:rFonts w:ascii="Times New Roman" w:cs="Times New Roman" w:eastAsia="Times New Roman" w:hAnsi="Times New Roman"/>
          <w:sz w:val="18"/>
          <w:szCs w:val="18"/>
          <w:color w:val="auto"/>
        </w:rPr>
      </w:pPr>
    </w:p>
    <w:p>
      <w:pPr>
        <w:ind w:left="2420" w:right="57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announcement, disclosure, pendency or consummation of the Transactions, including any initiation of shareholder litigation or any other legal proceeding challenging any aspect of the Merger Agreement and/or the Transactions,</w:t>
      </w:r>
    </w:p>
    <w:p>
      <w:pPr>
        <w:spacing w:after="0" w:line="108" w:lineRule="exact"/>
        <w:rPr>
          <w:rFonts w:ascii="Times New Roman" w:cs="Times New Roman" w:eastAsia="Times New Roman" w:hAnsi="Times New Roman"/>
          <w:sz w:val="18"/>
          <w:szCs w:val="18"/>
          <w:color w:val="auto"/>
        </w:rPr>
      </w:pPr>
    </w:p>
    <w:p>
      <w:pPr>
        <w:ind w:left="2420" w:right="77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and/or omission to take any action, by the Company or any of its subsidiaries at the express request or with the written consent of Parent, Merger Sub, the Chairman, the Rollover Shareholders or any of their respective affiliates,</w:t>
      </w:r>
    </w:p>
    <w:p>
      <w:pPr>
        <w:spacing w:after="0" w:line="108" w:lineRule="exact"/>
        <w:rPr>
          <w:rFonts w:ascii="Times New Roman" w:cs="Times New Roman" w:eastAsia="Times New Roman" w:hAnsi="Times New Roman"/>
          <w:sz w:val="18"/>
          <w:szCs w:val="18"/>
          <w:color w:val="auto"/>
        </w:rPr>
      </w:pPr>
    </w:p>
    <w:p>
      <w:pPr>
        <w:ind w:left="2420" w:right="43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Company or any of its subsidiaries that is expressly required by the Merger Agreement or the failure by the Company or any of its subsidiaries to take any action that is prohibited by the Merger Agreement,</w:t>
      </w:r>
    </w:p>
    <w:p>
      <w:pPr>
        <w:spacing w:after="0" w:line="108" w:lineRule="exact"/>
        <w:rPr>
          <w:rFonts w:ascii="Times New Roman" w:cs="Times New Roman" w:eastAsia="Times New Roman" w:hAnsi="Times New Roman"/>
          <w:sz w:val="18"/>
          <w:szCs w:val="18"/>
          <w:color w:val="auto"/>
        </w:rPr>
      </w:pPr>
    </w:p>
    <w:p>
      <w:pPr>
        <w:ind w:left="2420" w:right="57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Merger Agreement or other Transaction Documents (as defined under the Merger Agreement) by Parent, Merger Sub or any other party thereunder (other than the Company),</w:t>
      </w:r>
    </w:p>
    <w:p>
      <w:pPr>
        <w:spacing w:after="0" w:line="108" w:lineRule="exact"/>
        <w:rPr>
          <w:rFonts w:ascii="Times New Roman" w:cs="Times New Roman" w:eastAsia="Times New Roman" w:hAnsi="Times New Roman"/>
          <w:sz w:val="18"/>
          <w:szCs w:val="18"/>
          <w:color w:val="auto"/>
        </w:rPr>
      </w:pPr>
    </w:p>
    <w:p>
      <w:pPr>
        <w:ind w:left="2420" w:right="659" w:hanging="440"/>
        <w:spacing w:after="0" w:line="266"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any internal or public projections, forecasts, guidance, estimates, milestones, budgets or internal or published predictions of revenue, earnings, cash flow or cash position (but excluding the underlying circumstances or reasons for that failure),</w:t>
      </w:r>
    </w:p>
    <w:p>
      <w:pPr>
        <w:spacing w:after="0" w:line="108" w:lineRule="exact"/>
        <w:rPr>
          <w:rFonts w:ascii="Times New Roman" w:cs="Times New Roman" w:eastAsia="Times New Roman" w:hAnsi="Times New Roman"/>
          <w:sz w:val="18"/>
          <w:szCs w:val="18"/>
          <w:color w:val="auto"/>
        </w:rPr>
      </w:pPr>
    </w:p>
    <w:p>
      <w:pPr>
        <w:ind w:left="2420" w:right="439" w:hanging="440"/>
        <w:spacing w:after="0" w:line="275"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or change in trading volume, of the capital stock of the Company (but excluding the underlying circumstances or reasons for that decline or change), or</w:t>
      </w:r>
    </w:p>
    <w:p>
      <w:pPr>
        <w:spacing w:after="0" w:line="322" w:lineRule="exact"/>
        <w:rPr>
          <w:rFonts w:ascii="Times New Roman" w:cs="Times New Roman" w:eastAsia="Times New Roman" w:hAnsi="Times New Roman"/>
          <w:sz w:val="18"/>
          <w:szCs w:val="18"/>
          <w:color w:val="auto"/>
        </w:rPr>
      </w:pPr>
    </w:p>
    <w:p>
      <w:pPr>
        <w:ind w:left="2420" w:right="1079" w:hanging="440"/>
        <w:spacing w:after="0" w:line="282" w:lineRule="auto"/>
        <w:tabs>
          <w:tab w:leader="none" w:pos="2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prospective change in the Company’s credit ratings (but excluding the underlying circumstances or reasons for such change);</w:t>
      </w:r>
    </w:p>
    <w:p>
      <w:pPr>
        <w:spacing w:after="0" w:line="94" w:lineRule="exact"/>
        <w:rPr>
          <w:sz w:val="20"/>
          <w:szCs w:val="20"/>
          <w:color w:val="auto"/>
        </w:rPr>
      </w:pPr>
    </w:p>
    <w:p>
      <w:pPr>
        <w:ind w:left="1980" w:right="459"/>
        <w:spacing w:after="0" w:line="258" w:lineRule="auto"/>
        <w:rPr>
          <w:sz w:val="20"/>
          <w:szCs w:val="20"/>
          <w:color w:val="auto"/>
        </w:rPr>
      </w:pPr>
      <w:r>
        <w:rPr>
          <w:rFonts w:ascii="Times New Roman" w:cs="Times New Roman" w:eastAsia="Times New Roman" w:hAnsi="Times New Roman"/>
          <w:sz w:val="18"/>
          <w:szCs w:val="18"/>
          <w:color w:val="auto"/>
        </w:rPr>
        <w:t>except, in the case of clause (i), (ii), (iii) or (iv),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 or</w:t>
      </w:r>
    </w:p>
    <w:p>
      <w:pPr>
        <w:spacing w:after="0" w:line="116" w:lineRule="exact"/>
        <w:rPr>
          <w:sz w:val="20"/>
          <w:szCs w:val="20"/>
          <w:color w:val="auto"/>
        </w:rPr>
      </w:pPr>
    </w:p>
    <w:p>
      <w:pPr>
        <w:ind w:left="1980" w:right="919" w:hanging="360"/>
        <w:spacing w:after="0" w:line="266"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materially delay the consummation of the Transactions or otherwise be materially adverse to the ability of the Company to perform its material obligations under the Merger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made by Parent and Merger Sub to the Company include representations and warranties relating to, among other things:</w:t>
      </w:r>
    </w:p>
    <w:p>
      <w:pPr>
        <w:spacing w:after="0" w:line="67" w:lineRule="exact"/>
        <w:rPr>
          <w:sz w:val="20"/>
          <w:szCs w:val="20"/>
          <w:color w:val="auto"/>
        </w:rPr>
      </w:pPr>
    </w:p>
    <w:p>
      <w:pPr>
        <w:ind w:left="1800" w:right="89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due organization, valid existence, good standing and power and authority to carry on their respective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being formed solely for the purpose of engaging in the Transactions;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corporate power and authority to execute, deliver and perform their obligations under the Merger Agreement and to consummate the Transactions, and the enforceability of the Merger Agreement against them;</w:t>
      </w:r>
    </w:p>
    <w:p>
      <w:pPr>
        <w:spacing w:after="0" w:line="81"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violations of, or conflicts with, the memorandum and articles of association of Parent or Merger Sub, (b) violations of, or conflicts with, any law applicable to Parent or Merger Sub or their respective properties or assets, and (c) any breach of or default under, or give to others any rights of termination, amendment, acceleration or cancellation of, or result in the creation of a lien or other encumbrance on any property or asset of Parent or Merger Sub pursuant to, any contract or obligation to which Parent and Merger Sub is a party or any property or asset of Parent or Merger Sub is bound or affected, in each case as a result of the execution and delivery of the Merger Agreement by Parent or Merger Sub and the performance of the Merger Agreement by Parent or Merger Sub;</w:t>
      </w:r>
    </w:p>
    <w:p>
      <w:pPr>
        <w:spacing w:after="0" w:line="299"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approval, authorization or permit of, or filing with or notification to, any governmental authority, required for the execution and delivery of the Merger Agreement by Parent and Merger Sub and the performance of the Merger Agreement by Parent and Merger Sub and the consummation by Parent and Merger Sub of the Transactions;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capitalization and ownership structure;</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true and complete copies of the Facility Agreement, Equity Commitment Letter and the Support Agreement, and enforceability of the aforesaid documents;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 in the financing to complete the Merger and the other transactions contemplated by the Merger Agreement and the Plan of Merger, subject to certain assumptions;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of Parent and Merger Sub to pay any and all fees payable under the Facility Agreement;</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default or breach under the Facility Agreement or Equity Commitment Letter, and to the knowledge of Parent no occurrence of any event that would excuse or permit the financing sources under any of the aforesaid financing documents to refuse to fund their respective obligations thereunder;</w:t>
      </w:r>
    </w:p>
    <w:p>
      <w:pPr>
        <w:spacing w:after="0" w:line="291"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or on behalf of them in the Schedule 13E-3 and this Proxy Statement;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the Surviving Company as of and immediately after the Effective Time;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 against Parent or Merger Sub or any property or asset of Parent or Merger Sub;</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outstanding order which Parent or Merger Sub is subject to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by Parent, Merger Sub and their respective affiliates of the Shares or any other securities or other economic interest of the Company or any options, warrants, or other rights to acquire Shares or other securities of, or any economic interest in the Company;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investigation of the Company and its subsidiaries by Parent and Merger Sub;</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contract or side letter relating to Transactions between two or more of the following persons: each of Parent, Merger Sub, the Rollover Shareholders, or any of their respective affiliates (excluding the Company and its subsidiaries);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4"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contract (a)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(b) pursuant to which any shareholder of the Company would be entitled to receive consideration of a different amount or nature than the Per Share Merger Consideration, (c) pursuant to which any shareholder of the Company has agreed to vote to approve the Merger Agreement or the Merger or has agreed to vote against any Superior Proposal, or (d) pursuant to which any person has agreed to provide, directly or indirectly, equity capital to Parent, Merger Sub or the Company to finance in whole or in part Transactions;</w:t>
      </w:r>
    </w:p>
    <w:p>
      <w:pPr>
        <w:spacing w:after="0" w:line="29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by Parent and Merger Sub on any estimates, forecasts, projections, plans and budget information provided by the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broker’s or finder’s fees based upon arrangements made by or on behalf of Parent, Merger Sub or the Rollover Shareholders;</w:t>
      </w:r>
    </w:p>
    <w:p>
      <w:pPr>
        <w:spacing w:after="0" w:line="40"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being in full force and effect and the absence of any breach or default thereunder;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and warranties by Parent and Merger Sub to the Company, other than the representations and warranties made by Parent and Merger Sub in the Merger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Conduct of Business Prior to Closing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has agreed that, subject to certain exceptions, from the date of the Merger Agreement until the earlier of the Effective Time and the valid termination of the Merger Agreement in accordance with its terms, (a) the businesses of the Company and its subsidiaries shall be conducted in the ordinary course of business consistent with past practice or as contemplated by the forecast of the Company delivered by the Company to Parent prior to the date of the Merger Agreement, and (b) the Company shall use its reasonable efforts to preserve substantially intact the assets and business organization of the Company and its subsidiaries, to keep available the services of the current executive officers and key employees of the Company and its subsidiaries and to maintain in all material respects the current relationships of the Company and its subsidiaries with existing customers, suppliers and other persons with which the Company or any of its subsidiaries has material business relations.</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and the confidential disclosure schedule of the Company delivered in connection with the Merger Agreement or as required by applicable law, from the date of the Merger Agreement until the earlier of the Effective Time and the valid termination of the Merger Agreement in accordance with its terms, the Company shall not, and shall not permit any of its subsidiaries to, do or propose to do any of the following without the prior written consent of Parent (such consent not to be unreasonably withheld, conditioned or delayed):</w:t>
      </w:r>
    </w:p>
    <w:p>
      <w:pPr>
        <w:spacing w:after="0" w:line="74" w:lineRule="exact"/>
        <w:rPr>
          <w:sz w:val="20"/>
          <w:szCs w:val="20"/>
          <w:color w:val="auto"/>
        </w:rPr>
      </w:pPr>
    </w:p>
    <w:p>
      <w:pPr>
        <w:ind w:left="1800" w:right="65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memorandum and articles of association or equivalent organization documents;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lease, sublease, license, pledge, dispose of, grant or encumber, or authorize the issuance, sale, transfer, lease, sublease, license, pledge, disposition, grant or encumbrance of, (i) any shares of any class of the Company or any of its subsidiaries, subject to certain exceptions as provided in the Merger Agreement, (ii) any property or assets of the Company or any of its subsidiaries with a value or purchase price in excess of $2,000,000, except in the ordinary course of business or pursuant to existing contracts, or (iii) any material intellectual property owned by or licensed to the Company or any of its subsidiaries, except in the ordinary course of business or pursuant to existing contracts;</w:t>
      </w:r>
    </w:p>
    <w:p>
      <w:pPr>
        <w:spacing w:after="0" w:line="296"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shares, property or otherwise, with respect to any of its shares;</w:t>
      </w:r>
    </w:p>
    <w:p>
      <w:pPr>
        <w:spacing w:after="0" w:line="40"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or purchase or otherwise acquire, any of its share capital or securities or other rights exchangeable into or convertible or exercisable for any of its share capital subject to certain exceptions with respect to the Company Share Plans;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commence any liquidation, dissolution, scheme of arrangement, merger, consolidation, amalgamation, restructuring, reorganization, or similar transaction involving the Company or any of its subsidiaries, or create any new subsidiary, other than Transactions;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securities or properties, in any single transaction or related series of transactions, for consideration in excess of US$2,000,000, except for acquisitions in the ordinary course of business or pursuant to existing contracts;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investment in any corporation, partnership, other business organization or any division thereof in excess of US$2,000,000 in any single transaction or related series of transactions other than in the ordinary course of business;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alter, amend or modify any indebtedness, or guarantee any indebtedness, in each case, with an amount in excess of US$2,000,000 in a single transaction or related series of transactions, subject to certain exceptions;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with respect to financial accounting policies or procedures in any material respect, including changes affecting the reported consolidated assets, liabilities or results of operations of the Company or any of its subsidiaries, except as required by changes in statutory or regulatory accounting rules or GAAP or regulatory requirements with respect thereto;</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pending or threatened action of or against the Company or any of its subsidiaries (A) for an amount in excess of US$1,000,000 for any single action, (B) that would impose any material restrictions on the business or operations of the Company or any of its subsidiaries, or (C) that is brought by or on behalf of any current, former or purported holder of any share capital or debt securities of the Company or any of its subsidiaries relating to Transactions, except for, in each case, any actions occurring in the ordinary course of business;</w:t>
      </w:r>
    </w:p>
    <w:p>
      <w:pPr>
        <w:spacing w:after="0" w:line="79" w:lineRule="exact"/>
        <w:rPr>
          <w:rFonts w:ascii="Times New Roman" w:cs="Times New Roman" w:eastAsia="Times New Roman" w:hAnsi="Times New Roman"/>
          <w:sz w:val="18"/>
          <w:szCs w:val="18"/>
          <w:color w:val="auto"/>
        </w:rPr>
      </w:pPr>
    </w:p>
    <w:p>
      <w:pPr>
        <w:jc w:val="both"/>
        <w:ind w:left="1800" w:right="83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which are, in the aggregate, in excess of US$2,000,000, other than as set forth in the annual budget of the Company duly approved by the Board;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enter into any contract that would have been a material contract if it had been in effect as of the date of the Merger Agreement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the Merger Agreement, or (C) as required or contemplated by the terms of any material contract in effect as of the date of the Merger Agreement in accordance with its terms as of the date of the Merger Agreement;</w:t>
      </w:r>
    </w:p>
    <w:p>
      <w:pPr>
        <w:spacing w:after="0" w:line="299" w:lineRule="exact"/>
        <w:rPr>
          <w:rFonts w:ascii="Times New Roman" w:cs="Times New Roman" w:eastAsia="Times New Roman" w:hAnsi="Times New Roman"/>
          <w:sz w:val="18"/>
          <w:szCs w:val="18"/>
          <w:color w:val="auto"/>
        </w:rPr>
      </w:pPr>
    </w:p>
    <w:p>
      <w:pPr>
        <w:ind w:left="1800" w:right="719" w:hanging="180"/>
        <w:spacing w:after="0" w:line="257"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 increase the compensation or benefits of any of its directors, officers, employees, contractors, consultants, or service providers (except (x) base salary or wage increases for employees in the ordinary course of business consistent with past practices,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increases that would not in the aggregate cause an increase in the labor costs of the Company and its subsidiaries, taken as a whole, by more than 10% compared with the labor costs of the Company and its subsidiaries, taken as a whole, as of the date of the Merger Agreement),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(as defined under the Merger Agreement),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US$250,000) or terminate (other than for cause) any employee, contractor, consultant or</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99"/>
        <w:spacing w:after="0" w:line="258" w:lineRule="auto"/>
        <w:rPr>
          <w:sz w:val="20"/>
          <w:szCs w:val="20"/>
          <w:color w:val="auto"/>
        </w:rPr>
      </w:pPr>
      <w:r>
        <w:rPr>
          <w:rFonts w:ascii="Times New Roman" w:cs="Times New Roman" w:eastAsia="Times New Roman" w:hAnsi="Times New Roman"/>
          <w:sz w:val="18"/>
          <w:szCs w:val="18"/>
          <w:color w:val="auto"/>
        </w:rPr>
        <w:t>service provider with an annual compensation in excess of $250,000 or enter into an agreement with respect to the foregoing, or (F) take any action to accelerate the vesting, funding or payment of any compensation, or benefits under, any Company Employee Plan or otherwise;</w:t>
      </w:r>
    </w:p>
    <w:p>
      <w:pPr>
        <w:spacing w:after="0" w:line="61" w:lineRule="exact"/>
        <w:rPr>
          <w:sz w:val="20"/>
          <w:szCs w:val="20"/>
          <w:color w:val="auto"/>
        </w:rPr>
      </w:pPr>
    </w:p>
    <w:p>
      <w:pPr>
        <w:ind w:left="1800" w:right="49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any new line of business outside of its existing business as of the date of the Merger Agreement that is material to the Company and its subsidiaries, taken as a whole;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issue any new Company Options or Company RSUs pursuant to the Company Share Plans;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14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Solely for the purposes of the above undertakings, pandemic or epidemic-related measures reasonably taken by the Company or any of its subsidiaries for the purposes of reducing any adverse impact on their businesses and assets, including those responding to COVID-19, shall not constitute a breach.</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Each of the Company, Parent and Merger Sub also agrees that, during the period from the date of the Merger Agreement until the earlier of the Effective Time and termination of the Merger Agreement, it shall not: (i) take any action which is intended to or would reasonably be likely to result in any of the applicable conditions to effecting the Merger becoming incapable of being satisfied or (ii) take any action which would, or would be reasonably likely to, prevent, materially delay or materially impede its ability to consummate the Merger or the other transactions contemplated by the Merger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Meeting</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shall establish a record date for determining shareholders of the Company entitled to vote at the extraordinary general meeting of the Company’s shareholders to be held to consider the authorization and approval of, and to authorize and approve, the Merger Agreement, the Plan of Merger and the Transactions, including the Merger (the “Shareholders Meeting”) in consultation with Parent and shall not change such record date or establish a different record date for the Shareholders Meeting without the prior written consent of Parent, unless required to do so by applicable law or the Shareholders Meeting as originally called is adjourned or otherwise delayed pursuant to terms of the Merger Agreement.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soon as practicable after the SEC confirms that it has no further comments on the Schedule 13E-3 or that it is not reviewing the Schedule 13E-3 but in any event no later than 12 Business Days after such confirmation, the Company shall (i) set the Share record date to determine holders of Shares entitled to vote on the Merger and inform the ADS Depositary of said record date, (ii) request the ADS Depositary to fix the ADR record date as the same date as the Share record date, and (iii) cause the ADS Depositary to arrange for the proxy solicitation materials to be mailed to all registered and beneficial holders of ADSs as at the ADS record date and set the cut- off time by which eligible holders of ADSs can submit voting instructions to the ADS Depositary. As soon as practicable but in any event no later than thirty-five (35) days after the date of mailing this Proxy Statement, the Company shall hold the Shareholders Meeting. In the event that subsequent to the date of the Merger Agreement, the Board makes a change in its recommendation in the manner described under “— No Change of Recommendation” below, the Company shall nevertheless submit the Merger Agreement to the shareholders for approval at the Shareholders Meeting, unless the Merger Agreement shall have been terminated in accordance with its terms.</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may, after consultation in good faith with Parent, adjourn or recommend the adjournment of the Shareholders Meeting to its shareholders (i) if and to the extent necessary to ensure that any required supplement or amendment to this Proxy Statement is provided to the holders of Shares within a reasonable amount of time in advance of the Shareholders Meeting, (ii) as otherwise required by applicable law, or (iii) if as of the time for which the Shareholders Meeting is scheduled as set forth in this Proxy Statement, there are insufficient Shares represented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(as defined under the Merger Agreement) to be obtained; provided, that</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Company shall, upon Parent’s written request and at Parent’s direction, adjourn or postpone the Shareholders Meeting on up to two occasions for an aggregate period of up to ten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w:t>
      </w:r>
    </w:p>
    <w:p>
      <w:pPr>
        <w:spacing w:after="0" w:line="12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At the Shareholders Meeting, Parent and/or Merger Sub shall vote, and shall cause the Rollover Shareholders to vote, all Shares held directly or indirectly by them, including the Rollover Shares pursuant to the terms of the Support Agreement, in favor of the authorization and approval of the Merger Agreement, the Plan of Merger and the Transactions.</w:t>
      </w:r>
    </w:p>
    <w:p>
      <w:pPr>
        <w:spacing w:after="0" w:line="99"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authorization and approval of the Merger Agreement, the Plan of Merger and the Transactions, including the Merger, the Variation of Capital and, upon the Merger becoming effective, the Adoption of Amended M&amp;A, are subject to the Requisite Company Vote.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 Shop; No Solicitation of Transactions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During the period commencing on the date of the Merger Agreement and ending at 11:59 p.m. (New York City time) on (i) December 24, 2023, the date that is thirty (30) days following the date of the Merger Agreement (the “No-shop Period Start Date”) for any person or “group” who is not an Excluded Party (as defined below), or (ii) in respect of a person that submits a bona fide competing proposal prior to the No-shop Period Start Date and such proposal is determined by the Board in good faith to be or reasonably expected to lead to a Superior Proposal (an “Excluded Party”), five (5) days after the No-shop Period Start Date (the “Cut-Off date”), as applicable, the Company, its subsidiaries and its subsidiaries’ representatives shall have the right (acting under the director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 acceptable confidentiality agreement (provided, that the Company shall promptly (and in any event within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48 hours following the No-Shop Period Start Date (or, with respect to an Excluded Party, the Cut-Off Date), the Company shall notify Parent in writing of the material terms and conditions of any proposal or offer regarding a Competing Proposal received from any person or its representatives and the identity thereof (including the identity of any Excluded Party).</w:t>
      </w:r>
    </w:p>
    <w:p>
      <w:pPr>
        <w:spacing w:after="0" w:line="353"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has agreed to, subject to certain exceptions described below, (x) immediately cease any activities and discussion that are ongoing as of the No-Shop Period Start Date and that relate, or may reasonably be expected to lead, to a Competing Transaction, and (y) promptly request each person that has heretofore executed a standstill, confidentiality or similar agreement in connection with such Person’s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consideration of a Competing Transaction to return (or if permitted by the applicable agreement, destroy) all information required to be returned (or, if applicable, destroyed) by such Person under the terms of the applicable agreement.</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Additionally, from the No-Shop Period Start Date (or, with respect to an Excluded Party, the Cut-Off Date), the Company will not, nor will it permit any of its subsidiaries to, nor shall it authorize or permit any of its or their Representatives to, directly or indirectly, (i) solicit, initiate or knowingly encourage,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(iv) grant any waiver, amendment or release under any standstill, confidentiality or similar agreement or Takeover Statutes; or (v) authorize or permit any of the representatives of the Company or any of its subsidiaries to take any action set forth in clauses (i)  – (iv).</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the purpose of the Merger Agreement, (a) “Competing Proposal” means any written bona fide offer, proposal, or indication of interest (other than an offer, proposal, or indication of interest by Parent) that constitutes or could reasonably be expected to lead to a Competing Transaction, and (b) “Competing Transaction”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any class of equity securities of the Company; (iv) any tender offer or exchange offer that, if consummated, would result in any person beneficially owning 15% or more of equity securities of the Company; or (v) any combination of the foregoing.</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and Provision of Information upon Receipt of a Competing Proposal</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the event the Company receives a Superior Proposal or a proposal which is reasonably expected to lead to a Superior Proposal that in either case was made after the No-Shop Period Start Date (or, with respect to an Excluded Party, the Cut-Off Date) and prior to the receipt of the Requisite Company Vote, the Board has determined in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 (A) request information from the person making such proposal for the sole purpose of the Company Board informing itself about the proposal that has been made and the person that made it,</w:t>
      </w:r>
    </w:p>
    <w:p>
      <w:pPr>
        <w:spacing w:after="0" w:line="1" w:lineRule="exact"/>
        <w:rPr>
          <w:sz w:val="20"/>
          <w:szCs w:val="20"/>
          <w:color w:val="auto"/>
        </w:rPr>
      </w:pPr>
    </w:p>
    <w:p>
      <w:pPr>
        <w:ind w:left="1260" w:right="539"/>
        <w:spacing w:after="0" w:line="253" w:lineRule="auto"/>
        <w:tabs>
          <w:tab w:leader="none" w:pos="155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the Company to the person making such proposal pursuant to an acceptable confidentiality agreement, and (C) participate in negotiations with such party regarding such proposal; provided, that as soon as practical (and in any event within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Change in Recommendation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below, neither the Board nor any committee thereof may (i) change, withhold, withdraw, qualify or modify, or propose publicly to change, withhold, withdraw, qualify or modify, in a manner adverse to Parent, Merger Sub or the Company’s recommendation of the Merger Agreement, the Plan of Merger and the consummation of the Transactions (the “Company Recommendation”), (ii) fail to include the Company Recommendation in this Proxy Statement, (iii) adopt, approve, determine to be advisable, or recommend, or propose publicly to adopt, approve, determine to be advisable, or recommend,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6" w:lineRule="auto"/>
        <w:rPr>
          <w:sz w:val="20"/>
          <w:szCs w:val="20"/>
          <w:color w:val="auto"/>
        </w:rPr>
      </w:pPr>
      <w:r>
        <w:rPr>
          <w:rFonts w:ascii="Times New Roman" w:cs="Times New Roman" w:eastAsia="Times New Roman" w:hAnsi="Times New Roman"/>
          <w:sz w:val="18"/>
          <w:szCs w:val="18"/>
          <w:color w:val="auto"/>
        </w:rPr>
        <w:t>any Competing Proposal, (iv) fail to recommend against any Competing Transaction subject to Regulation 14D under the Exchange Act in a Solicitation/Recommendation Statement on Schedule 14D-9 within 10 business days after the commencement of such Competing Transaction, (v) fail to publicly reaffirm the Company Recommendation following any Competing Transaction having been publicly made, proposed or communicated (and not publicly withdrawn) within 10 Business Days after Parent so requests in writing, or (vi) cause the Company to enter into any letter of intent, agreement in principle, acquisition agreement or other similar agreement (each, an “Alternative Acquisition Agreement”) related to any Competing Proposal (any of the foregoing, a “Change in the Company Recommendation”)</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restrictions described above, at any time prior to the receipt of Requisite Company Vote, if the Board determines in good faith acting at the recommendation of the Special Committee (after consultation with its independent financial advisor and outside legal counsel), in response to a Superior Proposal made in circumstances not involving a breach of the Merger Agreement, that the failure to do so could be inconsistent with its fiduciary duties under applicable law, the Company Board (acting at the recommendation of the Special Committee) or the Special Committee may (x) effect a Change in the Company Recommendation and (y) authorize the Company to terminate the Merger Agreement, but only</w:t>
      </w:r>
    </w:p>
    <w:p>
      <w:pPr>
        <w:spacing w:after="0" w:line="4" w:lineRule="exact"/>
        <w:rPr>
          <w:sz w:val="20"/>
          <w:szCs w:val="20"/>
          <w:color w:val="auto"/>
        </w:rPr>
      </w:pPr>
    </w:p>
    <w:p>
      <w:pPr>
        <w:ind w:left="1260" w:right="459"/>
        <w:spacing w:after="0"/>
        <w:tabs>
          <w:tab w:leader="none" w:pos="148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complied with the requirements of the Merger Agreement with respect to such Competing Proposal in all material respects; (ii) after (A) providing at least five business days’ (the “Superior Proposal Notice Period”) written notice to Parent advising Parent that the Board has received a Superior Proposal, specifying the material terms and conditions of such Superior Proposal, identifying the person making such Superior Proposal and indicating that the Board intends to effect a Change in the Company Recommendation and/or authorize the Company to terminate the Merger Agreement,</w:t>
      </w:r>
    </w:p>
    <w:p>
      <w:pPr>
        <w:ind w:left="1260" w:right="65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negotiating with and causing its financial and legal advisors to negotiate with the Parent, Merger Sub and their respective representatives in good faith to make such adjustments in the terms and conditions of the Merger Agreement and the Financing Documents (as defined in Merger Agreement), so that such Competing Proposal would cease to constitute a Superior Proposal, and (C) permitting Parent and its representatives to make a presentation to the Company Board and the Special Committee regarding the Merger Agreement, the Financing and any adjustments with respect thereto; provided that any material modifications to such Competing Proposal shall require the Company to again comply with the requirements of this section with Superior Proposal Notice Period shortened to three business days; and</w:t>
      </w:r>
    </w:p>
    <w:p>
      <w:pPr>
        <w:spacing w:after="0" w:line="4" w:lineRule="exact"/>
        <w:rPr>
          <w:rFonts w:ascii="Times New Roman" w:cs="Times New Roman" w:eastAsia="Times New Roman" w:hAnsi="Times New Roman"/>
          <w:sz w:val="18"/>
          <w:szCs w:val="18"/>
          <w:color w:val="auto"/>
        </w:rPr>
      </w:pPr>
    </w:p>
    <w:p>
      <w:pPr>
        <w:ind w:left="1260" w:right="459"/>
        <w:spacing w:after="0" w:line="241" w:lineRule="auto"/>
        <w:tabs>
          <w:tab w:leader="none" w:pos="15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Superior Proposal Notice Period, the Board shall have determined, in its good faith judgment acting at the recommendation of the Special Committee (after consultation with its independent financial advisor and outside legal counsel), that taking into account any changes to the Merger Agreement and Financing Documents proposed by the Parent and Merger Sub, that the relevant Competing Proposal continues to constitute a Superior Proposal and the failure to take the actions specified in clauses</w:t>
      </w:r>
    </w:p>
    <w:p>
      <w:pPr>
        <w:ind w:left="1520" w:hanging="260"/>
        <w:spacing w:after="0"/>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(y) above could still be inconsistent with its fiduciary duties under applicable law.</w:t>
      </w:r>
    </w:p>
    <w:p>
      <w:pPr>
        <w:spacing w:after="0" w:line="12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Notwithstanding anything described above to the contrary, prior to the time, but not after, the Requisite Company Vote is obtained, the Board, acting at the recommendation of the Special Committee, or the Special Committee, may make a Change in the Company Recommendation for a reason unrelated to a Competing Proposal if and only if (i) the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and shall cause its representatives to, negotiate in good faith with Parent during such five business day period to make such revisions to the terms of the Merger Agreement and the Financing Documents as would permit the Board not to effect a Change in the Company Recommendation in light of such Intervening Event and</w:t>
      </w:r>
    </w:p>
    <w:p>
      <w:pPr>
        <w:spacing w:after="0" w:line="11" w:lineRule="exact"/>
        <w:rPr>
          <w:sz w:val="20"/>
          <w:szCs w:val="20"/>
          <w:color w:val="auto"/>
        </w:rPr>
      </w:pPr>
    </w:p>
    <w:p>
      <w:pPr>
        <w:ind w:left="1260" w:right="459"/>
        <w:spacing w:after="0" w:line="241" w:lineRule="auto"/>
        <w:tabs>
          <w:tab w:leader="none" w:pos="15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permit Parent and its representatives to make a presentation to the Board and the Special Committee regarding the Merger Agreement, the Financing Documents and any adjustments with respect thereto; and (iv) the Board shall have considered in good faith any changes to the Merger Agreement and the Financing Documents and shall have again determined, acting at the recommendation of the Special Committee, in good faith after consultation with its independent financial advisor and outside legal counsel, taking into account any changes to the Merger Agreement and the Financing Documents proposed by the Parent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Merger Sub, that it would continue to be inconsistent with the Board’s fiduciary duties under applicable law not to effect the Change in the Company Recommendation in light of the Intervening Event. “Intervening Event” means a material event, material development or material change occurring after the date of the Merger Agreement with respect to the Company and its subsidiaries or their business, assets or operations that is unrelated to any Competing Proposal or Competing Transaction and that was unknown and not reasonably foreseeable to the Company as of the date of the Merger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Merger Agreement, Parent and Merger Sub have agreed, among others, that:</w:t>
      </w:r>
    </w:p>
    <w:p>
      <w:pPr>
        <w:spacing w:after="0" w:line="117" w:lineRule="exact"/>
        <w:rPr>
          <w:sz w:val="20"/>
          <w:szCs w:val="20"/>
          <w:color w:val="auto"/>
        </w:rPr>
      </w:pPr>
    </w:p>
    <w:p>
      <w:pPr>
        <w:ind w:left="1800" w:right="459" w:hanging="180"/>
        <w:spacing w:after="0" w:line="251"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advancement and exculpation provisions of certain indemnification agreements by and among the Company and its directors and officers, as in effect at the Effective Time, shall survive the Merger and shall not be amended, repealed or otherwise modified for a period of six (6) years from the Effective Time in any manner that would adversely affect the rights thereunder of such current or former directors or officers of the Company or any of its subsidiaries. The Surviving Company and its subsidiaries shall (and Parent shall cause the Surviving Company and its subsidiaries to honor and fulfill in all respects the obligations of the Company and its subsidiaries under (i) any indemnification, advancement of expenses and exculpation provision set forth in any memorandum and articles of association or comparable organizational documents of the Company or any of its subsidiaries as in effect on the date of the Merger Agreement, and (ii) all indemnification agreements between the Company or any of its subsidiaries and any Indemnified Party (as defined below).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of the Merger Agreement, and Parent shall cause such provisions not be amended, repealed or otherwise modified for a period of six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will be assumed by the Surviving Company, shall survive the Merger and shall continue in full force and effect in accordance with its terms.</w:t>
      </w:r>
    </w:p>
    <w:p>
      <w:pPr>
        <w:spacing w:after="0" w:line="300"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maintain in effect for six years from the Effective Time the current directors’ and officers’ liability insurance policies (including for acts or omissions occurring in connection with the Merger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“Indemnified Party”), covered as of the Effective Time, on terms no less favorable than those of such policies in effect on the date of the Merger Agreement; provided, that the Surviving Company will not be required to expend more than an amount per year equal to 250% of current annual premiums paid by the Company for such insurance. In lieu of maintaining the directors’ and officers’ liability insurance policies described above, the Company may, at its option, purchase a six-year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described above.</w:t>
      </w:r>
    </w:p>
    <w:p>
      <w:pPr>
        <w:spacing w:after="0" w:line="89"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Company shall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damages arising out of, relating to or in connection with (x) the fact that an Indemnified Party is or was a director, officer or employee of the Company or any of its subsidiaries or (y) any acts or omissions occurring or alleged to have occurred prior to or at the Effective Time, to the extent provided under the Company’s or such subsidiaries’ respective organizational and governing documents or agreements in effect on the date of the Merger Agreement and to the fullest extent permitted by the CICA or any other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Each of Parent and Merger Sub shall use its reasonable best efforts to take all actions necessary to arrange and obtain the Debt Financing and Equity Financing in a timely manner and as provided in the Merger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materially less favorable in any material respect, in the aggregate, to Parent and Merger Sub than those contained in the Facility Agreement in an amount, together with the aggregate proceeds of the Equity Financing, sufficient for Parent, Merger Sub and the Surviving Company to pay (x) the Merger Consideration, and (y) any other amounts required to be paid in connection with the consummation of the Transactions on the terms and conditions contemplated by the Merger Agreement (the “Alternative Financing”).</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w:t>
      </w:r>
    </w:p>
    <w:p>
      <w:pPr>
        <w:spacing w:after="0" w:line="2" w:lineRule="exact"/>
        <w:rPr>
          <w:sz w:val="20"/>
          <w:szCs w:val="20"/>
          <w:color w:val="auto"/>
        </w:rPr>
      </w:pPr>
    </w:p>
    <w:p>
      <w:pPr>
        <w:ind w:left="1260" w:right="479"/>
        <w:spacing w:after="0"/>
        <w:tabs>
          <w:tab w:leader="none" w:pos="15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required to be paid in connection with the consummation of the Transactions upon the terms and conditions contemplated by the Merger Agreement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provided,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certain conditions.</w:t>
      </w:r>
    </w:p>
    <w:p>
      <w:pPr>
        <w:spacing w:after="0" w:line="12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Company has agreed to provide, and to cause each of its subsidiaries and each of their respective officers, employees and representatives to use reasonable efforts to provide, to Parent and Merger Sub, at Parent’s sole cost and expense, all reasonable cooperation as may be requested by Parent or its representatives in connection with the Debt Financing or any Alternative Financing.</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Parent will, upon the termination of the Merger Agreement in accordance with its terms, (a) promptly upon request by the Company, reimburse the Company for all reasonable and documented out-of-pocket costs incurred by the Company or its subsidiaries in connection with the cooperation of the Company and its subsidiaries contemplated by these financing covenants and (b) Parent will indemnify and hold harmless the Company, its subsidiaries and their respective representatives from and against any and all liabilities or losses suffered or incurred by any of them arising from the arrangement of the Debt Financing or Alternative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 to Further Action and Use Reasonable Best Efforts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party to the Merger Agreement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Covenants</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Company, Parent and Merger Sub have also agreed to certain additional covenants relating to, among others, the following:</w:t>
      </w:r>
    </w:p>
    <w:p>
      <w:pPr>
        <w:spacing w:after="0" w:line="40" w:lineRule="exact"/>
        <w:rPr>
          <w:sz w:val="20"/>
          <w:szCs w:val="20"/>
          <w:color w:val="auto"/>
        </w:rPr>
      </w:pPr>
    </w:p>
    <w:p>
      <w:pPr>
        <w:ind w:left="1800" w:right="105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filing of this Proxy Statement and the Schedule 13E-3 with the SEC (and cooperation in response to any comments from the SEC);</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access by Parent and its representatives to the offices, properties, books and records of the Company and its subsidiaries;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certain matters in connection with the Transactions;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defense or settlement of shareholder actions against the Company or its directors relating to the Merger Agreement or the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of the directors of the Company or any of its subsidiaries designated by Parent;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respect to press releases relating to the Merger Agreement and the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the Shares from NASDAQ and the deregistration of the Shares under the Exchange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with takeover statutes;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registration;</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to the transaction documents without the prior written consent of the Special Committee; and</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approvals and waivers from any third parties that are required to be obtained by the Company to consummate the Transactions (including the Merger), except where the failure to obtain such consents, approvals or waivers would not reasonably be expected to have a Company Material Adverse Effect.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the Merger Agreement to consummate the Merger are subject to the satisfaction or waiver of the following conditions:</w:t>
      </w:r>
    </w:p>
    <w:p>
      <w:pPr>
        <w:spacing w:after="0" w:line="68" w:lineRule="exact"/>
        <w:rPr>
          <w:sz w:val="20"/>
          <w:szCs w:val="20"/>
          <w:color w:val="auto"/>
        </w:rPr>
      </w:pPr>
    </w:p>
    <w:p>
      <w:pPr>
        <w:jc w:val="both"/>
        <w:ind w:left="1800" w:right="69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the Plan of Merger and the Transactions, including the Merger, shall have been authorized and approved by holders of Shares constituting the Requisite Company Vote;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of the following additional conditions:</w:t>
      </w:r>
    </w:p>
    <w:p>
      <w:pPr>
        <w:spacing w:after="0" w:line="54" w:lineRule="exact"/>
        <w:rPr>
          <w:sz w:val="20"/>
          <w:szCs w:val="20"/>
          <w:color w:val="auto"/>
        </w:rPr>
      </w:pPr>
    </w:p>
    <w:p>
      <w:pPr>
        <w:ind w:left="1800" w:right="479" w:hanging="180"/>
        <w:spacing w:after="0" w:line="266"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other than representations and warranties of the Company regarding (A) organization, good standing and qualification of the Company, (B) the Company’s authorized share capital, issued and outstanding Shares, Vested Company Option and Unvested Company RSU outstanding as of the date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2" w:lineRule="auto"/>
        <w:rPr>
          <w:sz w:val="20"/>
          <w:szCs w:val="20"/>
          <w:color w:val="auto"/>
        </w:rPr>
      </w:pPr>
      <w:r>
        <w:rPr>
          <w:rFonts w:ascii="Times New Roman" w:cs="Times New Roman" w:eastAsia="Times New Roman" w:hAnsi="Times New Roman"/>
          <w:sz w:val="18"/>
          <w:szCs w:val="18"/>
          <w:color w:val="auto"/>
        </w:rPr>
        <w:t>of the Merger Agreement, (C) no restrictions on transfer or issuance of equity interests of the Company or any of its subsidiaries, (D) authorization of the Company, enforceability of the Merger Agreement and Company recommendation, (E) no Company Material Adverse Effect, (F) anti-takeover provisions, and (G) no undisclosed broker, the representations and warranties of the Company contained in Article III of the Merger Agreement shall be true and correct in all respects (without giving effect to any qualification as to “materiality” or “Company Material Adverse Effect”), except where such failures to be true and correct, do not, and would not be reasonably expected to, constitute a Company Material Adverse Effect; (ii) the representations and warranties of the Company regarding (A) organization, good standing and qualification of the Company,</w:t>
      </w:r>
    </w:p>
    <w:p>
      <w:pPr>
        <w:spacing w:after="0" w:line="6" w:lineRule="exact"/>
        <w:rPr>
          <w:sz w:val="20"/>
          <w:szCs w:val="20"/>
          <w:color w:val="auto"/>
        </w:rPr>
      </w:pPr>
    </w:p>
    <w:p>
      <w:pPr>
        <w:ind w:left="1800" w:right="579"/>
        <w:spacing w:after="0" w:line="250" w:lineRule="auto"/>
        <w:tabs>
          <w:tab w:leader="none" w:pos="209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Company, (C) enforceability of the Merger Agreement, and (D) Company recommendation, shall be true and correct in all material respects (without giving effect to any qualification as to “materiality”); (iii) the representations and warranties of the Company regarding</w:t>
      </w:r>
    </w:p>
    <w:p>
      <w:pPr>
        <w:spacing w:after="0" w:line="1" w:lineRule="exact"/>
        <w:rPr>
          <w:rFonts w:ascii="Times New Roman" w:cs="Times New Roman" w:eastAsia="Times New Roman" w:hAnsi="Times New Roman"/>
          <w:sz w:val="18"/>
          <w:szCs w:val="18"/>
          <w:color w:val="auto"/>
        </w:rPr>
      </w:pPr>
    </w:p>
    <w:p>
      <w:pPr>
        <w:ind w:left="1800" w:right="439"/>
        <w:spacing w:after="0" w:line="251" w:lineRule="auto"/>
        <w:tabs>
          <w:tab w:leader="none" w:pos="210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share capital and issued and outstanding Shares, (B) no restrictions on transfer or issuance of equity interests of the Company or any of its subsidiaries, (C) no Company Material Adverse Effect, (D) anti-takeover provisions, and (E) no undisclosed broker, shall be true and correct in all respects, except for de minimis inaccuracies in the case of Company capitalization, in each case of (i) to (iii), as of the date of the Merger Agreement and as of the closing, as though made on and as of such date and time (other than representations and warranties that by their terms address matters only as of a specified time, which shall be true and correct only as of such time); and (iv) the representations and warranties of the Company regarding the Company’s Vested Company Option and Unvested Company RSU outstanding as of the date of the Merger Agreement shall be true and correct in all respects as of the date of the Merger Agreement and as of the closing,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disclosed in the Company Disclosure Schedule, or (Y) the total number of Shares subject to Unvested Company RSUs as disclosed in the Company Disclosure Schedule;</w:t>
      </w:r>
    </w:p>
    <w:p>
      <w:pPr>
        <w:spacing w:after="0" w:line="9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all agreements and covenants required by the Merger Agreement to be performed or complied with by it on or prior to the closing date;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the Merger Agreement and is continuing;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the closing date, signed by a senior executive officer of the Company, certifying as to the satisfaction of the conditions above.</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of the following additional conditions:</w:t>
      </w:r>
    </w:p>
    <w:p>
      <w:pPr>
        <w:spacing w:after="0" w:line="54" w:lineRule="exact"/>
        <w:rPr>
          <w:sz w:val="20"/>
          <w:szCs w:val="20"/>
          <w:color w:val="auto"/>
        </w:rPr>
      </w:pPr>
    </w:p>
    <w:p>
      <w:pPr>
        <w:ind w:left="1800" w:right="599" w:hanging="180"/>
        <w:spacing w:after="0" w:line="254"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the Merger Agreement shall be true and correct (without giving effect to any qualification as to “materiality” or similar standard or qualification) as of the date of the Merger Agreement and as of the closing, as though made on and as of such date and time, except: (i) representations and warranties that by their terms address matters only as of a specified time, which shall be true and correct only as of such time, or (ii) where the failure of such representations and warranties to be so true and correct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8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the closing date, signed by a director or executive officer of Parent, certifying as to the satisfaction of the conditions above.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Effective Time (if by the Company, acting only upon the recommendation of the Special Committee):</w:t>
      </w:r>
    </w:p>
    <w:p>
      <w:pPr>
        <w:spacing w:after="0" w:line="94" w:lineRule="exact"/>
        <w:rPr>
          <w:sz w:val="20"/>
          <w:szCs w:val="20"/>
          <w:color w:val="auto"/>
        </w:rPr>
      </w:pPr>
    </w:p>
    <w:p>
      <w:pPr>
        <w:ind w:left="1980" w:hanging="360"/>
        <w:spacing w:after="0"/>
        <w:tabs>
          <w:tab w:leader="none" w:pos="1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if: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(the “Long Stop Date”);</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7"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94" w:lineRule="exact"/>
        <w:rPr>
          <w:sz w:val="20"/>
          <w:szCs w:val="20"/>
          <w:color w:val="auto"/>
        </w:rPr>
      </w:pPr>
    </w:p>
    <w:p>
      <w:pPr>
        <w:ind w:left="1980" w:right="479"/>
        <w:spacing w:after="0" w:line="261" w:lineRule="auto"/>
        <w:rPr>
          <w:sz w:val="20"/>
          <w:szCs w:val="20"/>
          <w:color w:val="auto"/>
        </w:rPr>
      </w:pPr>
      <w:r>
        <w:rPr>
          <w:rFonts w:ascii="Times New Roman" w:cs="Times New Roman" w:eastAsia="Times New Roman" w:hAnsi="Times New Roman"/>
          <w:sz w:val="18"/>
          <w:szCs w:val="18"/>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12" w:lineRule="exact"/>
        <w:rPr>
          <w:sz w:val="20"/>
          <w:szCs w:val="20"/>
          <w:color w:val="auto"/>
        </w:rPr>
      </w:pPr>
    </w:p>
    <w:p>
      <w:pPr>
        <w:ind w:left="1980" w:hanging="360"/>
        <w:spacing w:after="0"/>
        <w:tabs>
          <w:tab w:leader="none" w:pos="1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Company shall not have this termination right if it is then in breach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agreements or covenants of the Company that would give rise to the failure of a condition to the obligations of Parent and Merger Sub to consummate the Merger;</w:t>
      </w:r>
    </w:p>
    <w:p>
      <w:pPr>
        <w:spacing w:after="0" w:line="86" w:lineRule="exact"/>
        <w:rPr>
          <w:rFonts w:ascii="Times New Roman" w:cs="Times New Roman" w:eastAsia="Times New Roman" w:hAnsi="Times New Roman"/>
          <w:sz w:val="18"/>
          <w:szCs w:val="18"/>
          <w:color w:val="auto"/>
        </w:rPr>
      </w:pPr>
    </w:p>
    <w:p>
      <w:pPr>
        <w:ind w:left="2160" w:right="499" w:hanging="180"/>
        <w:spacing w:after="0" w:line="253"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86"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the Company Termination Fee payable concurrently with or immediately after such termination (a “Superior Proposal Termination Event”).</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86" w:lineRule="exact"/>
        <w:rPr>
          <w:rFonts w:ascii="Times New Roman" w:cs="Times New Roman" w:eastAsia="Times New Roman" w:hAnsi="Times New Roman"/>
          <w:sz w:val="18"/>
          <w:szCs w:val="18"/>
          <w:color w:val="auto"/>
        </w:rPr>
      </w:pPr>
    </w:p>
    <w:p>
      <w:pPr>
        <w:ind w:left="2160" w:right="1039" w:hanging="180"/>
        <w:spacing w:after="0" w:line="266"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Special Committee shall have effected a Change in the Company Recommendation (together with the events under the bulleting point immediately above, collectively, the “Parent Termination Events”).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Fees and Reimbursement of Expenses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US$1,200,000 (the “Company Termination Fee”) if the Merger Agreement is terminated:</w:t>
      </w:r>
    </w:p>
    <w:p>
      <w:pPr>
        <w:spacing w:after="0" w:line="54" w:lineRule="exact"/>
        <w:rPr>
          <w:sz w:val="20"/>
          <w:szCs w:val="20"/>
          <w:color w:val="auto"/>
        </w:rPr>
      </w:pPr>
    </w:p>
    <w:p>
      <w:pPr>
        <w:ind w:left="1800" w:right="419" w:hanging="180"/>
        <w:spacing w:after="0" w:line="254"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8"/>
          <w:szCs w:val="18"/>
          <w:i w:val="1"/>
          <w:iCs w:val="1"/>
          <w:color w:val="auto"/>
        </w:rPr>
        <w:t>references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in the </w:t>
      </w:r>
      <w:r>
        <w:rPr>
          <w:rFonts w:ascii="Times New Roman" w:cs="Times New Roman" w:eastAsia="Times New Roman" w:hAnsi="Times New Roman"/>
          <w:sz w:val="18"/>
          <w:szCs w:val="18"/>
          <w:color w:val="auto"/>
        </w:rPr>
        <w:t>definition of “Competing Transaction” shall be deemed to be references to “50%”);</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pursuant to any Parent Termination Event;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pursuant to a Superior Proposal Termination Event.</w:t>
      </w:r>
    </w:p>
    <w:p>
      <w:pPr>
        <w:spacing w:after="0" w:line="144"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Parent is required to pay the Company a termination fee of US$1,800,000 (the “Parent Termination Fee”), if the Merger Agreement is terminated by the Company pursuant to a Parent Breach Termination Event or a Parent Failure to Close Termination Event.</w:t>
      </w:r>
    </w:p>
    <w:p>
      <w:pPr>
        <w:spacing w:after="0" w:line="10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Limitations on Liability</w:t>
      </w:r>
    </w:p>
    <w:p>
      <w:pPr>
        <w:spacing w:after="0" w:line="14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 parties agree that a party shall be entitled to specific performance of the terms of the Merger Agreement, including an injunction or injunctions to prevent breaches of the Merger Agreement by any party, in addition to any other remedy at law or equity.</w:t>
      </w:r>
    </w:p>
    <w:p>
      <w:pPr>
        <w:spacing w:after="0" w:line="10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Notwithstanding the above, the obligation of Parent to consummate the Transactions and the Company’s right to seek or obtain an injunction or injunctions with respect to causing Parent and Merger Sub to cause the Equity Financing to be funded, shall be subject to the satisfaction of each of the following conditions: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 The Company will not be entitled to specific performance to cause Parent and Merger Sub to cause the Equity Financing to be funded or to effect the closing if the Debt Financing or the alternative financing has not been funded or will not be funded at the closing of the Merger even if the Equity Financing is funded at the closing of the Merger.</w:t>
      </w:r>
    </w:p>
    <w:p>
      <w:pPr>
        <w:spacing w:after="0" w:line="12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maximum aggregate liabilities of Parent and Merger Sub, on the one hand, and the Company, on the other hand, for monetary damages in connection with the Merger Agreement are limited to (a) the Parent Termination Fee of US$1,800,000 and the Company Termination Fee of US$1,200,000, respectively, and</w:t>
      </w:r>
    </w:p>
    <w:p>
      <w:pPr>
        <w:spacing w:after="0" w:line="1" w:lineRule="exact"/>
        <w:rPr>
          <w:sz w:val="20"/>
          <w:szCs w:val="20"/>
          <w:color w:val="auto"/>
        </w:rPr>
      </w:pPr>
    </w:p>
    <w:p>
      <w:pPr>
        <w:jc w:val="both"/>
        <w:ind w:left="1260" w:right="619"/>
        <w:spacing w:after="0" w:line="253" w:lineRule="auto"/>
        <w:tabs>
          <w:tab w:leader="none" w:pos="152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expenses in the event that the Company or Parent fails to pay the applicable termination fee when due together with certain interest on such unpaid termination fee in accordance with the requirements of the Merger Agreement, as the case may be (and in respect of the Company, also the reimbursement of certain expenses in connection with the debt financing of Parent and Merger Sub).</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While the Company, Parent and Merger Sub may pursue both a grant of specific performance and payment of a termination fee, none of them will be permitted or entitled to receive both a grant of specific performance that results in the completion of the merger and payment of a termination fee, and if the merger agreement is terminated and the relevant termination fee has been paid, the remedy of specific performance will no longer be available to any of the parties to the merger agreement against the party who has made such payment.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4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Merger Agreement may be amended by the parties thereto at any time prior to the Effective Time by action taken (a) with respect to Parent and Merger Sub, by or on behalf of their respective boards of directors, and (b) with respect to the Company, by the Board (acting at the recommendation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approval of the Merger Agreement and the Transactions by the shareholders of the Company, no amendment may be made that would require further approval by the shareholders without such further approval.</w:t>
      </w:r>
    </w:p>
    <w:p>
      <w:pPr>
        <w:spacing w:after="0" w:line="120"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At any time prior to the Effective Time, any party may by action taken (a) with respect to Parent and Merger Sub, by or on behalf of their respective boards of directors and (b) with respect to the Company, by action taken by or on behalf of the Board (acting at the recommendation of the Special Committee),</w:t>
      </w:r>
    </w:p>
    <w:p>
      <w:pPr>
        <w:spacing w:after="0" w:line="1" w:lineRule="exact"/>
        <w:rPr>
          <w:sz w:val="20"/>
          <w:szCs w:val="20"/>
          <w:color w:val="auto"/>
        </w:rPr>
      </w:pPr>
    </w:p>
    <w:p>
      <w:pPr>
        <w:ind w:left="1480" w:hanging="220"/>
        <w:spacing w:after="0"/>
        <w:tabs>
          <w:tab w:leader="none" w:pos="14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obligation or other act of any other party hereto, (ii) waive</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representations and warranties of any other party contained herein or in any document delivered pursuant hereto and (iii) waive compliance with any agreement of any other party or any condition to its own obligations contained herein.</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Any amendment, consent, waiver or other determination to be made, or action to be taken, by the Company or the Board under the Merger Agreement will be made or taken upon the recommendation of, and only upon the recommendation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PROVISIONS FOR UNAFFILIATED SECURITY HOLDERS</w:t>
      </w:r>
    </w:p>
    <w:p>
      <w:pPr>
        <w:spacing w:after="0" w:line="16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No provision has been made to (a) grant the Unaffiliated Security Holders access to corporate files of the Company or any member of the Buyer Group or (b) obtain counsel or appraisal services at the expense of the Company or any member of the Buyer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is a brief summary of the rights of holders of the Shares to dissent from the Merger and receive payment of the fair value of their Shares as determined by the Court (“dissenters’ rights”) in accordance with the Section 238 of the CICA. This summary is not a complete statement of the law, and is qualified in its entirety by the complete text of Section 238 of the CICA, a copy of which is attached as Annex D to this Proxy Statement. If you are contemplating the possibility of dissenting from the Merger, you should carefully review the text of Annex D, particularly the procedural steps required to perfect your dissenters’ rights. These procedures are complex and you should consult your Cayman Islands legal counsel. If you do not fully and precisely satisfy the procedural requirements of the CICA, you will lose your dissenters’ rights.</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Requirements for Exercising Dissenters’ Rights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 dissenting shareholder of the Company is entitled to payment of the fair value of its, his or her Shares as determined by the Court upon validly dissenting from the Merger in accordance with Section 238 of the CICA.</w:t>
      </w:r>
    </w:p>
    <w:p>
      <w:pPr>
        <w:spacing w:after="0" w:line="31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valid exercise of your dissenters’ rights will preclude the exercise of any other rights by virtue of holding Shares in connection with the Merger, other than the right to participate fully in proceedings to determine the fair value of Shares held by such persons and to seek relief on the grounds that the Merger is void or unlawful. To exercise your dissenters’ rights, the following procedures must be followed:</w:t>
      </w:r>
    </w:p>
    <w:p>
      <w:pPr>
        <w:spacing w:after="0" w:line="110" w:lineRule="exact"/>
        <w:rPr>
          <w:sz w:val="20"/>
          <w:szCs w:val="20"/>
          <w:color w:val="auto"/>
        </w:rPr>
      </w:pPr>
    </w:p>
    <w:p>
      <w:pPr>
        <w:ind w:left="1980" w:right="599" w:hanging="360"/>
        <w:spacing w:after="0" w:line="261"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written notice of objection (“Notice of Objection”) to the Company prior to the vote to authorize and approve the Merger. The Notice of Objection must include a statement that you propose to demand payment for your Shares if the Merger is authorized by the vote at the extraordinary general meeting.</w:t>
      </w:r>
    </w:p>
    <w:p>
      <w:pPr>
        <w:spacing w:after="0" w:line="9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immediately following the date on which the vote authorizing the Merger is made, the Company must give written notice of the authorization (“Authorization Notice”) to all shareholders who have served a notice of objection.</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3"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immediately following the date on which the Authorization Notice is given (the “Dissent Period”), any shareholder who elects to dissent must give a written notice of its, his or her decision to dissent (a “Notice of Dissent”) to the Company stating its, his or her name and address and the number and class of the Shares with respect to which it, he or she dissents and demanding payment of the fair value of its, his or her Shares. A shareholder who dissents must do so in respect of all the Shares which it, he or she holds. Upon giving of the Notice of Dissent, the shareholder to whom the Notice of Dissent relates shall cease to have any of the rights of a shareholder except the right to be paid the fair value of its, his or her Shares, the right to participate fully in proceedings to determine the fair value of such Shares and the right to seek relief on the grounds that the Merger is void or unlawful.</w:t>
      </w:r>
    </w:p>
    <w:p>
      <w:pPr>
        <w:spacing w:after="0" w:line="113" w:lineRule="exact"/>
        <w:rPr>
          <w:rFonts w:ascii="Times New Roman" w:cs="Times New Roman" w:eastAsia="Times New Roman" w:hAnsi="Times New Roman"/>
          <w:sz w:val="18"/>
          <w:szCs w:val="18"/>
          <w:color w:val="auto"/>
        </w:rPr>
      </w:pPr>
    </w:p>
    <w:p>
      <w:pPr>
        <w:ind w:left="1980" w:right="519" w:hanging="360"/>
        <w:spacing w:after="0" w:line="258"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immediately following (a) the date of expiry of the Dissent Period or (b) the date on which the Plan of Merger is filed with the Registrar of Companies of the Cayman Islands, whichever is later, the Company, as the Surviving Company, must make a written offer (a “Fair Value Offer”) to each dissenting shareholder to purchase its, his or her Shares at a price determined by the Company to be the fair value of such Shares.</w:t>
      </w:r>
    </w:p>
    <w:p>
      <w:pPr>
        <w:spacing w:after="0" w:line="102"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30 days immediately following the date of the Fair Value Offer, the Company and the dissenting shareholder fail to agree on a price at which the Company will purchase the dissenting shareholder’s Shares, then, within 20 days immediately following the date of the expiry of such 30-day period, the Company must, and the dissenting shareholder may, file a petition with the Court for a determination of the fair value of the Shares held by all dissenting shareholders who have served a Notice of Dissent, which petition by the Company must be accompanied by a verified list containing the names and addresses of all members who have filed a Notice of Dissent and who have not agreed with the Company as to the fair value of such Shares (if a dissenting shareholder files a petition, the Company must file such verified list within 10 days after service of such petition on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58"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petition is timely filed and served, the Court will determine at a hearing at which shareholders are entitled to participate, (a) the fair value of such Shares held by those shareholders as the Court finds are involved with a fair rate of interest, if any, to be paid by the Company upon the amount determined to be the fair value and (b) the costs of the proceeding and the allocation of such costs upon the parties.</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All notices and petitions must be executed by or for the shareholder of record or a person duly authorized on behalf of that shareholder, fully and correctly, as such shareholder’s name appears on the register of members of the Company. If Shares are owned of record in a fiduciary capacity, such as by a trustee, guardian or custodian, these notices must be executed by or for the fiduciary. If Shares are owned by or for more than one person such notices and petitions must be executed by or for all joint owners. An authorized agent, including an agent for two or more joint owners, may execute the notices or petitions for a shareholder of record. The agent must, however, identify the record owner and expressly disclose the fact that, in exercising the notice, he or she is acting as agent for the record owner. A person having a beneficial interest in Shares held of record in the name of another person, such as a broker or other nominee, must act promptly to cause the record holder to follow the steps summarized above and in a timely manner to perfect whatever dissenters’ rights attached to such Shares.</w:t>
      </w:r>
    </w:p>
    <w:p>
      <w:pPr>
        <w:spacing w:after="0" w:line="343"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You must be a registered holder of Shares as of                     on                     , 2024 in order to exercise your dissenters’ rights. A holder of ADSs who wishes to dissent must surrender his, her or its ADSs to the ADS Depositary for cancellation and delivery of Shares and pay the applicable taxes and fees of the ADS Depositary to cancel his, her or its ADSs and then become a record holder of such Shares and comply with the procedures described above in order to exercise the dissenters’ rights with respect to the Shares prior to the extraordinary general meeting. The ADS Depositary will not exercise dissenters’ rights on behalf of a holder of ADSs and any Notice of Dissent delivered to the ADS Depositary will not be effective under the CICA. If you wish to cancel your ADSs, please contact your broker or custodian to make the necessary arrangements, or otherwise contact the ADS Depositary’s office at the appropriate number or email found on https://adr.com/contact/jpmorgan.</w:t>
      </w:r>
    </w:p>
    <w:p>
      <w:pPr>
        <w:spacing w:after="0" w:line="32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you do not satisfy each of these requirements and comply strictly with all precedents required by the CICA with regard to the exercise of dissenters’ rights, you cannot exercise dissenters’ rights and will be bound by the terms of the Merger Agreement and the Plan of Merger. Submitting a proxy card that does not direct how the Shares represented by that proxy are to be voted will give the proxy discretion to vote as it determines appropriate. In addition, failure to vote your Shares, or a vote against the proposal to authorize and approve the Merger Agreement, the Plan of Merger and the Transactions, including the Merger, will not alone satisfy the notice requirement referred to above. You must send all notices to the Company to 15/F, Prosperity Millennia Plaza, 663 King’s Road, Quarry Bay, Hong Kong S.A.R., Attention:                     .</w:t>
      </w:r>
    </w:p>
    <w:p>
      <w:pPr>
        <w:spacing w:after="0" w:line="12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are considering dissenting, you should be aware that the fair value of your Shares as determined by the Court under Section 238 of the CICA could be more than, the same as, or less than US$0.816 per Share in cash, without interest and net of any applicable withholding taxes, for each Share of the Company that you would otherwise receive as consideration pursuant to the Merger Agreement if you do not exercise dissenters’ rights with respect to your Shares. Depending on the outcome of any petition under Section 238 of the CICA, the Court may order you to pay the Company’s recoverable legal expenses of that petition.</w:t>
      </w:r>
    </w:p>
    <w:p>
      <w:pPr>
        <w:spacing w:after="0" w:line="12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provisions of Section 238 of the CICA are technical and complex. If you fail to comply strictly with the procedures set forth in Section 238, you will lose your dissenters’ rights. You should consult your Cayman Islands legal counsel if you wish to exercise dissenters’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tables set forth selected historical consolidated financial information of the Company for each of the two years ended December 31, 2021 and 2022. The historical consolidated statements of comprehensive loss for the years ended December 31, 2021 and 2022 and the consolidated balance sheets as of December 31, 2021 and 2022 have been derived from the audited consolidated financial statements of the Company, prepared in accordance with U.S. GAAP, included in the Company’s Annual Report on Form 20-F for the fiscal year ended December 31, 2022, as filed with the SEC on May 11, 2023, beginning on page F-1, which are incorporated into this Proxy Statement by reference. The consolidated financial data set forth below should be read in conjunction with, and are qualified in their entirety by reference to, the Company’s audited consolidated financial statements and related notes and “Item 5. Operating and Financial Review and Prospects” in the Company’s Annual Report on Form 20-F for the fiscal year ended December 31, 2022, which are incorporated into this Proxy Statement by reference. See “Where You Can Find More Information” for a description of how to obtain a copy of such Annual Report on Form 20-F for the fiscal year ended December 31, 2022.</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4"/>
                <w:szCs w:val="24"/>
                <w:color w:val="auto"/>
              </w:rPr>
            </w:pPr>
          </w:p>
        </w:tc>
        <w:tc>
          <w:tcPr>
            <w:tcW w:w="1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r>
              <w:rPr>
                <w:rFonts w:ascii="Times New Roman" w:cs="Times New Roman" w:eastAsia="Times New Roman" w:hAnsi="Times New Roman"/>
                <w:sz w:val="28"/>
                <w:szCs w:val="28"/>
                <w:b w:val="1"/>
                <w:bCs w:val="1"/>
                <w:color w:val="auto"/>
                <w:w w:val="95"/>
                <w:vertAlign w:val="subscript"/>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p>
        </w:tc>
        <w:tc>
          <w:tcPr>
            <w:tcW w:w="1480" w:type="dxa"/>
            <w:vAlign w:val="bottom"/>
            <w:tcBorders>
              <w:top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comprehensive loss data</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307,702</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169,080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revenues from marketing solutions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242,610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105,956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revenues from enterprise solutions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(218,549)</w:t>
            </w:r>
          </w:p>
        </w:tc>
        <w:tc>
          <w:tcPr>
            <w:tcW w:w="7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(173,212</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profit/(loss)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89,153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(9,527)</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(52,872)</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0"/>
              </w:rPr>
              <w:t>(44,613)</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(39,643)</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(80,137)</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(102,042)</w:t>
            </w:r>
          </w:p>
        </w:tc>
        <w:tc>
          <w:tcPr>
            <w:tcW w:w="7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(190,037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Finance costs, net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(3,265)</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gains/(losses), net</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2,203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(19,165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before share of loss from an equity investee and income tax (expense)/credit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(13,951)</w:t>
            </w:r>
          </w:p>
        </w:tc>
        <w:tc>
          <w:tcPr>
            <w:tcW w:w="8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(213,913)</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 of loss from an equity investee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(expense)/credit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(2,540)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11,182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(16,598)</w:t>
            </w:r>
          </w:p>
        </w:tc>
        <w:tc>
          <w:tcPr>
            <w:tcW w:w="7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(202,806)</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1,931</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32"/>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auto"/>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(13,631)</w:t>
            </w:r>
          </w:p>
        </w:tc>
        <w:tc>
          <w:tcPr>
            <w:tcW w:w="760" w:type="dxa"/>
            <w:vAlign w:val="bottom"/>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(200,875</w:t>
            </w:r>
          </w:p>
        </w:tc>
        <w:tc>
          <w:tcPr>
            <w:tcW w:w="60" w:type="dxa"/>
            <w:vAlign w:val="bottom"/>
            <w:tcBorders>
              <w:left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1"/>
        </w:trPr>
        <w:tc>
          <w:tcPr>
            <w:tcW w:w="64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spacing w:after="0"/>
              <w:rPr>
                <w:sz w:val="7"/>
                <w:szCs w:val="7"/>
                <w:color w:val="auto"/>
              </w:rPr>
            </w:pPr>
          </w:p>
        </w:tc>
        <w:tc>
          <w:tcPr>
            <w:tcW w:w="60" w:type="dxa"/>
            <w:vAlign w:val="bottom"/>
            <w:tcBorders>
              <w:left w:val="single" w:sz="8" w:color="CCEEFF"/>
            </w:tcBorders>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-8255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wp:posOffset>
            </wp:positionV>
            <wp:extent cx="52120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-1190625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-1533525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52120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-2708275</wp:posOffset>
            </wp:positionV>
            <wp:extent cx="52120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-2887980</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-3874135</wp:posOffset>
            </wp:positionV>
            <wp:extent cx="137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​​351,266​​ ​​204,660​</w:t>
            </w:r>
          </w:p>
        </w:tc>
      </w:tr>
      <w:tr>
        <w:trPr>
          <w:trHeight w:val="27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​156,468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17,122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​​507,734​​ ​​221,782​</w:t>
            </w:r>
          </w:p>
        </w:tc>
      </w:tr>
      <w:tr>
        <w:trPr>
          <w:trHeight w:val="25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​​200,845​​ ​​137,716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6"/>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15,300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54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4,777</w:t>
            </w:r>
            <w:r>
              <w:rPr>
                <w:rFonts w:ascii="Times New Roman" w:cs="Times New Roman" w:eastAsia="Times New Roman" w:hAnsi="Times New Roman"/>
                <w:sz w:val="31"/>
                <w:szCs w:val="31"/>
                <w:color w:val="auto"/>
                <w:vertAlign w:val="subscript"/>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​​216,145​​ ​​142,493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​291,589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79,289</w:t>
            </w:r>
            <w:r>
              <w:rPr>
                <w:rFonts w:ascii="Times New Roman" w:cs="Times New Roman" w:eastAsia="Times New Roman" w:hAnsi="Times New Roman"/>
                <w:sz w:val="31"/>
                <w:szCs w:val="31"/>
                <w:color w:val="auto"/>
                <w:vertAlign w:val="subscript"/>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​507,734</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​221,782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834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834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-1696720</wp:posOffset>
            </wp:positionV>
            <wp:extent cx="137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Book Value per Company Share</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net book value per Share as of December 31, 2022 was US$1.63 based on 48,771,228 Shares issued and outstanding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TRANSACTIONS IN THE SHARES AND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Purchases by the Company</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December 2021, the Company’s Board approved a share repurchase program in which the company may purchase its own ADSs with an aggregate value of up to US$20 million from January 1, 2022 to December 31, 2022. In 2022, the Company repurchased a total of 731,881 ADSs under this share repurchase program.</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December 2022, the Company’s Board approved a share repurchase program in which the Company may purchase its own ADSs with an aggregate value of up to US$5 million from January 1, 2023 to December 31, 2023. Since January 1, 2023 and up to the date of this Proxy Statement, the Company repurchased a total of 126,883 ADSs under this share repurchase program. In 2023, the range of prices paid under the share repurchase program was from US$1.474 to US$1.800 and the average purchase price was US$1.679. For more information about the Company’s share repurchase program, see the Company’s Annual Report on Form 20-F for the fiscal year ended December 31, 2022 filed with the SEC on May 11, 2023 (as further amended on October 31, 2023),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-23495</wp:posOffset>
            </wp:positionV>
            <wp:extent cx="311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99"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Except as described above, there was no purchase of any other Shares or ADSs by the Company during the past two years that is required to be disclosed under Rule 13e-3and related rules under the Exchange Act.</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Purchases by the Buyer Group</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None of the members of the Buyer Group or any of their respective affiliates have purchased any Shares at any time within the past two years, except that (i) the Founder Parties participated in the 2020 Public Offering (as defined below), (ii) the Company issued certain Shares (represented by ADSs), Vested Company Options and Unvested Company RSUs to certain Rollover Shareholders (see “Special Factors —  Related Party Transactions” beginning on page 67 for additional information), and (iii) on September 25, 2023, Integrated Asset Management (Asia) Ltd. purchased 318,720 ADSs from another shareholder in a privately negotiated transaction for $659,750.40.</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Prior Public Offerings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December 21, 2017, the Company completed its initial public offering in which the Company issued and sold an aggregate of 3,750,000 ADSs (excluding ADSs issued upon the exercise of the over-allotment options), representing 1,875,000 Class A Shares, at an initial offering price of US$8.00 per ADS (noting that, effective November 14, 2022, the Company changed the ratio of the ADS representing its Class A Shares from one ADS representing one-half of one Class A Share to one ADS representing five Class A Shares, and the price quoted above would be US$80 per ADS if the ADS ratio adjustment has been retrospectively applied). In the same month, the underwriters of the initial public offering exercised their over-allotment options to purchase an additional 562,500 ADSs in full. The net proceeds the Company raised from the initial public offering and the exercise of the over-allotment options in full totaled approximately US$27.5 million, after deducting underwriting commissions and the offering expenses payable by the Company.</w:t>
      </w:r>
    </w:p>
    <w:p>
      <w:pPr>
        <w:spacing w:after="0" w:line="32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September 2020, the Company completed a follow-on offering of 8,500,001 ADSs at a public offering price of US$8.50 per ADS (noting that, effective November 14, 2022, the Company changed the ratio of the ADS representing its Class A Shares from one ADS representing one-half of one Class A Share to one ADS representing five Class A Shares, and the price quoted above would be US$85 per ADS if the ADS ratio adjustment has been retrospectively applied), of which 6,877,214 ADSs (excluding ADSs issued upon the exercise of the over-allotment options), representing an aggregate of 3,438,607 Class A Shares (the “2020 Public Offering”). Of the ADSs sold in the follow-on offering, 6,877,214 ADSs (equivalent to 3,438,607 Class A Shares) were newly issued and sold by the Company and 1,622,787ADSs (equivalent to 811,394 Class A Shares) were sold by an existing shareholder. The net proceeds the Company raised from the September 2020 follow-on public offering were approximately US$53.0 million, after deducting underwriting discounts and commissions and offering expenses payable by the Company.</w:t>
      </w:r>
    </w:p>
    <w:p>
      <w:pPr>
        <w:spacing w:after="0" w:line="12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Except as described above, the Company did not make any public offering of the Company’s securities during the past three years.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in Prior 60 Days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above and other than the Merger Agreement and the agreements entered into in connection with the Merger Agreement (including the Support Agreement, the Limited Guarantee and the Equity Commitment Letter), there have been no transactions in Shares or ADSs during the prior 60 days by the Company, any of the Company’s officers or directors, the Buyer Group, or any other person with respect to which disclosure is provided in Annex E or any associate or majority-owned subsidiary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26" w:lineRule="exact"/>
        <w:rPr>
          <w:sz w:val="20"/>
          <w:szCs w:val="20"/>
          <w:color w:val="auto"/>
        </w:rPr>
      </w:pPr>
    </w:p>
    <w:p>
      <w:pPr>
        <w:ind w:left="1260" w:right="14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Shares as of the date of this Proxy Statement, by:</w:t>
      </w:r>
    </w:p>
    <w:p>
      <w:pPr>
        <w:spacing w:after="0" w:line="54" w:lineRule="exact"/>
        <w:rPr>
          <w:sz w:val="20"/>
          <w:szCs w:val="20"/>
          <w:color w:val="auto"/>
        </w:rPr>
      </w:pPr>
    </w:p>
    <w:p>
      <w:pPr>
        <w:ind w:left="1800" w:hanging="180"/>
        <w:spacing w:after="0"/>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directors and executive officers;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executive officers as a group;</w:t>
      </w:r>
    </w:p>
    <w:p>
      <w:pPr>
        <w:spacing w:after="0" w:line="117" w:lineRule="exact"/>
        <w:rPr>
          <w:rFonts w:ascii="Times New Roman" w:cs="Times New Roman" w:eastAsia="Times New Roman" w:hAnsi="Times New Roman"/>
          <w:sz w:val="18"/>
          <w:szCs w:val="18"/>
          <w:color w:val="auto"/>
        </w:rPr>
      </w:pPr>
    </w:p>
    <w:p>
      <w:pPr>
        <w:ind w:left="1800" w:right="1760" w:hanging="180"/>
        <w:spacing w:after="0" w:line="282"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beneficially own more than 5.0% of the total issued and outstanding Shares;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Filing Person, as applicable.</w:t>
      </w:r>
    </w:p>
    <w:p>
      <w:pPr>
        <w:spacing w:after="0" w:line="144" w:lineRule="exact"/>
        <w:rPr>
          <w:sz w:val="20"/>
          <w:szCs w:val="20"/>
          <w:color w:val="auto"/>
        </w:rPr>
      </w:pPr>
    </w:p>
    <w:p>
      <w:pPr>
        <w:ind w:left="1260" w:right="1360" w:firstLine="360"/>
        <w:spacing w:after="0" w:line="245" w:lineRule="auto"/>
        <w:rPr>
          <w:sz w:val="20"/>
          <w:szCs w:val="20"/>
          <w:color w:val="auto"/>
        </w:rPr>
      </w:pPr>
      <w:r>
        <w:rPr>
          <w:rFonts w:ascii="Times New Roman" w:cs="Times New Roman" w:eastAsia="Times New Roman" w:hAnsi="Times New Roman"/>
          <w:sz w:val="18"/>
          <w:szCs w:val="18"/>
          <w:color w:val="auto"/>
        </w:rPr>
        <w:t>The calculations in the table below are based on 49,523,183 Shares outstanding as of the date of this Proxy Statement, comprising (i) 44,488,756 Class A ordinary shares, excluding (x) the 1,093,585.5 Class A ordinary shares held by Arda Holdings Limited underlying the share options granted but not yet exercised (whether or not they are vested) and the share options reserved for issuance under the Company’s 2018 Share Incentive Plan, and (y) the 90,308.5 Class A ordinary shares held by the ADS Depositary, underlying the unvested restricted Class A ordinary shares units under the Company’s Post-IPO Share Incentive Plan, and (ii) 5,034,427 Class B ordinary shares outstanding.</w:t>
      </w:r>
    </w:p>
    <w:p>
      <w:pPr>
        <w:spacing w:after="0" w:line="114" w:lineRule="exact"/>
        <w:rPr>
          <w:sz w:val="20"/>
          <w:szCs w:val="20"/>
          <w:color w:val="auto"/>
        </w:rPr>
      </w:pPr>
    </w:p>
    <w:p>
      <w:pPr>
        <w:ind w:left="1260" w:right="1680" w:firstLine="360"/>
        <w:spacing w:after="0" w:line="247"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(including in respect of share incentive awards that vest) within 60 days from the date of this Proxy Statement, including through the exercise of any option, warrant, or other right or the conversion of any other security. These Shares, however, are not included in the computation of the percentage ownership of any other person.</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Ordinary Shares Beneficially Owned</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Total Ordinary 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0" w:type="dxa"/>
            <w:vAlign w:val="bottom"/>
            <w:gridSpan w:val="4"/>
            <w:vMerge w:val="continue"/>
          </w:tcPr>
          <w:p>
            <w:pPr>
              <w:spacing w:after="0"/>
              <w:rPr>
                <w:sz w:val="15"/>
                <w:szCs w:val="15"/>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vMerge w:val="restart"/>
          </w:tcPr>
          <w:p>
            <w:pPr>
              <w:spacing w:after="0"/>
              <w:rPr>
                <w:sz w:val="3"/>
                <w:szCs w:val="3"/>
                <w:color w:val="auto"/>
              </w:rPr>
            </w:pPr>
          </w:p>
        </w:tc>
        <w:tc>
          <w:tcPr>
            <w:tcW w:w="740" w:type="dxa"/>
            <w:vAlign w:val="bottom"/>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gridSpan w:val="2"/>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90"/>
        </w:trPr>
        <w:tc>
          <w:tcPr>
            <w:tcW w:w="18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w:t>
            </w:r>
          </w:p>
        </w:tc>
        <w:tc>
          <w:tcPr>
            <w:tcW w:w="160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center"/>
              <w:ind w:left="12"/>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Power %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660" w:type="dxa"/>
            <w:vAlign w:val="bottom"/>
          </w:tcPr>
          <w:p>
            <w:pPr>
              <w:spacing w:after="0" w:line="251" w:lineRule="exact"/>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23"/>
                <w:szCs w:val="23"/>
                <w:color w:val="auto"/>
                <w:vertAlign w:val="superscript"/>
              </w:rPr>
              <w:t>(1)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2,524,105</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2,102,263​​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2,526,458</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29.3%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Matthew Chu Pong Fong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Dylan Huang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Philip Kan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Zhang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698,985​​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4,385,078​​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5,084,063</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60.9%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Bubinga Holdings Limited</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31.4%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Igomax Inc.</w:t>
            </w:r>
            <w:r>
              <w:rPr>
                <w:rFonts w:ascii="Times New Roman" w:cs="Times New Roman" w:eastAsia="Times New Roman" w:hAnsi="Times New Roman"/>
                <w:sz w:val="23"/>
                <w:szCs w:val="23"/>
                <w:color w:val="auto"/>
                <w:vertAlign w:val="superscript"/>
              </w:rPr>
              <w:t>(3)</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2,102,263​​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2,498,553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Baozun Inc.</w:t>
            </w:r>
            <w:r>
              <w:rPr>
                <w:rFonts w:ascii="Times New Roman" w:cs="Times New Roman" w:eastAsia="Times New Roman" w:hAnsi="Times New Roman"/>
                <w:sz w:val="23"/>
                <w:szCs w:val="23"/>
                <w:color w:val="auto"/>
                <w:vertAlign w:val="superscript"/>
              </w:rPr>
              <w:t>(4)</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1,235,730​​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1,885,079</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Creative Big Limited</w:t>
            </w:r>
            <w:r>
              <w:rPr>
                <w:rFonts w:ascii="Times New Roman" w:cs="Times New Roman" w:eastAsia="Times New Roman" w:hAnsi="Times New Roman"/>
                <w:sz w:val="23"/>
                <w:szCs w:val="23"/>
                <w:color w:val="auto"/>
                <w:vertAlign w:val="superscript"/>
              </w:rPr>
              <w:t>(5)</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2,549,415​​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2,549,415</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Asset Management (Asia) Ltd.</w:t>
            </w:r>
            <w:r>
              <w:rPr>
                <w:rFonts w:ascii="Times New Roman" w:cs="Times New Roman" w:eastAsia="Times New Roman" w:hAnsi="Times New Roman"/>
                <w:sz w:val="23"/>
                <w:szCs w:val="23"/>
                <w:color w:val="auto"/>
                <w:vertAlign w:val="superscript"/>
              </w:rPr>
              <w:t>(6)</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4,876,050​​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4,876,050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Marine Central Limited</w:t>
            </w:r>
            <w:r>
              <w:rPr>
                <w:rFonts w:ascii="Times New Roman" w:cs="Times New Roman" w:eastAsia="Times New Roman" w:hAnsi="Times New Roman"/>
                <w:sz w:val="23"/>
                <w:szCs w:val="23"/>
                <w:color w:val="auto"/>
                <w:vertAlign w:val="superscript"/>
              </w:rPr>
              <w:t>(7)</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2,564,103​​ ​</w:t>
            </w: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2,564,103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Teachers Advisors, LLC, College Retirement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660" w:type="dxa"/>
            <w:vAlign w:val="bottom"/>
            <w:shd w:val="clear" w:color="auto" w:fill="CCEEFF"/>
          </w:tcPr>
          <w:p>
            <w:pPr>
              <w:ind w:left="180"/>
              <w:spacing w:after="0" w:line="199" w:lineRule="exact"/>
              <w:rPr>
                <w:sz w:val="20"/>
                <w:szCs w:val="20"/>
                <w:color w:val="auto"/>
              </w:rPr>
            </w:pPr>
            <w:r>
              <w:rPr>
                <w:rFonts w:ascii="Times New Roman" w:cs="Times New Roman" w:eastAsia="Times New Roman" w:hAnsi="Times New Roman"/>
                <w:sz w:val="18"/>
                <w:szCs w:val="18"/>
                <w:color w:val="auto"/>
              </w:rPr>
              <w:t>Equities Fund-Stock Account and Nuveen</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3"/>
                <w:szCs w:val="23"/>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Management, LLC</w:t>
            </w:r>
            <w:r>
              <w:rPr>
                <w:rFonts w:ascii="Times New Roman" w:cs="Times New Roman" w:eastAsia="Times New Roman" w:hAnsi="Times New Roman"/>
                <w:sz w:val="23"/>
                <w:szCs w:val="23"/>
                <w:color w:val="auto"/>
                <w:vertAlign w:val="superscript"/>
              </w:rPr>
              <w:t>(8)</w:t>
            </w:r>
          </w:p>
        </w:tc>
        <w:tc>
          <w:tcPr>
            <w:tcW w:w="1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3,709,380​​ ​</w:t>
            </w: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3,709,380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6"/>
              </w:rPr>
              <w:t>109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-3265170</wp:posOffset>
            </wp:positionV>
            <wp:extent cx="521208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-2956560</wp:posOffset>
            </wp:positionV>
            <wp:extent cx="521208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60" w:type="dxa"/>
            <w:vAlign w:val="bottom"/>
            <w:tcBorders>
              <w:top w:val="single" w:sz="8" w:color="auto"/>
            </w:tcBorders>
            <w:gridSpan w:val="6"/>
            <w:vMerge w:val="restart"/>
          </w:tcPr>
          <w:p>
            <w:pPr>
              <w:jc w:val="right"/>
              <w:ind w:right="85"/>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Total Ordinary Shares  </w:t>
            </w:r>
            <w:r>
              <w:rPr>
                <w:rFonts w:ascii="Times New Roman" w:cs="Times New Roman" w:eastAsia="Times New Roman" w:hAnsi="Times New Roman"/>
                <w:sz w:val="28"/>
                <w:szCs w:val="28"/>
                <w:b w:val="1"/>
                <w:bCs w:val="1"/>
                <w:color w:val="auto"/>
                <w:vertAlign w:val="subscript"/>
              </w:rPr>
              <w:t>​</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86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vMerge w:val="restart"/>
          </w:tcPr>
          <w:p>
            <w:pPr>
              <w:jc w:val="center"/>
              <w:ind w:right="19"/>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restart"/>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6"/>
                <w:szCs w:val="26"/>
                <w:b w:val="1"/>
                <w:bCs w:val="1"/>
                <w:color w:val="auto"/>
                <w:vertAlign w:val="superscript"/>
              </w:rPr>
              <w:t>%</w:t>
            </w: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Power %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(7)</w:t>
            </w:r>
          </w:p>
        </w:tc>
        <w:tc>
          <w:tcPr>
            <w:tcW w:w="9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2,564,103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2,564,103</w:t>
            </w:r>
          </w:p>
        </w:tc>
        <w:tc>
          <w:tcPr>
            <w:tcW w:w="820" w:type="dxa"/>
            <w:vAlign w:val="bottom"/>
            <w:gridSpan w:val="3"/>
          </w:tcPr>
          <w:p>
            <w:pPr>
              <w:jc w:val="right"/>
              <w:ind w:right="125"/>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tcPr>
          <w:p>
            <w:pPr>
              <w:ind w:left="740"/>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Rise Chain Investment Limited</w:t>
            </w:r>
          </w:p>
        </w:tc>
        <w:tc>
          <w:tcPr>
            <w:tcW w:w="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60" w:type="dxa"/>
            <w:vAlign w:val="bottom"/>
            <w:gridSpan w:val="4"/>
          </w:tcPr>
          <w:p>
            <w:pPr>
              <w:jc w:val="right"/>
              <w:ind w:right="85"/>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Capable Excel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Cheer Lead Global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Huge Superpower Limited</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900,895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900,895</w:t>
            </w:r>
          </w:p>
        </w:tc>
        <w:tc>
          <w:tcPr>
            <w:tcW w:w="820" w:type="dxa"/>
            <w:vAlign w:val="bottom"/>
            <w:gridSpan w:val="3"/>
          </w:tcPr>
          <w:p>
            <w:pPr>
              <w:jc w:val="right"/>
              <w:ind w:right="125"/>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​0.6%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Infinity Global Fund SPC</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Chan Nai Hang</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Likeable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Imen Yee May Pang</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Chik Yu Chung Roni</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Tse Kok Yu Ryan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Tsang Hing Sze</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Lau Ying Wai</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Yang Xin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Zhao Yong</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799,865</w:t>
            </w:r>
          </w:p>
        </w:tc>
        <w:tc>
          <w:tcPr>
            <w:tcW w:w="820" w:type="dxa"/>
            <w:vAlign w:val="bottom"/>
            <w:gridSpan w:val="3"/>
          </w:tcPr>
          <w:p>
            <w:pPr>
              <w:jc w:val="right"/>
              <w:ind w:right="12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63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5212080"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63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-2528570</wp:posOffset>
            </wp:positionV>
            <wp:extent cx="521208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1620" w:hanging="360"/>
        <w:spacing w:after="0"/>
        <w:tabs>
          <w:tab w:leader="none" w:pos="1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the Company’s total outstanding Shares.</w:t>
      </w:r>
    </w:p>
    <w:p>
      <w:pPr>
        <w:spacing w:after="0" w:line="63" w:lineRule="exact"/>
        <w:rPr>
          <w:sz w:val="20"/>
          <w:szCs w:val="20"/>
          <w:color w:val="auto"/>
        </w:rPr>
      </w:pPr>
    </w:p>
    <w:p>
      <w:pPr>
        <w:ind w:left="1620" w:right="499" w:hanging="360"/>
        <w:spacing w:after="0" w:line="256" w:lineRule="auto"/>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the date of this Proxy Statement, by the sum of (1) 49,523,183, which is the total number of ordinary shares outstanding as of the date of this Proxy Statement; and (2) the number of ordinary shares that such person or group has the right to acquire within 60 days of the date of this Proxy Statement.</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the Company’s Class A and Class B ordinary shares as a single class. Each holder of Class A ordinary shares is entitled to one vote per share and each holder of the Company’s Class B ordinary shares is entitled to 20 votes per share on all matters submitted to them for a vote. The Company’s Class A ordinary shares and Class B ordinary shares vote together as a single class on all matters submitted to a vote of the Shareholders, except as may otherwise be required by law. The Company’s Class B ordinary shares are convertible at any time by the holder thereof into Class A ordinary shares on a one-for-one basis.</w:t>
      </w:r>
    </w:p>
    <w:p>
      <w:pPr>
        <w:spacing w:after="0" w:line="259" w:lineRule="exact"/>
        <w:rPr>
          <w:rFonts w:ascii="Times New Roman" w:cs="Times New Roman" w:eastAsia="Times New Roman" w:hAnsi="Times New Roman"/>
          <w:sz w:val="18"/>
          <w:szCs w:val="18"/>
          <w:color w:val="auto"/>
        </w:rPr>
      </w:pPr>
    </w:p>
    <w:p>
      <w:pPr>
        <w:ind w:left="1980" w:right="499" w:hanging="360"/>
        <w:spacing w:after="0" w:line="254" w:lineRule="auto"/>
        <w:tabs>
          <w:tab w:leader="none" w:pos="19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2,282,815 Class B ordinary shares held by Bubinga Holdings Limited, a British Virgin Islands company wholly owned by Mr. Wing Hong Sammy Hsieh, and (b) 241,290 Class A ordinary shares held by Mr. Hsieh. The registered office address of Bubinga Holdings Limited is Vistra Corporate Services Centre, Wickhams Cay II, Road Town, Tortola, VG1110, British Virgin Islands. The address of Mr. Wing Hong Sammy Hsieh is 15/F, Prosperity Millennia Plaza,</w:t>
      </w:r>
    </w:p>
    <w:p>
      <w:pPr>
        <w:spacing w:after="0" w:line="3"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 King’s Road, Quarry Bay, Hong Kong S.A.R.</w:t>
      </w:r>
    </w:p>
    <w:p>
      <w:pPr>
        <w:spacing w:after="0" w:line="58" w:lineRule="exact"/>
        <w:rPr>
          <w:rFonts w:ascii="Times New Roman" w:cs="Times New Roman" w:eastAsia="Times New Roman" w:hAnsi="Times New Roman"/>
          <w:sz w:val="18"/>
          <w:szCs w:val="18"/>
          <w:color w:val="auto"/>
        </w:rPr>
      </w:pPr>
    </w:p>
    <w:p>
      <w:pPr>
        <w:ind w:left="1980" w:right="479" w:hanging="360"/>
        <w:spacing w:after="0" w:line="257" w:lineRule="auto"/>
        <w:tabs>
          <w:tab w:leader="none" w:pos="19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(b) 27,905 Class A ordinary shares that are issuable upon exercise of options held in trust by Mr. Tang on behalf of certain consultants of OptAim, and</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396,290 Class A ordinary shares held by Igomax Inc..</w:t>
      </w:r>
    </w:p>
    <w:p>
      <w:pPr>
        <w:spacing w:after="0" w:line="4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and (b) 396,290 Class A ordinary shares held by Igomax Inc..</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99" w:hanging="360"/>
        <w:spacing w:after="0" w:line="282" w:lineRule="auto"/>
        <w:tabs>
          <w:tab w:leader="none" w:pos="1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1,235,730 Class A ordinary shares in the form of 247,146 ADSs and (b) 649,349 Class B ordinary shares.</w:t>
      </w:r>
    </w:p>
    <w:p>
      <w:pPr>
        <w:spacing w:after="0" w:line="26"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2,549,415 Class A ordinary shares held by Creative Big Limited. Creative Big Limited is a company incorporated in the British Virgin Islands, as reported in the Schedule 13D filed on December 1, 2023. These ordinary shares were issued for acquisition of Optimal Power Limited. Mr. Chiu Sin Nang Kenny is the sole shareholder and the sole director of Creative Big Limited. The principal business office of Creative Big Limited is Flat 23B, Block 6, Hanley Villa, 22 Yau Lai Road, Yau Kom Tau, Tsuen Wan, Hong Kong S.A.R.</w:t>
      </w:r>
    </w:p>
    <w:p>
      <w:pPr>
        <w:spacing w:after="0" w:line="38" w:lineRule="exact"/>
        <w:rPr>
          <w:rFonts w:ascii="Times New Roman" w:cs="Times New Roman" w:eastAsia="Times New Roman" w:hAnsi="Times New Roman"/>
          <w:sz w:val="18"/>
          <w:szCs w:val="18"/>
          <w:color w:val="auto"/>
        </w:rPr>
      </w:pPr>
    </w:p>
    <w:p>
      <w:pPr>
        <w:ind w:left="1980" w:right="539" w:hanging="360"/>
        <w:spacing w:after="0" w:line="258" w:lineRule="auto"/>
        <w:tabs>
          <w:tab w:leader="none" w:pos="1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4,876,050 Class A ordinary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w:t>
      </w:r>
    </w:p>
    <w:p>
      <w:pPr>
        <w:spacing w:after="0" w:line="34"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2,564,103 Class A ordinary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w:t>
      </w:r>
    </w:p>
    <w:p>
      <w:pPr>
        <w:spacing w:after="0" w:line="4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3,709,380 Class A ordinary shares held by TIAA-CREF Investment Management, LLC, Teachers Advisors, LLC, College Retirement Equities Fund-Stock Account and Nuveen Asset Management, LLC, as reported in the Schedule 13G filed on February 14, 2023.</w:t>
      </w:r>
    </w:p>
    <w:p>
      <w:pPr>
        <w:spacing w:after="0" w:line="95"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To the Company’s knowledge, as of the date of this Proxy Statement, 41,372,727, or 83.5% of the Company’s ordinary shares were held by the ADS Depositary. The number of beneficial owners of the ADSs in the United States is likely to be much larger than the number of record holders of the Company’s ordinary shares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consummated, we will not have public shareholders and there will be no public participants in any future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Certain statements in this Proxy Statement, the documents attached hereto and the documents incorporated by reference into this Proxy Statement are forward-looking statements based on estimates and assumptions. These include statements as to such things as our financial condition, results of operations, plans, objectives, future performance and business, as well as forward-looking statements relating to the Merger. Such forward-looking statements are based on facts and conditions as they exist at the time such statements are made. Forward-looking statements are also based on current expectations, estimates and projections about our business and the Merger, the accurate prediction of which may be difficult and involve the assessment of events beyond our control. The forward-looking statements are further based on assumptions made by management. Forward-looking statements can be identified by forward-looking language, including words such as “believes,” “anticipates,” “expects,” “estimates,” “intends,” “may,” “plans,” “predicts,” “projects, “ “will,” “would” and similar expressions, or the negative of these words. These statements are not guarantees of the underlying expectations or future performance and involve risks and uncertainties that are difficult to predict. Readers of this Proxy Statement are cautioned to consider these risks and uncertainties and not to place undue reliance on any forward-looking statements.</w:t>
      </w:r>
    </w:p>
    <w:p>
      <w:pPr>
        <w:spacing w:after="0" w:line="13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or matters related to the Merger to differ materially from what is expressed or forecasted in the forward-looking statements:</w:t>
      </w:r>
    </w:p>
    <w:p>
      <w:pPr>
        <w:spacing w:after="0" w:line="54" w:lineRule="exact"/>
        <w:rPr>
          <w:sz w:val="20"/>
          <w:szCs w:val="20"/>
          <w:color w:val="auto"/>
        </w:rPr>
      </w:pPr>
    </w:p>
    <w:p>
      <w:pPr>
        <w:ind w:left="1800" w:right="459" w:hanging="180"/>
        <w:spacing w:after="0" w:line="266"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to the consummation of the Merger, including the authorization and approval of the Merger Agreement, the Plan of Merger and the Transactions, including the Merger, by the Company’s shareholders;</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Merger on our business relationships, results of operations and business generally;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position of the Company at the Effective Time;</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may not be funded at the Effective Time because of the failure of the Parent to satisfy the closing conditions or for other reasons, which may result in the Merger not being consummated promptly or at all;</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consummated in a timely manner or at all, which may adversely affect our business and the prices of our Shares;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on our business, properties and operations because of certain covenants we agreed to in the Merger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the expanding operations effectively, which could harm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our ongoing business operations;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or retain key personnel;</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Merger and the actual terms of the financings that will be obtained for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regulations and changes in regulations;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regulatory proceedings or enforcement matters that may be instituted against us and others relating to the Merger;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our filings with the SEC, including the information set forth under the section entitled “Forward-Looking Statements” in the Company’s Annual Report on Form 20-F for the fiscal year ended December 31, 2022, filed with the SEC on May 11, 2023. See “Where You Can Find More Information” beginning on page 115 for additional information; and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our filings with the SEC, including the information set forth under the section entitled “Item 3D. Risk Factors” in the Company’s Annual Report on Form 20-F for the fiscal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spacing w:after="0" w:line="282" w:lineRule="auto"/>
        <w:rPr>
          <w:sz w:val="20"/>
          <w:szCs w:val="20"/>
          <w:color w:val="auto"/>
        </w:rPr>
      </w:pPr>
      <w:r>
        <w:rPr>
          <w:rFonts w:ascii="Times New Roman" w:cs="Times New Roman" w:eastAsia="Times New Roman" w:hAnsi="Times New Roman"/>
          <w:sz w:val="18"/>
          <w:szCs w:val="18"/>
          <w:color w:val="auto"/>
        </w:rPr>
        <w:t>year ended December 31, 2022, filed with the SEC on May 11, 2023. See “Where You Can Find More Information” beginning on page 115 for additional information.</w:t>
      </w:r>
    </w:p>
    <w:p>
      <w:pPr>
        <w:spacing w:after="0" w:line="9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Furthermore, the forward-looking statements do not reflect the potential impact of any future acquisitions, mergers, dispositions, joint ventures, collaborations, dividends or investments made by the parties. We believe that the assumptions on which our forward-looking statements are based are reasonable. However, forward-looking statements involve inherent risks, uncertainties and assumptions. In addition, many of the factors that will determine our future results are, however, beyond our ability to control or predict and we cannot guarantee any future results, levels of activity, performance or achievements. We cannot assure you that the actual results or developments we anticipate will be realized or, if realized, that they will have the expected effects on our business or operations. In light of the significant uncertainties inherent in the forward-looking statements, readers should not place undue reliance on forward-looking statements, which speak only as of the date on which the statements were made and it should not be assumed that the statements remain accurate as of any future date. All subsequent written and oral forward-looking statements concerning the Merger or other matters addressed in this Proxy Statement and attributable to us or any person acting on our behalf are expressly qualified in their entirety by the cautionary statements contained or referred to in this section. Further, forward-looking statements speak only as of the date they are made and, except as required by applicable law or regulation, we undertake no obligation to update these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Company is subject to the reporting requirements of the Exchange Act applicable to foreign private issuers and we file or furnish our annual and current reports and other information with the SEC. The information we file or furnish with the SEC is available free of charge on the SEC’s website at http://www.sec.gov.</w:t>
      </w:r>
    </w:p>
    <w:p>
      <w:pPr>
        <w:spacing w:after="0" w:line="33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You also may obtain free copies of the documents the Company files with the SEC by going to the “Investor Relations” section of our website at www.i-click.com. Our website address is provided as an inactive textual reference only. The information provided on our website is not part of this Proxy Statement, and therefore is not incorporated by reference.</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Because the Merger is a going private transaction, the Company and the Buyer Group have filed with the SEC a Transaction Statement on Schedule 13E-3 with respect to the Merger (the “Schedule 13E-3”).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2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0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Requests for copies of our filings should be directed to our Investor Relations Department, at the address and phone numbers provided in this Proxy Statement.</w:t>
      </w:r>
    </w:p>
    <w:p>
      <w:pPr>
        <w:spacing w:after="0" w:line="90" w:lineRule="exact"/>
        <w:rPr>
          <w:sz w:val="20"/>
          <w:szCs w:val="20"/>
          <w:color w:val="auto"/>
        </w:rPr>
      </w:pPr>
    </w:p>
    <w:p>
      <w:pPr>
        <w:ind w:left="1260" w:right="45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EXTRAORDINARY GENERAL MEETING. WE HAVE NOT AUTHORIZED ANYONE TO PROVIDE YOU WITH INFORMATION THAT IS DIFFERENT FROM WHAT IS CONTAINED OR INCORPORATED BY REFERENCE IN THIS PROXY STATEMENT.</w:t>
      </w:r>
    </w:p>
    <w:p>
      <w:pPr>
        <w:spacing w:after="0" w:line="104"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THIS PROXY STATEMENT IS DATED             . YOU SHOULD NOT ASSUME THAT THE INFORMATION CONTAINED IN THIS PROXY STATEMENT IS ACCURATE AS OF ANY DATE OTHER THAN THAT DATE, AND THE MAILING OF THIS PROXY STATEMENT TO SHAREHOLDERS DOES NOT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Dated as of 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1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 THE MERGER</w:t>
            </w:r>
          </w:p>
        </w:tc>
        <w:tc>
          <w:tcPr>
            <w:tcW w:w="3920" w:type="dxa"/>
            <w:vAlign w:val="bottom"/>
            <w:gridSpan w:val="22"/>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280" w:type="dxa"/>
            <w:vAlign w:val="bottom"/>
          </w:tcPr>
          <w:p>
            <w:pPr>
              <w:spacing w:after="0"/>
              <w:rPr>
                <w:sz w:val="24"/>
                <w:szCs w:val="24"/>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1.02</w:t>
            </w:r>
          </w:p>
        </w:tc>
        <w:tc>
          <w:tcPr>
            <w:tcW w:w="2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Closing Date</w:t>
            </w:r>
          </w:p>
        </w:tc>
        <w:tc>
          <w:tcPr>
            <w:tcW w:w="3000" w:type="dxa"/>
            <w:vAlign w:val="bottom"/>
            <w:tcBorders>
              <w:left w:val="single" w:sz="8" w:color="CCEEFF"/>
            </w:tcBorders>
            <w:gridSpan w:val="15"/>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1.03</w:t>
            </w:r>
          </w:p>
        </w:tc>
        <w:tc>
          <w:tcPr>
            <w:tcW w:w="280" w:type="dxa"/>
            <w:vAlign w:val="bottom"/>
          </w:tcPr>
          <w:p>
            <w:pPr>
              <w:spacing w:after="0"/>
              <w:rPr>
                <w:sz w:val="20"/>
                <w:szCs w:val="20"/>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Effective Time</w:t>
            </w:r>
          </w:p>
        </w:tc>
        <w:tc>
          <w:tcPr>
            <w:tcW w:w="3000" w:type="dxa"/>
            <w:vAlign w:val="bottom"/>
            <w:gridSpan w:val="15"/>
          </w:tcPr>
          <w:p>
            <w:pPr>
              <w:spacing w:after="0"/>
              <w:rPr>
                <w:sz w:val="20"/>
                <w:szCs w:val="20"/>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1.04</w:t>
            </w:r>
          </w:p>
        </w:tc>
        <w:tc>
          <w:tcPr>
            <w:tcW w:w="2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w:t>
            </w:r>
          </w:p>
        </w:tc>
        <w:tc>
          <w:tcPr>
            <w:tcW w:w="3000" w:type="dxa"/>
            <w:vAlign w:val="bottom"/>
            <w:tcBorders>
              <w:left w:val="single" w:sz="8" w:color="CCEEFF"/>
            </w:tcBorders>
            <w:gridSpan w:val="15"/>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1.05</w:t>
            </w:r>
          </w:p>
        </w:tc>
        <w:tc>
          <w:tcPr>
            <w:tcW w:w="280" w:type="dxa"/>
            <w:vAlign w:val="bottom"/>
          </w:tcPr>
          <w:p>
            <w:pPr>
              <w:spacing w:after="0"/>
              <w:rPr>
                <w:sz w:val="20"/>
                <w:szCs w:val="20"/>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Governing Documents</w:t>
            </w:r>
          </w:p>
        </w:tc>
        <w:tc>
          <w:tcPr>
            <w:tcW w:w="3000" w:type="dxa"/>
            <w:vAlign w:val="bottom"/>
            <w:gridSpan w:val="15"/>
          </w:tcPr>
          <w:p>
            <w:pPr>
              <w:spacing w:after="0"/>
              <w:rPr>
                <w:sz w:val="20"/>
                <w:szCs w:val="20"/>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1.06</w:t>
            </w:r>
          </w:p>
        </w:tc>
        <w:tc>
          <w:tcPr>
            <w:tcW w:w="28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and Officers</w:t>
            </w:r>
          </w:p>
        </w:tc>
        <w:tc>
          <w:tcPr>
            <w:tcW w:w="3000" w:type="dxa"/>
            <w:vAlign w:val="bottom"/>
            <w:tcBorders>
              <w:left w:val="single" w:sz="8" w:color="CCEEFF"/>
            </w:tcBorders>
            <w:gridSpan w:val="15"/>
            <w:shd w:val="clear" w:color="auto" w:fill="CCEEFF"/>
          </w:tcPr>
          <w:p>
            <w:pPr>
              <w:spacing w:after="0"/>
              <w:rPr>
                <w:sz w:val="21"/>
                <w:szCs w:val="21"/>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59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ARTICLE II TREATMENT OF SECURITIES; MERGER CONSIDERATION</w:t>
            </w:r>
          </w:p>
        </w:tc>
        <w:tc>
          <w:tcPr>
            <w:tcW w:w="200" w:type="dxa"/>
            <w:vAlign w:val="bottom"/>
          </w:tcPr>
          <w:p>
            <w:pPr>
              <w:spacing w:after="0"/>
              <w:rPr>
                <w:sz w:val="24"/>
                <w:szCs w:val="24"/>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2.01</w:t>
            </w:r>
          </w:p>
        </w:tc>
        <w:tc>
          <w:tcPr>
            <w:tcW w:w="280" w:type="dxa"/>
            <w:vAlign w:val="bottom"/>
            <w:shd w:val="clear" w:color="auto" w:fill="CCEEFF"/>
          </w:tcPr>
          <w:p>
            <w:pPr>
              <w:spacing w:after="0"/>
              <w:rPr>
                <w:sz w:val="24"/>
                <w:szCs w:val="24"/>
                <w:color w:val="auto"/>
              </w:rPr>
            </w:pPr>
          </w:p>
        </w:tc>
        <w:tc>
          <w:tcPr>
            <w:tcW w:w="44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Cancellation and Conversion of Securities</w:t>
            </w:r>
          </w:p>
        </w:tc>
        <w:tc>
          <w:tcPr>
            <w:tcW w:w="200" w:type="dxa"/>
            <w:vAlign w:val="bottom"/>
            <w:shd w:val="clear" w:color="auto" w:fill="CCEEFF"/>
          </w:tcPr>
          <w:p>
            <w:pPr>
              <w:spacing w:after="0"/>
              <w:rPr>
                <w:sz w:val="24"/>
                <w:szCs w:val="24"/>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2.02</w:t>
            </w:r>
          </w:p>
        </w:tc>
        <w:tc>
          <w:tcPr>
            <w:tcW w:w="280" w:type="dxa"/>
            <w:vAlign w:val="bottom"/>
          </w:tcPr>
          <w:p>
            <w:pPr>
              <w:spacing w:after="0"/>
              <w:rPr>
                <w:sz w:val="21"/>
                <w:szCs w:val="21"/>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Company Share Plans</w:t>
            </w:r>
          </w:p>
        </w:tc>
        <w:tc>
          <w:tcPr>
            <w:tcW w:w="1520" w:type="dxa"/>
            <w:vAlign w:val="bottom"/>
            <w:gridSpan w:val="10"/>
          </w:tcPr>
          <w:p>
            <w:pPr>
              <w:spacing w:after="0"/>
              <w:rPr>
                <w:sz w:val="21"/>
                <w:szCs w:val="21"/>
                <w:color w:val="auto"/>
              </w:rPr>
            </w:pPr>
          </w:p>
        </w:tc>
        <w:tc>
          <w:tcPr>
            <w:tcW w:w="1480" w:type="dxa"/>
            <w:vAlign w:val="bottom"/>
            <w:gridSpan w:val="5"/>
          </w:tcPr>
          <w:p>
            <w:pPr>
              <w:spacing w:after="0"/>
              <w:rPr>
                <w:sz w:val="21"/>
                <w:szCs w:val="21"/>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2.03</w:t>
            </w:r>
          </w:p>
        </w:tc>
        <w:tc>
          <w:tcPr>
            <w:tcW w:w="28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260" w:type="dxa"/>
            <w:vAlign w:val="bottom"/>
            <w:tcBorders>
              <w:right w:val="single" w:sz="8" w:color="CCEEFF"/>
            </w:tcBorders>
            <w:gridSpan w:val="2"/>
            <w:shd w:val="clear" w:color="auto" w:fill="CCEEFF"/>
          </w:tcPr>
          <w:p>
            <w:pPr>
              <w:spacing w:after="0"/>
              <w:rPr>
                <w:sz w:val="21"/>
                <w:szCs w:val="21"/>
                <w:color w:val="auto"/>
              </w:rPr>
            </w:pPr>
          </w:p>
        </w:tc>
        <w:tc>
          <w:tcPr>
            <w:tcW w:w="3000" w:type="dxa"/>
            <w:vAlign w:val="bottom"/>
            <w:tcBorders>
              <w:left w:val="single" w:sz="8" w:color="CCEEFF"/>
            </w:tcBorders>
            <w:gridSpan w:val="15"/>
            <w:shd w:val="clear" w:color="auto" w:fill="CCEEFF"/>
          </w:tcPr>
          <w:p>
            <w:pPr>
              <w:spacing w:after="0"/>
              <w:rPr>
                <w:sz w:val="21"/>
                <w:szCs w:val="21"/>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2.04</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Exchange of Share Certificates, etc.</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2.05</w:t>
            </w:r>
          </w:p>
        </w:tc>
        <w:tc>
          <w:tcPr>
            <w:tcW w:w="280" w:type="dxa"/>
            <w:vAlign w:val="bottom"/>
            <w:shd w:val="clear" w:color="auto" w:fill="CCEEFF"/>
          </w:tcPr>
          <w:p>
            <w:pPr>
              <w:spacing w:after="0"/>
              <w:rPr>
                <w:sz w:val="21"/>
                <w:szCs w:val="21"/>
                <w:color w:val="auto"/>
              </w:rPr>
            </w:pPr>
          </w:p>
        </w:tc>
        <w:tc>
          <w:tcPr>
            <w:tcW w:w="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Transfers</w:t>
            </w:r>
          </w:p>
        </w:tc>
        <w:tc>
          <w:tcPr>
            <w:tcW w:w="1660" w:type="dxa"/>
            <w:vAlign w:val="bottom"/>
            <w:gridSpan w:val="13"/>
            <w:shd w:val="clear" w:color="auto" w:fill="CCEEFF"/>
          </w:tcPr>
          <w:p>
            <w:pPr>
              <w:spacing w:after="0"/>
              <w:rPr>
                <w:sz w:val="21"/>
                <w:szCs w:val="21"/>
                <w:color w:val="auto"/>
              </w:rPr>
            </w:pPr>
          </w:p>
        </w:tc>
        <w:tc>
          <w:tcPr>
            <w:tcW w:w="2020" w:type="dxa"/>
            <w:vAlign w:val="bottom"/>
            <w:tcBorders>
              <w:left w:val="single" w:sz="8" w:color="CCEEFF"/>
            </w:tcBorders>
            <w:gridSpan w:val="7"/>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2.06</w:t>
            </w:r>
          </w:p>
        </w:tc>
        <w:tc>
          <w:tcPr>
            <w:tcW w:w="280" w:type="dxa"/>
            <w:vAlign w:val="bottom"/>
          </w:tcPr>
          <w:p>
            <w:pPr>
              <w:spacing w:after="0"/>
              <w:rPr>
                <w:sz w:val="21"/>
                <w:szCs w:val="21"/>
                <w:color w:val="auto"/>
              </w:rPr>
            </w:pPr>
          </w:p>
        </w:tc>
        <w:tc>
          <w:tcPr>
            <w:tcW w:w="2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Termination of Deposit Agreement</w:t>
            </w:r>
          </w:p>
        </w:tc>
        <w:tc>
          <w:tcPr>
            <w:tcW w:w="2020" w:type="dxa"/>
            <w:vAlign w:val="bottom"/>
            <w:gridSpan w:val="7"/>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61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3.01</w:t>
            </w:r>
          </w:p>
        </w:tc>
        <w:tc>
          <w:tcPr>
            <w:tcW w:w="280" w:type="dxa"/>
            <w:vAlign w:val="bottom"/>
          </w:tcPr>
          <w:p>
            <w:pPr>
              <w:spacing w:after="0"/>
              <w:rPr>
                <w:sz w:val="24"/>
                <w:szCs w:val="24"/>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Organization, Good Standing and Qualification</w:t>
            </w:r>
          </w:p>
        </w:tc>
        <w:tc>
          <w:tcPr>
            <w:tcW w:w="1080" w:type="dxa"/>
            <w:vAlign w:val="bottom"/>
            <w:gridSpan w:val="3"/>
          </w:tcPr>
          <w:p>
            <w:pPr>
              <w:spacing w:after="0"/>
              <w:rPr>
                <w:sz w:val="24"/>
                <w:szCs w:val="24"/>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280" w:type="dxa"/>
            <w:vAlign w:val="bottom"/>
            <w:shd w:val="clear" w:color="auto" w:fill="CCEEFF"/>
          </w:tcPr>
          <w:p>
            <w:pPr>
              <w:spacing w:after="0"/>
              <w:rPr>
                <w:sz w:val="21"/>
                <w:szCs w:val="21"/>
                <w:color w:val="auto"/>
              </w:rPr>
            </w:pPr>
          </w:p>
        </w:tc>
        <w:tc>
          <w:tcPr>
            <w:tcW w:w="1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Constitutional Documents</w:t>
            </w:r>
          </w:p>
        </w:tc>
        <w:tc>
          <w:tcPr>
            <w:tcW w:w="1640" w:type="dxa"/>
            <w:vAlign w:val="bottom"/>
            <w:tcBorders>
              <w:left w:val="single" w:sz="8" w:color="CCEEFF"/>
            </w:tcBorders>
            <w:gridSpan w:val="9"/>
            <w:shd w:val="clear" w:color="auto" w:fill="CCEEFF"/>
          </w:tcPr>
          <w:p>
            <w:pPr>
              <w:spacing w:after="0"/>
              <w:rPr>
                <w:sz w:val="21"/>
                <w:szCs w:val="21"/>
                <w:color w:val="auto"/>
              </w:rPr>
            </w:pPr>
          </w:p>
        </w:tc>
        <w:tc>
          <w:tcPr>
            <w:tcW w:w="1080" w:type="dxa"/>
            <w:vAlign w:val="bottom"/>
            <w:gridSpan w:val="3"/>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3.03</w:t>
            </w:r>
          </w:p>
        </w:tc>
        <w:tc>
          <w:tcPr>
            <w:tcW w:w="280" w:type="dxa"/>
            <w:vAlign w:val="bottom"/>
          </w:tcPr>
          <w:p>
            <w:pPr>
              <w:spacing w:after="0"/>
              <w:rPr>
                <w:sz w:val="21"/>
                <w:szCs w:val="21"/>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880" w:type="dxa"/>
            <w:vAlign w:val="bottom"/>
            <w:gridSpan w:val="7"/>
          </w:tcPr>
          <w:p>
            <w:pPr>
              <w:spacing w:after="0"/>
              <w:rPr>
                <w:sz w:val="21"/>
                <w:szCs w:val="21"/>
                <w:color w:val="auto"/>
              </w:rPr>
            </w:pPr>
          </w:p>
        </w:tc>
        <w:tc>
          <w:tcPr>
            <w:tcW w:w="2720" w:type="dxa"/>
            <w:vAlign w:val="bottom"/>
            <w:gridSpan w:val="12"/>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3.04</w:t>
            </w:r>
          </w:p>
        </w:tc>
        <w:tc>
          <w:tcPr>
            <w:tcW w:w="280" w:type="dxa"/>
            <w:vAlign w:val="bottom"/>
            <w:shd w:val="clear" w:color="auto" w:fill="CCEEFF"/>
          </w:tcPr>
          <w:p>
            <w:pPr>
              <w:spacing w:after="0"/>
              <w:rPr>
                <w:sz w:val="21"/>
                <w:szCs w:val="21"/>
                <w:color w:val="auto"/>
              </w:rPr>
            </w:pPr>
          </w:p>
        </w:tc>
        <w:tc>
          <w:tcPr>
            <w:tcW w:w="1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Authorization; Fairness</w:t>
            </w:r>
          </w:p>
        </w:tc>
        <w:tc>
          <w:tcPr>
            <w:tcW w:w="2920" w:type="dxa"/>
            <w:vAlign w:val="bottom"/>
            <w:tcBorders>
              <w:left w:val="single" w:sz="8" w:color="CCEEFF"/>
            </w:tcBorders>
            <w:gridSpan w:val="14"/>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3.05</w:t>
            </w:r>
          </w:p>
        </w:tc>
        <w:tc>
          <w:tcPr>
            <w:tcW w:w="280" w:type="dxa"/>
            <w:vAlign w:val="bottom"/>
          </w:tcPr>
          <w:p>
            <w:pPr>
              <w:spacing w:after="0"/>
              <w:rPr>
                <w:sz w:val="21"/>
                <w:szCs w:val="21"/>
                <w:color w:val="auto"/>
              </w:rPr>
            </w:pPr>
          </w:p>
        </w:tc>
        <w:tc>
          <w:tcPr>
            <w:tcW w:w="3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1340" w:type="dxa"/>
            <w:vAlign w:val="bottom"/>
            <w:gridSpan w:val="4"/>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3.06</w:t>
            </w:r>
          </w:p>
        </w:tc>
        <w:tc>
          <w:tcPr>
            <w:tcW w:w="280" w:type="dxa"/>
            <w:vAlign w:val="bottom"/>
            <w:shd w:val="clear" w:color="auto" w:fill="CCEEFF"/>
          </w:tcPr>
          <w:p>
            <w:pPr>
              <w:spacing w:after="0"/>
              <w:rPr>
                <w:sz w:val="21"/>
                <w:szCs w:val="21"/>
                <w:color w:val="auto"/>
              </w:rPr>
            </w:pPr>
          </w:p>
        </w:tc>
        <w:tc>
          <w:tcPr>
            <w:tcW w:w="242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Permits; Compliance with Laws</w:t>
            </w:r>
          </w:p>
        </w:tc>
        <w:tc>
          <w:tcPr>
            <w:tcW w:w="900" w:type="dxa"/>
            <w:vAlign w:val="bottom"/>
            <w:gridSpan w:val="4"/>
            <w:shd w:val="clear" w:color="auto" w:fill="CCEEFF"/>
          </w:tcPr>
          <w:p>
            <w:pPr>
              <w:spacing w:after="0"/>
              <w:rPr>
                <w:sz w:val="21"/>
                <w:szCs w:val="21"/>
                <w:color w:val="auto"/>
              </w:rPr>
            </w:pPr>
          </w:p>
        </w:tc>
        <w:tc>
          <w:tcPr>
            <w:tcW w:w="1340" w:type="dxa"/>
            <w:vAlign w:val="bottom"/>
            <w:gridSpan w:val="4"/>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3.07</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 Filings; Financial Statements; Bank Accounts</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3.08</w:t>
            </w:r>
          </w:p>
        </w:tc>
        <w:tc>
          <w:tcPr>
            <w:tcW w:w="280" w:type="dxa"/>
            <w:vAlign w:val="bottom"/>
            <w:shd w:val="clear" w:color="auto" w:fill="CCEEFF"/>
          </w:tcPr>
          <w:p>
            <w:pPr>
              <w:spacing w:after="0"/>
              <w:rPr>
                <w:sz w:val="21"/>
                <w:szCs w:val="21"/>
                <w:color w:val="auto"/>
              </w:rPr>
            </w:pPr>
          </w:p>
        </w:tc>
        <w:tc>
          <w:tcPr>
            <w:tcW w:w="3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820" w:type="dxa"/>
            <w:vAlign w:val="bottom"/>
            <w:gridSpan w:val="2"/>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3.09</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Absence of Certain Changes</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3.10</w:t>
            </w:r>
          </w:p>
        </w:tc>
        <w:tc>
          <w:tcPr>
            <w:tcW w:w="280" w:type="dxa"/>
            <w:vAlign w:val="bottom"/>
            <w:shd w:val="clear" w:color="auto" w:fill="CCEEFF"/>
          </w:tcPr>
          <w:p>
            <w:pPr>
              <w:spacing w:after="0"/>
              <w:rPr>
                <w:sz w:val="21"/>
                <w:szCs w:val="21"/>
                <w:color w:val="auto"/>
              </w:rPr>
            </w:pPr>
          </w:p>
        </w:tc>
        <w:tc>
          <w:tcPr>
            <w:tcW w:w="2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Absence of Litigation</w:t>
            </w:r>
          </w:p>
        </w:tc>
        <w:tc>
          <w:tcPr>
            <w:tcW w:w="2520" w:type="dxa"/>
            <w:vAlign w:val="bottom"/>
            <w:gridSpan w:val="10"/>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3.11</w:t>
            </w:r>
          </w:p>
        </w:tc>
        <w:tc>
          <w:tcPr>
            <w:tcW w:w="280" w:type="dxa"/>
            <w:vAlign w:val="bottom"/>
          </w:tcPr>
          <w:p>
            <w:pPr>
              <w:spacing w:after="0"/>
              <w:rPr>
                <w:sz w:val="21"/>
                <w:szCs w:val="21"/>
                <w:color w:val="auto"/>
              </w:rPr>
            </w:pPr>
          </w:p>
        </w:tc>
        <w:tc>
          <w:tcPr>
            <w:tcW w:w="1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Employee Benefit Plans</w:t>
            </w:r>
          </w:p>
        </w:tc>
        <w:tc>
          <w:tcPr>
            <w:tcW w:w="2840" w:type="dxa"/>
            <w:vAlign w:val="bottom"/>
            <w:gridSpan w:val="13"/>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3.12</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Labor and Employment Matters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3.13</w:t>
            </w:r>
          </w:p>
        </w:tc>
        <w:tc>
          <w:tcPr>
            <w:tcW w:w="280" w:type="dxa"/>
            <w:vAlign w:val="bottom"/>
          </w:tcPr>
          <w:p>
            <w:pPr>
              <w:spacing w:after="0"/>
              <w:rPr>
                <w:sz w:val="21"/>
                <w:szCs w:val="21"/>
                <w:color w:val="auto"/>
              </w:rPr>
            </w:pPr>
          </w:p>
        </w:tc>
        <w:tc>
          <w:tcPr>
            <w:tcW w:w="22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Real Property; Title to Assets</w:t>
            </w:r>
          </w:p>
        </w:tc>
        <w:tc>
          <w:tcPr>
            <w:tcW w:w="180" w:type="dxa"/>
            <w:vAlign w:val="bottom"/>
          </w:tcPr>
          <w:p>
            <w:pPr>
              <w:spacing w:after="0"/>
              <w:rPr>
                <w:sz w:val="21"/>
                <w:szCs w:val="21"/>
                <w:color w:val="auto"/>
              </w:rPr>
            </w:pPr>
          </w:p>
        </w:tc>
        <w:tc>
          <w:tcPr>
            <w:tcW w:w="2240" w:type="dxa"/>
            <w:vAlign w:val="bottom"/>
            <w:gridSpan w:val="8"/>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3.14</w:t>
            </w:r>
          </w:p>
        </w:tc>
        <w:tc>
          <w:tcPr>
            <w:tcW w:w="280" w:type="dxa"/>
            <w:vAlign w:val="bottom"/>
            <w:shd w:val="clear" w:color="auto" w:fill="CCEEFF"/>
          </w:tcPr>
          <w:p>
            <w:pPr>
              <w:spacing w:after="0"/>
              <w:rPr>
                <w:sz w:val="21"/>
                <w:szCs w:val="21"/>
                <w:color w:val="auto"/>
              </w:rPr>
            </w:pPr>
          </w:p>
        </w:tc>
        <w:tc>
          <w:tcPr>
            <w:tcW w:w="22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2420" w:type="dxa"/>
            <w:vAlign w:val="bottom"/>
            <w:gridSpan w:val="9"/>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3.15</w:t>
            </w:r>
          </w:p>
        </w:tc>
        <w:tc>
          <w:tcPr>
            <w:tcW w:w="28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1100" w:type="dxa"/>
            <w:vAlign w:val="bottom"/>
            <w:gridSpan w:val="8"/>
          </w:tcPr>
          <w:p>
            <w:pPr>
              <w:spacing w:after="0"/>
              <w:rPr>
                <w:sz w:val="21"/>
                <w:szCs w:val="21"/>
                <w:color w:val="auto"/>
              </w:rPr>
            </w:pPr>
          </w:p>
        </w:tc>
        <w:tc>
          <w:tcPr>
            <w:tcW w:w="3120" w:type="dxa"/>
            <w:vAlign w:val="bottom"/>
            <w:gridSpan w:val="16"/>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3.16</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3.17</w:t>
            </w:r>
          </w:p>
        </w:tc>
        <w:tc>
          <w:tcPr>
            <w:tcW w:w="280" w:type="dxa"/>
            <w:vAlign w:val="bottom"/>
          </w:tcPr>
          <w:p>
            <w:pPr>
              <w:spacing w:after="0"/>
              <w:rPr>
                <w:sz w:val="21"/>
                <w:szCs w:val="21"/>
                <w:color w:val="auto"/>
              </w:rPr>
            </w:pPr>
          </w:p>
        </w:tc>
        <w:tc>
          <w:tcPr>
            <w:tcW w:w="1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Anti-Takeover Provisions</w:t>
            </w:r>
          </w:p>
        </w:tc>
        <w:tc>
          <w:tcPr>
            <w:tcW w:w="2720" w:type="dxa"/>
            <w:vAlign w:val="bottom"/>
            <w:gridSpan w:val="12"/>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3.18</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3.19</w:t>
            </w:r>
          </w:p>
        </w:tc>
        <w:tc>
          <w:tcPr>
            <w:tcW w:w="2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Brokers</w:t>
            </w:r>
          </w:p>
        </w:tc>
        <w:tc>
          <w:tcPr>
            <w:tcW w:w="1420" w:type="dxa"/>
            <w:vAlign w:val="bottom"/>
            <w:gridSpan w:val="12"/>
          </w:tcPr>
          <w:p>
            <w:pPr>
              <w:spacing w:after="0"/>
              <w:rPr>
                <w:sz w:val="21"/>
                <w:szCs w:val="21"/>
                <w:color w:val="auto"/>
              </w:rPr>
            </w:pPr>
          </w:p>
        </w:tc>
        <w:tc>
          <w:tcPr>
            <w:tcW w:w="2640" w:type="dxa"/>
            <w:vAlign w:val="bottom"/>
            <w:gridSpan w:val="11"/>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3.20</w:t>
            </w:r>
          </w:p>
        </w:tc>
        <w:tc>
          <w:tcPr>
            <w:tcW w:w="280" w:type="dxa"/>
            <w:vAlign w:val="bottom"/>
            <w:shd w:val="clear" w:color="auto" w:fill="CCEEFF"/>
          </w:tcPr>
          <w:p>
            <w:pPr>
              <w:spacing w:after="0"/>
              <w:rPr>
                <w:sz w:val="21"/>
                <w:szCs w:val="21"/>
                <w:color w:val="auto"/>
              </w:rPr>
            </w:pPr>
          </w:p>
        </w:tc>
        <w:tc>
          <w:tcPr>
            <w:tcW w:w="154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Control Documents</w:t>
            </w:r>
          </w:p>
        </w:tc>
        <w:tc>
          <w:tcPr>
            <w:tcW w:w="3120" w:type="dxa"/>
            <w:vAlign w:val="bottom"/>
            <w:gridSpan w:val="16"/>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3.21</w:t>
            </w:r>
          </w:p>
        </w:tc>
        <w:tc>
          <w:tcPr>
            <w:tcW w:w="280" w:type="dxa"/>
            <w:vAlign w:val="bottom"/>
          </w:tcPr>
          <w:p>
            <w:pPr>
              <w:spacing w:after="0"/>
              <w:rPr>
                <w:sz w:val="21"/>
                <w:szCs w:val="21"/>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Indebtedness</w:t>
            </w:r>
          </w:p>
        </w:tc>
        <w:tc>
          <w:tcPr>
            <w:tcW w:w="560" w:type="dxa"/>
            <w:vAlign w:val="bottom"/>
            <w:gridSpan w:val="4"/>
          </w:tcPr>
          <w:p>
            <w:pPr>
              <w:spacing w:after="0"/>
              <w:rPr>
                <w:sz w:val="21"/>
                <w:szCs w:val="21"/>
                <w:color w:val="auto"/>
              </w:rPr>
            </w:pPr>
          </w:p>
        </w:tc>
        <w:tc>
          <w:tcPr>
            <w:tcW w:w="3120" w:type="dxa"/>
            <w:vAlign w:val="bottom"/>
            <w:gridSpan w:val="16"/>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3.22</w:t>
            </w: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Insurance</w:t>
            </w:r>
          </w:p>
        </w:tc>
        <w:tc>
          <w:tcPr>
            <w:tcW w:w="240" w:type="dxa"/>
            <w:vAlign w:val="bottom"/>
            <w:gridSpan w:val="2"/>
            <w:shd w:val="clear" w:color="auto" w:fill="CCEEFF"/>
          </w:tcPr>
          <w:p>
            <w:pPr>
              <w:spacing w:after="0"/>
              <w:rPr>
                <w:sz w:val="21"/>
                <w:szCs w:val="21"/>
                <w:color w:val="auto"/>
              </w:rPr>
            </w:pPr>
          </w:p>
        </w:tc>
        <w:tc>
          <w:tcPr>
            <w:tcW w:w="3680" w:type="dxa"/>
            <w:vAlign w:val="bottom"/>
            <w:gridSpan w:val="20"/>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3.23</w:t>
            </w:r>
          </w:p>
        </w:tc>
        <w:tc>
          <w:tcPr>
            <w:tcW w:w="280" w:type="dxa"/>
            <w:vAlign w:val="bottom"/>
          </w:tcPr>
          <w:p>
            <w:pPr>
              <w:spacing w:after="0"/>
              <w:rPr>
                <w:sz w:val="21"/>
                <w:szCs w:val="21"/>
                <w:color w:val="auto"/>
              </w:rPr>
            </w:pPr>
          </w:p>
        </w:tc>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Environmental Matters</w:t>
            </w:r>
          </w:p>
        </w:tc>
        <w:tc>
          <w:tcPr>
            <w:tcW w:w="2920" w:type="dxa"/>
            <w:vAlign w:val="bottom"/>
            <w:gridSpan w:val="14"/>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3.24</w:t>
            </w:r>
          </w:p>
        </w:tc>
        <w:tc>
          <w:tcPr>
            <w:tcW w:w="280" w:type="dxa"/>
            <w:vAlign w:val="bottom"/>
            <w:shd w:val="clear" w:color="auto" w:fill="CCEEFF"/>
          </w:tcPr>
          <w:p>
            <w:pPr>
              <w:spacing w:after="0"/>
              <w:rPr>
                <w:sz w:val="21"/>
                <w:szCs w:val="21"/>
                <w:color w:val="auto"/>
              </w:rPr>
            </w:pPr>
          </w:p>
        </w:tc>
        <w:tc>
          <w:tcPr>
            <w:tcW w:w="30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1640" w:type="dxa"/>
            <w:vAlign w:val="bottom"/>
            <w:gridSpan w:val="6"/>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1"/>
        </w:trPr>
        <w:tc>
          <w:tcPr>
            <w:tcW w:w="126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ind w:left="80"/>
              <w:spacing w:after="0"/>
              <w:rPr>
                <w:sz w:val="20"/>
                <w:szCs w:val="20"/>
                <w:color w:val="auto"/>
              </w:rPr>
            </w:pPr>
            <w:r>
              <w:rPr>
                <w:rFonts w:ascii="Times New Roman" w:cs="Times New Roman" w:eastAsia="Times New Roman" w:hAnsi="Times New Roman"/>
                <w:sz w:val="18"/>
                <w:szCs w:val="18"/>
                <w:color w:val="auto"/>
              </w:rPr>
              <w:t>A-3</w:t>
            </w:r>
          </w:p>
        </w:tc>
        <w:tc>
          <w:tcPr>
            <w:tcW w:w="1640" w:type="dxa"/>
            <w:vAlign w:val="bottom"/>
            <w:tcBorders>
              <w:top w:val="single" w:sz="8" w:color="CCEEFF"/>
            </w:tcBorders>
            <w:gridSpan w:val="6"/>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-7637145</wp:posOffset>
            </wp:positionV>
            <wp:extent cx="49460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4946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175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spacing w:after="0" w:line="41" w:lineRule="exact"/>
        <w:rPr>
          <w:sz w:val="20"/>
          <w:szCs w:val="20"/>
          <w:color w:val="auto"/>
        </w:rPr>
      </w:pPr>
    </w:p>
    <w:p>
      <w:pPr>
        <w:ind w:left="1440" w:right="1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ARTICLE IV REPRESENTATIONS AND WARRANTIES OF PARENT AND MERGER SUB</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4.01</w:t>
            </w:r>
          </w:p>
        </w:tc>
        <w:tc>
          <w:tcPr>
            <w:tcW w:w="2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Corporate Organization</w:t>
            </w:r>
          </w:p>
        </w:tc>
        <w:tc>
          <w:tcPr>
            <w:tcW w:w="2600" w:type="dxa"/>
            <w:vAlign w:val="bottom"/>
            <w:gridSpan w:val="15"/>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4.02</w:t>
            </w:r>
          </w:p>
        </w:tc>
        <w:tc>
          <w:tcPr>
            <w:tcW w:w="280" w:type="dxa"/>
            <w:vAlign w:val="bottom"/>
          </w:tcPr>
          <w:p>
            <w:pPr>
              <w:spacing w:after="0"/>
              <w:rPr>
                <w:sz w:val="20"/>
                <w:szCs w:val="20"/>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Authorization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4.03</w:t>
            </w:r>
          </w:p>
        </w:tc>
        <w:tc>
          <w:tcPr>
            <w:tcW w:w="280" w:type="dxa"/>
            <w:vAlign w:val="bottom"/>
          </w:tcPr>
          <w:p>
            <w:pPr>
              <w:spacing w:after="0"/>
              <w:rPr>
                <w:sz w:val="20"/>
                <w:szCs w:val="20"/>
                <w:color w:val="auto"/>
              </w:rPr>
            </w:pPr>
          </w:p>
        </w:tc>
        <w:tc>
          <w:tcPr>
            <w:tcW w:w="33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1060" w:type="dxa"/>
            <w:vAlign w:val="bottom"/>
            <w:gridSpan w:val="4"/>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4.04</w:t>
            </w:r>
          </w:p>
        </w:tc>
        <w:tc>
          <w:tcPr>
            <w:tcW w:w="280" w:type="dxa"/>
            <w:vAlign w:val="bottom"/>
          </w:tcPr>
          <w:p>
            <w:pPr>
              <w:spacing w:after="0"/>
              <w:rPr>
                <w:sz w:val="20"/>
                <w:szCs w:val="20"/>
                <w:color w:val="auto"/>
              </w:rPr>
            </w:pPr>
          </w:p>
        </w:tc>
        <w:tc>
          <w:tcPr>
            <w:tcW w:w="1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3320" w:type="dxa"/>
            <w:vAlign w:val="bottom"/>
            <w:gridSpan w:val="23"/>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4.05</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Available Funds and Financing</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4.06</w:t>
            </w:r>
          </w:p>
        </w:tc>
        <w:tc>
          <w:tcPr>
            <w:tcW w:w="280" w:type="dxa"/>
            <w:vAlign w:val="bottom"/>
          </w:tcPr>
          <w:p>
            <w:pPr>
              <w:spacing w:after="0"/>
              <w:rPr>
                <w:sz w:val="21"/>
                <w:szCs w:val="21"/>
                <w:color w:val="auto"/>
              </w:rPr>
            </w:pPr>
          </w:p>
        </w:tc>
        <w:tc>
          <w:tcPr>
            <w:tcW w:w="16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Information Supplied</w:t>
            </w:r>
          </w:p>
        </w:tc>
        <w:tc>
          <w:tcPr>
            <w:tcW w:w="700" w:type="dxa"/>
            <w:vAlign w:val="bottom"/>
            <w:tcBorders>
              <w:top w:val="single" w:sz="8" w:color="0000EE"/>
            </w:tcBorders>
            <w:gridSpan w:val="7"/>
          </w:tcPr>
          <w:p>
            <w:pPr>
              <w:spacing w:after="0"/>
              <w:rPr>
                <w:sz w:val="21"/>
                <w:szCs w:val="21"/>
                <w:color w:val="auto"/>
              </w:rPr>
            </w:pPr>
          </w:p>
        </w:tc>
        <w:tc>
          <w:tcPr>
            <w:tcW w:w="20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4.07</w:t>
            </w:r>
          </w:p>
        </w:tc>
        <w:tc>
          <w:tcPr>
            <w:tcW w:w="280" w:type="dxa"/>
            <w:vAlign w:val="bottom"/>
          </w:tcPr>
          <w:p>
            <w:pPr>
              <w:spacing w:after="0"/>
              <w:rPr>
                <w:sz w:val="21"/>
                <w:szCs w:val="21"/>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Solvency</w:t>
            </w:r>
          </w:p>
        </w:tc>
        <w:tc>
          <w:tcPr>
            <w:tcW w:w="3680" w:type="dxa"/>
            <w:vAlign w:val="bottom"/>
            <w:gridSpan w:val="2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4.08</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Absence of Litigation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4.09</w:t>
            </w:r>
          </w:p>
        </w:tc>
        <w:tc>
          <w:tcPr>
            <w:tcW w:w="280" w:type="dxa"/>
            <w:vAlign w:val="bottom"/>
          </w:tcPr>
          <w:p>
            <w:pPr>
              <w:spacing w:after="0"/>
              <w:rPr>
                <w:sz w:val="21"/>
                <w:szCs w:val="21"/>
                <w:color w:val="auto"/>
              </w:rPr>
            </w:pPr>
          </w:p>
        </w:tc>
        <w:tc>
          <w:tcPr>
            <w:tcW w:w="2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Ownership of Company Shares</w:t>
            </w:r>
          </w:p>
        </w:tc>
        <w:tc>
          <w:tcPr>
            <w:tcW w:w="20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4.10</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Independent Investigation</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4.11</w:t>
            </w:r>
          </w:p>
        </w:tc>
        <w:tc>
          <w:tcPr>
            <w:tcW w:w="28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Buyer Group Contracts</w:t>
            </w:r>
          </w:p>
        </w:tc>
        <w:tc>
          <w:tcPr>
            <w:tcW w:w="200" w:type="dxa"/>
            <w:vAlign w:val="bottom"/>
            <w:tcBorders>
              <w:top w:val="single" w:sz="8" w:color="0000EE"/>
            </w:tcBorders>
            <w:gridSpan w:val="2"/>
          </w:tcPr>
          <w:p>
            <w:pPr>
              <w:spacing w:after="0"/>
              <w:rPr>
                <w:sz w:val="21"/>
                <w:szCs w:val="21"/>
                <w:color w:val="auto"/>
              </w:rPr>
            </w:pP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4.12</w:t>
            </w:r>
          </w:p>
        </w:tc>
        <w:tc>
          <w:tcPr>
            <w:tcW w:w="280" w:type="dxa"/>
            <w:vAlign w:val="bottom"/>
          </w:tcPr>
          <w:p>
            <w:pPr>
              <w:spacing w:after="0"/>
              <w:rPr>
                <w:sz w:val="21"/>
                <w:szCs w:val="21"/>
                <w:color w:val="auto"/>
              </w:rPr>
            </w:pPr>
          </w:p>
        </w:tc>
        <w:tc>
          <w:tcPr>
            <w:tcW w:w="28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Non-Reliance on Company Estimates</w:t>
            </w:r>
          </w:p>
        </w:tc>
        <w:tc>
          <w:tcPr>
            <w:tcW w:w="154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4.13</w:t>
            </w:r>
          </w:p>
        </w:tc>
        <w:tc>
          <w:tcPr>
            <w:tcW w:w="280" w:type="dxa"/>
            <w:vAlign w:val="bottom"/>
          </w:tcPr>
          <w:p>
            <w:pPr>
              <w:spacing w:after="0"/>
              <w:rPr>
                <w:sz w:val="21"/>
                <w:szCs w:val="21"/>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Brokers</w:t>
            </w:r>
          </w:p>
        </w:tc>
        <w:tc>
          <w:tcPr>
            <w:tcW w:w="3780" w:type="dxa"/>
            <w:vAlign w:val="bottom"/>
            <w:gridSpan w:val="2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4.14</w:t>
            </w:r>
          </w:p>
        </w:tc>
        <w:tc>
          <w:tcPr>
            <w:tcW w:w="280" w:type="dxa"/>
            <w:vAlign w:val="bottom"/>
          </w:tcPr>
          <w:p>
            <w:pPr>
              <w:spacing w:after="0"/>
              <w:rPr>
                <w:sz w:val="21"/>
                <w:szCs w:val="21"/>
                <w:color w:val="auto"/>
              </w:rPr>
            </w:pPr>
          </w:p>
        </w:tc>
        <w:tc>
          <w:tcPr>
            <w:tcW w:w="1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Limited Guarantee</w:t>
            </w:r>
          </w:p>
        </w:tc>
        <w:tc>
          <w:tcPr>
            <w:tcW w:w="2960" w:type="dxa"/>
            <w:vAlign w:val="bottom"/>
            <w:gridSpan w:val="2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4.15</w:t>
            </w:r>
          </w:p>
        </w:tc>
        <w:tc>
          <w:tcPr>
            <w:tcW w:w="280" w:type="dxa"/>
            <w:vAlign w:val="bottom"/>
          </w:tcPr>
          <w:p>
            <w:pPr>
              <w:spacing w:after="0"/>
              <w:rPr>
                <w:sz w:val="21"/>
                <w:szCs w:val="21"/>
                <w:color w:val="auto"/>
              </w:rPr>
            </w:pPr>
          </w:p>
        </w:tc>
        <w:tc>
          <w:tcPr>
            <w:tcW w:w="2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No Additional Representations</w:t>
            </w:r>
          </w:p>
        </w:tc>
        <w:tc>
          <w:tcPr>
            <w:tcW w:w="2040" w:type="dxa"/>
            <w:vAlign w:val="bottom"/>
            <w:gridSpan w:val="11"/>
          </w:tcPr>
          <w:p>
            <w:pPr>
              <w:spacing w:after="0"/>
              <w:rPr>
                <w:sz w:val="21"/>
                <w:szCs w:val="21"/>
                <w:color w:val="auto"/>
              </w:rPr>
            </w:pPr>
          </w:p>
        </w:tc>
      </w:tr>
      <w:tr>
        <w:trPr>
          <w:trHeight w:val="358"/>
        </w:trPr>
        <w:tc>
          <w:tcPr>
            <w:tcW w:w="58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ARTICLE V CONDUCT OF BUSINESS PENDING THE MERGER</w:t>
            </w: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5.01</w:t>
            </w:r>
          </w:p>
        </w:tc>
        <w:tc>
          <w:tcPr>
            <w:tcW w:w="280" w:type="dxa"/>
            <w:vAlign w:val="bottom"/>
          </w:tcPr>
          <w:p>
            <w:pPr>
              <w:spacing w:after="0"/>
              <w:rPr>
                <w:sz w:val="24"/>
                <w:szCs w:val="24"/>
                <w:color w:val="auto"/>
              </w:rPr>
            </w:pPr>
          </w:p>
        </w:tc>
        <w:tc>
          <w:tcPr>
            <w:tcW w:w="43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Conduct of Business by the Company Pending the Merger</w:t>
            </w: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5.02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Compliance</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5.03</w:t>
            </w:r>
          </w:p>
        </w:tc>
        <w:tc>
          <w:tcPr>
            <w:tcW w:w="280" w:type="dxa"/>
            <w:vAlign w:val="bottom"/>
          </w:tcPr>
          <w:p>
            <w:pPr>
              <w:spacing w:after="0"/>
              <w:rPr>
                <w:sz w:val="21"/>
                <w:szCs w:val="21"/>
                <w:color w:val="auto"/>
              </w:rPr>
            </w:pPr>
          </w:p>
        </w:tc>
        <w:tc>
          <w:tcPr>
            <w:tcW w:w="2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No Control of Other Party’s Business</w:t>
            </w:r>
          </w:p>
        </w:tc>
        <w:tc>
          <w:tcPr>
            <w:tcW w:w="1560" w:type="dxa"/>
            <w:vAlign w:val="bottom"/>
            <w:gridSpan w:val="8"/>
          </w:tcPr>
          <w:p>
            <w:pPr>
              <w:spacing w:after="0"/>
              <w:rPr>
                <w:sz w:val="21"/>
                <w:szCs w:val="21"/>
                <w:color w:val="auto"/>
              </w:rPr>
            </w:pPr>
          </w:p>
        </w:tc>
      </w:tr>
      <w:tr>
        <w:trPr>
          <w:trHeight w:val="358"/>
        </w:trPr>
        <w:tc>
          <w:tcPr>
            <w:tcW w:w="3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ARTICLE VI ADDITIONAL AGREEMENTS</w:t>
            </w:r>
          </w:p>
        </w:tc>
        <w:tc>
          <w:tcPr>
            <w:tcW w:w="2300" w:type="dxa"/>
            <w:vAlign w:val="bottom"/>
            <w:gridSpan w:val="12"/>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6.01</w:t>
            </w:r>
          </w:p>
        </w:tc>
        <w:tc>
          <w:tcPr>
            <w:tcW w:w="280" w:type="dxa"/>
            <w:vAlign w:val="bottom"/>
          </w:tcPr>
          <w:p>
            <w:pPr>
              <w:spacing w:after="0"/>
              <w:rPr>
                <w:sz w:val="24"/>
                <w:szCs w:val="24"/>
                <w:color w:val="auto"/>
              </w:rPr>
            </w:pPr>
          </w:p>
        </w:tc>
        <w:tc>
          <w:tcPr>
            <w:tcW w:w="2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Proxy Statement and Schedule 13E-3</w:t>
            </w:r>
          </w:p>
        </w:tc>
        <w:tc>
          <w:tcPr>
            <w:tcW w:w="1560" w:type="dxa"/>
            <w:vAlign w:val="bottom"/>
            <w:gridSpan w:val="8"/>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6.02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Company Shareholders Meeting</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6.03</w:t>
            </w:r>
          </w:p>
        </w:tc>
        <w:tc>
          <w:tcPr>
            <w:tcW w:w="280" w:type="dxa"/>
            <w:vAlign w:val="bottom"/>
          </w:tcPr>
          <w:p>
            <w:pPr>
              <w:spacing w:after="0"/>
              <w:rPr>
                <w:sz w:val="21"/>
                <w:szCs w:val="21"/>
                <w:color w:val="auto"/>
              </w:rPr>
            </w:pPr>
          </w:p>
        </w:tc>
        <w:tc>
          <w:tcPr>
            <w:tcW w:w="17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680" w:type="dxa"/>
            <w:vAlign w:val="bottom"/>
            <w:tcBorders>
              <w:top w:val="single" w:sz="8" w:color="0000EE"/>
            </w:tcBorders>
            <w:gridSpan w:val="8"/>
          </w:tcPr>
          <w:p>
            <w:pPr>
              <w:spacing w:after="0"/>
              <w:rPr>
                <w:sz w:val="21"/>
                <w:szCs w:val="21"/>
                <w:color w:val="auto"/>
              </w:rPr>
            </w:pPr>
          </w:p>
        </w:tc>
        <w:tc>
          <w:tcPr>
            <w:tcW w:w="196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6.04</w:t>
            </w:r>
          </w:p>
        </w:tc>
        <w:tc>
          <w:tcPr>
            <w:tcW w:w="280" w:type="dxa"/>
            <w:vAlign w:val="bottom"/>
          </w:tcPr>
          <w:p>
            <w:pPr>
              <w:spacing w:after="0"/>
              <w:rPr>
                <w:sz w:val="21"/>
                <w:szCs w:val="21"/>
                <w:color w:val="auto"/>
              </w:rPr>
            </w:pPr>
          </w:p>
        </w:tc>
        <w:tc>
          <w:tcPr>
            <w:tcW w:w="15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Competing Proposal</w:t>
            </w:r>
          </w:p>
        </w:tc>
        <w:tc>
          <w:tcPr>
            <w:tcW w:w="2840" w:type="dxa"/>
            <w:vAlign w:val="bottom"/>
            <w:gridSpan w:val="2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6.05</w:t>
            </w:r>
          </w:p>
        </w:tc>
        <w:tc>
          <w:tcPr>
            <w:tcW w:w="280" w:type="dxa"/>
            <w:vAlign w:val="bottom"/>
          </w:tcPr>
          <w:p>
            <w:pPr>
              <w:spacing w:after="0"/>
              <w:rPr>
                <w:sz w:val="21"/>
                <w:szCs w:val="21"/>
                <w:color w:val="auto"/>
              </w:rPr>
            </w:pPr>
          </w:p>
        </w:tc>
        <w:tc>
          <w:tcPr>
            <w:tcW w:w="41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Directors’ and Officers’ Indemnification and Insurance</w:t>
            </w:r>
          </w:p>
        </w:tc>
        <w:tc>
          <w:tcPr>
            <w:tcW w:w="22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6.06</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Notification of Certain Matters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6.07</w:t>
            </w:r>
          </w:p>
        </w:tc>
        <w:tc>
          <w:tcPr>
            <w:tcW w:w="28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Financing</w:t>
            </w:r>
          </w:p>
        </w:tc>
        <w:tc>
          <w:tcPr>
            <w:tcW w:w="1580" w:type="dxa"/>
            <w:vAlign w:val="bottom"/>
            <w:tcBorders>
              <w:top w:val="single" w:sz="8" w:color="0000EE"/>
            </w:tcBorders>
            <w:gridSpan w:val="15"/>
          </w:tcPr>
          <w:p>
            <w:pPr>
              <w:spacing w:after="0"/>
              <w:rPr>
                <w:sz w:val="21"/>
                <w:szCs w:val="21"/>
                <w:color w:val="auto"/>
              </w:rPr>
            </w:pPr>
          </w:p>
        </w:tc>
        <w:tc>
          <w:tcPr>
            <w:tcW w:w="20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6.08</w:t>
            </w:r>
          </w:p>
        </w:tc>
        <w:tc>
          <w:tcPr>
            <w:tcW w:w="280" w:type="dxa"/>
            <w:vAlign w:val="bottom"/>
          </w:tcPr>
          <w:p>
            <w:pPr>
              <w:spacing w:after="0"/>
              <w:rPr>
                <w:sz w:val="21"/>
                <w:szCs w:val="21"/>
                <w:color w:val="auto"/>
              </w:rPr>
            </w:pPr>
          </w:p>
        </w:tc>
        <w:tc>
          <w:tcPr>
            <w:tcW w:w="30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Further Action; Reasonable Best Efforts</w:t>
            </w:r>
          </w:p>
        </w:tc>
        <w:tc>
          <w:tcPr>
            <w:tcW w:w="1340" w:type="dxa"/>
            <w:vAlign w:val="bottom"/>
            <w:gridSpan w:val="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6.09</w:t>
            </w:r>
          </w:p>
        </w:tc>
        <w:tc>
          <w:tcPr>
            <w:tcW w:w="280" w:type="dxa"/>
            <w:vAlign w:val="bottom"/>
          </w:tcPr>
          <w:p>
            <w:pPr>
              <w:spacing w:after="0"/>
              <w:rPr>
                <w:sz w:val="21"/>
                <w:szCs w:val="21"/>
                <w:color w:val="auto"/>
              </w:rPr>
            </w:pPr>
          </w:p>
        </w:tc>
        <w:tc>
          <w:tcPr>
            <w:tcW w:w="2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Obligations of Merger Sub</w:t>
            </w:r>
          </w:p>
        </w:tc>
        <w:tc>
          <w:tcPr>
            <w:tcW w:w="2360" w:type="dxa"/>
            <w:vAlign w:val="bottom"/>
            <w:gridSpan w:val="1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280" w:type="dxa"/>
            <w:vAlign w:val="bottom"/>
          </w:tcPr>
          <w:p>
            <w:pPr>
              <w:spacing w:after="0"/>
              <w:rPr>
                <w:sz w:val="21"/>
                <w:szCs w:val="21"/>
                <w:color w:val="auto"/>
              </w:rPr>
            </w:pPr>
          </w:p>
        </w:tc>
        <w:tc>
          <w:tcPr>
            <w:tcW w:w="1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Participation in Litigation</w:t>
            </w: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6.11</w:t>
            </w:r>
          </w:p>
        </w:tc>
        <w:tc>
          <w:tcPr>
            <w:tcW w:w="280" w:type="dxa"/>
            <w:vAlign w:val="bottom"/>
          </w:tcPr>
          <w:p>
            <w:pPr>
              <w:spacing w:after="0"/>
              <w:rPr>
                <w:sz w:val="21"/>
                <w:szCs w:val="21"/>
                <w:color w:val="auto"/>
              </w:rPr>
            </w:pPr>
          </w:p>
        </w:tc>
        <w:tc>
          <w:tcPr>
            <w:tcW w:w="1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Resignations</w:t>
            </w:r>
          </w:p>
        </w:tc>
        <w:tc>
          <w:tcPr>
            <w:tcW w:w="3340" w:type="dxa"/>
            <w:vAlign w:val="bottom"/>
            <w:gridSpan w:val="2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Public Announcements</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6.13</w:t>
            </w:r>
          </w:p>
        </w:tc>
        <w:tc>
          <w:tcPr>
            <w:tcW w:w="280" w:type="dxa"/>
            <w:vAlign w:val="bottom"/>
          </w:tcPr>
          <w:p>
            <w:pPr>
              <w:spacing w:after="0"/>
              <w:rPr>
                <w:sz w:val="21"/>
                <w:szCs w:val="21"/>
                <w:color w:val="auto"/>
              </w:rPr>
            </w:pPr>
          </w:p>
        </w:tc>
        <w:tc>
          <w:tcPr>
            <w:tcW w:w="1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Stock Exchange Delisting</w:t>
            </w: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6.14</w:t>
            </w:r>
          </w:p>
        </w:tc>
        <w:tc>
          <w:tcPr>
            <w:tcW w:w="280" w:type="dxa"/>
            <w:vAlign w:val="bottom"/>
          </w:tcPr>
          <w:p>
            <w:pPr>
              <w:spacing w:after="0"/>
              <w:rPr>
                <w:sz w:val="21"/>
                <w:szCs w:val="21"/>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Takeover Statutes</w:t>
            </w:r>
          </w:p>
        </w:tc>
        <w:tc>
          <w:tcPr>
            <w:tcW w:w="3040" w:type="dxa"/>
            <w:vAlign w:val="bottom"/>
            <w:gridSpan w:val="2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6.15</w:t>
            </w:r>
          </w:p>
        </w:tc>
        <w:tc>
          <w:tcPr>
            <w:tcW w:w="280" w:type="dxa"/>
            <w:vAlign w:val="bottom"/>
          </w:tcPr>
          <w:p>
            <w:pPr>
              <w:spacing w:after="0"/>
              <w:rPr>
                <w:sz w:val="21"/>
                <w:szCs w:val="21"/>
                <w:color w:val="auto"/>
              </w:rPr>
            </w:pPr>
          </w:p>
        </w:tc>
        <w:tc>
          <w:tcPr>
            <w:tcW w:w="39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Actions Taken at Direction of Parent or Merger Sub</w:t>
            </w:r>
          </w:p>
        </w:tc>
        <w:tc>
          <w:tcPr>
            <w:tcW w:w="46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6.16</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SAFE Registration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6.17</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No Amendment to Transaction Documents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6.18</w:t>
            </w:r>
          </w:p>
        </w:tc>
        <w:tc>
          <w:tcPr>
            <w:tcW w:w="280" w:type="dxa"/>
            <w:vAlign w:val="bottom"/>
          </w:tcPr>
          <w:p>
            <w:pPr>
              <w:spacing w:after="0"/>
              <w:rPr>
                <w:sz w:val="21"/>
                <w:szCs w:val="21"/>
                <w:color w:val="auto"/>
              </w:rPr>
            </w:pPr>
          </w:p>
        </w:tc>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Third Party Consents</w:t>
            </w:r>
          </w:p>
        </w:tc>
        <w:tc>
          <w:tcPr>
            <w:tcW w:w="1160" w:type="dxa"/>
            <w:vAlign w:val="bottom"/>
            <w:gridSpan w:val="5"/>
          </w:tcPr>
          <w:p>
            <w:pPr>
              <w:spacing w:after="0"/>
              <w:rPr>
                <w:sz w:val="21"/>
                <w:szCs w:val="21"/>
                <w:color w:val="auto"/>
              </w:rPr>
            </w:pPr>
          </w:p>
        </w:tc>
      </w:tr>
      <w:tr>
        <w:trPr>
          <w:trHeight w:val="641"/>
        </w:trPr>
        <w:tc>
          <w:tcPr>
            <w:tcW w:w="18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A-4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-6985635</wp:posOffset>
            </wp:positionV>
            <wp:extent cx="521208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-6659880</wp:posOffset>
            </wp:positionV>
            <wp:extent cx="521208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-6325870</wp:posOffset>
            </wp:positionV>
            <wp:extent cx="5212080"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-5982970</wp:posOffset>
            </wp:positionV>
            <wp:extent cx="52120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521208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521208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-4954270</wp:posOffset>
            </wp:positionV>
            <wp:extent cx="52120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-4611370</wp:posOffset>
            </wp:positionV>
            <wp:extent cx="5212080" cy="2400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-4131310</wp:posOffset>
            </wp:positionV>
            <wp:extent cx="52120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-3788410</wp:posOffset>
            </wp:positionV>
            <wp:extent cx="5212080" cy="2400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-3308350</wp:posOffset>
            </wp:positionV>
            <wp:extent cx="52120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-2965450</wp:posOffset>
            </wp:positionV>
            <wp:extent cx="52120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-2622550</wp:posOffset>
            </wp:positionV>
            <wp:extent cx="521208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521208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-1593850</wp:posOffset>
            </wp:positionV>
            <wp:extent cx="521208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-1250950</wp:posOffset>
            </wp:positionV>
            <wp:extent cx="521208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-908050</wp:posOffset>
            </wp:positionV>
            <wp:extent cx="521208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521208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A-26</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ectPr>
          <w:pgSz w:w="11900" w:h="16838" w:orient="portrait"/>
          <w:cols w:equalWidth="0" w:num="2">
            <w:col w:w="8120" w:space="720"/>
            <w:col w:w="103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2400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ARTICLE VII CONDITIONS TO THE MERGER</w:t>
      </w:r>
    </w:p>
    <w:p>
      <w:pPr>
        <w:spacing w:after="0" w:line="158" w:lineRule="exact"/>
        <w:rPr>
          <w:sz w:val="20"/>
          <w:szCs w:val="20"/>
          <w:color w:val="auto"/>
        </w:rPr>
      </w:pPr>
    </w:p>
    <w:p>
      <w:pPr>
        <w:ind w:left="1440"/>
        <w:spacing w:after="0"/>
        <w:tabs>
          <w:tab w:leader="none" w:pos="2680" w:val="left"/>
        </w:tabs>
        <w:rPr>
          <w:sz w:val="20"/>
          <w:szCs w:val="20"/>
          <w:color w:val="auto"/>
        </w:rPr>
      </w:pPr>
      <w:r>
        <w:rPr>
          <w:rFonts w:ascii="Times New Roman" w:cs="Times New Roman" w:eastAsia="Times New Roman" w:hAnsi="Times New Roman"/>
          <w:sz w:val="18"/>
          <w:szCs w:val="18"/>
          <w:u w:val="single" w:color="auto"/>
          <w:color w:val="0000EE"/>
        </w:rPr>
        <w:t>Section 7.01</w:t>
      </w:r>
      <w:r>
        <w:rPr>
          <w:sz w:val="20"/>
          <w:szCs w:val="20"/>
          <w:color w:val="auto"/>
        </w:rPr>
        <w:tab/>
      </w:r>
      <w:r>
        <w:rPr>
          <w:rFonts w:ascii="Times New Roman" w:cs="Times New Roman" w:eastAsia="Times New Roman" w:hAnsi="Times New Roman"/>
          <w:sz w:val="18"/>
          <w:szCs w:val="18"/>
          <w:u w:val="single" w:color="auto"/>
          <w:color w:val="0000EE"/>
        </w:rPr>
        <w:t>Conditions to the Obligations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right="360"/>
        <w:spacing w:after="0" w:line="321" w:lineRule="auto"/>
        <w:rPr>
          <w:sz w:val="20"/>
          <w:szCs w:val="20"/>
          <w:color w:val="auto"/>
        </w:rPr>
      </w:pPr>
      <w:r>
        <w:rPr>
          <w:rFonts w:ascii="Times New Roman" w:cs="Times New Roman" w:eastAsia="Times New Roman" w:hAnsi="Times New Roman"/>
          <w:sz w:val="18"/>
          <w:szCs w:val="18"/>
          <w:u w:val="single" w:color="auto"/>
          <w:color w:val="0000EE"/>
        </w:rPr>
        <w:t>Section 7.02 Additional Conditions to the Obligations of Parent and Merger Sub Section 7.03 Additional Conditions to the Obligations of the Company Section 7.04 Frustration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-215265</wp:posOffset>
            </wp:positionV>
            <wp:extent cx="521208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ARTICLE VIII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2400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8.01</w:t>
            </w:r>
          </w:p>
        </w:tc>
        <w:tc>
          <w:tcPr>
            <w:tcW w:w="280" w:type="dxa"/>
            <w:vAlign w:val="bottom"/>
          </w:tcPr>
          <w:p>
            <w:pPr>
              <w:spacing w:after="0"/>
              <w:rPr>
                <w:sz w:val="17"/>
                <w:szCs w:val="17"/>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by Mutual Consent</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8.02</w:t>
            </w:r>
          </w:p>
        </w:tc>
        <w:tc>
          <w:tcPr>
            <w:tcW w:w="280" w:type="dxa"/>
            <w:vAlign w:val="bottom"/>
          </w:tcPr>
          <w:p>
            <w:pPr>
              <w:spacing w:after="0"/>
              <w:rPr>
                <w:sz w:val="21"/>
                <w:szCs w:val="21"/>
                <w:color w:val="auto"/>
              </w:rPr>
            </w:pPr>
          </w:p>
        </w:tc>
        <w:tc>
          <w:tcPr>
            <w:tcW w:w="3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Termination by Either the Company or Parent</w:t>
            </w: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8.03</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by the Company</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8.04</w:t>
            </w:r>
          </w:p>
        </w:tc>
        <w:tc>
          <w:tcPr>
            <w:tcW w:w="280" w:type="dxa"/>
            <w:vAlign w:val="bottom"/>
          </w:tcPr>
          <w:p>
            <w:pPr>
              <w:spacing w:after="0"/>
              <w:rPr>
                <w:sz w:val="21"/>
                <w:szCs w:val="21"/>
                <w:color w:val="auto"/>
              </w:rPr>
            </w:pPr>
          </w:p>
        </w:tc>
        <w:tc>
          <w:tcPr>
            <w:tcW w:w="16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Termination by Parent</w:t>
            </w:r>
          </w:p>
        </w:tc>
        <w:tc>
          <w:tcPr>
            <w:tcW w:w="520" w:type="dxa"/>
            <w:vAlign w:val="bottom"/>
            <w:tcBorders>
              <w:top w:val="single" w:sz="8" w:color="0000EE"/>
            </w:tcBorders>
          </w:tcPr>
          <w:p>
            <w:pPr>
              <w:spacing w:after="0"/>
              <w:rPr>
                <w:sz w:val="21"/>
                <w:szCs w:val="21"/>
                <w:color w:val="auto"/>
              </w:rPr>
            </w:pPr>
          </w:p>
        </w:tc>
        <w:tc>
          <w:tcPr>
            <w:tcW w:w="126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8.05</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Effect of Termination</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8.06</w:t>
            </w:r>
          </w:p>
        </w:tc>
        <w:tc>
          <w:tcPr>
            <w:tcW w:w="280" w:type="dxa"/>
            <w:vAlign w:val="bottom"/>
          </w:tcPr>
          <w:p>
            <w:pPr>
              <w:spacing w:after="0"/>
              <w:rPr>
                <w:sz w:val="21"/>
                <w:szCs w:val="21"/>
                <w:color w:val="auto"/>
              </w:rPr>
            </w:pPr>
          </w:p>
        </w:tc>
        <w:tc>
          <w:tcPr>
            <w:tcW w:w="12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Termination Fee</w:t>
            </w:r>
          </w:p>
        </w:tc>
        <w:tc>
          <w:tcPr>
            <w:tcW w:w="380" w:type="dxa"/>
            <w:vAlign w:val="bottom"/>
            <w:tcBorders>
              <w:top w:val="single" w:sz="8" w:color="0000EE"/>
            </w:tcBorders>
            <w:gridSpan w:val="3"/>
          </w:tcPr>
          <w:p>
            <w:pPr>
              <w:spacing w:after="0"/>
              <w:rPr>
                <w:sz w:val="21"/>
                <w:szCs w:val="21"/>
                <w:color w:val="auto"/>
              </w:rPr>
            </w:pPr>
          </w:p>
        </w:tc>
        <w:tc>
          <w:tcPr>
            <w:tcW w:w="1840" w:type="dxa"/>
            <w:vAlign w:val="bottom"/>
            <w:gridSpan w:val="6"/>
          </w:tcPr>
          <w:p>
            <w:pPr>
              <w:spacing w:after="0"/>
              <w:rPr>
                <w:sz w:val="21"/>
                <w:szCs w:val="21"/>
                <w:color w:val="auto"/>
              </w:rPr>
            </w:pPr>
          </w:p>
        </w:tc>
      </w:tr>
      <w:tr>
        <w:trPr>
          <w:trHeight w:val="358"/>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ARTICLE IX GENERAL PROVISIONS</w:t>
            </w:r>
          </w:p>
        </w:tc>
        <w:tc>
          <w:tcPr>
            <w:tcW w:w="1820" w:type="dxa"/>
            <w:vAlign w:val="bottom"/>
            <w:gridSpan w:val="5"/>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9.01</w:t>
            </w:r>
          </w:p>
        </w:tc>
        <w:tc>
          <w:tcPr>
            <w:tcW w:w="2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Survival</w:t>
            </w:r>
          </w:p>
        </w:tc>
        <w:tc>
          <w:tcPr>
            <w:tcW w:w="2820" w:type="dxa"/>
            <w:vAlign w:val="bottom"/>
            <w:gridSpan w:val="13"/>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9.02</w:t>
            </w:r>
          </w:p>
        </w:tc>
        <w:tc>
          <w:tcPr>
            <w:tcW w:w="280" w:type="dxa"/>
            <w:vAlign w:val="bottom"/>
          </w:tcPr>
          <w:p>
            <w:pPr>
              <w:spacing w:after="0"/>
              <w:rPr>
                <w:sz w:val="21"/>
                <w:szCs w:val="21"/>
                <w:color w:val="auto"/>
              </w:rPr>
            </w:pP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Notices</w:t>
            </w:r>
          </w:p>
        </w:tc>
        <w:tc>
          <w:tcPr>
            <w:tcW w:w="288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9.03</w:t>
            </w:r>
          </w:p>
        </w:tc>
        <w:tc>
          <w:tcPr>
            <w:tcW w:w="280" w:type="dxa"/>
            <w:vAlign w:val="bottom"/>
          </w:tcPr>
          <w:p>
            <w:pPr>
              <w:spacing w:after="0"/>
              <w:rPr>
                <w:sz w:val="21"/>
                <w:szCs w:val="21"/>
                <w:color w:val="auto"/>
              </w:rPr>
            </w:pPr>
          </w:p>
        </w:tc>
        <w:tc>
          <w:tcPr>
            <w:tcW w:w="14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200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9.04</w:t>
            </w:r>
          </w:p>
        </w:tc>
        <w:tc>
          <w:tcPr>
            <w:tcW w:w="280" w:type="dxa"/>
            <w:vAlign w:val="bottom"/>
          </w:tcPr>
          <w:p>
            <w:pPr>
              <w:spacing w:after="0"/>
              <w:rPr>
                <w:sz w:val="21"/>
                <w:szCs w:val="21"/>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Severability</w:t>
            </w:r>
          </w:p>
        </w:tc>
        <w:tc>
          <w:tcPr>
            <w:tcW w:w="254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9.05</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Interpretation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280" w:type="dxa"/>
            <w:vAlign w:val="bottom"/>
          </w:tcPr>
          <w:p>
            <w:pPr>
              <w:spacing w:after="0"/>
              <w:rPr>
                <w:sz w:val="21"/>
                <w:szCs w:val="21"/>
                <w:color w:val="auto"/>
              </w:rPr>
            </w:pPr>
          </w:p>
        </w:tc>
        <w:tc>
          <w:tcPr>
            <w:tcW w:w="24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Entire Agreement; Assignment</w:t>
            </w:r>
          </w:p>
        </w:tc>
        <w:tc>
          <w:tcPr>
            <w:tcW w:w="106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9.07</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Parties in Interest</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9.08</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Specific Performance</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9.09</w:t>
            </w:r>
          </w:p>
        </w:tc>
        <w:tc>
          <w:tcPr>
            <w:tcW w:w="280" w:type="dxa"/>
            <w:vAlign w:val="bottom"/>
          </w:tcPr>
          <w:p>
            <w:pPr>
              <w:spacing w:after="0"/>
              <w:rPr>
                <w:sz w:val="21"/>
                <w:szCs w:val="21"/>
                <w:color w:val="auto"/>
              </w:rPr>
            </w:pPr>
          </w:p>
        </w:tc>
        <w:tc>
          <w:tcPr>
            <w:tcW w:w="27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Governing Law; Dispute Resolution</w:t>
            </w:r>
          </w:p>
        </w:tc>
        <w:tc>
          <w:tcPr>
            <w:tcW w:w="72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9.10</w:t>
            </w:r>
          </w:p>
        </w:tc>
        <w:tc>
          <w:tcPr>
            <w:tcW w:w="280" w:type="dxa"/>
            <w:vAlign w:val="bottom"/>
          </w:tcPr>
          <w:p>
            <w:pPr>
              <w:spacing w:after="0"/>
              <w:rPr>
                <w:sz w:val="21"/>
                <w:szCs w:val="21"/>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Amendment</w:t>
            </w:r>
          </w:p>
        </w:tc>
        <w:tc>
          <w:tcPr>
            <w:tcW w:w="254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9.11</w:t>
            </w:r>
          </w:p>
        </w:tc>
        <w:tc>
          <w:tcPr>
            <w:tcW w:w="280" w:type="dxa"/>
            <w:vAlign w:val="bottom"/>
          </w:tcPr>
          <w:p>
            <w:pPr>
              <w:spacing w:after="0"/>
              <w:rPr>
                <w:sz w:val="21"/>
                <w:szCs w:val="21"/>
                <w:color w:val="auto"/>
              </w:rPr>
            </w:pPr>
          </w:p>
        </w:tc>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Waiver</w:t>
            </w:r>
          </w:p>
        </w:tc>
        <w:tc>
          <w:tcPr>
            <w:tcW w:w="292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9.12</w:t>
            </w:r>
          </w:p>
        </w:tc>
        <w:tc>
          <w:tcPr>
            <w:tcW w:w="280" w:type="dxa"/>
            <w:vAlign w:val="bottom"/>
          </w:tcPr>
          <w:p>
            <w:pPr>
              <w:spacing w:after="0"/>
              <w:rPr>
                <w:sz w:val="21"/>
                <w:szCs w:val="21"/>
                <w:color w:val="auto"/>
              </w:rPr>
            </w:pPr>
          </w:p>
        </w:tc>
        <w:tc>
          <w:tcPr>
            <w:tcW w:w="1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Confidentiality</w:t>
            </w:r>
          </w:p>
        </w:tc>
        <w:tc>
          <w:tcPr>
            <w:tcW w:w="23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9.13</w:t>
            </w:r>
          </w:p>
        </w:tc>
        <w:tc>
          <w:tcPr>
            <w:tcW w:w="280" w:type="dxa"/>
            <w:vAlign w:val="bottom"/>
          </w:tcPr>
          <w:p>
            <w:pPr>
              <w:spacing w:after="0"/>
              <w:rPr>
                <w:sz w:val="21"/>
                <w:szCs w:val="21"/>
                <w:color w:val="auto"/>
              </w:rPr>
            </w:pPr>
          </w:p>
        </w:tc>
        <w:tc>
          <w:tcPr>
            <w:tcW w:w="22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Special Committee Approval</w:t>
            </w:r>
          </w:p>
        </w:tc>
        <w:tc>
          <w:tcPr>
            <w:tcW w:w="126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9.14</w:t>
            </w:r>
          </w:p>
        </w:tc>
        <w:tc>
          <w:tcPr>
            <w:tcW w:w="280" w:type="dxa"/>
            <w:vAlign w:val="bottom"/>
          </w:tcPr>
          <w:p>
            <w:pPr>
              <w:spacing w:after="0"/>
              <w:rPr>
                <w:sz w:val="21"/>
                <w:szCs w:val="21"/>
                <w:color w:val="auto"/>
              </w:rPr>
            </w:pP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2440" w:type="dxa"/>
            <w:vAlign w:val="bottom"/>
            <w:gridSpan w:val="11"/>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-3376930</wp:posOffset>
            </wp:positionV>
            <wp:extent cx="52120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521208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5212080" cy="2400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b w:val="1"/>
          <w:bCs w:val="1"/>
          <w:color w:val="auto"/>
        </w:rPr>
        <w:t>​</w:t>
      </w:r>
    </w:p>
    <w:p>
      <w:pPr>
        <w:sectPr>
          <w:pgSz w:w="11900" w:h="16838" w:orient="portrait"/>
          <w:cols w:equalWidth="0" w:num="2">
            <w:col w:w="8120" w:space="720"/>
            <w:col w:w="103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24, 2023, is entered into by and among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iClick Interactive Asia Group Limited,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Unless otherwise indicated or elsewhere defined herein, capitalized terms used herein shall have the meanings ascribed to them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WHEREAS, on the terms and subject to the conditions of this Agreement and in accordance with Part XVI of the Companies Act (Revised)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Parent and the Company intend to enter into a transaction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the surviving company (as defined in the CICA)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as a result of the Merger;</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acting upon the unanimous recommendation of the Special Committee, has unanimously (i) determined that it is fair to, and in the best and commercial interests of, the Company and its shareholders (other than the holders of Excluded Shares), and declared it advisable, for the Company to enter into this Agreement and the Plan of Merger and consummate the transactions contemplated by this Agreement and the Plan of Merger,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(ii) authorized and approved the execution, delivery and performance of this Agreement and the Plan of Merger and the consummation of the Transactions, including the Merger, on the terms and subject to the conditions of this Agreement, and (iii) resolved to recommend the authorization and approval of this Agreement, the Plan of Merger and the consummation of the Transactions, including the Merger, by the holders of Shares at the Shareholders Meeting;</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(i) the respective board of directors of each of Parent and Merger Sub has each</w:t>
      </w:r>
    </w:p>
    <w:p>
      <w:pPr>
        <w:spacing w:after="0" w:line="27" w:lineRule="exact"/>
        <w:rPr>
          <w:sz w:val="20"/>
          <w:szCs w:val="20"/>
          <w:color w:val="auto"/>
        </w:rPr>
      </w:pPr>
    </w:p>
    <w:p>
      <w:pPr>
        <w:ind w:left="1260" w:right="419"/>
        <w:spacing w:after="0" w:line="252" w:lineRule="auto"/>
        <w:tabs>
          <w:tab w:leader="none" w:pos="15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by Parent and Merger Sub, respectively, of this Agreement, the Plan of Merger and the consummation of the Transactions, including the Merger, and (B) declared it advisable for Parent and Merger Sub, respectively, to enter into this Agreement and the Plan of Merger and consummate the Transactions, including the Merger, on the terms and subject to the conditions of this Agreement, and (ii) Parent, as the sole shareholder of Merger Sub, has approved the execution, delivery and performance by Merger Sub of this Agreement, the Plan of Merger and the consummation of the Transactions, including the Merger, on the terms and subject to the conditions of this Agreement;</w:t>
      </w:r>
    </w:p>
    <w:p>
      <w:pPr>
        <w:spacing w:after="0" w:line="33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WHEREAS, as a condition and inducement to Parent and Merger Sub’s willingness to enter into this Agreement, concurrently with the execution and delivery of this Agreement, each of Igomax, the Chairman, Bubinga, Mr. Wing Hong Sammy Hsieh, Rise Chain, Mr. Huang Jianjun and certain other parties named in the Support Agreement (as defined below)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Parent have entered into a Support Agreement, dated as of the date hereof (as may be amended from time to time,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providing, among other things, that each Rollover Shareholder has agreed that on the terms and subject to the conditions of the Support Agreement (i) he or it shall vote all Shares (including Shares represented by ADSs) beneficially owned by him or it as of the date hereof, together with any Shares acquired (whether beneficially or of record) by him or it after the date hereof and prior to the Effective Time, including any Shares or securities of the Company acquired by means of purchase, dividend or distribution, or issued upon the exercise or settlement of any Company Options, RSUs, or warrants or conversion of any convertible securities or otherwise (collectively,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favor of the authorization and approval of this Agreement, the Plan of Merger and the consummation of the Transactions, including the Merger, and to take certain other actions in furtherance of the Transactions, including the Merger, and (ii) each Rollover Shareholder shall contribute the Rollover Shares beneficially owned by him or it to Parent immediately prior to the Effective Time in exchange for newly issued shares of Parent and receive no consideration for the cancellation of the Rollover Shares in accordance with this Agreement;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WHEREAS, as a condition and inducement to the Company’s willingness to enter into this Agreement, concurrently with the execution and delivery of this Agreement, Rise Chain (the “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executed and delivered to the Company a limited guarantee in favor of the Company, dated as of the date hereof (as may be amended from time to time,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to guarantee the due and punctual performance and discharge of certain payment obligations of Parent and Merger Sub under this Agreement.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for other good and valuable consideration, the receipt and adequacy of which are hereby acknowledged, Parent, Merger Sub and the Company hereby agree as follows:</w:t>
      </w:r>
    </w:p>
    <w:p>
      <w:pPr>
        <w:spacing w:after="0" w:line="1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4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On the terms and subject to the satisfaction or waiver (where permissible) of the conditions set forth in this Agreement, and in accordance with the CICA, at the Effective Time, Merger Sub shall be merged with and into the Company. As a result of the Merger, (a) the separate corporate existence of Merger Sub shall cease to exist and will be struck off the Register of Companies in the Cayman Islands, and (b) the Company shall continue as the Surviving Company under the Laws of the Cayman Islands and become a wholly owned Subsidiary of Parent.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Closing; Closing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otherwise agreed in writing between the Company and Parent, the closing for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(Hong Kong time) electronically as soon as practicable, but in any event no later than the tenth (10th) Business Day following the day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if permissible, waiver of those conditions at the Closing) is satisfied or, if permissible, waived in accordance with this Agreement. The date on which the Closing occurs is referred to</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this Agreement, on the Closing Date, the Company, Parent and Merger Sub shall (a) cause the plan of merger with respect to the Merger (the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substantially in the form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together with such other documents required under the CICA, to be duly executed and filed with the Registrar of Companies of the Cayman Islands as provided by Section 233 of the CICA, and (b) make any other filings, recordings or publications as required to be made by the Company or Merger Sub under the CICA in connection with the Merger. The Merger shall become effective upon the time of registration of the Plan of Merger by the Registrar of Companies of the Cayman Islands, or on a later date as may be agreed in writing by Parent and the Company and specified in the Plan of Merger (such date and time,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At the Effective Time, the Merger shall have the effects specified in this Agreement, the Plan of Merger and the relevant provisions of the CICA. Without limiting the generality of the foregoing, and subject thereto, at the Effective Time, all the rights, property of every description, including choses in action, and the business, undertaking, goodwill, benefits, immunities and privileges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of the Company and Merger Sub in accordance with the CICA.</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in accordance with the Plan of Merger and without any further action on the part of the parties hereto, the memorandum and articles of association of Merger Sub, as in effect immediately prior to the Effective Time, shall become the memorandum and articles of association of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Surviving Company until thereafter amended in accordance with applicable Law and such memorandum and articles of association, save and except (a) all references therein to the name “TSH Merger Sub Limited” shall be amended to “iClick Interactive Asia Group Limited”, and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required by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parties hereto shall take all actions necessary so that (a) the directors of Merger Sub immediately prior to the Effective Time or such other persons designated by Parent shall, from and after the Effective Time, be the initial directors of the Surviving Company, and (b) the officers of the Company immediately prior to the Effective Time shall, from and after the Effective Time, be the initial officers of the Surviving Company, in each case of the foregoing clause (a) and clause (b),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1620" w:right="2059" w:firstLine="1294"/>
        <w:spacing w:after="0" w:line="41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TREATMENT OF SECURITIES; MERGER CONSIDERATION </w:t>
      </w: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Cancellation and Conversion of Securities</w:t>
      </w:r>
      <w:r>
        <w:rPr>
          <w:rFonts w:ascii="Times New Roman" w:cs="Times New Roman" w:eastAsia="Times New Roman" w:hAnsi="Times New Roman"/>
          <w:sz w:val="18"/>
          <w:szCs w:val="18"/>
          <w:color w:val="auto"/>
        </w:rPr>
        <w:t>.</w:t>
      </w: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Parent, Merger Sub, the Company or the holders of any securities of the Company:</w:t>
      </w:r>
    </w:p>
    <w:p>
      <w:pPr>
        <w:spacing w:after="0" w:line="95" w:lineRule="exact"/>
        <w:rPr>
          <w:sz w:val="20"/>
          <w:szCs w:val="20"/>
          <w:color w:val="auto"/>
        </w:rPr>
      </w:pPr>
    </w:p>
    <w:p>
      <w:pPr>
        <w:ind w:left="1620" w:right="459" w:firstLine="360"/>
        <w:spacing w:after="0" w:line="245" w:lineRule="auto"/>
        <w:tabs>
          <w:tab w:leader="none" w:pos="23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ordinary share, par value $0.001 per share, of the Company (each, a “</w:t>
      </w:r>
      <w:r>
        <w:rPr>
          <w:rFonts w:ascii="Times New Roman" w:cs="Times New Roman" w:eastAsia="Times New Roman" w:hAnsi="Times New Roman"/>
          <w:sz w:val="18"/>
          <w:szCs w:val="18"/>
          <w:u w:val="single" w:color="auto"/>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each Class B ordinary share, par value $0.001 per share, of the Company (each, a “</w:t>
      </w:r>
      <w:r>
        <w:rPr>
          <w:rFonts w:ascii="Times New Roman" w:cs="Times New Roman" w:eastAsia="Times New Roman" w:hAnsi="Times New Roman"/>
          <w:sz w:val="18"/>
          <w:szCs w:val="18"/>
          <w:u w:val="single" w:color="auto"/>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together with each Class A Share,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other than the Excluded Shares, the Dissenting Shares and the Shares represented by ADSs, shall be cancelled and cease to exist in exchange for the right to receive $0.816 in cash per Share without interest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pursuant to the terms and conditions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American Depositary Share, representing five (5) Class A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xml:space="preserve">”), issued and outstanding immediately prior to the Effective Time (other than ADSs representing the Excluded Shares and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below), together with each Share represented by such ADSs, shall be cancelled and cease to exist in exchange for the right to receive US$4.08 in cash per ADS without interest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xml:space="preserve">”) pursuant to the terms and conditions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and the Deposit Agreement;</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pursuant to the terms and conditions set forth in this Agreement, and such consideration shall be paid by the Surviving Company or one of its Subsidiaries as soon as practicable after the Effective Time pursuant to the Company’s ordinary payroll practices;</w:t>
      </w:r>
    </w:p>
    <w:p>
      <w:pPr>
        <w:spacing w:after="0" w:line="328"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3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Excluded Shares issued and outstanding immediately prior to the Effective Time shall be cancelled and cease to exist without payment of any consideration or distribution therefor;</w:t>
      </w:r>
    </w:p>
    <w:p>
      <w:pPr>
        <w:spacing w:after="0" w:line="80"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Dissenting Shares issued and outstanding immediately prior to the Effective Time shall be cancelled and cease to exist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thereafter represent only the right to receive the applicable payments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6" w:lineRule="auto"/>
        <w:tabs>
          <w:tab w:leader="none" w:pos="231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cancellation of the Shares and ADSs pursuant to the terms and conditions set out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each ordinary share of Merger Sub issued and outstanding immediately prior to the Effective Time shall be converted into and become one (1) validly issued, fully paid and non-assessable ordinary share of the Surviving Company. Such conversion shall be effected by means of the cancellation of such shares of Merger Sub, in exchange for the right to receive one (1) ordinary share of the Surviving Company. Such ordinary shares of the Surviving Company shall constitute the only issued and outstanding share capital of the Surviving Company at the Effective Time, which shall be reflected in the register of members of the Surviving Company.</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45" w:lineRule="auto"/>
        <w:tabs>
          <w:tab w:leader="none" w:pos="232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Company shall (i) terminate the Company Share Plans and any award agreements or other relevant agreements entered into under the Company Share Plans, including for the avoidance of doubt, the cancellation of all authorized but unissued Shares under the Company Share Plans (which numbers of Shares as of the date of this Agreement are set forth in Schedule 2.02(a) of the Company Disclosure Schedule), (ii) cancel each Company Option that is outstanding and unexercised, whether or not vested or exercisable, and (iii) cancel each Company RSU that is outstanding, whether or not vested.</w:t>
      </w:r>
    </w:p>
    <w:p>
      <w:pPr>
        <w:spacing w:after="0" w:line="325"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former holder (or his or her designee) of a Vested Company Option (for the avoidance of doubt, excluding any Vested Company Option which has been converted into ADSs) that is cancelled at the Effective Time shall, in exchange therefor, be paid by the Surviving Company or one of its Subsidiaries, as soon as practicable after the Effective Time pursuant to the Company’s ordinary payroll practices,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 ADS Merger Consideration, such Vested Company Option shall be cancelled and the holder of any such Vested Company Option shall be entitled to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equal to $1.9305 with respect to each such Vested Company Option.</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holder (or his or her designee) of an Unvested Company RSU that is cancelled at the Effective Time shall, in exchange therefor, be provided with an employee incentive award by Parent, to replace such Unvested Company RSU, on terms and conditions reasonably determined by Parent, which shall be substantially the same as the terms and conditions (including as to vesting) under the applicable Company Share Plans and the award agreement(s) with respect to such Unvested Company RSU.</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any payment under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be subject to all applicable Taxes and Tax withholding requirements, in accordance with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2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date hereof and in any event prior to the Effective Time, the Company, the Company Board or the compensation committee of the Company Board, as applicable, shall pass any resolutions and take any actions reasonably necessary to effect the provisions of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including entering into agreements with holders of the Company Options and Company RSUs, as applicable, to ensure that all such holders have agreed to and the Company can effect all of the cancellations, payments and exchange transactions with such holders as contemplated under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As soon as practicable following the date hereof and in any event prior to the Effective Time, the Company shall deliver a written notice to each holder of Company Options or Company RSUs informing such holder of the treatment of such Company Options or Company RSUs contemplated by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1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cause the Surviving Company to pay to each holder of Vested Company Options the amounts required pursuant to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as soon as practicable after the Effective Time pursuant to the Company’s ordinary payroll practices.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619" w:firstLine="360"/>
        <w:spacing w:after="0" w:line="282" w:lineRule="auto"/>
        <w:tabs>
          <w:tab w:leader="none" w:pos="23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and to the extent available under the CICA, all Shares that are issued and outstanding immediately prior to the Effective Time</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5" w:lineRule="auto"/>
        <w:rPr>
          <w:sz w:val="20"/>
          <w:szCs w:val="20"/>
          <w:color w:val="auto"/>
        </w:rPr>
      </w:pPr>
      <w:r>
        <w:rPr>
          <w:rFonts w:ascii="Times New Roman" w:cs="Times New Roman" w:eastAsia="Times New Roman" w:hAnsi="Times New Roman"/>
          <w:sz w:val="18"/>
          <w:szCs w:val="18"/>
          <w:color w:val="auto"/>
        </w:rPr>
        <w:t xml:space="preserve">and that are held by shareholders of the Company who shall have validly exercised and not effectively withdrawn or lost their rights to dissent from the Merger, or dissenter rights, in accordance with Section 238 of the CICA (collectively, the “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and holders of the Dissenting Shares collectively, the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shall be cancelled and cease to exist at the Effective Time and the Dissenting Shareholders shall not be entitled to receive the Per Share Merger Consideration and shall instead be entitled to receive only the payment of the fair value of such Dissenting Shares held by them determined in accordance with the provisions of Section 238 of the CICA.</w:t>
      </w:r>
    </w:p>
    <w:p>
      <w:pPr>
        <w:spacing w:after="0" w:line="114" w:lineRule="exact"/>
        <w:rPr>
          <w:sz w:val="20"/>
          <w:szCs w:val="20"/>
          <w:color w:val="auto"/>
        </w:rPr>
      </w:pPr>
    </w:p>
    <w:p>
      <w:pPr>
        <w:ind w:left="1620" w:right="499" w:firstLine="360"/>
        <w:spacing w:after="0" w:line="244" w:lineRule="auto"/>
        <w:tabs>
          <w:tab w:leader="none" w:pos="234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all Shares held by Dissenting Shareholders who shall not have validly exercised or who shall have effectively withdrawn or lost their dissenter rights under Section 238 of the CICA shall thereupon not be Dissenting Shares and shall be cancelled and cease to exist as of the Effective Time, in consideration of the right to receive the Per Share Merger Consideration, without any interest thereon, in the manner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Parent shall promptly deposit or cause to be deposited with the Paying Agent any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w:t>
      </w:r>
    </w:p>
    <w:p>
      <w:pPr>
        <w:spacing w:after="0" w:line="117"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33"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(i) prompt written notice of any written notices of objection, notices of approvals, notice of dissent or demands for appraisal or written offers, under Section 238 of the CICA received by the Company, written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negotiations and proceedings with respect to any such notice or demand for appraisal under the CICA. Prior to the Effective Time, the Company shall not, except with the prior written consent of Parent, make any offers or any payment with respect to any exercise by a shareholder of its rights to dissent from the Merger or any demands for appraisal or offer to settle or settle any such demands.</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w:t>
      </w:r>
    </w:p>
    <w:p>
      <w:pPr>
        <w:ind w:left="1980" w:hanging="360"/>
        <w:spacing w:after="0"/>
        <w:tabs>
          <w:tab w:leader="none" w:pos="19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obtaining the Requisite Company Vote at the Shareholders Meeting.</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Exchange of Share Certificates, etc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54" w:lineRule="auto"/>
        <w:tabs>
          <w:tab w:leader="none" w:pos="233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Effective Time, Parent shall select and appoint a bank or trust company selected by Parent with the Company’s prior consent to act as paying agent (the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for all payments required to be made pursuant to </w:t>
      </w:r>
      <w:r>
        <w:rPr>
          <w:rFonts w:ascii="Times New Roman" w:cs="Times New Roman" w:eastAsia="Times New Roman" w:hAnsi="Times New Roman"/>
          <w:sz w:val="18"/>
          <w:szCs w:val="18"/>
          <w:u w:val="single" w:color="auto"/>
          <w:color w:val="auto"/>
        </w:rPr>
        <w:t>Section 2.01(a), Section 2.01(b)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and Parent shall enter into a paying agent agreement on terms reasonably acceptable to the Company with the Paying Agent prior to the Effective Time. At or prior to the Effective Time, or in the case of payments pursuant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when required thereby, Parent shall deposit, or cause to be deposited, with the Paying Agent, for the benefit of the holders of Shares and ADSs (other than Excluded Shares), cash in immediately available funds and in an amount that is sufficient to pay the full amount of the Merger Consideration (such cash,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right="519" w:firstLine="360"/>
        <w:spacing w:after="0" w:line="253" w:lineRule="auto"/>
        <w:tabs>
          <w:tab w:leader="none" w:pos="2666"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Effective Time (and in any event within five (5) Business Days thereafter), the Surviving Company shall cause the Paying Agent to mail to each person who was, at the Effective Time, a registered holder of Shares (other than Excluded Shares and Dissenting Shares) entitled to receive the Per Share Merger Consideration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(i) a letter of transmittal (which shall be in customary form for a company incorporated in the Cayman Islands reasonably acceptable to Parent and the Company, and shall specify the manner in which the delivery of the Exchange Fund to registered holders of such Shares shall be effected and contain such other provisions as Parent and the Company may mutually agree), and</w:t>
      </w:r>
    </w:p>
    <w:p>
      <w:pPr>
        <w:ind w:left="1980" w:right="479"/>
        <w:spacing w:after="0" w:line="260" w:lineRule="auto"/>
        <w:tabs>
          <w:tab w:leader="none" w:pos="2263"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in effecting the surrender of any issued share certificates representing such Shares (the “</w:t>
      </w:r>
      <w:r>
        <w:rPr>
          <w:rFonts w:ascii="Times New Roman" w:cs="Times New Roman" w:eastAsia="Times New Roman" w:hAnsi="Times New Roman"/>
          <w:sz w:val="18"/>
          <w:szCs w:val="18"/>
          <w:u w:val="single" w:color="auto"/>
          <w:color w:val="auto"/>
        </w:rPr>
        <w:t>Share</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99"/>
        <w:spacing w:after="0" w:line="247" w:lineRule="auto"/>
        <w:rPr>
          <w:sz w:val="20"/>
          <w:szCs w:val="20"/>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(or affidavits and indemnities of loss in lieu of the Share Certificates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or non-certificated Shares represented by book entry (“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or such other documents as may be required in exchange for the Per Share Merger Consideration.</w:t>
      </w:r>
    </w:p>
    <w:p>
      <w:pPr>
        <w:spacing w:after="0" w:line="2" w:lineRule="exact"/>
        <w:rPr>
          <w:sz w:val="20"/>
          <w:szCs w:val="20"/>
          <w:color w:val="auto"/>
        </w:rPr>
      </w:pPr>
    </w:p>
    <w:p>
      <w:pPr>
        <w:ind w:left="1980" w:right="439"/>
        <w:spacing w:after="0"/>
        <w:rPr>
          <w:sz w:val="20"/>
          <w:szCs w:val="20"/>
          <w:color w:val="auto"/>
        </w:rPr>
      </w:pPr>
      <w:r>
        <w:rPr>
          <w:rFonts w:ascii="Times New Roman" w:cs="Times New Roman" w:eastAsia="Times New Roman" w:hAnsi="Times New Roman"/>
          <w:sz w:val="18"/>
          <w:szCs w:val="18"/>
          <w:color w:val="auto"/>
        </w:rPr>
        <w:t xml:space="preserve">Promptly following any Shares ceasing to be Dissenting Shares pursuant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Parent shall cause the Paying Agent to mail to the applicable shareholders the documents described in the immediately preceding sentence. Upon surrender of, if applicable, a Share Certificate (or affidavit and indemnity of loss in lieu of the Share Certificate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and each registered holder of Uncertificated Shares shall be entitled to receive in exchange therefor a check, in the amount equal to (x) the number of Shares represented by such Share Certificate (or affidavit and indemnity of loss in lieu of the Share Certificate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or the number of Uncertificated Shares multiplied by</w:t>
      </w:r>
    </w:p>
    <w:p>
      <w:pPr>
        <w:ind w:left="1980" w:right="439"/>
        <w:spacing w:after="0"/>
        <w:tabs>
          <w:tab w:leader="none" w:pos="224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Merger Consideration, subject to applicable withholding in accordance with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 xml:space="preserve"> and any Share Certificate so surrendered shall forthwith be marked as cancelled. In the event of a transfer of ownership of Shares or ADSs that is not registered in the register of members of the Company maintained by the Company or in the books maintained by the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cheque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331" w:lineRule="exact"/>
        <w:rPr>
          <w:rFonts w:ascii="Times New Roman" w:cs="Times New Roman" w:eastAsia="Times New Roman" w:hAnsi="Times New Roman"/>
          <w:sz w:val="18"/>
          <w:szCs w:val="18"/>
          <w:color w:val="auto"/>
        </w:rPr>
      </w:pPr>
    </w:p>
    <w:p>
      <w:pPr>
        <w:ind w:left="1980" w:right="479" w:firstLine="360"/>
        <w:spacing w:after="0" w:line="242" w:lineRule="auto"/>
        <w:tabs>
          <w:tab w:leader="none" w:pos="272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Parent and the Company shall establish procedures with the Paying Agent to ensure that the Paying Agent will transmit to the Depositary as promptly as reasonably practicable following the Effective Time an amount in cash in immediately available funds equal to the product of (x) the number of Shares (other than Excluded Shares and Shares represented by the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currently registered in the name of the Depositary for the benefit of holders of ADSs (other than holders of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multiplied by (y) the Per Share Merger Consideration. Upon the Depositary’s receipt of said consideration, the Depositary will arrange for Cede &amp; Co. (as nominee for The Depository Trust Company) to surrender each ADS currently held in its clearing system for cancellation in exchange for the Per ADS Merger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applicable fees, charges and expenses of the Depositary, stock transfer or other Taxes and other government charges due to or incurred by the Depositary in connection with the cancellation of outstanding ADSs, including cancellation fee of US$0.05 per ADS (collectively, the “</w:t>
      </w:r>
      <w:r>
        <w:rPr>
          <w:rFonts w:ascii="Times New Roman" w:cs="Times New Roman" w:eastAsia="Times New Roman" w:hAnsi="Times New Roman"/>
          <w:sz w:val="18"/>
          <w:szCs w:val="18"/>
          <w:u w:val="single" w:color="auto"/>
          <w:color w:val="auto"/>
        </w:rPr>
        <w:t>ADS Cancellation Fees</w:t>
      </w:r>
      <w:r>
        <w:rPr>
          <w:rFonts w:ascii="Times New Roman" w:cs="Times New Roman" w:eastAsia="Times New Roman" w:hAnsi="Times New Roman"/>
          <w:sz w:val="18"/>
          <w:szCs w:val="18"/>
          <w:color w:val="auto"/>
        </w:rPr>
        <w:t>”)) and cancel all such ADSs so surrendered. For the avoidance of doubt, neither Parent, Merger Sub, the Company nor the Surviving Company shall be responsible for paying the ADS Cancellation Fees on behalf of any third parties (including any other holders of ADSs).</w:t>
      </w:r>
    </w:p>
    <w:p>
      <w:pPr>
        <w:spacing w:after="0" w:line="325" w:lineRule="exact"/>
        <w:rPr>
          <w:rFonts w:ascii="Times New Roman" w:cs="Times New Roman" w:eastAsia="Times New Roman" w:hAnsi="Times New Roman"/>
          <w:sz w:val="18"/>
          <w:szCs w:val="18"/>
          <w:color w:val="auto"/>
        </w:rPr>
      </w:pPr>
    </w:p>
    <w:p>
      <w:pPr>
        <w:jc w:val="both"/>
        <w:ind w:left="1980" w:right="579" w:firstLine="360"/>
        <w:spacing w:after="0" w:line="258" w:lineRule="auto"/>
        <w:tabs>
          <w:tab w:leader="none" w:pos="2773"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shall be paid or will accrue on any amount payable in respect of the Shares or ADSs pursuant to the provisions of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any other provisions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If any Share Certificate shall have been lost, stolen or destroyed, upon the making of an affidavit of that fact by the person claiming such Share Certificate to be lost, stolen or destroyed and, if required by the Surviving Company or the Paying Agent, the posting by such person of a bond, in such reasonable amount as the Surviving Company or the Paying Agent may direct, and</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7" w:lineRule="auto"/>
        <w:rPr>
          <w:sz w:val="20"/>
          <w:szCs w:val="20"/>
          <w:color w:val="auto"/>
        </w:rPr>
      </w:pPr>
      <w:r>
        <w:rPr>
          <w:rFonts w:ascii="Times New Roman" w:cs="Times New Roman" w:eastAsia="Times New Roman" w:hAnsi="Times New Roman"/>
          <w:sz w:val="18"/>
          <w:szCs w:val="18"/>
          <w:color w:val="auto"/>
        </w:rPr>
        <w:t xml:space="preserve">upon such term as may be reasonably required by the Surviving Company or the Paying Agent, as indemnity against any claim that may be made against it with respect to such Share Certificate, the Paying Agent will pay in respect of such lost, stolen or destroyed Share Certificate an amount equal to the Per Share Merger Consideration multiplied by the number of Shares (other than Excluded Shares and Dissenting Shares) represented by such Share Certificate to which the holder thereof is entitled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620" w:right="459" w:firstLine="360"/>
        <w:spacing w:after="0" w:line="242" w:lineRule="auto"/>
        <w:tabs>
          <w:tab w:leader="none" w:pos="234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Untraceable Shareholders</w:t>
      </w:r>
      <w:r>
        <w:rPr>
          <w:rFonts w:ascii="Times New Roman" w:cs="Times New Roman" w:eastAsia="Times New Roman" w:hAnsi="Times New Roman"/>
          <w:sz w:val="18"/>
          <w:szCs w:val="18"/>
          <w:color w:val="auto"/>
        </w:rPr>
        <w:t>. Remittances for the Per Share Merger Consideration or the Per ADS Merger Consideration, as the case may be, shall not be sent to holders of Shares or ADSs who are untraceable unless and until, except as provided below, they notify the Surviving Company, the Paying Agent or the Depositary, as applicable, of their current contact details. A holder of Shares or ADSs will be deemed to be untraceable if (i) such person has no registered address in the register of members maintained by the Company or the Depositary, as applicable, (ii) on the last two (2) consecutive occasions on which a dividend has been paid by the Company a check payable to such person either</w:t>
      </w:r>
    </w:p>
    <w:p>
      <w:pPr>
        <w:spacing w:after="0" w:line="3"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sent to such person and has been returned undelivered or has not been cashed, or (y) has</w:t>
      </w:r>
    </w:p>
    <w:p>
      <w:pPr>
        <w:spacing w:after="0" w:line="7"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 xml:space="preserve">not been sent to such person because on an earlier occasion a check for a dividend so payable has been returned undelivered, and in any such case no valid claim in respect thereof has been communicated in writing to the Company or the Depositary, as applicable, or (iii) notice of the Shareholders Meeting convened to vote on the Merger has been sent to such person and has been returned undelivered. Monies due to shareholders of the Company (including holders of ADSs) who are untraceable shall be returned to the Surviving Company on demand and held in a non-interest-bearing bank account for the benefit of shareholders of the Company (including holders of ADSs) who are untraceable. Shareholders of the Company (including holders of ADSs) who are untraceable but subsequently wish to receive any monies otherwise payable in respect of the Merger within applicable time limits or limitation periods should contact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monies unclaimed as of a date which is immediately prior to such time as such amounts would otherwise escheat to any Governmental Authority pursuant to applicable Laws shall, to the extent permitted by applicable Law, become property of the Surviving Company.</w:t>
      </w:r>
    </w:p>
    <w:p>
      <w:pPr>
        <w:spacing w:after="0" w:line="319" w:lineRule="exact"/>
        <w:rPr>
          <w:sz w:val="20"/>
          <w:szCs w:val="20"/>
          <w:color w:val="auto"/>
        </w:rPr>
      </w:pPr>
    </w:p>
    <w:p>
      <w:pPr>
        <w:ind w:left="1620" w:right="419" w:firstLine="360"/>
        <w:spacing w:after="0" w:line="244" w:lineRule="auto"/>
        <w:tabs>
          <w:tab w:leader="none" w:pos="23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Merger Consideration</w:t>
      </w:r>
      <w:r>
        <w:rPr>
          <w:rFonts w:ascii="Times New Roman" w:cs="Times New Roman" w:eastAsia="Times New Roman" w:hAnsi="Times New Roman"/>
          <w:sz w:val="18"/>
          <w:szCs w:val="18"/>
          <w:color w:val="auto"/>
        </w:rPr>
        <w:t xml:space="preserve">. The Per Share Merger Consideration and the Per ADS Merger Consideration shall be equitably adjusted to reflect appropriately the effect of any share split, reverse share split, share dividend (including any dividend or distribution of securities convertible into Shares), extraordinary cash dividends, reorganization, recapitalization, reclassification, combination, exchange of shares or other like change with respect to Shares or ADSs occurring on or after the date hereof and prior to the Effective Time (but excluding any change that results from any exercise of Company Options or the vesting of any Company RSUs) and to provide to the holders of Shares (including holders of ADSs), Company Options and Company RSUs the same economic effect as contemplated by this Agreement prior to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shall be construed to permit the Company, any Subsidiary of the Company or any other Person to take any action that is otherwise prohibited by the terms of this Agreement.</w:t>
      </w:r>
    </w:p>
    <w:p>
      <w:pPr>
        <w:spacing w:after="0" w:line="115"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The Exchange Fund, pending its disbursement to the holders of Shares and ADSs, shall be invested by the Paying Agent as reasonably directed by Parent or, after the Effective Time,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shall be in obligations of or guaranteed by the United States, in commercial paper obligations rated the highest quality by Moody’s Investors Service, Inc. or Standard &amp; Poor’s Corporation, respectively, in certificates of deposit, bank repurchase agreements or banker’s acceptances of commercial banks with capital exceeding $1 billion, or a combination of the foregoing and, in any such case, no such instrument shall have a maturity exceeding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investment shall affect the amounts payable to the holders of Shares and ADSs (other than holders of Dissenting Shares, Excluded Shares and ADSs representing the Excluded Shares). To the extent that there are losses with respect to such investments, or the Exchange Fund diminishes for other reasons below the level required to make prompt cash payment of the aggregate Merger Consideration as contemplated hereby, Parent shall promptly replace or restore, or cause to be replaced or restored, the cash in the Exchange Fund lost through such investments or other events so as to ensure that the Exchange Fund is at all times maintained at a level sufficient to make such cash payments. Any interest and other income resulting from such investment shall become a part of the Exchange Fund, and any amounts in excess of the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81" w:lineRule="auto"/>
        <w:rPr>
          <w:sz w:val="20"/>
          <w:szCs w:val="20"/>
          <w:color w:val="auto"/>
        </w:rPr>
      </w:pPr>
      <w:r>
        <w:rPr>
          <w:rFonts w:ascii="Times New Roman" w:cs="Times New Roman" w:eastAsia="Times New Roman" w:hAnsi="Times New Roman"/>
          <w:sz w:val="18"/>
          <w:szCs w:val="18"/>
          <w:color w:val="auto"/>
        </w:rPr>
        <w:t xml:space="preserve">payable for the Merger Consideration shall be promptly returned to Parent or the Surviving Company, as requested by Parent. Except as contemplated by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2.04(f)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the Exchange Fund shall not be used for any other purpose.</w:t>
      </w:r>
    </w:p>
    <w:p>
      <w:pPr>
        <w:spacing w:after="0" w:line="96" w:lineRule="exact"/>
        <w:rPr>
          <w:sz w:val="20"/>
          <w:szCs w:val="20"/>
          <w:color w:val="auto"/>
        </w:rPr>
      </w:pPr>
    </w:p>
    <w:p>
      <w:pPr>
        <w:ind w:left="1620" w:right="519" w:firstLine="360"/>
        <w:spacing w:after="0" w:line="270" w:lineRule="auto"/>
        <w:tabs>
          <w:tab w:leader="none" w:pos="23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that remains unclaimed by the holders of Shares or ADSs for nine (9) months after the Effective Time shall be delivered to the Surviving Company upon demand, and any holders of Shares and ADSs (other than Excluded Shares)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Company for the cash to which they are entitled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without any interest thereon.</w:t>
      </w:r>
    </w:p>
    <w:p>
      <w:pPr>
        <w:spacing w:after="0" w:line="104" w:lineRule="exact"/>
        <w:rPr>
          <w:rFonts w:ascii="Times New Roman" w:cs="Times New Roman" w:eastAsia="Times New Roman" w:hAnsi="Times New Roman"/>
          <w:sz w:val="18"/>
          <w:szCs w:val="18"/>
          <w:color w:val="auto"/>
        </w:rPr>
      </w:pPr>
    </w:p>
    <w:p>
      <w:pPr>
        <w:ind w:left="1620" w:right="459" w:firstLine="360"/>
        <w:spacing w:after="0" w:line="263" w:lineRule="auto"/>
        <w:tabs>
          <w:tab w:leader="none" w:pos="23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Paying Agent, the Rollover Shareholders,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Authority shall become, to the extent permitted by applicable Laws, the property of the Surviving Company or its designee, free and clear of all claims or interest of any person previously entitled thereto.</w:t>
      </w:r>
    </w:p>
    <w:p>
      <w:pPr>
        <w:spacing w:after="0" w:line="129"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0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Notwithstanding anything herein to the contrary, each of Parent, the Surviving Company, the Paying Agent, Merger Sub and the Depositary shall be entitled to deduct and withhold (or cause to be deducted and withheld) from any amounts otherwise payable pursuant to this Agreement such amounts as it is required to deduct and withhold with respect to the making of such payment under any provision of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other than with respect to withholding with respect to any payments in the nature of compensation, Parent shall, in the event that the Paying Agent, Parent or Merger Sub is the withholding party, prior to any deduction or withholding, use reasonable best efforts to (A) notify the Company of any anticipated withholding, (B) consult with the Company in good faith to determine whether such deduction and withholding is required under applicable Law, and (C) to the extent legally permissible and reasonably practicable, reasonably cooperate with the Company to minimize the amount of any such applicable withholding. To the extent that amounts are so withheld by Parent, the Surviving Company, the Paying Agent, Merger Sub or the Depositary, as the case may be, such withheld amounts shall be (i) remitted by Parent, the Surviving Company, the Paying Agent, Merger Sub or the Depositary, as applicable, to the applicable Governmental Authority, and (ii) to the extent so remitted, treated for all purposes of this Agreement as having been paid to the Person in respect of which such deduction and withholding was made by Parent, the Surviving Company, the Paying Agent, Merger Sub or the Depositary, as the case may be.</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Paying Agent, Parent or Surviving Company for transfer or any other reason shall be cancelled, in exchange for the right to receive the cash consideration to which the holders thereof are entitled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case of Shares other than the Excluded Shares and the Dissenting Shares, and for no consideration in the case of Excluded Shares and only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the case of the Dissenting Shares.</w:t>
      </w:r>
    </w:p>
    <w:p>
      <w:pPr>
        <w:spacing w:after="0" w:line="1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Termination of Deposit Agreement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the Surviving Company shall provide notice to JPMorgan Chase Bank, N.A.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to terminate the deposit agreement dated December 21, 2017 and as amended as of October 31, 2022, among the Company, the Depositary and all holders from time to time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in accordance with its terms.</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following representations and warranties by the Company are qualified by reference to (a) all disclosures in the Company SEC Reports filed with or furnished to the SEC on or after the Applicable Date and prior to the date hereof (without giving effect to any amendment to any such Company SEC Reports filed on or after the date hereof) but excluding (i) statements in any “Risk Factors” and/or “Forward-Looking Statements” section(s) of any such Company SEC Report, and (ii) those statements that are cautionary, predictive or forward-looking in nature, (b) any information that would cause one or more of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be untrue or incorrect, of which Rise Chain has knowledge prior to the date of this Agreement, and (c) the Company Disclosure Schedule delivered to Parent and Merger Sub prior to or contemporaneously with the execution of this Agreement (it being understood that any information set forth in one section or subsection of the Company Disclosure Schedule shall be deemed disclosure with respect to any other section or subsection of this Agreement to the extent the relevance of such item is reasonably apparent from the face of such disclosure). Subject to the foregoing, the Company hereby represents and warrants to Parent and Merger Sub that:</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3" w:lineRule="auto"/>
        <w:tabs>
          <w:tab w:leader="none" w:pos="233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an entity duly incorporated or organized, as applicable, validly existing and in good standing (with respect to jurisdictions which recognize such concept) under the Laws of the jurisdiction of its incorporation or organization. Each of the Company and its Subsidiaries has the requisite corporate or similar power and authority to own, lease and operate its properties and assets and to conduct its business as now being conducted, except where the failure to have such power or authority would not reasonably be expected to have a Company Material Adverse Effect. The Company and each of its Subsidiaries is duly qualified or licensed to do business and is in good standing (with respect to jurisdictions which recognize such concept), in each case, in all material respects, in each jurisdiction in which the nature of its business or the ownership, leasing or operation of its properties makes such qualification or licensing necessary.</w:t>
      </w:r>
    </w:p>
    <w:p>
      <w:pPr>
        <w:spacing w:after="0" w:line="126" w:lineRule="exact"/>
        <w:rPr>
          <w:rFonts w:ascii="Times New Roman" w:cs="Times New Roman" w:eastAsia="Times New Roman" w:hAnsi="Times New Roman"/>
          <w:sz w:val="18"/>
          <w:szCs w:val="18"/>
          <w:color w:val="auto"/>
        </w:rPr>
      </w:pPr>
    </w:p>
    <w:p>
      <w:pPr>
        <w:ind w:left="1620" w:right="499" w:firstLine="360"/>
        <w:spacing w:after="0" w:line="255" w:lineRule="auto"/>
        <w:tabs>
          <w:tab w:leader="none" w:pos="234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3.01(b) of the Company Disclosure Schedule sets forth a complete and accurate structure chart that depicts or otherwise lists each Group Company and each other entity in which a Group Company owns or otherwise holds any equity interest as of the date hereof, together with (i) the jurisdiction of organization or formation of each such Group Company or other entity,</w:t>
      </w:r>
    </w:p>
    <w:p>
      <w:pPr>
        <w:spacing w:after="0" w:line="2" w:lineRule="exact"/>
        <w:rPr>
          <w:rFonts w:ascii="Times New Roman" w:cs="Times New Roman" w:eastAsia="Times New Roman" w:hAnsi="Times New Roman"/>
          <w:sz w:val="18"/>
          <w:szCs w:val="18"/>
          <w:color w:val="auto"/>
        </w:rPr>
      </w:pPr>
    </w:p>
    <w:p>
      <w:pPr>
        <w:ind w:left="1620" w:right="519"/>
        <w:spacing w:after="0" w:line="253" w:lineRule="auto"/>
        <w:tabs>
          <w:tab w:leader="none" w:pos="190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outstanding issued share capital or registered capital, as the case may be, of each such Group Company or other entity owned or otherwise held by the applicable Group Company, and (iii) the other shareholder(s) of such Group Company or other entity. As of the date hereof, there are no other corporations, companies, partnerships or other entities in which a Group Company controls, owns, of record or beneficially, or otherwise holds any direct or indirect Equity Securities or other equity interest.</w:t>
      </w:r>
    </w:p>
    <w:p>
      <w:pPr>
        <w:spacing w:after="0" w:line="33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Constitutional Documents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has heretofore furnished or otherwise made available to Parent a complete and accurate copy of the memorandum and articles of association or equivalent organizational documents, each as amended to date, of each Group Company. Such memorandum and articles of association or equivalent organizational documents are in full force and effect as of the date hereof. No Group Company is in violation of any of the provisions of its memorandum and articles of association or equivalent organizational documents in any material respect.</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6" w:lineRule="auto"/>
        <w:tabs>
          <w:tab w:leader="none" w:pos="233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$100,000 divided into 100,000,000 Shares, par value of US$0.001 per share, of which 80,000,000 are Class A Shares and 20,000,000 are Class B Shares. As of the date of this Agreement, (i) 44,477,356 Class A Shares and 5,034,427 Class B Shares are issued and outstanding, all of which have been duly authorized and are validly issued, fully paid and non-assessable, and are not subject to and were not issued in violation of any pre-emptive rights, purchase options, call or right of first refusal or similar rights, (ii) 2,291,515 Class A Shares are reserved for future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issuance pursuant to the outstanding Company Options and Company RSUs, and (iii) 6,398,616 shares are issued and held by the Company as treasury shares.</w:t>
      </w:r>
    </w:p>
    <w:p>
      <w:pPr>
        <w:spacing w:after="0" w:line="81" w:lineRule="exact"/>
        <w:rPr>
          <w:sz w:val="20"/>
          <w:szCs w:val="20"/>
          <w:color w:val="auto"/>
        </w:rPr>
      </w:pPr>
    </w:p>
    <w:p>
      <w:pPr>
        <w:ind w:left="1620" w:right="479" w:firstLine="360"/>
        <w:spacing w:after="0" w:line="243" w:lineRule="auto"/>
        <w:tabs>
          <w:tab w:leader="none" w:pos="23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3.03(b) of the Company Disclosure Schedule sets forth the following information with respect to each Vested Company Option outstanding as of the date of this Agreement: (i) the number of Shares subject to such Vested Company Option, (ii) the exercise or purchase price of such Vested Company Option, (iii) the date on which such Vested Company Option was granted, (iv) the date on which such Vested Company Option expires, and (v) the amount of the cash payment being paid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exchange for the cancellation of such Vested Company Option. As of the date of this Agreement, the Company has no outstanding Unvested Company Options. There are no commitments or agreements of any character to which any Group Company is bound obligating such Group Company to accelerate or otherwise alter the vesting of any Company Option as a result of the Transactions.</w:t>
      </w:r>
    </w:p>
    <w:p>
      <w:pPr>
        <w:spacing w:after="0" w:line="327"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3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3.03(c) of the Company Disclosure Schedule sets forth the following information with respect to each Unvested Company RSU outstanding as of the date of this Agreement (where applicable): (i) the number of Shares subject to such Unvested Company RSU, (ii) the date on which such Unvested Company RSU was granted, and (iii) the date on which such Unvested Company RSU expires. As of the date of this Agreement, the Company has no outstanding Vested Company RSU that has not been converted into ADSs. There are no commitments or agreements of any character to which any Group Company is bound obligating such Group Company to accelerate or otherwise alter the vesting of any Company RSU as a result of the Transactions.</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the rights under the Control Documents, (ii) the Company Options and the Company RSUs described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respectively, that are being cancelled at the Effective Time in exchange for a cash payment or an equity incentive award from the Parent after the Effective Time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(iii) other agreements set forth in Section 3.03(d) of the Company Disclosure Schedule, (x) there are no options, warrants, preemptive rights, conversion rights, redemption rights, share appreciation rights, repurchase rights, convertible debt, other convertible instruments or other rights, agreements, arrangements or commitments of any character issued by any Group Company relating to the issued or unissued share capital of any Group Company or obligating any Group Company to issue, transfer or sell or cause to be issued, transferred or sold any Equity Securities of any Group Company or any securities or obligations convertible or exchangeable into or exercisable for, or giving any person a right to subscribe for or acquire, any securities of any Group Company and no securities or obligations evidencing such rights are authorized, issued or outstanding, (y) there are no outstanding contractual obligations of any Group Company to repurchase, redeem or otherwise acquire any Equity Securities of any Group Company, and (z) the Company does not have any outstanding bonds, debentures, notes or other obligations that provide the holders thereof with the right to vote (or are convertible into or exchangeable or exercisable for securities having the right to vote) on any matter on which the shareholders of the Company may vote. Neither the Company nor any of its Subsidiaries has any secured creditors holding a fixed or floating security interest.</w:t>
      </w:r>
    </w:p>
    <w:p>
      <w:pPr>
        <w:spacing w:after="0" w:line="335" w:lineRule="exact"/>
        <w:rPr>
          <w:rFonts w:ascii="Times New Roman" w:cs="Times New Roman" w:eastAsia="Times New Roman" w:hAnsi="Times New Roman"/>
          <w:sz w:val="18"/>
          <w:szCs w:val="18"/>
          <w:color w:val="auto"/>
        </w:rPr>
      </w:pPr>
    </w:p>
    <w:p>
      <w:pPr>
        <w:ind w:left="1620" w:right="599" w:firstLine="360"/>
        <w:spacing w:after="0" w:line="242" w:lineRule="auto"/>
        <w:tabs>
          <w:tab w:leader="none" w:pos="233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each outstanding Company Option was validly made and properly approved by the Company Board or a duly authorized committee thereof and any shareholders’ approval by the necessary number of votes in compliance with the terms of the relevant Company Share Plans,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rules and regulations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all other applicable Laws in all material respects. The grant of each Company RSU was validly made and properly approved by the Company Board or a duly authorized committee thereof and any shareholders’ approval by the necessary number of votes in compliance with the terms of the relevant Company Share Plans, the Exchange Act, the rules and regulations of Nasdaq and all other applicable Laws in all material respects.</w:t>
      </w:r>
    </w:p>
    <w:p>
      <w:pPr>
        <w:spacing w:after="0" w:line="119" w:lineRule="exact"/>
        <w:rPr>
          <w:rFonts w:ascii="Times New Roman" w:cs="Times New Roman" w:eastAsia="Times New Roman" w:hAnsi="Times New Roman"/>
          <w:sz w:val="18"/>
          <w:szCs w:val="18"/>
          <w:color w:val="auto"/>
        </w:rPr>
      </w:pPr>
    </w:p>
    <w:p>
      <w:pPr>
        <w:ind w:left="1620" w:right="919" w:firstLine="360"/>
        <w:spacing w:after="0" w:line="250" w:lineRule="auto"/>
        <w:tabs>
          <w:tab w:leader="none" w:pos="231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capital or registered capital, as the case may be, of each of the Company’s Subsidiaries is duly authorized, validly issued, fully paid and non-assessable, and the portion of the outstanding share capital or registered capital, as the case may be, of each of the Company’s Subsidiaries is owned by such Group Company free and clear of all Liens (except for Permitted Liens).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Authorization; Fairness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4" w:lineRule="auto"/>
        <w:tabs>
          <w:tab w:leader="none" w:pos="233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subject only to receipt of the Requisite Company Vote, to execute and deliver the Plan of Merger and to consummate the Merger and the other Transactions. The execution, delivery and performance by the Company of this Agreement and the Plan of Merger, and the consummation of the Merger and the other Transactions, have been duly and validly authorized by the Company Board and other than such filings and recordation as required by the CICA, no other corporate action on the part of the Company is necessary to authorize the execution and delivery by the Company of this Agreement and the Plan of Merger, and the consummation by it of the Transactions, subject only, in each case, to receipt of the Requisite Company Vote.</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4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Company and, assuming due and valid authorization, execution and delivery hereof by Parent and Merger Sub, is a valid and binding obligation of the Company enforceable against the Company in accordance with its terms, except that the enforcement hereof may be limited by (i) bankruptcy, insolvency, fraudulent conveyance, reorganization, moratorium or other similar Laws, now or hereafter in effect, relating to creditors’ rights generally, and (ii) general principles of equity (regardless of whether enforceability is considered in a proceeding in equity or at Law) ((i) and (ii)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3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acting upon the unanimous recommendation of the Special Committee, by resolutions duly adopted by unanimous vote of those directors voting at a meeting duly called and held and not subsequently rescinded or modified in a manner adverse to Parent, has (i) determined that it is fair to, and in the best and commercial interests of, the Company and its shareholders (other than the holders of Excluded Shares), and declared it advisable, for the Company to enter into this Agreement and the Plan of Merger and to consummate the Transactions, including the Merger;</w:t>
      </w:r>
    </w:p>
    <w:p>
      <w:pPr>
        <w:spacing w:after="0" w:line="2" w:lineRule="exact"/>
        <w:rPr>
          <w:rFonts w:ascii="Times New Roman" w:cs="Times New Roman" w:eastAsia="Times New Roman" w:hAnsi="Times New Roman"/>
          <w:sz w:val="18"/>
          <w:szCs w:val="18"/>
          <w:color w:val="auto"/>
        </w:rPr>
      </w:pPr>
    </w:p>
    <w:p>
      <w:pPr>
        <w:ind w:left="1620" w:right="439"/>
        <w:spacing w:after="0" w:line="239" w:lineRule="auto"/>
        <w:tabs>
          <w:tab w:leader="none" w:pos="190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this Agreement and the Plan of Merger and the consummation of the Transactions, including the Merger; (iii) resolved to recommend the authorization and approval of this Agreement, the Plan of Merger and the consummation of the Transactions, including the Merger, to the holders of Shares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and direct that this Agreement, the Plan of Merger and the consummation of the Transactions, including the Merger, be submitted for approval by the shareholders of the Company at the Shareholders Meeting, and (iv) taken all such actions as may be required to enter into this Agreement and, as of the Closing Date, shall have taken all actions as may be required to be taken by the Company to effect the Transactions, including the Merger. As of the date of this Agreement, the foregoing determinations and resolutions have not been rescinded, modified or withdrawn in any way.</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4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has received from Houlihan Lokey (China) Limited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its written opinion, dated the date of this Agreement, to the effect that, as of the date of such opinion and based upon and subject to the limitations, qualifications, assumptions and other matters set forth therein, the Per Share Merger Consideration to be received by the holders of Shares (other than Excluded Shares, the Dissenting Shares and Shares represented by ADSs) and the Per ADS Merger Consideration to be received by the holders of ADSs (other than ADSs representing the Excluded Shares) are fair, from a financial point of view, to such holders, a copy of which opinion will be made available to Parent promptly after the execution of this Agreement solely for information purposes (it is agreed and understood that such opinion may not be relied on by Parent, Merger Sub or any of their respective Affiliates). The Financial Advisor has consented to the inclusion of a copy of such opinion in the Proxy Statement and Schedule 13E-3.</w:t>
      </w:r>
    </w:p>
    <w:p>
      <w:pPr>
        <w:spacing w:after="0" w:line="11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19" w:firstLine="360"/>
        <w:spacing w:after="0" w:line="245" w:lineRule="auto"/>
        <w:tabs>
          <w:tab w:leader="none" w:pos="23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3.05 of the Company Disclosure Schedule, none of the execution, delivery or performance of this Agreement by the Company, the consummation by the Company of the Merger or any other Transaction or compliance by the Company with any of the provisions of this Agreement will (i) assuming the Requisite Company Vote is obtained, conflict with or result in any breach of any provision of the organizational or governing documents of any Group Company, (ii) require any consent or waiver by any Person under, result in a modification, violation or breach of, or constitute (with or without notice or lapse of time or both) a default (or give rise to any</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6" w:lineRule="auto"/>
        <w:rPr>
          <w:sz w:val="20"/>
          <w:szCs w:val="20"/>
          <w:color w:val="auto"/>
        </w:rPr>
      </w:pPr>
      <w:r>
        <w:rPr>
          <w:rFonts w:ascii="Times New Roman" w:cs="Times New Roman" w:eastAsia="Times New Roman" w:hAnsi="Times New Roman"/>
          <w:sz w:val="18"/>
          <w:szCs w:val="18"/>
          <w:color w:val="auto"/>
        </w:rPr>
        <w:t xml:space="preserve">right, including any right of termination, amendment, cancellation or acceleration) under, any of the terms, conditions or provisions of any Contract, (iii) result in the creation or imposition of any Lien (other than Permitted Liens) on any asset of the Company or any of its Subsidiaries, or (iv) assuming the Requisite Company Vote is obtained and the Requisite Approvals are complied with and completed, violate any Order or Law applicable to the Company, any Subsidiary of the Company, or any of their respective properties, assets or operations; except, with respect to each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for any such conflict, breach, violation, default, modification, right, creation of any Lien or other occurrence which would not reasonably be expected to have a Company Material Adverse Effect.</w:t>
      </w:r>
    </w:p>
    <w:p>
      <w:pPr>
        <w:spacing w:after="0" w:line="112" w:lineRule="exact"/>
        <w:rPr>
          <w:sz w:val="20"/>
          <w:szCs w:val="20"/>
          <w:color w:val="auto"/>
        </w:rPr>
      </w:pPr>
    </w:p>
    <w:p>
      <w:pPr>
        <w:ind w:left="1620" w:right="499" w:firstLine="360"/>
        <w:spacing w:after="0" w:line="241" w:lineRule="auto"/>
        <w:tabs>
          <w:tab w:leader="none" w:pos="23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the consummation by the Company of the Merger or any other Transaction or compliance by the Company with any of the provisions of this Agreement will require any filing by the Company or any of its Subsidiaries with, or the obtaining of any permit, authorization, consent or approval of, any court, arbitral tribunal, administrative agency or commission or other governmental or other regulatory authority or agency, whether foreign, federal, state, local or supranational, or any self-regulatory or quasi-governmental authority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for (i) compliance with any applicable requirements of the Securities Act and the Exchange Act, (ii) the filing of the Plan of Merger and related documentation with the Registrar of Companies of the Cayman Islands and the publication of notification of the Merger in the Cayman Islands Government Gazette pursuant to the CICA, (iii) such filings with the SEC as may be required to be made by the Company in connection with this Agreement and the Merger, including the joining of the Company in the filing of the Schedule 13E-3, which shall incorporate by reference the Proxy Statement, and the filing or furnishing of one or more amendments to the Schedule 13E-3 to respond to comments of the SEC, if any, on the Schedule 13E-3, (iv) such filings as may be required under the Nasdaq rules and regulations in connection with this Agreement or the Merger (items (i) through (iv) together, the “</w:t>
      </w:r>
      <w:r>
        <w:rPr>
          <w:rFonts w:ascii="Times New Roman" w:cs="Times New Roman" w:eastAsia="Times New Roman" w:hAnsi="Times New Roman"/>
          <w:sz w:val="18"/>
          <w:szCs w:val="18"/>
          <w:u w:val="single" w:color="auto"/>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and (v) any such other filing, permit, authorization, consent or approval, the failure of which to make or obtain would not, individually or in the aggregate, reasonably be expected to materially and adversely affect the Company or the consummation by the Company of the Merger.</w:t>
      </w:r>
    </w:p>
    <w:p>
      <w:pPr>
        <w:spacing w:after="0" w:line="3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is in possession of all franchises, grants, authorizations, licenses, permits, easements, variances, exceptions, consents, certificates, approvals and orders of any Governmental Authority necessary for it to own, lease, operate and use its properties and assets or to carry on its business as it is now being conducted (the “</w:t>
      </w:r>
      <w:r>
        <w:rPr>
          <w:rFonts w:ascii="Times New Roman" w:cs="Times New Roman" w:eastAsia="Times New Roman" w:hAnsi="Times New Roman"/>
          <w:sz w:val="18"/>
          <w:szCs w:val="18"/>
          <w:u w:val="single" w:color="auto"/>
          <w:color w:val="auto"/>
        </w:rPr>
        <w:t>Material Company Permits</w:t>
      </w:r>
      <w:r>
        <w:rPr>
          <w:rFonts w:ascii="Times New Roman" w:cs="Times New Roman" w:eastAsia="Times New Roman" w:hAnsi="Times New Roman"/>
          <w:sz w:val="18"/>
          <w:szCs w:val="18"/>
          <w:color w:val="auto"/>
        </w:rPr>
        <w:t>”), except where the failure to be in possession of such Material Company Permits would not reasonably be expected to have a Company Material Adverse Effect. All of the Material Company Permits are valid and in full force and effect and passed their respective annual or periodic inspection or renewal in accordance with applicable Laws, and no suspension or cancellation of any of the Material Company Permits is pending or, to the knowledge of the Company, threatened in writing, except for any suspensions or cancellations that would not materially and adversely affect such Group Company’s business.</w:t>
      </w:r>
    </w:p>
    <w:p>
      <w:pPr>
        <w:spacing w:after="0" w:line="118" w:lineRule="exact"/>
        <w:rPr>
          <w:rFonts w:ascii="Times New Roman" w:cs="Times New Roman" w:eastAsia="Times New Roman" w:hAnsi="Times New Roman"/>
          <w:sz w:val="18"/>
          <w:szCs w:val="18"/>
          <w:color w:val="auto"/>
        </w:rPr>
      </w:pPr>
    </w:p>
    <w:p>
      <w:pPr>
        <w:ind w:left="1620" w:right="819" w:firstLine="360"/>
        <w:spacing w:after="0" w:line="258" w:lineRule="auto"/>
        <w:tabs>
          <w:tab w:leader="none" w:pos="234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have been in compliance with all applicable Laws and the applicable listing, corporate governance and other rules and regulations of Nasdaq in all material respects.</w:t>
      </w:r>
    </w:p>
    <w:p>
      <w:pPr>
        <w:spacing w:after="0" w:line="10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preceding five (5) years, none of the Company or any of its Subsidiaries, any officer or director of any of the foregoing, or, to the knowledge of the Company, any agent, employee or other Person acting on behalf of any of the foregoing, (i) is or has been in violation of any provision of the U.S. Foreign Corrupt Practices Act of 1977 (as amended), any applicable anti-corruption Laws of the PRC (including the Criminal Law of the PRC passed by the National People’s Congress on July 1, 1979 (as amended), the Law of the PRC for Countering Unfair Competition passed by the National People’s Congress on September 2, 1993 (as amended) and the Interim Provisions Prevention of Commercial Bribery passed by the State Administration for Industry and Commerce of the PRC on November 15, 1996), the Prevention of Bribery Ordinance of Hong Kong, the Banking Ordinance of Hong Kong and the Independent Commission Against Corruption Ordinance of Hong Kong, or any other similar applicable Law that prohibits corruption or bribery and regulates record keeping and internal controls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has instituted and maintains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policies and procedures reasonably designed to ensure compliance with the Anti-Corruption Laws by the Company and its Subsidiaries. During the five (5) years prior to the date hereof, neither the Company nor any of its subsidiaries has, in connection with or relating to the business of the Company or any of its Subsidiaries, (i) received from any Governmental Authority any written notice, citation or inquiry regarding any actual or potential non-compliance with any applicable Anti-Corruption Laws,</w:t>
      </w:r>
    </w:p>
    <w:p>
      <w:pPr>
        <w:spacing w:after="0" w:line="3" w:lineRule="exact"/>
        <w:rPr>
          <w:sz w:val="20"/>
          <w:szCs w:val="20"/>
          <w:color w:val="auto"/>
        </w:rPr>
      </w:pPr>
    </w:p>
    <w:p>
      <w:pPr>
        <w:jc w:val="both"/>
        <w:ind w:left="1620" w:right="479"/>
        <w:spacing w:after="0" w:line="242" w:lineRule="auto"/>
        <w:tabs>
          <w:tab w:leader="none" w:pos="190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voluntary, directed, or involuntary disclosure to a Governmental Authority for any actual or potential non-compliance with any applicable Anti-Corruption Laws, or (iii) is aware of any internal or Governmental Authority-led investigation regarding actual or potential non-compliance with any applicable Anti-Corruption Laws.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u w:val="single" w:color="auto"/>
          <w:color w:val="auto"/>
        </w:rPr>
        <w:t>SEC Filings; Financial Statements; Bank Accounts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tabs>
          <w:tab w:leader="none" w:pos="233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otherwise furnished (as applicable), all forms, reports, statements, schedules and other documents required to be filed with or furnished to the SEC by the Company since January 1, 2022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(such forms, reports, statements, schedules and other documents filed since the Applicable Date including any amendments thereto and all exhibits and schedules thereto and documents incorporated by reference therein,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 date of filing, in the case of the Company SEC Reports filed pursuant to the Exchange Act (and to the extent such Company SEC Reports were amended, as of the date of filing of such amendment), and as of the date of effectiveness in the case of Company SEC Reports filed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the extent such Company SEC Reports were amended, as of the date of effectiveness of such amendment), the Company SEC Reports (i) complied in all material respects with either the requirements of the Securities Act or the Exchange Act, as the case may be, and the rules and regulations promulgated thereunder, each as in effect on the date so filed or effective, and (ii) did not contain any untrue statement of a material fact or omit to state a material fact necessary in order to make the statements made therein, in the light of the circumstances under which they were made, not misleading as of its filing date or effective date (as applicable). As of the date hereof, except as set forth in Section 3.07(a) of the Company Disclosure Schedule, (A) there are no material outstanding or unresolved comments in comment letters received from the SEC or its staff, and (B) none of the Subsidiaries of the Company is subject to the reporting requirements of Section 13a or 15d of the Exchange Act.</w:t>
      </w:r>
    </w:p>
    <w:p>
      <w:pPr>
        <w:spacing w:after="0" w:line="130" w:lineRule="exact"/>
        <w:rPr>
          <w:rFonts w:ascii="Times New Roman" w:cs="Times New Roman" w:eastAsia="Times New Roman" w:hAnsi="Times New Roman"/>
          <w:sz w:val="18"/>
          <w:szCs w:val="18"/>
          <w:color w:val="auto"/>
        </w:rPr>
      </w:pPr>
    </w:p>
    <w:p>
      <w:pPr>
        <w:ind w:left="1620" w:right="539" w:firstLine="360"/>
        <w:spacing w:after="0" w:line="244" w:lineRule="auto"/>
        <w:tabs>
          <w:tab w:leader="none" w:pos="23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thereto) contained in or incorporated by reference into the Company SEC Reports (i) was prepared, in all material respects, in accordance with (x) the published rules and regulations of the SEC with respect thereto as of their respective dates, and (y)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indicated, and (ii) fairly presented, in all material respects, the financial position of the Company as at the respective dates thereof and the results of operations and cash flows of the Company for the respective periods indicated therein in conformity with GAAP. There are no unconsolidated Subsidiaries of the Company within the meaning of GAAP.</w:t>
      </w:r>
    </w:p>
    <w:p>
      <w:pPr>
        <w:spacing w:after="0" w:line="328"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the consolidated financial statements of the Company and its Subsidiaries (including the notes thereto) included in the Company’s annual report on Form 20-F filed with the SEC on May 11, 2023 (as further amended on October 31, 2023) or otherwise disclosed by the Company in current reports on Form 6-K, no Group Company has any outstanding liability or obligation of any nature (whether accrued, absolute, contingent or otherwise), except for liabilities or</w:t>
      </w:r>
    </w:p>
    <w:p>
      <w:pPr>
        <w:spacing w:after="0" w:line="1" w:lineRule="exact"/>
        <w:rPr>
          <w:sz w:val="20"/>
          <w:szCs w:val="20"/>
          <w:color w:val="auto"/>
        </w:rPr>
      </w:pPr>
    </w:p>
    <w:p>
      <w:pPr>
        <w:ind w:left="1620" w:right="479"/>
        <w:spacing w:after="0" w:line="235" w:lineRule="auto"/>
        <w:rPr>
          <w:sz w:val="20"/>
          <w:szCs w:val="20"/>
          <w:color w:val="auto"/>
        </w:rPr>
      </w:pPr>
      <w:r>
        <w:rPr>
          <w:rFonts w:ascii="Times New Roman" w:cs="Times New Roman" w:eastAsia="Times New Roman" w:hAnsi="Times New Roman"/>
          <w:sz w:val="18"/>
          <w:szCs w:val="18"/>
          <w:color w:val="auto"/>
        </w:rPr>
        <w:t>obligations (A) incurred in the ordinary course of business consistent with past practice since December 31, 2022, (B) incurred pursuant to this Agreement or in connection with the Transactions, or</w:t>
      </w:r>
    </w:p>
    <w:p>
      <w:pPr>
        <w:spacing w:after="0" w:line="1" w:lineRule="exact"/>
        <w:rPr>
          <w:sz w:val="20"/>
          <w:szCs w:val="20"/>
          <w:color w:val="auto"/>
        </w:rPr>
      </w:pPr>
    </w:p>
    <w:p>
      <w:pPr>
        <w:ind w:left="1620" w:right="419"/>
        <w:spacing w:after="0" w:line="242" w:lineRule="auto"/>
        <w:tabs>
          <w:tab w:leader="none" w:pos="19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 not, or would not reasonably be expected to have a Company Material Adverse Effect. Neither the Company nor any of its Subsidiaries is a party to, or has any commitment to become a party to, any “off balance sheet arrangement” within the meaning of Item 303 of Regulation S-K promulgated under the Securities Act.</w:t>
      </w:r>
    </w:p>
    <w:p>
      <w:pPr>
        <w:spacing w:after="0" w:line="117" w:lineRule="exact"/>
        <w:rPr>
          <w:rFonts w:ascii="Times New Roman" w:cs="Times New Roman" w:eastAsia="Times New Roman" w:hAnsi="Times New Roman"/>
          <w:sz w:val="18"/>
          <w:szCs w:val="18"/>
          <w:color w:val="auto"/>
        </w:rPr>
      </w:pPr>
    </w:p>
    <w:p>
      <w:pPr>
        <w:ind w:left="1620" w:right="499" w:firstLine="360"/>
        <w:spacing w:after="0" w:line="251" w:lineRule="auto"/>
        <w:tabs>
          <w:tab w:leader="none" w:pos="234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certifications and statements required by Rule 13a-14 or Rule 15d-14 under the Exchange Act or 18 U.S.C. Section 1350 (Section 906 of the Sarbanes Oxley Act of 2002) with respect to any Company SEC Report. The Company is in compliance, in all material respects, with all provisions of the Sarbanes-Oxley Act of 2002 which are applicable to it.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has established and maintains disclosure controls and procedures required by Rule 13a-15 or Rule 15d-15 under the Exchange Act to ensure that all material information concerning the Company and its Subsidiaries required to be included in reports filed under the Exchange Act is made known on a timely basis to the individuals responsible for the preparation of the Company’s SEC filings and other public disclosure documents.</w:t>
      </w:r>
    </w:p>
    <w:p>
      <w:pPr>
        <w:spacing w:after="0" w:line="110" w:lineRule="exact"/>
        <w:rPr>
          <w:sz w:val="20"/>
          <w:szCs w:val="20"/>
          <w:color w:val="auto"/>
        </w:rPr>
      </w:pPr>
    </w:p>
    <w:p>
      <w:pPr>
        <w:ind w:left="1620" w:right="439" w:firstLine="360"/>
        <w:spacing w:after="0" w:line="250" w:lineRule="auto"/>
        <w:tabs>
          <w:tab w:leader="none" w:pos="233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accounting established and administered in accordance with GAAP in all material respects. The Group Companies maintain a system of internal accounting controls that is sufficient to provide reasonable assurance regarding the reliability of financial reporting and preparation of financial statements for external purposes in accordance with GAAP.</w:t>
      </w:r>
    </w:p>
    <w:p>
      <w:pPr>
        <w:spacing w:after="0" w:line="109"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set forth in Section 3.07(f) of the Company Disclosure Schedule (“</w:t>
      </w:r>
      <w:r>
        <w:rPr>
          <w:rFonts w:ascii="Times New Roman" w:cs="Times New Roman" w:eastAsia="Times New Roman" w:hAnsi="Times New Roman"/>
          <w:sz w:val="18"/>
          <w:szCs w:val="18"/>
          <w:u w:val="single" w:color="auto"/>
          <w:color w:val="auto"/>
        </w:rPr>
        <w:t>Company</w:t>
      </w:r>
    </w:p>
    <w:p>
      <w:pPr>
        <w:spacing w:after="0" w:line="15" w:lineRule="exact"/>
        <w:rPr>
          <w:rFonts w:ascii="Times New Roman" w:cs="Times New Roman" w:eastAsia="Times New Roman" w:hAnsi="Times New Roman"/>
          <w:sz w:val="18"/>
          <w:szCs w:val="18"/>
          <w:color w:val="auto"/>
        </w:rPr>
      </w:pP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3.07(f)</w:t>
      </w:r>
      <w:r>
        <w:rPr>
          <w:rFonts w:ascii="Times New Roman" w:cs="Times New Roman" w:eastAsia="Times New Roman" w:hAnsi="Times New Roman"/>
          <w:sz w:val="18"/>
          <w:szCs w:val="18"/>
          <w:color w:val="auto"/>
        </w:rPr>
        <w:t>”) is a true, correct and complete list of all bank accounts of, controlled or used by, the Company and each of its Subsidiaries, VIE Entities and Controlled Entities as of the date set forth therein. Other than as set forth in Company Schedule 3.07(f), the Company and each of its Subsidiaries, VIE Entities and Controlled Entities have no other bank accounts as of the date hereof. There shall have been no material changes to the amount of the cash balances set forth in Company</w:t>
      </w:r>
    </w:p>
    <w:p>
      <w:pPr>
        <w:spacing w:after="0" w:line="2" w:lineRule="exact"/>
        <w:rPr>
          <w:rFonts w:ascii="Times New Roman" w:cs="Times New Roman" w:eastAsia="Times New Roman" w:hAnsi="Times New Roman"/>
          <w:sz w:val="18"/>
          <w:szCs w:val="18"/>
          <w:color w:val="auto"/>
        </w:rPr>
      </w:pPr>
    </w:p>
    <w:p>
      <w:pPr>
        <w:ind w:left="1620" w:right="47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3.07(f) for each account listed therein as of the date hereof and as of the Closing, except for any changes to cash balances due to the Group Companies’ ordinary course of business consistent with past practice (including (i) any drawdown, repayment and related fees in connection with the Group Companies’ loans to Creative Big Limited, and (ii) settlement of legal fees and professional fees incurred in connection with the Company’s Exchange Act reporting obligations or the Transactions).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Proxy Statement (including any amendment or supplement thereto or document incorporated by reference therein) and the information supplied by the Company for inclusion in the Schedule 13E-3 (including any amendment or supplement thereto or document incorporated by reference therein including the notice of the Shareholders Meeting and the form of proxy) shall not (i) on the date the Proxy Statement (including any amendment or supplement thereto) is first mailed to shareholders of the Company or at the time of the Shareholders Meeting, contain any untrue statement of any material fact or omit to state any material fact necessary in order to make the statements therein, in light of the circumstances under which they are made, not misleading, or (ii) on the date the Schedule 13E-3 and any amendment or supplement thereto is filed with the SEC, contain any untrue statement of a material fact or omit to state a material fact necessary in order to make the statements made therein, in light of the circumstances under which they are made, not misleading. Notwithstanding the foregoing, the Company makes no representation with respect to statements made or incorporated by reference therein based on information supplied by or on behalf of Parent, Merger Sub, the Rollover Shareholders, the Guarantor or any of their respective Affiliates or Representatives for inclusion or incorporation by reference in the Proxy Statement or the Schedule 13E-3.</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Since December 31, 2022, except as set forth in Section 3.09(a) of the Company Disclosure Schedule,</w:t>
      </w:r>
    </w:p>
    <w:p>
      <w:pPr>
        <w:spacing w:after="0" w:line="27" w:lineRule="exact"/>
        <w:rPr>
          <w:sz w:val="20"/>
          <w:szCs w:val="20"/>
          <w:color w:val="auto"/>
        </w:rPr>
      </w:pPr>
    </w:p>
    <w:p>
      <w:pPr>
        <w:ind w:left="1260" w:right="439"/>
        <w:spacing w:after="0"/>
        <w:tabs>
          <w:tab w:leader="none" w:pos="15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conducted business in all material respects in the ordinary course of business and in a manner consistent with past practice, except as expressly contemplated by this Agreement, (b) there has not been any Company Material Adverse Effect, (c) there has not been any declaration, setting aside or payment of any dividend or other distribution in cash, stock, property or otherwise in respect of any Group Company’s Equity Securities, except for any dividend or distribution by a Group Company to another Group Company, (d) there has not been any redemption, repurchase or other acquisition of any Equity Securities of any Group Company by a Group Company (other than the share purchase program as set forth in Section 3.03(d) of the Company Disclosure Schedule, repurchase of Shares to satisfy obligations under the Company Share Plans or other similar plans or arrangements including the withholding of Shares in connection with the exercise of Company Options in accordance with the terms and conditions of such Company Options), (e) there has not been any material change by the Company in its accounting principles, except as may be appropriate to conform to changes in statutory or regulatory accounting rules or GAAP or regulatory requirements with respect thereto, and (f) there has not been any material Tax election made by the Company or any of its Subsidiaries or any settlement or compromise of any material Tax liability by the Company or any of its Subsidiaries, other than in the ordinary course of business.</w:t>
      </w: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Agreement, there is no litigation, hearing, suit, claim, action, proceeding or investigation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in writing against any Group Company or any Equity Securities, property or asset of any Group Company, before any Governmental Authority which (a) seeks to enjoin, restrain or prevent the Merger or the other Transactions, or (b) if adversely determined, would reasonably be expected to result in a Company Material Adverse Effect or prevent, delay or impede the performance by the Company of its obligations under this Agreement or the consummation of the Merger in any material respect. No Group Company, nor any Equity Securities or property or asset of any Group Company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 that would result in or reasonably be expected to result in a Company Material Adverse Effect.</w:t>
      </w:r>
    </w:p>
    <w:p>
      <w:pPr>
        <w:spacing w:after="0" w:line="340"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 list of material disputes with respect to the Group Companies’ account receivables as of the date hereof has been provided to Parent which includes disputes that are subject to legal proceedings. As of the date of this Agreement, the information in such list is true and correct in all material respects, and the settlement agreement and compromise agreements referenced therein are valid and enforceable in all material respects. Other than (i) the disputes listed in such list and (ii) the disputes for which the Company has made provisions in relevant financial statements of the Company, as of the date hereof, the Group Companies do not have any other material disputes with respect to the Group Companies’ account receivables.</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9" w:lineRule="auto"/>
        <w:tabs>
          <w:tab w:leader="none" w:pos="233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and complete copies of each Company Employee Plan that is required to be included in the Company SEC Reports. There is no other Company Employee Plan other than the Company Share Plans. Each Company Employee Plan has been established, operated and maintained in compliance with its terms and applicable Law in all material respects.</w:t>
      </w:r>
    </w:p>
    <w:p>
      <w:pPr>
        <w:spacing w:after="0" w:line="335" w:lineRule="exact"/>
        <w:rPr>
          <w:rFonts w:ascii="Times New Roman" w:cs="Times New Roman" w:eastAsia="Times New Roman" w:hAnsi="Times New Roman"/>
          <w:sz w:val="18"/>
          <w:szCs w:val="18"/>
          <w:color w:val="auto"/>
        </w:rPr>
      </w:pPr>
    </w:p>
    <w:p>
      <w:pPr>
        <w:ind w:left="1620" w:right="499" w:firstLine="360"/>
        <w:spacing w:after="0" w:line="254" w:lineRule="auto"/>
        <w:tabs>
          <w:tab w:leader="none" w:pos="23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shareholders’ approval of this Agreement, nor the consummation of the Transactions (whether alone or in connection with any subsequent event(s), such as a termination of employment), will entitle any current or former director, officer, employee or consultant of any Group Company to (i) material compensation or benefits (including any severance payment or benefit) or any material increase in compensation or benefits upon any termination of employment on or after the date of this Agreement, or (ii) accelerate the time of payment or vesting or result in any payment or funding of material compensation or benefits under, or materially increase the amount payable pursuant to, any of the Company Employee Plan or any employment agreements.</w:t>
      </w:r>
    </w:p>
    <w:p>
      <w:pPr>
        <w:spacing w:after="0" w:line="110"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post-employment or retiree health benefits, except to the extent required by applicable Laws. Each contribution or other payment that is required to have been accrued or made under or with respect to any Company Employee Plan has been duly accrued and made on a timely basis, and there are no claims (other than for benefits incurred in the ordinary course) or legal proceedings pending, or, to the knowledge of the Company, threatened against any Company Employee Plan or against the assets of any Company Employee Plan.</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3" w:lineRule="auto"/>
        <w:tabs>
          <w:tab w:leader="none" w:pos="233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any collective bargaining agreements, trade union, works council or other labor union contract applicable to employees of any Group Company, and to the knowledge of the Company, there are no ongoing union organizational campaigns, petitions or other unionization activities seeking recognition of a collective bargaining unit relating to any employee of any Group Company. There is no (i) unfair labor practice, labor dispute (other than routine individual grievances) or labor arbitration proceeding pending, or</w:t>
      </w:r>
    </w:p>
    <w:p>
      <w:pPr>
        <w:spacing w:after="0" w:line="5" w:lineRule="exact"/>
        <w:rPr>
          <w:rFonts w:ascii="Times New Roman" w:cs="Times New Roman" w:eastAsia="Times New Roman" w:hAnsi="Times New Roman"/>
          <w:sz w:val="18"/>
          <w:szCs w:val="18"/>
          <w:color w:val="auto"/>
        </w:rPr>
      </w:pPr>
    </w:p>
    <w:p>
      <w:pPr>
        <w:ind w:left="1620" w:right="859"/>
        <w:spacing w:after="0" w:line="255" w:lineRule="auto"/>
        <w:tabs>
          <w:tab w:leader="none" w:pos="190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strike, slowdown, work stoppage or threat thereof by or with respect to any current or former employee, officer, consultant or independent contractor of the Company or any of its Subsidiaries.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2" w:lineRule="auto"/>
        <w:tabs>
          <w:tab w:leader="none" w:pos="23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 is, and since the Applicable Date has been, in compliance in all material respects with all applicable Laws relating to labor, employment and employment practices, including those related to wages, work hours, shifts, overtime, social security benefits, holidays and leave, collective bargaining terms and conditions of employment and the payment and withholding of taxes and other sums as required by the appropriate Governmental Authority, and (ii) to the knowledge of the Company, does not have any material liability, taxes or penalties for failure to pay wages that have come due and payable under applicable Law or any social security benefits. There is no claim with respect to payment of wages, salary or overtime pay that is now pending or, to the knowledge of the Company, threatened before any Governmental Authority with respect to any persons currently or formerly employed by any Group Company that would reasonably be expected to result in a Company Material Adverse Effect. There is no charge or proceeding with respect to a violation of any occupational safety or health standards that is now pending or, to the knowledge of the Company, threatened with respect to any Group Company that would reasonably be expected to result in a Company Material Adverse Effect. There is no charge of discrimination in employment or employment practices, for any reason, including, age, gender, race, religion or other legally protected category, which is now pending or, to the knowledge of the Company, threatened against any Group Company before any Governmental Authority in any jurisdiction in which any Group Company currently employs any person that would reasonably be expected to result in a Company Material Adverse Effect.</w:t>
      </w:r>
    </w:p>
    <w:p>
      <w:pPr>
        <w:spacing w:after="0" w:line="1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66" w:lineRule="auto"/>
        <w:tabs>
          <w:tab w:leader="none" w:pos="23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Lease is legal, valid, binding, enforceable and in full force and effect, and neither any Group Company (as a party to such material Lease) nor, to the knowledge of the Company, any other third party to such material Lease is in breach or default under such material Lease.</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Leases identified in Section 3.13(b) of the Company Disclosure Schedule comprise all of the material real property used by the Group Companies in the business of the Group Companies as of the date hereof. No Group Company owns any real property.</w:t>
      </w:r>
    </w:p>
    <w:p>
      <w:pPr>
        <w:spacing w:after="0" w:line="108"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3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a valid and binding leasehold interest in, all other material properties and assets necessary to conduct their respective businesses as currently conducted, in each case free and clear of all Liens, except Permitted Liens.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61" w:lineRule="auto"/>
        <w:tabs>
          <w:tab w:leader="none" w:pos="23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Company and its Subsidiaries own or possess adequate licenses or other rights to use (in each case, free and clear of any Liens, except for Permitted Liens), all Intellectual Property necessary to conduct the business of the Company or its Subsidiaries as currently conducted.</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use of any Intellectual Property in connection with the operation of their respective businesses or otherwise by the Company or its Subsidiaries does not infringe upon or misappropriate the Intellectual Property rights of any person and is in compliance with any applicable license pursuant to which the Company or any of its Subsidiaries acquired the right to use such Intellectual Property. As of the date of this Agreement, neither the Company nor any of its Subsidiaries has received any written notice of, and to the knowledge of the Company, there is no threatened in writing assertion or claim from any Person who has provided sound explanations and documentary evidence (i) that it, or the business or activities of the Company or any of its Subsidiaries (including the commercialization and exploitation of their products and services), is infringing upon or misappropriating any Intellectual Property right of any person and, (ii) if adversely determined, would reasonably be expected to have a Company Material Adverse Effect.</w:t>
      </w:r>
    </w:p>
    <w:p>
      <w:pPr>
        <w:spacing w:after="0" w:line="340"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Intellectual Property owned by any Group Company, except as would not reasonably be expected to have a Company Material Adverse Effect, such Group Company is the owner of the right, title and interest in and to such Intellectual Property, and is entitled to use, transfer and license such Intellectual Property in the continued operation of its respective business.</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7" w:lineRule="auto"/>
        <w:tabs>
          <w:tab w:leader="none" w:pos="234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Intellectual Property licensed to any Group Company, except as would not reasonably be expected to have a Company Material Adverse Effect, (i) such Group Company has the right to use such Intellectual Property in the continued operation of its respective business in accordance with the terms of the license agreement governing such Intellectual Property, and (ii) to the knowledge of the Company, no party to any license of such Intellectual Property is in breach thereof or default thereunder.</w:t>
      </w:r>
    </w:p>
    <w:p>
      <w:pPr>
        <w:spacing w:after="0" w:line="336" w:lineRule="exact"/>
        <w:rPr>
          <w:rFonts w:ascii="Times New Roman" w:cs="Times New Roman" w:eastAsia="Times New Roman" w:hAnsi="Times New Roman"/>
          <w:sz w:val="18"/>
          <w:szCs w:val="18"/>
          <w:color w:val="auto"/>
        </w:rPr>
      </w:pPr>
    </w:p>
    <w:p>
      <w:pPr>
        <w:ind w:left="1620" w:right="579" w:firstLine="360"/>
        <w:spacing w:after="0" w:line="261" w:lineRule="auto"/>
        <w:tabs>
          <w:tab w:leader="none" w:pos="233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each Group Company is, and has been since the Applicable Date, in compliance with all Data Privacy and Security Requirements and have established and maintain policies and procedures relating to Personal Data that comply with all applicable Laws.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w:t>
      </w:r>
    </w:p>
    <w:p>
      <w:pPr>
        <w:spacing w:after="0" w:line="27" w:lineRule="exact"/>
        <w:rPr>
          <w:rFonts w:ascii="Times New Roman" w:cs="Times New Roman" w:eastAsia="Times New Roman" w:hAnsi="Times New Roman"/>
          <w:sz w:val="18"/>
          <w:szCs w:val="18"/>
          <w:color w:val="auto"/>
        </w:rPr>
      </w:pPr>
    </w:p>
    <w:p>
      <w:pPr>
        <w:ind w:left="1620" w:right="419"/>
        <w:spacing w:after="0" w:line="252" w:lineRule="auto"/>
        <w:tabs>
          <w:tab w:leader="none" w:pos="18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duly and timely filed (taking into account any extension of time within which to file) Tax Returns and reports required to be filed by it and has paid, withheld and discharged all Taxes required to be paid, withheld or discharged (whether or not reflected on such Tax Return), other than such payments as are being contested in good faith by appropriate proceedings and for which adequate reserves have been established on the Company’s financial statements in accordance with GAAP, and (ii) all such Tax Returns are true, accurate and complete.</w:t>
      </w:r>
    </w:p>
    <w:p>
      <w:pPr>
        <w:spacing w:after="0" w:line="1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w:t>
      </w:r>
    </w:p>
    <w:p>
      <w:pPr>
        <w:spacing w:after="0" w:line="27" w:lineRule="exact"/>
        <w:rPr>
          <w:sz w:val="20"/>
          <w:szCs w:val="20"/>
          <w:color w:val="auto"/>
        </w:rPr>
      </w:pPr>
    </w:p>
    <w:p>
      <w:pPr>
        <w:ind w:left="1620" w:right="419"/>
        <w:spacing w:after="0" w:line="252" w:lineRule="auto"/>
        <w:tabs>
          <w:tab w:leader="none" w:pos="18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is asserting in writing against any Group Company any deficiency or claim for any Taxes or interest thereon or penalties in connection therewith, (ii) there are no pending or, to the knowledge of the Company, threatened in writing, Actions for the assessment or collection of any Taxes against any Group Company, and (iii) no Group Company has waived any statute of limitations with respect to Taxes or agreed to any extension of time with respect to a Tax assessment or deficiency which waiver or extension has not yet expired.</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3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there are no Liens on any of the assets of any Group Company that arose in connection with any failure to pay any Tax, other than for Taxes that are not yet due and payable or for Taxes that are being contested in good faith by appropriate proceedings and for which adequate reserves have been provided in accordance with GAAP.</w:t>
      </w:r>
    </w:p>
    <w:p>
      <w:pPr>
        <w:spacing w:after="0" w:line="102" w:lineRule="exact"/>
        <w:rPr>
          <w:rFonts w:ascii="Times New Roman" w:cs="Times New Roman" w:eastAsia="Times New Roman" w:hAnsi="Times New Roman"/>
          <w:sz w:val="18"/>
          <w:szCs w:val="18"/>
          <w:color w:val="auto"/>
        </w:rPr>
      </w:pPr>
    </w:p>
    <w:p>
      <w:pPr>
        <w:ind w:left="1620" w:right="419" w:firstLine="360"/>
        <w:spacing w:after="0" w:line="261" w:lineRule="auto"/>
        <w:tabs>
          <w:tab w:leader="none" w:pos="234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each Group Company has, in accordance with applicable Tax Laws, duly registered with the relevant Governmental Authorities, obtained and maintained the validity of all national and local tax registration certificates and complied with all requirements imposed by such Governmental Authorities.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879" w:firstLine="360"/>
        <w:spacing w:after="0" w:line="282" w:lineRule="auto"/>
        <w:tabs>
          <w:tab w:leader="none" w:pos="23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means this Agreement and the following Contracts:</w:t>
      </w:r>
    </w:p>
    <w:p>
      <w:pPr>
        <w:spacing w:after="0" w:line="80" w:lineRule="exact"/>
        <w:rPr>
          <w:rFonts w:ascii="Times New Roman" w:cs="Times New Roman" w:eastAsia="Times New Roman" w:hAnsi="Times New Roman"/>
          <w:sz w:val="18"/>
          <w:szCs w:val="18"/>
          <w:color w:val="auto"/>
        </w:rPr>
      </w:pPr>
    </w:p>
    <w:p>
      <w:pPr>
        <w:ind w:left="1980" w:right="499" w:firstLine="360"/>
        <w:spacing w:after="0" w:line="266" w:lineRule="auto"/>
        <w:tabs>
          <w:tab w:leader="none" w:pos="266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to which any of the Group Companies is a party as of the date of this Agreement filed or required to be filed as exhibits to any of the Company SEC Reports (including Form 20-F);</w:t>
      </w:r>
    </w:p>
    <w:p>
      <w:pPr>
        <w:spacing w:after="0" w:line="108" w:lineRule="exact"/>
        <w:rPr>
          <w:rFonts w:ascii="Times New Roman" w:cs="Times New Roman" w:eastAsia="Times New Roman" w:hAnsi="Times New Roman"/>
          <w:sz w:val="18"/>
          <w:szCs w:val="18"/>
          <w:color w:val="auto"/>
        </w:rPr>
      </w:pPr>
    </w:p>
    <w:p>
      <w:pPr>
        <w:jc w:val="both"/>
        <w:ind w:left="1980" w:right="419" w:firstLine="360"/>
        <w:spacing w:after="0" w:line="258" w:lineRule="auto"/>
        <w:tabs>
          <w:tab w:leader="none" w:pos="272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joint venture, partnership or other similar agreement relating to the operation, management or control of any partnership, joint venture or other similar arrangement, in each case, that is material to the business of the Company and its Subsidiaries (taken as a whole), other than Contracts with respect to any partnership that is wholly owned by the Company or any of its wholly owned Subsidiaries;</w:t>
      </w:r>
    </w:p>
    <w:p>
      <w:pPr>
        <w:spacing w:after="0" w:line="115" w:lineRule="exact"/>
        <w:rPr>
          <w:rFonts w:ascii="Times New Roman" w:cs="Times New Roman" w:eastAsia="Times New Roman" w:hAnsi="Times New Roman"/>
          <w:sz w:val="18"/>
          <w:szCs w:val="18"/>
          <w:color w:val="auto"/>
        </w:rPr>
      </w:pPr>
    </w:p>
    <w:p>
      <w:pPr>
        <w:ind w:left="1980" w:right="919" w:firstLine="360"/>
        <w:spacing w:after="0" w:line="266" w:lineRule="auto"/>
        <w:tabs>
          <w:tab w:leader="none" w:pos="277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 Contract between or among the Company or any of its Subsidiaries) involving Indebtedness of the Company or any of its Subsidiaries of more than $750,000;</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firstLine="360"/>
        <w:spacing w:after="0" w:line="266" w:lineRule="auto"/>
        <w:tabs>
          <w:tab w:leader="none" w:pos="27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so called take-or-pay or keep-well agreements) under which any person (other than the Company or any of its Subsidiaries) has directly or indirectly guaranteed Indebtedness of the Company or any of its Subsidiaries of more than $750,000;</w:t>
      </w:r>
    </w:p>
    <w:p>
      <w:pPr>
        <w:spacing w:after="0" w:line="108" w:lineRule="exact"/>
        <w:rPr>
          <w:rFonts w:ascii="Times New Roman" w:cs="Times New Roman" w:eastAsia="Times New Roman" w:hAnsi="Times New Roman"/>
          <w:sz w:val="18"/>
          <w:szCs w:val="18"/>
          <w:color w:val="auto"/>
        </w:rPr>
      </w:pPr>
    </w:p>
    <w:p>
      <w:pPr>
        <w:ind w:left="1980" w:right="619" w:firstLine="360"/>
        <w:spacing w:after="0" w:line="282" w:lineRule="auto"/>
        <w:tabs>
          <w:tab w:leader="none" w:pos="270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or evidencing a Lien on any properties or assets of the Company or any of its Subsidiaries with a value of more than $750,000, other than a Permitted Lien;</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56" w:lineRule="auto"/>
        <w:tabs>
          <w:tab w:leader="none" w:pos="27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has any obligations that have not been satisfied or performed (other than indemnification and confidentiality obligations) relating to the acquisition, disposition, sale, transfer or lease (including leases in connection with financing transactions) of properties or assets of the Company or any of its Subsidiaries that have a fair market value or purchase price of more than US$750,000 (by merger, purchase or sale of assets or stock or otherwise);</w:t>
      </w:r>
    </w:p>
    <w:p>
      <w:pPr>
        <w:spacing w:after="0" w:line="106"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 Document; or</w:t>
      </w:r>
    </w:p>
    <w:p>
      <w:pPr>
        <w:spacing w:after="0" w:line="157" w:lineRule="exact"/>
        <w:rPr>
          <w:rFonts w:ascii="Times New Roman" w:cs="Times New Roman" w:eastAsia="Times New Roman" w:hAnsi="Times New Roman"/>
          <w:sz w:val="18"/>
          <w:szCs w:val="18"/>
          <w:color w:val="auto"/>
        </w:rPr>
      </w:pPr>
    </w:p>
    <w:p>
      <w:pPr>
        <w:ind w:left="1980" w:right="719" w:firstLine="360"/>
        <w:spacing w:after="0" w:line="282" w:lineRule="auto"/>
        <w:tabs>
          <w:tab w:leader="none" w:pos="286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which, if terminated, could reasonably be expected to result in a Company Material Adverse Effect.</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53" w:lineRule="auto"/>
        <w:tabs>
          <w:tab w:leader="none" w:pos="23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or except as set forth in Section 3.16(b) of the Company Disclosure Schedule, (i) each Material Contract is a legal, valid and binding obligation of a Group Company, as applicable, in full force and effect and enforceable against the such Group Company, or to the knowledge of the Company against such counterparty, in accordance with its terms, subject to the Enforceability Exceptions, (ii) no Group Company is or is alleged to be in material breach or violation of, or default under, any Material Contract, and (iii) within the last twelve (12) months prior to the date hereof, no Group Company has received any written claim of default under any such Material Contract and, to the Company’s knowledge, no fact or event exists that would give rise to any claim of default under any Material Contract. Neither the execution of this Agreement nor the consummation of any Transaction shall constitute a material default under, give rise to cancellation rights under, or otherwise adversely affect any of the material rights of any Group Company under any Material Contract.</w:t>
      </w:r>
    </w:p>
    <w:p>
      <w:pPr>
        <w:spacing w:after="0" w:line="10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There are no “fair prices,” “moratoriums,” “business combinations,” “control share acquisitions” or other similar forms of anti-takeover statutes or regulations enacted under any Laws, or “poison pills”, “shareholder rights plans” or similar Contracts to each of which the Company is a party with respect to any shares of capital stock of the Company, or similar provisions under the organizational documents of the Company and its Subsidiaries (collectively,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in each case applicable to this Agreement, the Merger or the other Transactions. The Company Board has taken all necessary actions so that any Takeover Statute does not, and will not, apply to this Agreement or the Transactions, including the Merger.</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Company has disclosed in the Company SEC Reports each material Contract between a Group Company or any of its Subsidiaries, on the one hand, and any “related party” (as​ such term is defined in Item 404 of Regulation S-K promulgated under the Exchange Act) of the Company, on the other hand, entered into during fiscal years covered by such Company SEC Reports that is required to be disclosed pursuant to Item 404 of Regulation S-K promulgated under the Exchange Act, other than for (a) payment of salary or fees for services rendered in the capacity of an officer, director or employee of any Group Company, (b) reimbursement for expenses incurred on behalf of any Group Company, and (c) other employee benefits, including Contracts entered into under the Company Share Plans.</w:t>
      </w:r>
    </w:p>
    <w:p>
      <w:pPr>
        <w:spacing w:after="0" w:line="1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3.19</w:t>
      </w:r>
      <w:r>
        <w:rPr>
          <w:sz w:val="20"/>
          <w:szCs w:val="20"/>
          <w:color w:val="auto"/>
        </w:rPr>
        <w:tab/>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Except (i) for the Financial Advisor and (ii) as set forth in Section 3.19(ii) of the Company Disclosure Schedule, no broker, finder or investment banker is entitled to any brokerage, finder’s or other fee or commission in connection with the Transactions based upon arrangements made by or on behalf of the Company.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8"/>
          <w:szCs w:val="18"/>
          <w:u w:val="single" w:color="auto"/>
          <w:color w:val="auto"/>
        </w:rPr>
        <w:t>Control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6" w:lineRule="auto"/>
        <w:tabs>
          <w:tab w:leader="none" w:pos="233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 each party to any of the Control Documents has full power and authority to enter into, execute and deliver such Control Document to which it is a party and each other agreement, certificate, document and instrument to be executed and delivered by it pursuant to the Control Documents and to perform the obligations of such party thereunder, and (ii) the execution and delivery by such party of each Control Document to which it is a party and the performance by such party of its obligations thereunder have been duly authorized by all requisite actions on the part of such party.</w:t>
      </w:r>
    </w:p>
    <w:p>
      <w:pPr>
        <w:spacing w:after="0" w:line="335" w:lineRule="exact"/>
        <w:rPr>
          <w:rFonts w:ascii="Times New Roman" w:cs="Times New Roman" w:eastAsia="Times New Roman" w:hAnsi="Times New Roman"/>
          <w:sz w:val="18"/>
          <w:szCs w:val="18"/>
          <w:color w:val="auto"/>
        </w:rPr>
      </w:pPr>
    </w:p>
    <w:p>
      <w:pPr>
        <w:ind w:left="1620" w:right="419" w:firstLine="360"/>
        <w:spacing w:after="0" w:line="256" w:lineRule="auto"/>
        <w:tabs>
          <w:tab w:leader="none" w:pos="23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Action initiated by any Governmental Authority or any other person against any of the Controlled Entities and other Group Companies that (i) challenge the validity or enforceability of the Control Documents, individually or taken as a whole, (ii) challenge the legality of the “variable interest entity” structure or the ownership structure as set forth in the Control Documents, or (iii) claim that any of the Control Documents or the ownership structure thereof violates any PRC Laws in any material respect.</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4" w:lineRule="auto"/>
        <w:tabs>
          <w:tab w:leader="none" w:pos="232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pursuant to the Control Documents with respect to each VIE Entity, the WFOE has had exclusive control over such VIE Entity and its Subsidiaries and is entitled to all of the economic benefits and residual returns from the operations of such VIE Entity and its Subsidiaries. As of the date of this Agreement, each of the Control Documents is valid and binding, in full force and effect and enforceable against each party thereto in accordance with its terms (subject to the Enforceability Exceptions), and none of the parties thereto is in default or breach under any of the Control Documents in any material respects, under which the Company is permitted under applicable Laws and accounting conventions to properly consolidate the financial results of the Controlled Entities in the consolidated financial statements of the Company in accordance with the GAAP.</w:t>
      </w:r>
    </w:p>
    <w:p>
      <w:pPr>
        <w:spacing w:after="0" w:line="121"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Except as set forth in Section 3.21 of the Company Disclosure Schedule, neither the Company nor any of its Subsidiaries has any outstanding material unsecured financial indebtedness.</w:t>
      </w:r>
    </w:p>
    <w:p>
      <w:pPr>
        <w:spacing w:after="0" w:line="32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insurance policies of the Company and its Subsidiaries which are material to the Company and its Subsidiaries, individually or taken as a whole, are in full force and effect and provide insurance in such amounts and against such risks as is sufficient to comply with applicable Law and as is customary in all material respects in the industries in which the Company and its Subsidiaries operate.</w:t>
      </w:r>
    </w:p>
    <w:p>
      <w:pPr>
        <w:spacing w:after="0" w:line="3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result in or reasonably be expected to result in a Company Material Adverse Effect, (a) each Group Company is in compliance with all applicable environmental Law and possesses all permits, licenses and other authorizations currently required for its establishment and operation under any environmental Law (the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all such Environmental Permits are in full force and effect, (b) no property currently or, to the Company’s knowledge, formerly owned or operated by any Group Company has been contaminated with or is releasing any hazardous substance in a manner that would reasonably be expected to require remediation or other corrective action by any Group Company pursuant to any environmental Law, (c) no Group Company has received any written notice, demand, letter, claim or request for information alleging that any Group Company is in violation of or liable under any environmental Law that remains unresolved, and (d) no Group Company is subject to any order, decree, settlement agreement or similar written agreement, or injunction with any Governmental Authority concerning liability under any environmental Law or relating to hazardous substances.</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of Parent and Merger Sub acknowledges that neither the Company nor any other person on behalf of the Company makes any other express or implied representation or warranty with respect to any Group Company or its business, or with respect to any information provided to Parent, Merger Sub or any of their respective Affiliates or Representatives in connection with the</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Transactions, notwithstanding the delivery or disclosure to Parent, Merger Sub or any of their respective Affiliates or Representatives of any documentation, forecasts or other information with respect to any one or more of the foregoing.</w:t>
      </w:r>
    </w:p>
    <w:p>
      <w:pPr>
        <w:spacing w:after="0" w:line="1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that:</w:t>
      </w:r>
    </w:p>
    <w:p>
      <w:pPr>
        <w:spacing w:after="0" w:line="1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42"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 is an exempted company duly incorporated, validly existing and in good standing under the laws of the jurisdiction of its incorporation, and (ii) has the requisite corporate power and authority and all necessary governmental approvals to own lease and operate its properties and assets and to carry on its business as it is now being conducted and as contemplated in this Agreement except, with respect to this clause (ii), where the failure to have such power, authority and governmental approvals would not, individually or in the aggregate, prevent or materially delay consummation of any of the Transactions by Parent or Merger Sub or otherwise be materially adverse to the ability of Parent or Merger Sub to perform their obligations under the Transaction Documents. Each of Parent and Merger Sub has made available to the Company complete and accurate copies of its memorandum and articles of association as currently in effect as of the date hereof.</w:t>
      </w:r>
    </w:p>
    <w:p>
      <w:pPr>
        <w:spacing w:after="0" w:line="329"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was formed solely for the purposes of engaging in the Transactions and has no, assets, liabilities or obligations of any nature other than those incidental to its formation and capitalization and pursuant to the Transaction Documents and the Transactions (including the Financing).</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Each of Parent and Merger Sub has all necessary corporate power and authority to execute and deliver this Agreement, to perform its obligations hereunder and to consummate the Transactions. The execution and delivery of this Agreement by Parent and Merger Sub and the consummation by Parent and Merger Sub of the Transactions have been duly and validly authorized and approved by all necessary corporate action, and no other corporate proceedings on the part of Parent or Merger Sub are necessary to authorize or approve this Agreement and the Plan of Merger or to consummate the Transactions (other than the filings, notifications and other obligations and actions described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Enforceability Exceptions. No vote or consent of the holders of any class or series of share capital of Parent is necessary to approve this Agreement or the Transactions, including the Merger, other than the approval of Igomax, Bubinga and Rise Chain as the shareholders of Parent.</w:t>
      </w:r>
    </w:p>
    <w:p>
      <w:pPr>
        <w:spacing w:after="0" w:line="1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45" w:lineRule="auto"/>
        <w:tabs>
          <w:tab w:leader="none" w:pos="233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Plan of Merger by each of Parent and Merger Sub do not, and the performance of this Agreement and the Plan of Merger by each of Parent and Merger Sub will not, (i) conflict with or violate the memorandum and articles of association of either Parent or Merger Sub, (ii) assuming that all consents, approvals, authorizations and other actions described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have been obtained and all filings and obligations described in</w:t>
      </w:r>
    </w:p>
    <w:p>
      <w:pPr>
        <w:spacing w:after="0" w:line="3" w:lineRule="exact"/>
        <w:rPr>
          <w:rFonts w:ascii="Times New Roman" w:cs="Times New Roman" w:eastAsia="Times New Roman" w:hAnsi="Times New Roman"/>
          <w:sz w:val="18"/>
          <w:szCs w:val="18"/>
          <w:color w:val="auto"/>
        </w:rPr>
      </w:pPr>
    </w:p>
    <w:p>
      <w:pPr>
        <w:ind w:left="162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have been made,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Contract or obligation to which Parent or Merger Sub is a party or by which Parent or Merger Sub or any property or asset of either of them is bound or affected, except, with respect to</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0" w:lineRule="auto"/>
        <w:rPr>
          <w:sz w:val="20"/>
          <w:szCs w:val="20"/>
          <w:color w:val="auto"/>
        </w:rPr>
      </w:pP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prevent or materially delay consummation of any of the Transactions by Parent or Merger Sub or otherwise be materially adverse to the ability of Parent and Merger Sub to perform their respective obligations under this Agreement.</w:t>
      </w:r>
    </w:p>
    <w:p>
      <w:pPr>
        <w:spacing w:after="0" w:line="110" w:lineRule="exact"/>
        <w:rPr>
          <w:sz w:val="20"/>
          <w:szCs w:val="20"/>
          <w:color w:val="auto"/>
        </w:rPr>
      </w:pPr>
    </w:p>
    <w:p>
      <w:pPr>
        <w:ind w:left="1620" w:right="459" w:firstLine="360"/>
        <w:spacing w:after="0" w:line="250" w:lineRule="auto"/>
        <w:tabs>
          <w:tab w:leader="none" w:pos="234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Authority, except for the Requisite Approvals.</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under the Financing Documents, Merger Sub has no secured creditors holding a fixed or floating security interest.</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is $50,000 consisting of 500,000,000 shares, par value of $ 0.0001 per share. As of the date of this Agreement, three shares of Parent are issued and outstanding, which have been duly authorized, validly issued, fully paid and non-assessable, and Igomax, Bubinga and Rise Chain each owns one share. The authorized share capital of Merger Sub is $50,000 consisting of 50,000 shares, par value of $1.00 per share. As of the date of this Agreement, one share of Merger Sub is issued and outstanding, which has been duly authorized, validly issued, fully paid and non-assessable and is wholly owned by Parent free and clear of all Liens. Other than the applicable Transaction Documents, there are no options, warrants, convertible debt or other convertible instruments or other rights, agreements, arrangements or commitments of any character relating to the issued or unissued share capital of Parent or Merger Sub or obligating Parent or Merger Sub to issue or sell any share capital of, or other equity interests in, Parent or Merger Sub.</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Available Funds and Financing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42" w:lineRule="auto"/>
        <w:tabs>
          <w:tab w:leader="none" w:pos="23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delivered, on or prior to the date of this Agreement, to the Company true and complete copies of (i) the executed facility agreement with New Age SP II, a segregated portfolio under New Age SPC, a Cayman Islands-registered segregated portfolio company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(as the same may be amended or modified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(which may be redacted with respect to any provisions that would not reasonably be expected to affect the conditionality, enforceability, availability, termination or the aggregate principal amount of the Debt Financing), pursuant to which the Lender has agreed to lend the cash amount set forth therein for the purpose of financing the Merger Consideration and any other amounts required to consummate the Transactions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(ii) an executed equity commitment letter from Mr. Huang Jianjun and Rise Chain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and, together with the Facility Agreement and any definitive agreements executed pursuant to such Equity Commitment Letter and Facility Agreement, the “</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pursuant to which Mr. Huang Jianjun and Rise Chain have committed to subscribe, or cause to be subscribed for newly issued ordinary shares of Parent and to pay, or cause to be paid, to Parent an aggregate amount set forth therein for the purpose of financing the Merger Consideration and any other payment obligations in connection with the consummation of the Transactions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together with the Debt Financing or, if applicable, the Alternative Financing,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and (iii) the Support Agreement. The Equity Commitment Letter provides, and will continue to provide, that the Company is a third-party beneficiary and entitled to enforce such Equity Commitment Letter in accordance with the terms and conditions set forth therein.</w:t>
      </w:r>
    </w:p>
    <w:p>
      <w:pPr>
        <w:spacing w:after="0" w:line="327"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(i) each of the Financing Documents and the Support Agreement, in the form so delivered, is in full force and effect and is a legal, valid and binding obligation of the parties thereto, subject to the Enforceability Exceptions, and (ii) none of the Financing Documents and the Support Agreement has been amended or modified and no such amendment or modification is contemplated except for any such amendment or modification as permitted in accordance with </w:t>
      </w:r>
      <w:r>
        <w:rPr>
          <w:rFonts w:ascii="Times New Roman" w:cs="Times New Roman" w:eastAsia="Times New Roman" w:hAnsi="Times New Roman"/>
          <w:sz w:val="18"/>
          <w:szCs w:val="18"/>
          <w:u w:val="single" w:color="auto"/>
          <w:color w:val="auto"/>
        </w:rPr>
        <w:t>Section 6.07(c)</w:t>
      </w:r>
      <w:r>
        <w:rPr>
          <w:rFonts w:ascii="Times New Roman" w:cs="Times New Roman" w:eastAsia="Times New Roman" w:hAnsi="Times New Roman"/>
          <w:sz w:val="18"/>
          <w:szCs w:val="18"/>
          <w:color w:val="auto"/>
        </w:rPr>
        <w:t>, and the respective commitments contained in the Financing Documents and the Support Agreement have not been withdrawn, terminated or rescinded in any respect and no such withdrawal, termination or restriction is contemplated. Assuming (A) the Financing is funded in accordance with the Financing Documents and the transactions contemplated by the Support Agreement are consummated in accordance with the terms therein, and (B) the satisfaction of the conditions to the obligation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79"/>
        <w:spacing w:after="0" w:line="247" w:lineRule="auto"/>
        <w:rPr>
          <w:sz w:val="20"/>
          <w:szCs w:val="20"/>
          <w:color w:val="auto"/>
        </w:rPr>
      </w:pPr>
      <w:r>
        <w:rPr>
          <w:rFonts w:ascii="Times New Roman" w:cs="Times New Roman" w:eastAsia="Times New Roman" w:hAnsi="Times New Roman"/>
          <w:sz w:val="18"/>
          <w:szCs w:val="18"/>
          <w:color w:val="auto"/>
        </w:rPr>
        <w:t xml:space="preserve">Parent and Merger Sub to consummate the Merger as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if permissible, the waiver of such conditions, Parent and Merger Sub will have available to them, as of the Effective Time, all funds necessary for Parent, Merger Sub and the Surviving Company to pay</w:t>
      </w:r>
    </w:p>
    <w:p>
      <w:pPr>
        <w:spacing w:after="0" w:line="2" w:lineRule="exact"/>
        <w:rPr>
          <w:sz w:val="20"/>
          <w:szCs w:val="20"/>
          <w:color w:val="auto"/>
        </w:rPr>
      </w:pPr>
    </w:p>
    <w:p>
      <w:pPr>
        <w:ind w:left="1620" w:right="599"/>
        <w:spacing w:after="0" w:line="241" w:lineRule="auto"/>
        <w:tabs>
          <w:tab w:leader="none" w:pos="188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and (2) any other amounts required to be paid in connection with the consummation of the Transactions upon the terms and conditions contemplated hereby and all related fees and expenses associated therewith. The Financing Documents contain all of the conditions precedent to the obligations of the parties thereunder to make the Financing available to Parent or Merger Sub on the terms and conditions contained therein. There are no side letters or other contracts or arrangements with respect to the Financing relating to Parent or Merger Sub, on the one hand, and providers of the Debt Financing, on the other hand, other than those disclosed to the Company (including any Financing Documents (including any fee letter executed pursuant to the Financing Documents)).</w:t>
      </w:r>
    </w:p>
    <w:p>
      <w:pPr>
        <w:spacing w:after="0" w:line="328"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Merger Sub has fully paid, or cause to be paid, any and all fees, if any, that are payable on or prior to the date hereof under the Facility Agreement and will pay when due all other fees arising under the Facility Agreement as and when they become due and payable thereunder.</w:t>
      </w:r>
    </w:p>
    <w:p>
      <w:pPr>
        <w:spacing w:after="0" w:line="101" w:lineRule="exact"/>
        <w:rPr>
          <w:rFonts w:ascii="Times New Roman" w:cs="Times New Roman" w:eastAsia="Times New Roman" w:hAnsi="Times New Roman"/>
          <w:sz w:val="18"/>
          <w:szCs w:val="18"/>
          <w:color w:val="auto"/>
        </w:rPr>
      </w:pPr>
    </w:p>
    <w:p>
      <w:pPr>
        <w:ind w:left="1620" w:right="659" w:firstLine="360"/>
        <w:spacing w:after="0" w:line="243" w:lineRule="auto"/>
        <w:tabs>
          <w:tab w:leader="none" w:pos="23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 event has occurred which, with or without notice, lapse of time or both, would or would be reasonably expected to constitute a material default or breach on the part of Merger Sub, Parent or any of their respective Affiliates, or, to the knowledge of Parent, any other parties thereto, under the Financing Documents; or, to the knowledge of Parent, would otherwise excuse or permit the financing sources under any Financing Documents to refuse to fund their respective obligations under the Financing Documents. As of the date of this Agreement, Parent and Merger Sub do not have any reason to believe that any of the conditions to the Financing will not be satisfied or that the Financing will not be available to Parent or Merger Sub at the Effective Time.</w:t>
      </w:r>
    </w:p>
    <w:p>
      <w:pPr>
        <w:spacing w:after="0" w:line="118"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hereby acknowledge and agree that it shall not be a condition to Closing for Parent or Merger Sub to obtain the Financing, and reaffirm their obligation to consummate the Transactions hereby, irrespective and independent of the availability of the Financing, on the terms and subject to the conditions set forth in this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None of the information supplied by or on behalf of Parent or Merger Sub for inclusion or incorporation by reference in (a) the Schedule 13E-3, at the time such document is filed with the SEC, or at any time such document is amended or supplemented, or (b) the Proxy Statement, at the date of first mailing the Proxy Statement to the shareholders of the Company or any amendments or supplements thereto, and at the time of the Shareholders Meeting, will contain any untrue statement of a material fact or omit to state any material fact required to be stated therein or necessary in order to make the statements therein, in light of the circumstances under which they are made, not misleading.</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Neither Parent nor Merger Sub is entering into the transactions contemplated hereby and by the Transaction Documents with the intent to hinder, delay or defraud either present or future creditors. Assuming the satisfaction or waiver of the conditions of Parent and Merger Sub to consummate the Merger as set forth herein, and the accuracy of 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(for such purposes, the representations and warranties that are qualified as to materiality or “Company Material Adverse Effect” shall be true and correct in all respects and those not so qualified shall be true and correct in all material respects), immediately after giving effect to all of the transactions contemplated hereby, including the payment of the Per Share Merger Consideration and the payment of all other amounts required to be paid in connection with the consummation of the transactions contemplated hereby and the payment of all related fees and expenses, the Surviving Company will be solvent as of the Effective Time and immediately after the Effective Time.</w:t>
      </w:r>
    </w:p>
    <w:p>
      <w:pPr>
        <w:spacing w:after="0" w:line="32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As of the date of this Agreement, there are no proceedings pending or, to the knowledge of Parent or Merger Sub, threatened in writing, against Parent or Merger Sub or any property or asset of Parent or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Sub and neither Parent nor Merger Sub is subject to any outstanding Order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8"/>
          <w:szCs w:val="18"/>
          <w:u w:val="single" w:color="auto"/>
          <w:color w:val="auto"/>
        </w:rPr>
        <w:t>Ownership of Company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As of the date hereof, other than the Excluded Shares which will be cancelled at the Effective Time in accordance this Agreement, neither Parent, Merger Sub, nor any of their respective controlled Affiliates (or to the knowledge of Parent and Merger Sub, any of their respective non-controlled Affiliates), beneficially own any Shares or other securities or any other economic interest (through derivative securities or otherwise) of the Company or any options, warrants, or other rights to acquire Shares or other securities of, or any economic interest (through derivative securities or otherwise) in the Company.</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Parent and Merger Sub have conducted their own independent investigation, review and analysis of the business, operations, assets, liabilities, results of operations, financial condition and prospects of the Company and its Subsidiaries, which investigation, review and analysis were performed by Parent, Merger Sub and their respective Affiliates and Representatives. Each of Parent and Merger Sub acknowledges that, as of the date hereof, it, its Affiliates and their respective Representatives have been provided adequate access to the personnel, properties, facilities and records of the Company and its Subsidiaries for such purpose. In entering into this Agreement, each of Parent and Merger Sub acknowledges that it has relied solely upon the aforementioned investigation, review and analysis and not on any statements, representations or opinions of any of the Company, its Affiliates or their respective Representatives (except the representations, warranties, covenants and agreements of the Company expressly set forth in this Agreement, including the Company Disclosure Schedule and in any certificate delivered pursuant to this Agreement).</w:t>
      </w:r>
    </w:p>
    <w:p>
      <w:pPr>
        <w:spacing w:after="0" w:line="3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8"/>
          <w:szCs w:val="18"/>
          <w:u w:val="single" w:color="auto"/>
          <w:color w:val="auto"/>
        </w:rPr>
        <w:t>Buyer Group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Except for this Agreement, the Support Agreement, the Limited Guarantee, the Equity Commitment Letter, the Consortium Agreement and the Interim Investors Agreement, there are (a) no side letters or other Contracts (whether oral or written) relating to the Transactions between two or more of the following persons: each of Parent, Merger Sub, the Rollover Shareholders, or any of their respective Affiliates (excluding the Company and its Subsidiaries), and (b) no Contracts (whether oral or written) (i)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(ii) pursuant to which any shareholder of the Company would be entitled to receive consideration of a different amount or nature than the Per Share Merger Consideration or the Per ADS Merger Consideration (as applicable), (iii) pursuant to which any shareholder of the Company has agreed to vote to approve this Agreement or the Merger or has agreed to vote against any Superior Proposal, or</w:t>
      </w:r>
    </w:p>
    <w:p>
      <w:pPr>
        <w:spacing w:after="0" w:line="10" w:lineRule="exact"/>
        <w:rPr>
          <w:sz w:val="20"/>
          <w:szCs w:val="20"/>
          <w:color w:val="auto"/>
        </w:rPr>
      </w:pPr>
    </w:p>
    <w:p>
      <w:pPr>
        <w:ind w:left="1260" w:right="879"/>
        <w:spacing w:after="0" w:line="258" w:lineRule="auto"/>
        <w:tabs>
          <w:tab w:leader="none" w:pos="158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any person has agreed to provide, directly or indirectly, equity capital to Parent, Merger Sub or the Company to finance in whole or in part the Transactions.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8"/>
          <w:szCs w:val="18"/>
          <w:u w:val="single" w:color="auto"/>
          <w:color w:val="auto"/>
        </w:rPr>
        <w:t>Non-Reliance on Company Estimates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has made available to Parent and Merger Sub, and may continue to make available, certain estimates, projections and other forecasts for the business of the Company and its Subsidiaries and certain plan and budget information. Each of Parent and Merger Sub acknowledges that these estimates, projections, forecasts, plans and budgets and the assumptions on which they are based were prepared for specific purposes and may vary significantly from each other. Each of Parent and Merger Sub further acknowledges that there are uncertainties inherent in attempting to make such estimates, projections, forecasts, plans and budgets, that Parent and Merger Sub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the Company shall not be responsible to Parent, Merger Sub or any of their respective Affiliates for any estimates, projections, forecasts, plans or budgets furnished by the Company, its Subsidiaries or their respective Affiliates and Representatives.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in connection with the Transactions based upon arrangements made by or on behalf of Parent, Merger Sub or the Rollover Shareholders.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Limited Guarantee has been duly and validly executed and delivered by the Guarantor and is in full force and effect, and assuming the due authorization, execution and delivery by the Company, constitutes a legal, valid and binding obligation of the Guarantor, enforceable against the Guarantor in accordance with the terms thereof, subject to the Enforceability Exceptions, and no event has occurred that, with or without notice, lapse of time or both, would constitute a default on the part of the Guarantor under the Limited Guarantee.</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for the representations and warranties made by Parent and Merger Sub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Parent nor Merger Sub nor any other person on behalf of Parent or Merger Sub makes any other express or implied representation or warranty with respect to Parent or Merger Sub or their respective business, or with respect to any information provided to the Company or any of its Affiliates or Representatives in connection with the Transactions, notwithstanding the delivery or disclosure to the Company or any of its Affiliates or Representatives of any documentation, forecasts or other information with respect to any one or more of the foregoing.</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CONDUCT OF BUSINESS PENDING THE MERGER</w:t>
      </w:r>
    </w:p>
    <w:p>
      <w:pPr>
        <w:spacing w:after="0" w:line="1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Conduct of Business by the Company Pending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Company agrees that,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(x) required by applicable Law, (y) set forth in Section 5.01 of the Company Disclosure Schedule, or (z) permitted by or contemplated in this Agreement, unless Parent may otherwise consent in writing (which consent shall not be unreasonably withheld, delayed or conditioned), (i) the businesses of the Group Companies shall be conducted in the ordinary course of business consistent with past practice or as contemplated by the forecast of the Company delivered by the Company to Parent prior to the date hereof, and (ii) the Company shall use its reasonable efforts to preserve substantially intact the assets and the business organization of the Group Companies, to keep available the services of the current executive officers and key employees of the Group Companies and to maintain in all material respects the current relationships of the Group Companies with existing customers, suppliers and other Persons with which any Group Companies has material business relations as of the date hereof. Without limiting the generality of the foregoing,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except as</w:t>
      </w:r>
    </w:p>
    <w:p>
      <w:pPr>
        <w:spacing w:after="0" w:line="1" w:lineRule="exact"/>
        <w:rPr>
          <w:sz w:val="20"/>
          <w:szCs w:val="20"/>
          <w:color w:val="auto"/>
        </w:rPr>
      </w:pPr>
    </w:p>
    <w:p>
      <w:pPr>
        <w:ind w:left="1560" w:hanging="300"/>
        <w:spacing w:after="0"/>
        <w:tabs>
          <w:tab w:leader="none" w:pos="15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 (B) set forth in Section 5.01 of the Company Disclosure Schedule, or</w:t>
      </w:r>
    </w:p>
    <w:p>
      <w:pPr>
        <w:spacing w:after="0" w:line="9" w:lineRule="exact"/>
        <w:rPr>
          <w:rFonts w:ascii="Times New Roman" w:cs="Times New Roman" w:eastAsia="Times New Roman" w:hAnsi="Times New Roman"/>
          <w:sz w:val="18"/>
          <w:szCs w:val="18"/>
          <w:color w:val="auto"/>
        </w:rPr>
      </w:pPr>
    </w:p>
    <w:p>
      <w:pPr>
        <w:ind w:left="1560" w:hanging="300"/>
        <w:spacing w:after="0"/>
        <w:tabs>
          <w:tab w:leader="none" w:pos="1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or contemplated in this Agreement or contemplated by the forecast of the Company</w:t>
      </w:r>
    </w:p>
    <w:p>
      <w:pPr>
        <w:spacing w:after="0" w:line="9" w:lineRule="exact"/>
        <w:rPr>
          <w:rFonts w:ascii="Times New Roman" w:cs="Times New Roman" w:eastAsia="Times New Roman" w:hAnsi="Times New Roman"/>
          <w:sz w:val="18"/>
          <w:szCs w:val="18"/>
          <w:color w:val="auto"/>
        </w:rPr>
      </w:pPr>
    </w:p>
    <w:p>
      <w:pPr>
        <w:jc w:val="both"/>
        <w:ind w:left="1260" w:right="7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the Company to Parent prior to the date hereof, the Company shall not, and shall not permit any Group Company to, directly or indirectly, do or propose to do any of the following without the prior written consent of Parent (which consent shall not be unreasonably withheld, delayed or conditioned):</w:t>
      </w:r>
    </w:p>
    <w:p>
      <w:pPr>
        <w:spacing w:after="0" w:line="118"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3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memorandum and articles of association or equivalent organizational documents, other than those changes to the registered address or business scope of a Group Company as reasonably needed within the ordinary course of business of such Group Company;</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lease, sublease, license, pledge, dispose of, grant or encumber, or authorize the issuance, sale, transfer, lease, sublease, license, pledge, disposition, grant or encumbrance of, (i) any shares of any class of any Group Company (other than in connection with (A) the issuance of Shares upon the exercise of any Company Options or Company RSUs in accordance with their respective terms, (B) the withholding of securities of the Company to satisfy Tax obligations with</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respect to Company Options or Company RSUs, (C) the acquisition by the Company of its securities in connection with the forfeiture of Company Options or Company RSUs, (D) the acquisition by the Company of its securities in connection with the net exercise of Company Options in accordance with the terms thereof, (E) any transaction between or among the Company and its direct or indirect wholly owned Subsidiaries, or (F) the issuance of Class A Shares to holders of Class B Shares in connection with the conversion of such Class B Shares in accordance with the memorandum and articles of association of the Company), (ii) any property or assets (whether real, personal or mixed, and including leasehold interests and intangible property) of any Group Company with a value or purchase price (including the value of assumed liabilities) in excess of $2,000,000, except in the ordinary course of business or pursuant to existing Contracts, or (iii) any material Intellectual Property owned by or licensed to any Group Company, except in the ordinary course of business or pursuant to existing Contracts;</w:t>
      </w:r>
    </w:p>
    <w:p>
      <w:pPr>
        <w:spacing w:after="0" w:line="340" w:lineRule="exact"/>
        <w:rPr>
          <w:sz w:val="20"/>
          <w:szCs w:val="20"/>
          <w:color w:val="auto"/>
        </w:rPr>
      </w:pPr>
    </w:p>
    <w:p>
      <w:pPr>
        <w:ind w:left="1620" w:right="459" w:firstLine="360"/>
        <w:spacing w:after="0" w:line="266" w:lineRule="auto"/>
        <w:tabs>
          <w:tab w:leader="none" w:pos="23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shares, property or otherwise, with respect to any of its shares (other than dividends or other distributions from any Subsidiary of the Company to the Company or any of its other Subsidiaries);</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or purchase or otherwise acquire, directly or indirectly, any of its share capital or securities or other rights exchangeable into or convertible or exercisable for any of its share capital (other than (i) the purchase of Shares to satisfy obligations under the Company Share Plans, including the withholding of Shares in connection with the exercise of Company Options or Company RSUs in accordance with the their respective terms, and (ii) the cancellation, repurchase and redemption or re-designation and reclassification of Class B Shares in connection with the conversion thereof to Class A Shares in accordance with the memorandum and articles of association of the Company);</w:t>
      </w:r>
    </w:p>
    <w:p>
      <w:pPr>
        <w:spacing w:after="0" w:line="110"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commence any liquidation, dissolution, scheme of arrangement, merger, consolidation, amalgamation, restructuring, reorganization, or similar transaction involving any Group Company, or create any new Subsidiary, other than the Transactions;</w:t>
      </w:r>
    </w:p>
    <w:p>
      <w:pPr>
        <w:spacing w:after="0" w:line="108"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1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securities or properties, in any single transaction or related series of transactions, for consideration in excess of $2,000,000, except for acquisitions in the ordinary course of business or pursuant to existing Contracts;</w:t>
      </w:r>
    </w:p>
    <w:p>
      <w:pPr>
        <w:spacing w:after="0" w:line="108" w:lineRule="exact"/>
        <w:rPr>
          <w:rFonts w:ascii="Times New Roman" w:cs="Times New Roman" w:eastAsia="Times New Roman" w:hAnsi="Times New Roman"/>
          <w:sz w:val="18"/>
          <w:szCs w:val="18"/>
          <w:color w:val="auto"/>
        </w:rPr>
      </w:pPr>
    </w:p>
    <w:p>
      <w:pPr>
        <w:ind w:left="1620" w:right="579" w:firstLine="360"/>
        <w:spacing w:after="0" w:line="266"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investment in any corporation, partnership, other business organization or any division thereof in excess of $2,000,000 in any single transaction or related series of transactions other than (i) in the ordinary course of business, or (ii) pursuant to existing Contracts;</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alter, amend or modify any Indebtedness, or guarantee any Indebtedness, in each case, with an amount in excess of $2,000,000 in a single transaction or related series of transactions, except for (i) the incurrence or guarantee of Indebtedness under any Group Company’s existing credit facilities or other Contracts as in effect on the date hereof in an aggregate amount not to exceed the maximum amount authorized under the Contracts evidencing such Indebtedness, (ii) any amendments to the Contracts related to any Group Company’s existing credit facilities which are requested by the applicable lender(s) in connection with the Transactions, (iii) in the ordinary course of business consistent with past practice (including the renewal, extension or amendment of Contracts related to the Group Companies’ existing loans, or any drawdown or repayment of loans under such Contracts), or (iv) any Indebtedness between the Company and its Subsidiaries, or between two or more Subsidiaries of the Company;</w:t>
      </w:r>
    </w:p>
    <w:p>
      <w:pPr>
        <w:spacing w:after="0" w:line="342" w:lineRule="exact"/>
        <w:rPr>
          <w:rFonts w:ascii="Times New Roman" w:cs="Times New Roman" w:eastAsia="Times New Roman" w:hAnsi="Times New Roman"/>
          <w:sz w:val="18"/>
          <w:szCs w:val="18"/>
          <w:color w:val="auto"/>
        </w:rPr>
      </w:pPr>
    </w:p>
    <w:p>
      <w:pPr>
        <w:jc w:val="both"/>
        <w:ind w:left="1620" w:right="499" w:firstLine="360"/>
        <w:spacing w:after="0" w:line="261" w:lineRule="auto"/>
        <w:tabs>
          <w:tab w:leader="none" w:pos="23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with respect to financial accounting policies or procedures in any material respect, including changes affecting the reported consolidated assets, liabilities or results of operations of the Group Companies, except as required by changes in statutory or regulatory accounting rules or GAAP or regulatory requirements with respect thereto;</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pending or threatened in writing Action of or against any Group Company (A) by making payments for an amount in excess of $1,000,000 for any single Action, (B) that would impose any material restrictions on the business or operations of any Group Company, or (C) that is brought by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719"/>
        <w:spacing w:after="0" w:line="266" w:lineRule="auto"/>
        <w:rPr>
          <w:sz w:val="20"/>
          <w:szCs w:val="20"/>
          <w:color w:val="auto"/>
        </w:rPr>
      </w:pPr>
      <w:r>
        <w:rPr>
          <w:rFonts w:ascii="Times New Roman" w:cs="Times New Roman" w:eastAsia="Times New Roman" w:hAnsi="Times New Roman"/>
          <w:sz w:val="18"/>
          <w:szCs w:val="18"/>
          <w:color w:val="auto"/>
        </w:rPr>
        <w:t>or on behalf of any current, former or purported holder of any share capital or debt securities of any Group Company relating to the Transactions, except for, in each case, any Actions occurring in the ordinary course of business;</w:t>
      </w:r>
    </w:p>
    <w:p>
      <w:pPr>
        <w:spacing w:after="0" w:line="108" w:lineRule="exact"/>
        <w:rPr>
          <w:sz w:val="20"/>
          <w:szCs w:val="20"/>
          <w:color w:val="auto"/>
        </w:rPr>
      </w:pPr>
    </w:p>
    <w:p>
      <w:pPr>
        <w:ind w:left="1620" w:right="479" w:firstLine="360"/>
        <w:spacing w:after="0" w:line="266" w:lineRule="auto"/>
        <w:tabs>
          <w:tab w:leader="none" w:pos="23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108"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which are, in the aggregate, in excess of</w:t>
      </w:r>
    </w:p>
    <w:p>
      <w:pPr>
        <w:spacing w:after="0" w:line="27" w:lineRule="exact"/>
        <w:rPr>
          <w:sz w:val="20"/>
          <w:szCs w:val="20"/>
          <w:color w:val="auto"/>
        </w:rPr>
      </w:pPr>
    </w:p>
    <w:p>
      <w:pPr>
        <w:ind w:left="1620" w:right="419"/>
        <w:spacing w:after="0" w:line="260" w:lineRule="auto"/>
        <w:rPr>
          <w:sz w:val="20"/>
          <w:szCs w:val="20"/>
          <w:color w:val="auto"/>
        </w:rPr>
      </w:pPr>
      <w:r>
        <w:rPr>
          <w:rFonts w:ascii="Times New Roman" w:cs="Times New Roman" w:eastAsia="Times New Roman" w:hAnsi="Times New Roman"/>
          <w:sz w:val="18"/>
          <w:szCs w:val="18"/>
          <w:color w:val="auto"/>
        </w:rPr>
        <w:t>$2,000,000, other than as set forth in the annual budget of the Company duly approved by the Company Board;</w:t>
      </w:r>
    </w:p>
    <w:p>
      <w:pPr>
        <w:spacing w:after="0" w:line="100" w:lineRule="exact"/>
        <w:rPr>
          <w:sz w:val="20"/>
          <w:szCs w:val="20"/>
          <w:color w:val="auto"/>
        </w:rPr>
      </w:pPr>
    </w:p>
    <w:p>
      <w:pPr>
        <w:ind w:left="1620" w:right="439" w:firstLine="360"/>
        <w:spacing w:after="0" w:line="254" w:lineRule="auto"/>
        <w:tabs>
          <w:tab w:leader="none" w:pos="239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enter into any Contract that would have been a Material Contract if it had been in effect as of the date hereof,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this Agreement, or (C) as required or contemplated by the terms of any Material Contract in effect as of the date hereof in accordance with its terms as of the date hereof;</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34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as required pursuant to this Agreement or the terms of any Company Employee Plan as in effect on the date hereof, (A) increase the compensation or benefits (including change in control, retention, severance termination pay, deferred compensation or other similar arrangement)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hereof),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$250,000) or terminate (other than for cause) any employee, contractor, consultant or service provider with an annual compensation in excess of $250,000 or enter into an agreement with respect to the foregoing, or</w:t>
      </w:r>
    </w:p>
    <w:p>
      <w:pPr>
        <w:spacing w:after="0" w:line="9" w:lineRule="exact"/>
        <w:rPr>
          <w:rFonts w:ascii="Times New Roman" w:cs="Times New Roman" w:eastAsia="Times New Roman" w:hAnsi="Times New Roman"/>
          <w:sz w:val="18"/>
          <w:szCs w:val="18"/>
          <w:color w:val="auto"/>
        </w:rPr>
      </w:pPr>
    </w:p>
    <w:p>
      <w:pPr>
        <w:ind w:left="1620" w:right="879"/>
        <w:spacing w:after="0" w:line="260" w:lineRule="auto"/>
        <w:tabs>
          <w:tab w:leader="none" w:pos="189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the vesting, funding or payment of any compensation, or benefits under, any Company Employee Plan or otherwise;</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94" w:lineRule="exact"/>
        <w:rPr>
          <w:rFonts w:ascii="Times New Roman" w:cs="Times New Roman" w:eastAsia="Times New Roman" w:hAnsi="Times New Roman"/>
          <w:sz w:val="18"/>
          <w:szCs w:val="18"/>
          <w:color w:val="auto"/>
        </w:rPr>
      </w:pPr>
    </w:p>
    <w:p>
      <w:pPr>
        <w:ind w:left="1620" w:right="799" w:firstLine="360"/>
        <w:spacing w:after="0" w:line="282" w:lineRule="auto"/>
        <w:tabs>
          <w:tab w:leader="none" w:pos="234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any new line of business outside of its existing business as of the date hereof that is material to the Company and its Subsidiaries, taken as a whole;</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82" w:lineRule="auto"/>
        <w:tabs>
          <w:tab w:leader="none" w:pos="234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issue any new Company Options or Company RSUs pursuant to the Company Share Plans; and</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1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enter into any Contract or otherwise make a legally binding commitment, to do any of the foregoing.</w:t>
      </w:r>
    </w:p>
    <w:p>
      <w:pPr>
        <w:spacing w:after="0" w:line="81"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 xml:space="preserve">Solely for the purposes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pandemic or epidemic-related measures reasonably taken by the Group Companies for the purposes of reducing any adverse impact on the businesses and assets of the Group Companies, including those responding to COVID-19, shall not constitute a breach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Each party hereto agrees that, during the period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it shall not (i) take any action which is intended to or would reasonably be likely to result in any of the applicable conditions to effecting the Merger becoming incapable of being satisfied or (ii) take any action which would, or would be reasonably likely to, individually or in the aggregate, prevent, materially delay or materially impede its ability to consummate the Merger or the other transactions contemplated by this Agreement.</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u w:val="single" w:color="auto"/>
          <w:color w:val="auto"/>
        </w:rPr>
        <w:t>No Control of Other Party’s Business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Parent or Merger Sub, directly or indirectly, the right to control or direct the Company’s or the Company’s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Proxy Statement and Schedule 13E-3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tabs>
          <w:tab w:leader="none" w:pos="232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of this Agreement, the Company, with the cooperation and assistance of Parent and Merger Sub, shall prepare a proxy statement relating to the authorization and approval of this Agreement, the Plan of Merger and the Transactions, including the Merger, by the shareholders of the Company by the Requisite Company Vote including a notice convening the Shareholders Meeting in accordance with the Company’s articles of association (such proxy statement and notice, as amended or supplemented, being referred to herein as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Concurrently with the preparation of the Proxy Statement, the Company, Parent and Merger Sub shall jointly prepare and cause to be filed with the SEC a Rule 13e-3 transaction statement on Schedule 13E-3 relating to the authorization and approval of this Agreement, the Plan of Merger and the Transactions, including the Merger, by the shareholders of the Company (such Schedule 13E-3, as amended or supplemented, being referred to herein as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Parent and Merger Sub shall timely furnish all information as the Company may reasonably request in connection with such actions and preparation of the Proxy Statement and the Schedule 13E-3. Each of the Company, Parent and Merger Sub shall use its reasonable best efforts so that the Proxy Statement and the Schedule 13E-3 will comply in all material respects with the requirements of the Exchange Act and the rules and regulations promulgated thereunder. Each of the Company, Parent and Merger Sub shall use its reasonable best efforts to respond promptly to any comments of the SEC with respect to the Proxy Statement and the Schedule 13E-3. Each of Parent and Merger Sub shall provide reasonable assistance and cooperation to the Company in the preparation, filing and distribution of the Proxy Statement, the Schedule 13E-3 and the resolution of comments from the SEC. Upon its receipt of any written comments from the SEC or its staff or any request from the SEC or its staff for amendments or supplements to the Proxy Statement and the Schedule 13E-3, the Company shall promptly notify Parent and Merger Sub and shall provide Parent with copies of all correspondence between the Company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opportunity to review and comment on such document or response, and (ii) shall consider in good faith all additions, deletions or changes reasonably proposed by Parent in good faith. If at any time prior to the Shareholders Meeting, any information relating to the Company, Parent, Merger Sub, Rollover Shareholders or any of their respective Affiliates, officers or directors, is discovered by the Company, Parent or Merger Sub that should be set forth in an amendment or supplement to the Proxy Statement or the Schedule 13E-3 so that the Proxy Statement or the Schedule 13E-3 will not contain any untrue statement of a material fact or omit to state any material fact required to be stated therein or necessary in order to make the statements therein, in light of the circumstances under which they are made, not misleading, the party that discovers such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3" w:lineRule="auto"/>
        <w:rPr>
          <w:sz w:val="20"/>
          <w:szCs w:val="20"/>
          <w:color w:val="auto"/>
        </w:rPr>
      </w:pPr>
      <w:r>
        <w:rPr>
          <w:rFonts w:ascii="Times New Roman" w:cs="Times New Roman" w:eastAsia="Times New Roman" w:hAnsi="Times New Roman"/>
          <w:sz w:val="18"/>
          <w:szCs w:val="18"/>
          <w:color w:val="auto"/>
        </w:rPr>
        <w:t xml:space="preserve">information shall promptly notify the other parties hereto and an appropriate amendment or supplement describing such information shall be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such filing, the Company and Parent, as the case may be, shall consult with each other with respect to such amendment or supplement and shall afford the other party and their Representatives a reasonable opportunity to comment thereon.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is intended to restrict or preclude the Company Board or the Special Committee from effecting a Change in the Company Recommendation on the terms and subject to the condition set forth in this Agreement. Notwithstanding anything herein to the contrary, and subject to compliance with the terms of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6.04(e)</w:t>
      </w:r>
      <w:r>
        <w:rPr>
          <w:rFonts w:ascii="Times New Roman" w:cs="Times New Roman" w:eastAsia="Times New Roman" w:hAnsi="Times New Roman"/>
          <w:sz w:val="18"/>
          <w:szCs w:val="18"/>
          <w:color w:val="auto"/>
        </w:rPr>
        <w:t xml:space="preserve"> with respect to any disclosure regarding a Change in the Company Recommendation made in accordance with and not in violation of this Agreement, the Company shall not be required to provide Parent or Merger Sub with the opportunity to review or comment on (or include comments proposed by Parent or Merger Sub in) the Schedule 13E-3 or the Proxy Statement, or any amendment or supplement thereto, or another filing by the Company with the SEC, with respect to such disclosure.</w:t>
      </w:r>
    </w:p>
    <w:p>
      <w:pPr>
        <w:spacing w:after="0" w:line="117" w:lineRule="exact"/>
        <w:rPr>
          <w:sz w:val="20"/>
          <w:szCs w:val="20"/>
          <w:color w:val="auto"/>
        </w:rPr>
      </w:pPr>
    </w:p>
    <w:p>
      <w:pPr>
        <w:ind w:left="1620" w:right="439" w:firstLine="360"/>
        <w:spacing w:after="0"/>
        <w:tabs>
          <w:tab w:leader="none" w:pos="23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 Transactions, will, as of the time such documents (or any amendment thereof or supplement thereto) are mailed to the holders of Shares and at the time of the Shareholders Meeting, contain any untrue statement of a material fact, or omit to state any material fact required to be stated therein in order to make the statements therein, in light of the circumstances under which they were made, not misleading.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in order to make the statements therein, in light of the circumstances under which they were made, not misleading. If at any time prior to the Effective Time, any event or circumstance relating to Parent, Merger Sub or the Company, or their respective officers or directors, should be discovered which should be set forth in an amendment or a supplement to the Proxy Statement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such filing, the Company and Parent, as the case may be, shall consult with each other with respect to such amendment or supplement and shall afford the other party and their Representatives a reasonable opportunity to comment thereon. Notwithstanding anything herein to the contrary, no representation, warranty, covenant or agreement is made by any party hereto with respect to information supplied by any of the other parties hereto or their respective Affiliates or Representatives for inclusion or incorporation by reference in the Proxy Statement or the Schedule 13E-3.</w:t>
      </w:r>
    </w:p>
    <w:p>
      <w:pPr>
        <w:spacing w:after="0" w:line="34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Company Shareholders Meeting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79" w:firstLine="360"/>
        <w:spacing w:after="0" w:line="243" w:lineRule="auto"/>
        <w:tabs>
          <w:tab w:leader="none" w:pos="233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establish a record date for determining shareholders of the Company entitled to vote at the Shareholders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consultation with Parent, and shall not change such Record Date or establish a different record date for the Shareholders Meeting without the prior written consent of Parent, unless the Company is required to do so by applicable Law or the Shareholders Meeting as originally called is adjourned or otherwise delayed pursuant to terms of this Agreement. As soon as reasonably practicable after the SEC confirms that it has no further comments on the Schedule 13E-3 or that it is not reviewing the Schedule 13E-3 but in any event no later than 12 Business Days after such confirmation, the Company shall (i) set the Record Date to determine holders of Shares entitled to vote on the Merger and inform the Depositary of said Record Date, (ii) request the Depositary to fix the ADR record date (the “</w:t>
      </w:r>
      <w:r>
        <w:rPr>
          <w:rFonts w:ascii="Times New Roman" w:cs="Times New Roman" w:eastAsia="Times New Roman" w:hAnsi="Times New Roman"/>
          <w:sz w:val="18"/>
          <w:szCs w:val="18"/>
          <w:u w:val="single" w:color="auto"/>
          <w:color w:val="auto"/>
        </w:rPr>
        <w:t>ADR Record Date</w:t>
      </w:r>
      <w:r>
        <w:rPr>
          <w:rFonts w:ascii="Times New Roman" w:cs="Times New Roman" w:eastAsia="Times New Roman" w:hAnsi="Times New Roman"/>
          <w:sz w:val="18"/>
          <w:szCs w:val="18"/>
          <w:color w:val="auto"/>
        </w:rPr>
        <w:t>”) as the same date as</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6" w:lineRule="auto"/>
        <w:rPr>
          <w:sz w:val="20"/>
          <w:szCs w:val="20"/>
          <w:color w:val="auto"/>
        </w:rPr>
      </w:pPr>
      <w:r>
        <w:rPr>
          <w:rFonts w:ascii="Times New Roman" w:cs="Times New Roman" w:eastAsia="Times New Roman" w:hAnsi="Times New Roman"/>
          <w:sz w:val="18"/>
          <w:szCs w:val="18"/>
          <w:color w:val="auto"/>
        </w:rPr>
        <w:t xml:space="preserve">the Record Date, and (iii) cause the Depositary to arrange for the proxy solicitation materials to be mailed to all registered and beneficial holders of ADSs as at the ADR Record Date and set the cut-off time by which eligible holders of ADSs can submit voting instructions to the Depositary. Subject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without the prior written consent of Parent, the authorization and approval of this Agreement, the Plan of Merger and the Transactions, including the Merger, are the only matters (other than procedural matters) that shall be proposed to be voted upon by the shareholders of the Company at the Shareholders Meeting.</w:t>
      </w:r>
    </w:p>
    <w:p>
      <w:pPr>
        <w:spacing w:after="0" w:line="336" w:lineRule="exact"/>
        <w:rPr>
          <w:sz w:val="20"/>
          <w:szCs w:val="20"/>
          <w:color w:val="auto"/>
        </w:rPr>
      </w:pPr>
    </w:p>
    <w:p>
      <w:pPr>
        <w:ind w:left="1620" w:right="419" w:firstLine="360"/>
        <w:spacing w:after="0" w:line="251" w:lineRule="auto"/>
        <w:tabs>
          <w:tab w:leader="none" w:pos="23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any event no later than thirty-five (35) days after the date of mailing the Proxy Statement, the Company shall hold the Shareholders Meeting. Subject to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Board shall recommend to holders of the Shares that they authorize and approve this Agreement, the Plan of Merger and the Transactions, including the Merger, and shall include such recommendation in the Proxy Statement. The Company shall use its reasonable best efforts in accordance with applicable Law and the memorandum and articles of association of the Company to (i) solicit from its shareholders proxies in favor of the authorization and approval of this Agreement, the Plan of Merger and the Transactions, including the Merger, and (ii) take all other action necessary or advisable to secure the Requisite Company Vote. In the event that subsequent to the date hereof, the Company Board authorizes the Company to terminate this Agreement in accordance with the terms of this Agreement, the Company shall not be required to convene the Shareholders Meeting or submit this Agreement, the Plan of Merger and the Transactions, including the Merger, to the holders of the Shares for authorization and approval at the Shareholders Meeting. Notwithstanding any Change in the Company Recommendation, unless this Agreement is terminated in accordance with its terms,</w:t>
      </w:r>
    </w:p>
    <w:p>
      <w:pPr>
        <w:spacing w:after="0" w:line="11" w:lineRule="exact"/>
        <w:rPr>
          <w:rFonts w:ascii="Times New Roman" w:cs="Times New Roman" w:eastAsia="Times New Roman" w:hAnsi="Times New Roman"/>
          <w:sz w:val="18"/>
          <w:szCs w:val="18"/>
          <w:color w:val="auto"/>
        </w:rPr>
      </w:pPr>
    </w:p>
    <w:p>
      <w:pPr>
        <w:ind w:left="1620" w:right="459"/>
        <w:spacing w:after="0" w:line="252" w:lineRule="auto"/>
        <w:tabs>
          <w:tab w:leader="none" w:pos="188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Meeting shall be convened and this Agreement shall be submitted to the shareholders of the Company for approval at the Shareholders Meeting, and nothing contained herein shall be deemed to relieve the Company of such obligation, and (y) all other obligations of the parties hereto hereunder shall continue in full force and effect and such obligations shall not be affected by the commencement, public proposal, public disclosure or communication to the Company of any Competing Proposal (whether or not a Superior Proposal).</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Company may, after consultation in good faith with Parent, adjourn or recommend the adjournment of the Shareholders Meeting to its shareholders (i) if and to the extent the Special Committee determines in good faith that such adjournment or postponement is necessary or advisable to ensure that any required supplement or amendment to the Proxy Statement is provided to the holders of Shares within a reasonable amount of time in advance of the Shareholders Meeting, (ii) as otherwise required by applicable Law, or (iii) if as of the time for which the Shareholders Meeting is scheduled as set forth in the Proxy Statement, there are insufficient Shares represented (in person or by proxy) to constitute a quorum necessary to conduct the business of the Shareholders Meeting or to vote in favor of the authorization and approval of this Agreement, the Plan of Merger, and the Transactions in order for the Requisite Company Vote to be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The Company shall, upon Parent’s written request and at Parent’s direction, adjourn or postpone the Shareholders Meeting on up to two occasions for an aggregate period of up to ten (10)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this Agreement, the Plan of Merger, and the Transactions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If the Shareholders Meeting is adjourned, the Company shall convene and hold the Shareholders Meeting as soon as reasonably practicable thereafter, subject to the immediately preceding sentence.</w:t>
      </w:r>
    </w:p>
    <w:p>
      <w:pPr>
        <w:spacing w:after="0" w:line="200" w:lineRule="exact"/>
        <w:rPr>
          <w:sz w:val="20"/>
          <w:szCs w:val="20"/>
          <w:color w:val="auto"/>
        </w:rPr>
      </w:pPr>
    </w:p>
    <w:p>
      <w:pPr>
        <w:spacing w:after="0" w:line="39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5" w:lineRule="auto"/>
        <w:tabs>
          <w:tab w:leader="none" w:pos="233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Shareholders Meeting, and any other meeting of the shareholders of the Company called to seek the Requisite Company Vote or in any other circumstances upon which a vote, consent or other approval (including by written consent) with respect to this Agreement, the Plan of Merger or the Transactions is sought, Parent and/or Merger Sub shall vote, and shall cause the Rollover Shareholders to vote, all Shares held directly or indirectly by them as of the date hereof, including the Rollover Shares pursuant to the terms of the Support Agreement, in favor of the authorization and approval of this Agreement, the Plan of Merger and the Transactions.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subject to applicable Law and the Confidentiality Agreement, upon reasonable advance notice in writing from Parent, the Company shall (i) provide to Parent and its Representatives reasonable access during normal business hours to the offices, properties, books and records of any Group Company, (ii) furnish to Parent and its Representatives such existing financial and operating data and other existing information concerning the Group Companies as Parent may reasonably request in writing, and (iii) instruct its and its Subsidiaries’ employees, legal counsel, financial advisors, auditors and other Representatives to reasonably cooperate with Parent and its Representatives in their investigation. Notwithstanding the foregoing, any such investigation shall be conducted in such a manner as not to interfere unreasonably with the business or operations of the Company or its Subsidiaries or otherwise result in any significant interference with the timely discharge by the employees of the Company or its Subsidiaries of their duties. All requests for information made pursuant to this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be directed to the executive officers or other person designated by the Company.</w:t>
      </w:r>
    </w:p>
    <w:p>
      <w:pPr>
        <w:spacing w:after="0" w:line="324"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nothing in this Agreement shall require the Company or any of its Subsidiaries to give access to or disclose any information to Parent or any of its Representatives if such access or disclosure would (i) violate any Contract entered into prior to the date of this Agreement, applicable Law or Order (provided that the Company shall use its reasonable best efforts to cause such information be provided in a manner that would not result in such violation), (ii) jeopardize any attorney-client privilege, work product doctrine or other applicable privilege, or (iii) give a Third Party the right to terminate or accelerate the rights under a Contract entered into prior to the date of this Agreement (provided that the Company shall use its reasonable best efforts to cause such information be provided in a manner that would not result in such jeopardy for right to terminate or accelerate).</w:t>
      </w:r>
    </w:p>
    <w:p>
      <w:pPr>
        <w:spacing w:after="0" w:line="327" w:lineRule="exact"/>
        <w:rPr>
          <w:rFonts w:ascii="Times New Roman" w:cs="Times New Roman" w:eastAsia="Times New Roman" w:hAnsi="Times New Roman"/>
          <w:sz w:val="18"/>
          <w:szCs w:val="18"/>
          <w:color w:val="auto"/>
        </w:rPr>
      </w:pPr>
    </w:p>
    <w:p>
      <w:pPr>
        <w:ind w:left="1620" w:right="899" w:firstLine="360"/>
        <w:spacing w:after="0" w:line="282" w:lineRule="auto"/>
        <w:tabs>
          <w:tab w:leader="none" w:pos="232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provided or made available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to Parent or its Representatives shall be subject to the Confidentiality Agreement and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investigation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affect any representation or warranty in this Agreement of any party hereto or any condition to the obligations of the parties hereto.</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55" w:lineRule="auto"/>
        <w:tabs>
          <w:tab w:leader="none" w:pos="23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during the period beginning on the date of this Agreement and continuing until 11:59 p.m. New York City time on the date that is (x) thirty (30) days following the date of this Agreement (the “</w:t>
      </w:r>
      <w:r>
        <w:rPr>
          <w:rFonts w:ascii="Times New Roman" w:cs="Times New Roman" w:eastAsia="Times New Roman" w:hAnsi="Times New Roman"/>
          <w:sz w:val="18"/>
          <w:szCs w:val="18"/>
          <w:u w:val="single" w:color="auto"/>
          <w:color w:val="auto"/>
        </w:rPr>
        <w:t>No-Shop Period Start Date</w:t>
      </w:r>
      <w:r>
        <w:rPr>
          <w:rFonts w:ascii="Times New Roman" w:cs="Times New Roman" w:eastAsia="Times New Roman" w:hAnsi="Times New Roman"/>
          <w:sz w:val="18"/>
          <w:szCs w:val="18"/>
          <w:color w:val="auto"/>
        </w:rPr>
        <w:t>”) for any Person or “group” who is not an Excluded Party, or (y) in respect of any Excluded Party,</w:t>
      </w:r>
    </w:p>
    <w:p>
      <w:pPr>
        <w:spacing w:after="0" w:line="2" w:lineRule="exact"/>
        <w:rPr>
          <w:rFonts w:ascii="Times New Roman" w:cs="Times New Roman" w:eastAsia="Times New Roman" w:hAnsi="Times New Roman"/>
          <w:sz w:val="18"/>
          <w:szCs w:val="18"/>
          <w:color w:val="auto"/>
        </w:rPr>
      </w:pPr>
    </w:p>
    <w:p>
      <w:pPr>
        <w:ind w:left="16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days after the No-Shop Period Start Date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as applicable, the Company, its Subsidiaries and its Subsidiaries’ Representatives (including any investment banker, attorney or accountant retained by any Group Company) shall have the right (acting under the direction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and in accordance with, an Acceptable Confidentiality Agreement;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499"/>
        <w:spacing w:after="0" w:line="24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promptly (and in any event within two (2) Business Days) provide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forty-eight</w:t>
      </w:r>
    </w:p>
    <w:p>
      <w:pPr>
        <w:spacing w:after="0" w:line="5" w:lineRule="exact"/>
        <w:rPr>
          <w:sz w:val="20"/>
          <w:szCs w:val="20"/>
          <w:color w:val="auto"/>
        </w:rPr>
      </w:pPr>
    </w:p>
    <w:p>
      <w:pPr>
        <w:ind w:left="1620" w:right="439"/>
        <w:spacing w:after="0"/>
        <w:tabs>
          <w:tab w:leader="none" w:pos="198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following the No-Shop Period Start Date (or, with respect to an Excluded Party, the Cut-Off Date), the Company shall notify Parent in writing of the material terms and conditions of any proposal or offer regarding a Competing Proposal (including any amendments or modifications thereof) received from any Person or its Representatives and the identity thereof (including the identity of any Excluded Party). Except as otherwise expressly provided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shall (x) immediately cease any activities permitted by the preceding sentences and any discussions or negotiations with any Person (other than Parent, Merger Sub or their respective Representatives) that are ongoing as of the No-Shop Period Start Date and that relate, or may reasonably be expected to lead, to a Competing Transaction, and (y) promptly request each Person (other than Parent, Merger Sub or their respective Representatives) that has heretofore executed a standstill, confidentiality or similar agreement in connection with such Person’s consideration of a Competing Transaction to return (or if permitted by the applicable agreement, destroy) all information required to be returned (or, if applicable, destroyed) by such Person under the terms of the applicable agreement.</w:t>
      </w:r>
    </w:p>
    <w:p>
      <w:pPr>
        <w:spacing w:after="0" w:line="125" w:lineRule="exact"/>
        <w:rPr>
          <w:rFonts w:ascii="Times New Roman" w:cs="Times New Roman" w:eastAsia="Times New Roman" w:hAnsi="Times New Roman"/>
          <w:sz w:val="18"/>
          <w:szCs w:val="18"/>
          <w:color w:val="auto"/>
        </w:rPr>
      </w:pPr>
    </w:p>
    <w:p>
      <w:pPr>
        <w:ind w:left="1620" w:right="479" w:firstLine="360"/>
        <w:spacing w:after="0" w:line="241" w:lineRule="auto"/>
        <w:tabs>
          <w:tab w:leader="none" w:pos="234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from the No-Shop Period Start Date (or, with respect to an Excluded Party, the Cut-Off Date), the Company shall not, nor shall it permit any of its Subsidiaries to, nor shall it authorize or permit any of its or their Representatives to, directly or indirectly, (i) solicit, initiate or knowingly encourage (including by way of furnishing information which has not been previously publicly disseminated),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(as defined below), (iv) grant any waiver, amendment or release under any standstill, confidentiality or similar agreement or Takeover Statutes, or (v) authorize or permit any of the Representatives of the Company or any of its Subsidiaries to take any action set forth in</w:t>
      </w:r>
    </w:p>
    <w:p>
      <w:pPr>
        <w:spacing w:after="0" w:line="2" w:lineRule="exact"/>
        <w:rPr>
          <w:rFonts w:ascii="Times New Roman" w:cs="Times New Roman" w:eastAsia="Times New Roman" w:hAnsi="Times New Roman"/>
          <w:sz w:val="18"/>
          <w:szCs w:val="18"/>
          <w:color w:val="auto"/>
        </w:rPr>
      </w:pPr>
    </w:p>
    <w:p>
      <w:pPr>
        <w:ind w:left="1620" w:right="49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clauses (i)  – (iv) of this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following the receipt of a Superior Proposal or a proposal which is reasonably expected to lead to a Superior Proposal that in either case was made after the No-Shop Period Start Date (or, with respect to an Excluded Party, the Cut-Off Date) and prior to the receipt of the Requisite Company Vote, the Company Board has determined, in its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w:t>
      </w:r>
    </w:p>
    <w:p>
      <w:pPr>
        <w:spacing w:after="0" w:line="3" w:lineRule="exact"/>
        <w:rPr>
          <w:rFonts w:ascii="Times New Roman" w:cs="Times New Roman" w:eastAsia="Times New Roman" w:hAnsi="Times New Roman"/>
          <w:sz w:val="18"/>
          <w:szCs w:val="18"/>
          <w:color w:val="auto"/>
        </w:rPr>
      </w:pPr>
    </w:p>
    <w:p>
      <w:pPr>
        <w:ind w:left="162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request information from the Person making such proposal for the sole purpose of the Company Board informing itself about the proposal that has been made and the Person that made it, (B) furnish information with respect to the Company to the Person making such Superior Proposal pursuant to an Acceptable Confidentiality Agreement, and (C) participate in negotiations with such party regarding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as soon as practical (and in any event within twenty-four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45" w:lineRule="auto"/>
        <w:tabs>
          <w:tab w:leader="none" w:pos="233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neither the Company Board nor any committee thereof shall (i) change, withhold, withdraw, qualify or modify, or propose publicly to change, withhold, withdraw, qualify or modify, in a manner adverse to Parent, Merger Sub or the Company Recommendation, (ii) fail to include the Company Recommendation in the Proxy Statement, (iii) adopt, approve, determine to be advisable, or recommend, or propose publicly to adopt, approve, determine to be advisable, or recommend, any Competing Proposal, (iv) fail to recommend against any Competing Transaction subject to Regulation 14D under the Exchange Act in a Solicitation/</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color w:val="auto"/>
        </w:rPr>
        <w:t>Recommendation Statement on Schedule 14D-9 within ten (10) Business Days after the commencement of such Competing Transaction, (v) fail to publicly reaffirm the Company Recommendation following any Competing Transaction having been publicly made, proposed or communicated (and not publicly withdrawn) within ten (10) Business Days after Parent so requests in writing, or (vi) cause the Company to enter into any letter of intent, agreement in principle, acquisition agreement or other similar agreement (each,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related to any Competing Proposal (other than an Acceptable Confidentiality Agreement entered into in compliance with </w:t>
      </w:r>
      <w:r>
        <w:rPr>
          <w:rFonts w:ascii="Times New Roman" w:cs="Times New Roman" w:eastAsia="Times New Roman" w:hAnsi="Times New Roman"/>
          <w:sz w:val="18"/>
          <w:szCs w:val="18"/>
          <w:u w:val="single" w:color="auto"/>
          <w:color w:val="auto"/>
        </w:rPr>
        <w:t>Section 6.04(a)</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(any of the foregoing, a “</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right="439" w:firstLine="360"/>
        <w:spacing w:after="0" w:line="242" w:lineRule="auto"/>
        <w:tabs>
          <w:tab w:leader="none" w:pos="234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xml:space="preserve">, if and only if the Company Board determines in good faith acting at the recommendation of the Special Committee (after consultation with its independent financial advisor and outside legal counsel), in response to a Superior Proposal that was made in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after the date hereof and prior to the receipt of the Requisite Company Vote, that the failure to do so could be inconsistent with its fiduciary duties under applicable Law, the Company Board (acting at the recommendation of the Special Committee) or the Special Committee may (x) make a Change in the Company Recommendation, and</w:t>
      </w:r>
    </w:p>
    <w:p>
      <w:pPr>
        <w:spacing w:after="0" w:line="3" w:lineRule="exact"/>
        <w:rPr>
          <w:rFonts w:ascii="Times New Roman" w:cs="Times New Roman" w:eastAsia="Times New Roman" w:hAnsi="Times New Roman"/>
          <w:sz w:val="18"/>
          <w:szCs w:val="18"/>
          <w:color w:val="auto"/>
        </w:rPr>
      </w:pPr>
    </w:p>
    <w:p>
      <w:pPr>
        <w:ind w:left="1880" w:hanging="260"/>
        <w:spacing w:after="0" w:line="234" w:lineRule="auto"/>
        <w:tabs>
          <w:tab w:leader="none" w:pos="18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the Company to terminate this Agreement in accordance with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but only</w:t>
      </w:r>
    </w:p>
    <w:p>
      <w:pPr>
        <w:spacing w:after="0" w:line="1" w:lineRule="exact"/>
        <w:rPr>
          <w:sz w:val="20"/>
          <w:szCs w:val="20"/>
          <w:color w:val="auto"/>
        </w:rPr>
      </w:pPr>
    </w:p>
    <w:p>
      <w:pPr>
        <w:ind w:left="1620" w:right="439"/>
        <w:spacing w:after="0"/>
        <w:tabs>
          <w:tab w:leader="none" w:pos="184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complied with the requirements of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with respect to such proposal or offer in all material respects; (ii) after (A) providing at least five (5) Business Days’ (the “</w:t>
      </w:r>
      <w:r>
        <w:rPr>
          <w:rFonts w:ascii="Times New Roman" w:cs="Times New Roman" w:eastAsia="Times New Roman" w:hAnsi="Times New Roman"/>
          <w:sz w:val="18"/>
          <w:szCs w:val="18"/>
          <w:u w:val="single" w:color="auto"/>
          <w:color w:val="auto"/>
        </w:rPr>
        <w:t>Superior Proposal Notice Period</w:t>
      </w:r>
      <w:r>
        <w:rPr>
          <w:rFonts w:ascii="Times New Roman" w:cs="Times New Roman" w:eastAsia="Times New Roman" w:hAnsi="Times New Roman"/>
          <w:sz w:val="18"/>
          <w:szCs w:val="18"/>
          <w:color w:val="auto"/>
        </w:rPr>
        <w:t>”) written notice to Parent (a “</w:t>
      </w:r>
      <w:r>
        <w:rPr>
          <w:rFonts w:ascii="Times New Roman" w:cs="Times New Roman" w:eastAsia="Times New Roman" w:hAnsi="Times New Roman"/>
          <w:sz w:val="18"/>
          <w:szCs w:val="18"/>
          <w:u w:val="single" w:color="auto"/>
          <w:color w:val="auto"/>
        </w:rPr>
        <w:t>Notice of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advising Parent that the Company Board has received a proposal or offer that constitutes a Superior Proposal, specifying the material terms and conditions of such proposal or offer, identifying the person making such proposal or offer and indicating that the Company Board intends to effect a Change in the Company Recommendation and/or authorize the Company to terminate this Agreement in accordance with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(B) negotiating with and causing its financial and legal advisors to negotiate with Parent, Merger Sub and their respective Representatives in good faith (to the extent Parent desires to negotiate) to make such adjustments in the terms and conditions of this Agreement and the Financing Documents, so that such proposal or offer would cease to constitute a Superior Proposal, and (C) permitting Parent and its Representatives to make a presentation to the Company Board and the Special Committee regarding this Agreement, the Financing and any adjustments with respect thereto (to the extent Parent desires to make such 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modifications to such proposal or offer that the Company Board has determined to be a Superior Proposal shall be deemed a new Superior Proposal to which the requirements of this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apply and the Company shall be required to deliver a new Notice of Superior Proposal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with respect to such new Notice of Superior Proposal to Parent,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Notice Period shall be deemed to be a three (3)-Business-Day-period rather than the five (5)-Business-Day-period first described above; and (D) following the end of such five (5)-Business-Day-period or three (3)-Business-Day-period (as applicable), the Company Board shall have determined, in its good faith judgment upon the recommendation of the Special Committee (after consultation with its independent financial advisor and outside legal counsel), that taking into account any changes to this Agreement and the Financing Documents proposed by Parent and Merger Sub in response to the Notice of Superior Proposal or otherwise, that such proposal or offer giving rise to the Notice of Superior Proposal continues to constitute a Superior Proposal and the failure to take the actions specified in clauses (x) to (y) above could still be inconsistent with its fiduciary duties under applicable Law.</w:t>
      </w:r>
    </w:p>
    <w:p>
      <w:pPr>
        <w:spacing w:after="0" w:line="33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prior to the time, but not after, the Requisite Company Vote is obtained, the Company Board, acting at the recommendation of the Special Committee, or the Special Committee, may make a Change in the Company Recommendation for a reason unrelated to a Competing Proposal if and only if (i) the Company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(5)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3" w:lineRule="auto"/>
        <w:rPr>
          <w:sz w:val="20"/>
          <w:szCs w:val="20"/>
          <w:color w:val="auto"/>
        </w:rPr>
      </w:pPr>
      <w:r>
        <w:rPr>
          <w:rFonts w:ascii="Times New Roman" w:cs="Times New Roman" w:eastAsia="Times New Roman" w:hAnsi="Times New Roman"/>
          <w:sz w:val="18"/>
          <w:szCs w:val="18"/>
          <w:color w:val="auto"/>
        </w:rPr>
        <w:t>and shall cause its Representative to, negotiate in good faith with Parent during such five (5)-Business-Day-period (to the extent that Parent desires to negotiate) to make such revisions to the terms of this Agreement and the Financing Documents as would permit the Company Board not to effect a Change in the Company Recommendation in light of such Intervening Event, and (B) shall permit Parent and its Representatives to make a presentation to the Company Board and the Special Committee regarding this Agreement, the Financing Documents and any adjustments with respect thereto (to the extent Parent desires to make such presentation); and (iv) the Company Board shall have considered in good faith any changes to this Agreement and the Financing Documents and shall have again determined, acting at the recommendation of the Special Committee, in good faith after consultation with its independent financial advisor and outside legal counsel, taking into account any changes to this Agreement and the Financing Documents proposed by Parent and Merger Sub in response to the aforementioned notice, that it could continue to be inconsistent with the Company Board’s fiduciary duties under applicable Law not to effect the Change in the Company Recommendation in light of the Intervening Event.</w:t>
      </w:r>
    </w:p>
    <w:p>
      <w:pPr>
        <w:spacing w:after="0" w:line="327" w:lineRule="exact"/>
        <w:rPr>
          <w:sz w:val="20"/>
          <w:szCs w:val="20"/>
          <w:color w:val="auto"/>
        </w:rPr>
      </w:pPr>
    </w:p>
    <w:p>
      <w:pPr>
        <w:ind w:left="1620" w:right="459" w:firstLine="360"/>
        <w:spacing w:after="0" w:line="241" w:lineRule="auto"/>
        <w:tabs>
          <w:tab w:leader="none" w:pos="231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deemed to prohibit the Company, the Company Board or the Special Committee from (i) complying with its disclosure obligations under U.S. federal or state or non-U.S. Law with regard to a Competing Transaction, including (A) disclosure of factual information regarding the business, financial condition or results of operations of the Company and (B) taking and disclosing to its shareholders a position contemplated by Rule 14e-2(a), Rule 14d-9 or Item 1012(a) of Regulation M-A promulgated under the Exchange Act (or any similar communication to shareholders in connection with the making or amendment of a tender offer or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disclosure pursuant to this clause (B) (other than a “stop, look and listen” communication of the type contemplated by Rule 14d-9(f) under the Exchange Act or a statement that the Company Board or the Special Committee, as applicable, has received and is currently evaluating such Competing Transaction) that does not include an express rejection of any applicable Competing Transaction or an express reaffirmation of its recommendation in favor of the Transactions shall be deemed to be a Change in the Company Recommendation, or (ii) making any “stop-look-and-listen” communication of the type contemplated by Rule 14d-9(f) under the Exchange Act.</w:t>
      </w:r>
    </w:p>
    <w:p>
      <w:pPr>
        <w:spacing w:after="0" w:line="33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1" w:lineRule="auto"/>
        <w:tabs>
          <w:tab w:leader="none" w:pos="233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advancement and exculpation provisions of the indemnification agreements by and between the Company and its directors and officers, as in effect at the Effective Time, shall survive the Merger and shall not be amended, repealed or otherwise modified for a period of six (6) years from the Effective Time in any manner that would adversely affect the rights thereunder of the current or former directors or officers of the Company or any of its Subsidiaries. The Surviving Company and its Subsidiaries shall (and Parent shall cause the Surviving Company and its Subsidiaries to) honor and fulfill in all respects the obligations of the Group Companies under (i) any indemnification, advancement of expenses and exculpation provision set forth in any memorandum and articles of association or comparable organizational documents of the Company or any of its Subsidiaries as in effect on the date of this Agreement, and (ii) all indemnification agreements between the Company or any of its Subsidiaries and any Indemnified Party.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hereof, and Parent shall cause such provisions not be amended, repealed or otherwise modified for a period of six (6)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shall be assumed by the Surviving Company, shall survive the Merger and shall continue in full force and effect in accordance with its terms.</w:t>
      </w:r>
    </w:p>
    <w:p>
      <w:pPr>
        <w:spacing w:after="0" w:line="341"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4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and Parent shall cause the Surviving Company to, maintain in effect for six (6) years from the Effective Time the current directors’ and officers’ liability insurance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policies (including for acts or omissions occurring in connection with this Agreement and the</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the Transactions) maintained by the Company or any of its Subsidiaries covering</w:t>
      </w:r>
    </w:p>
    <w:p>
      <w:pPr>
        <w:ind w:left="1620"/>
        <w:spacing w:after="0" w:line="234" w:lineRule="auto"/>
        <w:rPr>
          <w:sz w:val="20"/>
          <w:szCs w:val="20"/>
          <w:color w:val="auto"/>
        </w:rPr>
      </w:pPr>
      <w:r>
        <w:rPr>
          <w:rFonts w:ascii="Times New Roman" w:cs="Times New Roman" w:eastAsia="Times New Roman" w:hAnsi="Times New Roman"/>
          <w:sz w:val="18"/>
          <w:szCs w:val="18"/>
          <w:color w:val="auto"/>
        </w:rPr>
        <w:t>each current or former director or officer and any person who becomes a director or officer of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or any of its Subsidiaries prior to the Effective Time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covered</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Effective Time, on terms no less favorable than those of such policies in effect on the date</w:t>
      </w:r>
    </w:p>
    <w:p>
      <w:pPr>
        <w:ind w:left="1620"/>
        <w:spacing w:after="0" w:line="234" w:lineRule="auto"/>
        <w:rPr>
          <w:sz w:val="20"/>
          <w:szCs w:val="20"/>
          <w:color w:val="auto"/>
        </w:rPr>
      </w:pPr>
      <w:r>
        <w:rPr>
          <w:rFonts w:ascii="Times New Roman" w:cs="Times New Roman" w:eastAsia="Times New Roman" w:hAnsi="Times New Roman"/>
          <w:sz w:val="18"/>
          <w:szCs w:val="18"/>
          <w:color w:val="auto"/>
        </w:rPr>
        <w:t xml:space="preserve">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Surviving Company may substitute therefor policies of at least the same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coverage containing terms, conditions, retentions and limits of liability that are no less favorable than</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those provided under the Company’s current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 xml:space="preserve">Surviving Company be required to expend pursuant to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more than an amount per</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year equal to 250% of current annual premiums paid by the Company for such insurance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Annual Premium</w:t>
      </w:r>
      <w:r>
        <w:rPr>
          <w:rFonts w:ascii="Times New Roman" w:cs="Times New Roman" w:eastAsia="Times New Roman" w:hAnsi="Times New Roman"/>
          <w:sz w:val="18"/>
          <w:szCs w:val="18"/>
          <w:color w:val="auto"/>
        </w:rPr>
        <w:t>”), and if the cost of such insurance policy exceeds such amount, then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Surviving Company shall obtain a policy with the greatest coverage for a cost not exceeding such</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amount. In lieu of maintaining the directors’ and officers’ liability insurance policies contemplated by</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the Company may, at its option, purchase a six (6)-year “tail” prepaid policy prior</w:t>
      </w:r>
    </w:p>
    <w:p>
      <w:pPr>
        <w:ind w:left="1620"/>
        <w:spacing w:after="0" w:line="234" w:lineRule="auto"/>
        <w:rPr>
          <w:sz w:val="20"/>
          <w:szCs w:val="20"/>
          <w:color w:val="auto"/>
        </w:rPr>
      </w:pPr>
      <w:r>
        <w:rPr>
          <w:rFonts w:ascii="Times New Roman" w:cs="Times New Roman" w:eastAsia="Times New Roman" w:hAnsi="Times New Roman"/>
          <w:sz w:val="18"/>
          <w:szCs w:val="18"/>
          <w:color w:val="auto"/>
        </w:rPr>
        <w:t>to the Effective Time on terms, conditions, retentions and limits of liability no less advantageous to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Indemnified Parties than the existing directors’ and officers’ liability insurance maintained by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so long as the annual cost of such policy does not exceed the Maximum Annual Premium. If</w:t>
      </w:r>
    </w:p>
    <w:p>
      <w:pPr>
        <w:ind w:left="1620"/>
        <w:spacing w:after="0" w:line="234" w:lineRule="auto"/>
        <w:rPr>
          <w:sz w:val="20"/>
          <w:szCs w:val="20"/>
          <w:color w:val="auto"/>
        </w:rPr>
      </w:pPr>
      <w:r>
        <w:rPr>
          <w:rFonts w:ascii="Times New Roman" w:cs="Times New Roman" w:eastAsia="Times New Roman" w:hAnsi="Times New Roman"/>
          <w:sz w:val="18"/>
          <w:szCs w:val="18"/>
          <w:color w:val="auto"/>
        </w:rPr>
        <w:t>such “tail” prepaid policies have been obtained by the Company prior to the Effective Time,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Surviving Company shall, and Parent shall cause the Surviving Company to, maintain such policies in</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full force and effect, and continue to honor the respective obligations thereunder, and all other</w:t>
      </w:r>
    </w:p>
    <w:p>
      <w:pPr>
        <w:ind w:left="1620"/>
        <w:spacing w:after="0"/>
        <w:rPr>
          <w:sz w:val="20"/>
          <w:szCs w:val="20"/>
          <w:color w:val="auto"/>
        </w:rPr>
      </w:pPr>
      <w:r>
        <w:rPr>
          <w:rFonts w:ascii="Times New Roman" w:cs="Times New Roman" w:eastAsia="Times New Roman" w:hAnsi="Times New Roman"/>
          <w:sz w:val="18"/>
          <w:szCs w:val="18"/>
          <w:color w:val="auto"/>
        </w:rPr>
        <w:t xml:space="preserve">obligations of Parent or Surviving Company under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shall terminate.</w:t>
      </w:r>
    </w:p>
    <w:p>
      <w:pPr>
        <w:spacing w:after="0" w:line="124" w:lineRule="exact"/>
        <w:rPr>
          <w:sz w:val="20"/>
          <w:szCs w:val="20"/>
          <w:color w:val="auto"/>
        </w:rPr>
      </w:pPr>
    </w:p>
    <w:p>
      <w:pPr>
        <w:ind w:left="1620" w:right="439" w:firstLine="360"/>
        <w:spacing w:after="0" w:line="241" w:lineRule="auto"/>
        <w:tabs>
          <w:tab w:leader="none" w:pos="23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from and after the Effective Time, the Surviving Company shall comply, and Parent shall cause the Surviving Company to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costs or expenses (including reasonable attorneys’ fees and expenses), judgments, fines, losses, claims, damages, liabilities and amounts paid in settlement in connection with any actual or threatened in writing Action, whether civil, criminal, administrative or investigative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arising out of, relating to or in connection with (x) the fact that an Indemnified Party is or was a director, officer or employee of the Company or any of its Subsidiaries or (y) any acts or omissions occurring or alleged to have occurred (including acts or omissions with respect to the approval of this Agreement or the Transactions or arising out of or pertaining to the Transactions and actions to enforce this provision or any other indemnification or advancement right of any Indemnified Party) prior to or at the Effective Time, to the extent provided under the Company’s or such Subsidiaries’ respective organizational and governing documents or agreements in effect on the date hereof and to the fullest extent permitted by the CICA or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indemnification shall be subject to any limitation imposed from time to time under applicable Law; 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333" w:lineRule="exact"/>
        <w:rPr>
          <w:rFonts w:ascii="Times New Roman" w:cs="Times New Roman" w:eastAsia="Times New Roman" w:hAnsi="Times New Roman"/>
          <w:sz w:val="18"/>
          <w:szCs w:val="18"/>
          <w:color w:val="auto"/>
        </w:rPr>
      </w:pPr>
    </w:p>
    <w:p>
      <w:pPr>
        <w:ind w:left="1620" w:right="479" w:firstLine="360"/>
        <w:spacing w:after="0" w:line="244" w:lineRule="auto"/>
        <w:tabs>
          <w:tab w:leader="none" w:pos="23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the Company, the Surviving Company, or Parent, as the case may be, shall assume the obligations set forth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3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and covenants contained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be in addition to any other rights an Indemnified Party may have under the memorandum and articles of association of the Company or any of its Subsidiaries (or equivalent constitutional documents), or any agreement between an Indemnified Party and the Company or any of its Subsidiaries, under the CICA or other applicable Law, or otherwise. The provisions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survive the consummation of the Merger and are intended to be for the benefit of, and shall be enforceable by, each of the Indemnified Parties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0" w:lineRule="auto"/>
        <w:rPr>
          <w:sz w:val="20"/>
          <w:szCs w:val="20"/>
          <w:color w:val="auto"/>
        </w:rPr>
      </w:pPr>
      <w:r>
        <w:rPr>
          <w:rFonts w:ascii="Times New Roman" w:cs="Times New Roman" w:eastAsia="Times New Roman" w:hAnsi="Times New Roman"/>
          <w:sz w:val="18"/>
          <w:szCs w:val="18"/>
          <w:color w:val="auto"/>
        </w:rPr>
        <w:t xml:space="preserve">their heirs and legal representatives, each of which shall be an express third-party beneficiary of the provisions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The obligations of Parent and the Surviving Company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be terminated or modified in such a manner as to adversely affect the rights of any Indemnified Party without the consent of such Indemnified Party.</w:t>
      </w:r>
    </w:p>
    <w:p>
      <w:pPr>
        <w:spacing w:after="0" w:line="110" w:lineRule="exact"/>
        <w:rPr>
          <w:sz w:val="20"/>
          <w:szCs w:val="20"/>
          <w:color w:val="auto"/>
        </w:rPr>
      </w:pPr>
    </w:p>
    <w:p>
      <w:pPr>
        <w:ind w:left="1620" w:right="499" w:firstLine="360"/>
        <w:spacing w:after="0" w:line="250" w:lineRule="auto"/>
        <w:tabs>
          <w:tab w:leader="none" w:pos="231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or other agreement that is or has been in existence with respect to the Company or any of its Subsidiaries or their respective officers, directors and employees, it being understood and agreed that the indemnification provided for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is not prior to or in substitution for any such claims under any such policies.</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applicable Law, each of the Company and Parent shall promptly notify the other in writing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w:t>
      </w:r>
    </w:p>
    <w:p>
      <w:pPr>
        <w:spacing w:after="0" w:line="126" w:lineRule="exact"/>
        <w:rPr>
          <w:sz w:val="20"/>
          <w:szCs w:val="20"/>
          <w:color w:val="auto"/>
        </w:rPr>
      </w:pPr>
    </w:p>
    <w:p>
      <w:pPr>
        <w:ind w:left="1620" w:right="579" w:firstLine="360"/>
        <w:spacing w:after="0" w:line="266"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of such person is or may be required in connection with the Transactions;</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Governmental Authority in connection with the Transactions;</w:t>
      </w:r>
    </w:p>
    <w:p>
      <w:pPr>
        <w:spacing w:after="0" w:line="94" w:lineRule="exact"/>
        <w:rPr>
          <w:rFonts w:ascii="Times New Roman" w:cs="Times New Roman" w:eastAsia="Times New Roman" w:hAnsi="Times New Roman"/>
          <w:sz w:val="18"/>
          <w:szCs w:val="18"/>
          <w:color w:val="auto"/>
        </w:rPr>
      </w:pPr>
    </w:p>
    <w:p>
      <w:pPr>
        <w:ind w:left="1620" w:right="579" w:firstLine="360"/>
        <w:spacing w:after="0" w:line="246"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to the knowledge of the Company or the knowledge of Parent, threatened in writing, against the Company or any of its Subsidiaries or Parent and any of its Subsidiaries, as the case may be, that, if pending on the date of this Agreement, would have been required to have been disclosed by such party pursuant to any of such party’s representations and warranties contained herein, or that relate to such party’s ability to consummate the Transactions; and</w:t>
      </w:r>
    </w:p>
    <w:p>
      <w:pPr>
        <w:spacing w:after="0" w:line="113" w:lineRule="exact"/>
        <w:rPr>
          <w:rFonts w:ascii="Times New Roman" w:cs="Times New Roman" w:eastAsia="Times New Roman" w:hAnsi="Times New Roman"/>
          <w:sz w:val="18"/>
          <w:szCs w:val="18"/>
          <w:color w:val="auto"/>
        </w:rPr>
      </w:pPr>
    </w:p>
    <w:p>
      <w:pPr>
        <w:jc w:val="both"/>
        <w:ind w:left="1620" w:right="639" w:firstLine="360"/>
        <w:spacing w:after="0" w:line="258"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or warranty or failure to perform any covenant or agreement set forth in this Agreement on the part of such party having occurred that would cause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not to be satisfied;</w:t>
      </w:r>
    </w:p>
    <w:p>
      <w:pPr>
        <w:spacing w:after="0" w:line="100"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 xml:space="preserve">together, in each case, with a copy of any such notice, communication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not cure any breach of, or non-compliance with, any provision of this Agreement, be deemed to amend or supplement the Company Disclosure Schedule, or limit or otherwise affect the remedies available hereunder to the party receiving such notice;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 that failure to give prompt notice pursuant to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 xml:space="preserve"> shall not constitute a failure of a condition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to the extent that the underlying breach of a representation or warranty or failure to perform any covenant or agreement not so notified would, standing alone, constitute such a failure.</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4"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shall use its reasonable best efforts to take, or cause to be taken, all actions necessary to arrange and obtain the Debt Financing and Equity Financing in a timely manner and as provided in this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328"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less favorable in any material respect, in the aggregate, to Parent and Merger Sub than those contained in the Facility Agreement in an amount, together with the aggregate proceeds of the Equity Financing,</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sufficient for Parent, Merger Sub and the Surviving Company to pay (x) the Merger Consideration, and</w:t>
      </w:r>
    </w:p>
    <w:p>
      <w:pPr>
        <w:spacing w:after="0" w:line="27" w:lineRule="exact"/>
        <w:rPr>
          <w:sz w:val="20"/>
          <w:szCs w:val="20"/>
          <w:color w:val="auto"/>
        </w:rPr>
      </w:pPr>
    </w:p>
    <w:p>
      <w:pPr>
        <w:ind w:left="1620" w:right="439"/>
        <w:spacing w:after="0"/>
        <w:tabs>
          <w:tab w:leader="none" w:pos="188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required to be paid in connection with the consummation of the Transactions on the terms and conditions contemplated hereby (the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terms of any Alternative Financing prevent, delay or materially impede or impair the ability of Parent and Merger Sub to consummate the Transactions in accordance with the terms of this Agreement. Parent shall deliver to the Company true and complete copies of all Contracts or other arrangements pursuant to which any alternative sources have committed to provide the Alternative Financing (the “</w:t>
      </w:r>
      <w:r>
        <w:rPr>
          <w:rFonts w:ascii="Times New Roman" w:cs="Times New Roman" w:eastAsia="Times New Roman" w:hAnsi="Times New Roman"/>
          <w:sz w:val="18"/>
          <w:szCs w:val="18"/>
          <w:u w:val="single" w:color="auto"/>
          <w:color w:val="auto"/>
        </w:rPr>
        <w:t>Alternative Financing Documents</w:t>
      </w:r>
      <w:r>
        <w:rPr>
          <w:rFonts w:ascii="Times New Roman" w:cs="Times New Roman" w:eastAsia="Times New Roman" w:hAnsi="Times New Roman"/>
          <w:sz w:val="18"/>
          <w:szCs w:val="18"/>
          <w:color w:val="auto"/>
        </w:rPr>
        <w:t>”) as soon as practicable after execution thereof. In the event Alternative Financing is obtained, any reference in this Agreement to (X) the “Debt Financing” shall be deemed to include the Alternative Financing, and (Y) the “Financing Documents” shall be deemed to include the Alternative Financing Documents. In the event any portion of the Financing becomes unavailable on the terms and conditions contemplated in the Financing Documents and to the extent is not replaced by the Alternative Financing, Parent shall promptly notify the Company.</w:t>
      </w:r>
    </w:p>
    <w:p>
      <w:pPr>
        <w:spacing w:after="0" w:line="332" w:lineRule="exact"/>
        <w:rPr>
          <w:rFonts w:ascii="Times New Roman" w:cs="Times New Roman" w:eastAsia="Times New Roman" w:hAnsi="Times New Roman"/>
          <w:sz w:val="18"/>
          <w:szCs w:val="18"/>
          <w:color w:val="auto"/>
        </w:rPr>
      </w:pPr>
    </w:p>
    <w:p>
      <w:pPr>
        <w:ind w:left="1620" w:right="559" w:firstLine="360"/>
        <w:spacing w:after="0" w:line="242" w:lineRule="auto"/>
        <w:tabs>
          <w:tab w:leader="none" w:pos="233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w:t>
      </w:r>
    </w:p>
    <w:p>
      <w:pPr>
        <w:spacing w:after="0" w:line="2"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Merger Consideration, and (B) any other amounts required to be paid in connection with the consummation of the Transactions upon the terms and conditions contemplated hereby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(i) subclauses (x) and (y) above and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1620" w:right="479"/>
        <w:spacing w:after="0"/>
        <w:tabs>
          <w:tab w:leader="none" w:pos="190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amendments, restatements, supplements, replacements, substitutions or modifications, the terms and conditions of the Debt Financing being not less favorable in any material respect to Parent and Merger Sub than those contained in the Facility Agreement. Notwithstanding any other provision of this Agreement, Parent and Merger Sub shall promptly provide to the Company any amendments, restatements, supplements, replacements, substitutions or modifications to the Financing Documents (other than any customary fee letters). Without limiting the generality of the foregoing, neither Parent nor Merger Sub shall release or consent to the termination of the obligations of the other parties to any Financing Document, except as expressly contemplated hereby.</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4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prior to the Closing, (i) give the Company prompt written notice (A) upon becoming aware of any breach of any provision of, or termination by any party to any Financing Document or any other definitive agreement with respect to the Financing, (B) upon the receipt of any written notice or other written communication from any person with respect to any threatened breach or threatened termination in writing by any party to any Financing Document or any other definitive agreement with respect to the Financing, (C) upon knowledge of any material dispute or disagreement between or among any parties to the Debt Financing or Equity Financing, and (D) if Parent at any time believes that it will not be able to obtain all or any portion of the Debt Financing or Equity Financing on the terms, in the manner, or from the sources contemplated by the Financing Documents; and</w:t>
      </w:r>
    </w:p>
    <w:p>
      <w:pPr>
        <w:spacing w:after="0" w:line="4" w:lineRule="exact"/>
        <w:rPr>
          <w:rFonts w:ascii="Times New Roman" w:cs="Times New Roman" w:eastAsia="Times New Roman" w:hAnsi="Times New Roman"/>
          <w:sz w:val="18"/>
          <w:szCs w:val="18"/>
          <w:color w:val="auto"/>
        </w:rPr>
      </w:pPr>
    </w:p>
    <w:p>
      <w:pPr>
        <w:jc w:val="both"/>
        <w:ind w:left="1620" w:right="739"/>
        <w:spacing w:after="0" w:line="246" w:lineRule="auto"/>
        <w:tabs>
          <w:tab w:leader="none" w:pos="190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keep the Company informed on a reasonably current basis of the status of Parent and Merger Sub’s efforts to arrange the Debt Financing or Alternative Financing (as applicable) and the Equity Financing.</w:t>
      </w:r>
    </w:p>
    <w:p>
      <w:pPr>
        <w:spacing w:after="0" w:line="113" w:lineRule="exact"/>
        <w:rPr>
          <w:rFonts w:ascii="Times New Roman" w:cs="Times New Roman" w:eastAsia="Times New Roman" w:hAnsi="Times New Roman"/>
          <w:sz w:val="18"/>
          <w:szCs w:val="18"/>
          <w:color w:val="auto"/>
        </w:rPr>
      </w:pPr>
    </w:p>
    <w:p>
      <w:pPr>
        <w:ind w:left="1620" w:right="579" w:firstLine="360"/>
        <w:spacing w:after="0" w:line="254" w:lineRule="auto"/>
        <w:tabs>
          <w:tab w:leader="none" w:pos="233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agrees to provide, and shall cause each of its Subsidiaries and each of their respective officers, employees and Representatives to use reasonable efforts to provide,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to Parent and Merger Sub, at Parent’s sole cost and expense, all reasonable cooperation as may be requested by Parent or its Representatives in connection with the Debt Financing or Alternative Financing, including (i) participating in a reasonable number of meetings, presentations and due diligence sessions with Representatives of Parent and its Debt Financing or Alternative Financing sources, (ii) assisting in the preparation of bank information memoranda, rating agency presentations and similar documents reasonably requested by Parent or its Representatives in connection with the Debt Financing or Alternative Financing, and (if required under the Financing Documents) to cause an officer, director or person performing similar functions of the Company to execute and deliver reasonable numbers of customary authorization and customary representation and warranty letters with respect to the Company (collectively,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(provided that (A) none of the Closing Deliverables shall be executed or delivered except in connection with the Closing and none of the foregoing shall be effective prior to (or not contingent upon) the Closing, (B) the effectiveness thereof shall be conditioned upon, or become operative after, the occurrence of the Closing, (C) no liability shall be imposed on the Company or any of its Subsidiaries (except in the case of fraud, gross negligence, or willful misconduct) or any of their respective officers or employees), and (D) Parent shall provide advanced drafts of Closing Deliverables for the Company’s review and comment no later than three (3) Business Days prior to its expected execution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further amendment made to the advanced drafts of Closing Deliverables shall be pre-approved by the Company (which approval shall not be unreasonably withheld, conditioned or delayed), (iii) as promptly as reasonably practicable, furnishing Parent and its sources of the Debt Financing or Alternative Financing with financial statements reasonably requested by Parent, (iv) reasonably cooperating with advisors, consultants and accountants of Parent or any sources or potential sources of the Debt Financing or Alternative Financing with respect to the conduct of any examination, appraisal or review of the financial condition or any of the assets or liabilities of the Company or any of its Subsidiaries, including for the purpose of establishing collateral eligibility and values, (v) to the extent customary and not prohibited by applicable Law, assisting and facilitating the granting of guaranty, security or pledging of collateral related to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collateral to be pledged or security to be granted by Parent or Merger Sub under any Financing Documents that in any manner involves the Company, any of its Subsidiaries or any of their respective assets shall be contingent upon the occurrence of the Effective Time, (vi) taking customary action reasonably necessary to establishing bank and other accounts in connection with, to enter into one or more definitive agreements to facilitate, and taking customary corporate actions reasonably necessary for, the consummation of the Debt Financing or any Alternative Financing immediately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and arrangements shall not become active or take effect until the Effective Time, (vii) furnishing Parent and its Representatives promptly with all documentation and other information required with respect to the Debt Financing or any Alternative Financing under applicable “know your customer” and anti-money laundering rules and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information provided to such prospective sources shall be subject to the terms of the Confidentiality Agreement, (viii) (if required under the Financing Documents,) without prejudice to the proviso under paragraph (ii) above, using reasonable best efforts to obtain a solvency certificate to be executed and delivered by an officer or person performing similar functions of the Company with respect to solvency matters to the extent reasonably required by the Lender (and/or any lender of any Alternative Financing, as applicable) or the Financing Documents (for the avoidance of doubt, it is understood that the solvency certificate referred herein is a Closing Deliverable), and (ix) reasonably assisting with procuring customary payoff letters, lien terminations and instruments of discharge to be delivered at or prior to Closing relating to certain Indebtedness (the list of which shall be provided by Parent to the Company prior to the date hereof) to be paid off, discharged and terminated on the Closing Date.</w:t>
      </w:r>
    </w:p>
    <w:p>
      <w:pPr>
        <w:spacing w:after="0" w:line="200" w:lineRule="exact"/>
        <w:rPr>
          <w:sz w:val="20"/>
          <w:szCs w:val="20"/>
          <w:color w:val="auto"/>
        </w:rPr>
      </w:pPr>
    </w:p>
    <w:p>
      <w:pPr>
        <w:spacing w:after="0" w:line="359" w:lineRule="exact"/>
        <w:rPr>
          <w:sz w:val="20"/>
          <w:szCs w:val="20"/>
          <w:color w:val="auto"/>
        </w:rPr>
      </w:pPr>
    </w:p>
    <w:p>
      <w:pPr>
        <w:ind w:left="1620" w:right="539" w:firstLine="360"/>
        <w:spacing w:after="0" w:line="255" w:lineRule="auto"/>
        <w:tabs>
          <w:tab w:leader="none" w:pos="231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neither the Company nor any of its Subsidiaries shall be required to (x) pay any commitment or similar fee or incur any liability with respect to the Debt Financing or Alternative Financing prior to the Effective Time, (y) to be an issuer or other obligor with respect to any Debt Financing or any Alternative Financing prior to the Effective Time, or (z) take or commit to taking any action that is not contingent upon the occurrence of the Effective Time or that would otherwise subject it to actual or potential liability in connection with the Debt Financing or Alternative Financing prior to the Effective Time.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43" w:lineRule="auto"/>
        <w:tabs>
          <w:tab w:leader="none" w:pos="234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require such cooperation to the extent it would require the Company and its Subsidiaries to incur any expense unless such expense is reimbursed by Parent or Merger Sub. Parent shall, promptly upon request by the Company, reimburse (or cause the applicable borrowers to reimburse) the Company for all reasonable and documented out-of-pocket costs and expenses (including reasonable attorneys’ fees) incurred by the Company or any of its Subsidiaries in connection with the cooperation of the Company and its Subsidiaries contemplated by this</w:t>
      </w:r>
    </w:p>
    <w:p>
      <w:pPr>
        <w:spacing w:after="0" w:line="4" w:lineRule="exact"/>
        <w:rPr>
          <w:rFonts w:ascii="Times New Roman" w:cs="Times New Roman" w:eastAsia="Times New Roman" w:hAnsi="Times New Roman"/>
          <w:sz w:val="18"/>
          <w:szCs w:val="18"/>
          <w:color w:val="auto"/>
        </w:rPr>
      </w:pPr>
    </w:p>
    <w:p>
      <w:pPr>
        <w:ind w:left="1620" w:right="49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shall indemnify and hold harmless the Company, its Subsidiaries and their respective Representatives from and against any and all liabilities or losses suffered or incurred by any of them arising from the arrangement of the Debt Financing or Alternative Financing and any information used in connection therewith, except to the extent such liabilities or losses arising out of or resulted from</w:t>
      </w:r>
    </w:p>
    <w:p>
      <w:pPr>
        <w:ind w:left="1620" w:right="519"/>
        <w:spacing w:after="0"/>
        <w:tabs>
          <w:tab w:leader="none" w:pos="188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misconduct of such Persons or (y) misstatements or omissions in written historical information provided by or on behalf of the Company or its Subsidiaries specifically for use in connection with the Debt Financing. Each of Parent and Merger Sub acknowledges and agrees that the Company and its Subsidiaries and their respective Representatives shall not, prior to the Effective Time, incur any liability to any person under any financing that Parent and Merger Sub may raise in connection with the Transactions.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8"/>
          <w:szCs w:val="18"/>
          <w:u w:val="single" w:color="auto"/>
          <w:color w:val="auto"/>
        </w:rPr>
        <w:t>Further Action; Reasonable Best Efforts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46" w:lineRule="auto"/>
        <w:tabs>
          <w:tab w:leader="none" w:pos="23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of this Agreement, each of the parties hereto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upon reasonable request by any other parties hereto, promptly furnish such other parties hereto with all information concerning itself, its Subsidiaries, directors, officers and shareholders and such other matters as may be reasonably necessary or advisable in connection with the Proxy Statement, the Schedule 13E-3, or any other statement, filing, notice or application made by or on behalf of Parent, Merger Sub, the Company or any of their respective Subsidiaries to any Governmental Authority (if any) in connection with the Transactions.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Parent shall take all actions necessary to cause Merger Sub to perform its obligations under this Agreement and to consummate the Transactions on the terms and subject to the conditions set forth in this Agreement.</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Participation in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Prior to the Effective Time, Parent shall give prompt notice to the Company, and the Company shall give prompt notice to Parent, of any Actions commenced or, to the knowledge of the Company on the one hand and the knowledge of Parent on the other hand, threatened in writing against such party or its directors which relate to this Agreement and the Transactions. The Company shall give Parent an opportunity to participate in the defense or settlement of any shareholder Action against the Company and/or its directors relating to this Agreement or the Transactions, and no such Action shall be settled without Parent’s prior written consent (such consent not to be unreasonably withheld, conditioned or delayed).</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To the extent requested by Parent in writing at least five (5) Business Days prior to Closing, on the Closing Date, the Company shall use reasonable best efforts to cause to be delivered to Parent duly signed resignations, effective as of the Effective Time, of the directors of any Group Company designated by Parent.</w:t>
      </w:r>
    </w:p>
    <w:p>
      <w:pPr>
        <w:spacing w:after="0" w:line="32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press release announcing the execution of this Agreement shall be issued only in such form as shall be mutually agreed upon by the Company and Parent. Parent and the Company shall consult with each other before issuing any press release, having any communication with the press (whether or not for attribution), making any other public statement or scheduling any press conference or conference call with investors or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 xml:space="preserve">analysts with respect to this Agreement or the Transactions, except (A) as may be required by applicable Laws or by any listing agreement with a national securities exchange or rules and policies of Nasdaq, in which case the party proposing to issue such press release or make such public announcement shall use its reasonable best efforts to consult in good faith with the other parties before making any such public announcements, and (B) that the Company shall not be required to obtain the prior agreement of Parent with respect to any public announcement of the receipt and existence of a Competing Proposal and matters related thereto, or a Change in the Company Recommendation, in each case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terminate upon a Change in the Company Recommendation.</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Company shall cooperate with Parent and use reasonable best efforts to take, or cause to be taken, all actions reasonably necessary, proper or advisable on its part under applicable Laws and rules and policies of Nasdaq to enable the delisting of the Shares and ADSs from Nasdaq and the deregistration of the Shares and ADSs under the Exchange Act as promptly as practicable after the Effective Time.</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If any Takeover Statute is or may become applicable to any of the Transactions, the parties hereto shall use their respective reasonable best efforts (a) to take all actions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8"/>
          <w:szCs w:val="18"/>
          <w:u w:val="single" w:color="auto"/>
          <w:color w:val="auto"/>
        </w:rPr>
        <w:t>Actions Taken at Direction of Parent or Merger Sub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to the contrary, the Company shall not be deemed to be in breach of any representation, warranty, covenant or agreement hereunder (including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but for the purpose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only, excluding items (a) to (q)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if the alleged breach results from an action or inaction by the Company specifically directed or approved by Parent, Merger Sub, the Chairman (unless in his capacity as the Chairman),</w:t>
      </w:r>
    </w:p>
    <w:p>
      <w:pPr>
        <w:spacing w:after="0" w:line="3"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Mr. Wing Hong Sammy Hsieh (unless in his capacity as a member of the Company Board), or their respective Affiliates or Representatives, regardless of whether there is any approval by or direction from the Company Board or the Special Committee.</w:t>
      </w:r>
    </w:p>
    <w:p>
      <w:pPr>
        <w:spacing w:after="0" w:line="11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6.16</w:t>
      </w:r>
      <w:r>
        <w:rPr>
          <w:sz w:val="20"/>
          <w:szCs w:val="20"/>
          <w:color w:val="auto"/>
        </w:rPr>
        <w:tab/>
      </w:r>
      <w:r>
        <w:rPr>
          <w:rFonts w:ascii="Times New Roman" w:cs="Times New Roman" w:eastAsia="Times New Roman" w:hAnsi="Times New Roman"/>
          <w:sz w:val="18"/>
          <w:szCs w:val="18"/>
          <w:u w:val="single" w:color="auto"/>
          <w:color w:val="auto"/>
        </w:rPr>
        <w:t>SAFE Registration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shall as soon as practicable after the date hereof, (a) use its commercially reasonable efforts to assist in the preparation of applications to SAFE by shareholders of the Company who are PRC residents for the registration of their respective holdings of Shares (whether directly or indirectly) in accordance with the requirements of applicable SAFE rules, including by promptly providing such shareholders with such information relating to the Group Companies as is required for such application, and</w:t>
      </w:r>
    </w:p>
    <w:p>
      <w:pPr>
        <w:spacing w:after="0" w:line="3" w:lineRule="exact"/>
        <w:rPr>
          <w:sz w:val="20"/>
          <w:szCs w:val="20"/>
          <w:color w:val="auto"/>
        </w:rPr>
      </w:pPr>
    </w:p>
    <w:p>
      <w:pPr>
        <w:ind w:left="1260" w:right="799"/>
        <w:spacing w:after="0" w:line="260" w:lineRule="auto"/>
        <w:tabs>
          <w:tab w:leader="none" w:pos="152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PRC Subsidiaries (to the extent applicable) to comply with the requirements of such SAFE rules.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6.17</w:t>
      </w:r>
      <w:r>
        <w:rPr>
          <w:sz w:val="20"/>
          <w:szCs w:val="20"/>
          <w:color w:val="auto"/>
        </w:rPr>
        <w:tab/>
      </w:r>
      <w:r>
        <w:rPr>
          <w:rFonts w:ascii="Times New Roman" w:cs="Times New Roman" w:eastAsia="Times New Roman" w:hAnsi="Times New Roman"/>
          <w:sz w:val="18"/>
          <w:szCs w:val="18"/>
          <w:u w:val="single" w:color="auto"/>
          <w:color w:val="auto"/>
        </w:rPr>
        <w:t>No Amendment to Transaction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provided herein, without the prior written consent of the Special Committee (acting on behalf of the Company) (which consent shall not be unreasonably withheld, conditioned or delayed), Parent and Merger Sub shall not, shall cause their respective controlled Affiliates not to, and shall use reasonable best efforts to cause their respective non-controlled Affiliates not to, (i) amend, modify, withdraw, waive or terminate any Transaction Documents to which the Company is not a party in a manner adverse to the Company or that would or would reasonably be expected to prevent or materially delay</w:t>
      </w:r>
    </w:p>
    <w:p>
      <w:pPr>
        <w:spacing w:after="0" w:line="5" w:lineRule="exact"/>
        <w:rPr>
          <w:sz w:val="20"/>
          <w:szCs w:val="20"/>
          <w:color w:val="auto"/>
        </w:rPr>
      </w:pPr>
    </w:p>
    <w:p>
      <w:pPr>
        <w:ind w:left="1260" w:right="679"/>
        <w:spacing w:after="0" w:line="250" w:lineRule="auto"/>
        <w:tabs>
          <w:tab w:leader="none" w:pos="151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Parent and Merger Sub of the Merger or any of the other Transactions or (b) the performance by each of Parent and Merger Sub of their respective obligations under this Agreement, or</w:t>
      </w:r>
    </w:p>
    <w:p>
      <w:pPr>
        <w:ind w:left="1540" w:hanging="280"/>
        <w:spacing w:after="0"/>
        <w:tabs>
          <w:tab w:leader="none" w:pos="15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modify any other Contract relating to the Merger or the Transactions in a manner that</w:t>
      </w:r>
    </w:p>
    <w:p>
      <w:pPr>
        <w:spacing w:after="0" w:line="9"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inconsistent with the terms of any Transaction Documents, or (y) would or would reasonably</w:t>
      </w: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 xml:space="preserve">be expected to prevent or materially delay (A) the consummation by Parent and Merger Sub of the Merger or any of the other Transactions or (B) the performance by each of Parent and Merger Sub of their respective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prohibit or restrict any Person from becoming a party to the Support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Prior to the Effective Time, the Company shall obtain all consents, approvals and waivers from any third parties (including those set forth in Section 3.05(a) of the Company Disclosure Schedule) that are required to consummate the Transactions (including the Merger), except where the failure to obtain such consents, approvals or waivers would not reasonably be expected to have a Company Material Adverse Effect.</w:t>
      </w:r>
    </w:p>
    <w:p>
      <w:pPr>
        <w:spacing w:after="0" w:line="19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u w:val="single" w:color="auto"/>
          <w:color w:val="auto"/>
        </w:rPr>
        <w:t>CONDITIONS TO THE MERGER</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obligations of the Company, Parent and Merger Sub to consummate the Merger are subject to the satisfaction or waiver (where permissible under applicable Law) of the following conditions on or prior to the Effective Time:</w:t>
      </w:r>
    </w:p>
    <w:p>
      <w:pPr>
        <w:spacing w:after="0" w:line="109" w:lineRule="exact"/>
        <w:rPr>
          <w:sz w:val="20"/>
          <w:szCs w:val="20"/>
          <w:color w:val="auto"/>
        </w:rPr>
      </w:pPr>
    </w:p>
    <w:p>
      <w:pPr>
        <w:ind w:left="1620" w:right="559" w:firstLine="360"/>
        <w:spacing w:after="0" w:line="250" w:lineRule="auto"/>
        <w:tabs>
          <w:tab w:leader="none" w:pos="23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This Agreement, the Plan of Merger and the Transactions, including the Merger, shall have been authorized and approved by holders of Shares constituting the Requisite Company Vote at the Shareholders Meeting in accordance with the CICA and the Company’s memorandum and articles of association.</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Governmental Authority of competent jurisdiction shall have enacted, issued, promulgated, enforced or entered any Law or award, writ, injunction, determination, rule, regulation, judgment, decree or executive order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whether temporary, preliminary or permanent, which is then in effect, that has the effect of enjoining, restraining, prohibiting or otherwise making illegal the consummation of the Merger.</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u w:val="single" w:color="auto"/>
          <w:color w:val="auto"/>
        </w:rPr>
        <w:t>Additional Conditions to the Obligations of Parent and Merger Sub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(where permissible under applicable Law) of the following additional conditions on or prior to the Effective Time, any of which may be waived exclusively by Parent in writing:</w:t>
      </w:r>
    </w:p>
    <w:p>
      <w:pPr>
        <w:spacing w:after="0" w:line="102" w:lineRule="exact"/>
        <w:rPr>
          <w:sz w:val="20"/>
          <w:szCs w:val="20"/>
          <w:color w:val="auto"/>
        </w:rPr>
      </w:pPr>
    </w:p>
    <w:p>
      <w:pPr>
        <w:ind w:left="1620" w:right="559" w:firstLine="360"/>
        <w:spacing w:after="0" w:line="261" w:lineRule="auto"/>
        <w:tabs>
          <w:tab w:leader="none" w:pos="23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Other than the representations and warranties of the Company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w:t>
      </w:r>
    </w:p>
    <w:p>
      <w:pPr>
        <w:ind w:left="16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(without giving effect to any qualification as to “materiality”, “Company Material Adverse Effect” or similar standard or qualification set forth therein set forth thereon)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of the Company to be so true and correct do not, and would not be reasonably expected to, constitute a Company Material Adverse Effect, (ii) the representations and warranties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(without giving effect to any qualification as to “materiality” or similar standard or qualification set forth therein) shall be true and correct in all material respects as of the date hereof and as of the Closing Date, as though made on and as of such date and time (other than representations and warranties that by their terms address matters only as of a specified time, which shall be true and correct only as of such time), (iii) the representations and warranties set forth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shall be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hereof and as of the Closing Date, as though made on and as of such date and time (other than representations and warranties that by their terms address matters only as of a specified time, which shall be true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4" w:lineRule="auto"/>
        <w:rPr>
          <w:sz w:val="20"/>
          <w:szCs w:val="20"/>
          <w:color w:val="auto"/>
        </w:rPr>
      </w:pPr>
      <w:r>
        <w:rPr>
          <w:rFonts w:ascii="Times New Roman" w:cs="Times New Roman" w:eastAsia="Times New Roman" w:hAnsi="Times New Roman"/>
          <w:sz w:val="18"/>
          <w:szCs w:val="18"/>
          <w:color w:val="auto"/>
        </w:rPr>
        <w:t xml:space="preserve">correct only as of such time), and (iv) the representations and warranties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set forth in Section 3.03(b) of the Company Disclosure Schedule, or (Y) the total number of Shares subject to Unvested Company RSUs as described in Section 3.03(c) of the Company Disclosure Schedule.</w:t>
      </w:r>
    </w:p>
    <w:p>
      <w:pPr>
        <w:spacing w:after="0" w:line="340" w:lineRule="exact"/>
        <w:rPr>
          <w:sz w:val="20"/>
          <w:szCs w:val="20"/>
          <w:color w:val="auto"/>
        </w:rPr>
      </w:pPr>
    </w:p>
    <w:p>
      <w:pPr>
        <w:ind w:left="1620" w:right="759" w:firstLine="360"/>
        <w:spacing w:after="0" w:line="266" w:lineRule="auto"/>
        <w:tabs>
          <w:tab w:leader="none" w:pos="23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by this Agreement to be performed or complied with by it on or prior to the Closing Date.</w:t>
      </w:r>
    </w:p>
    <w:p>
      <w:pPr>
        <w:spacing w:after="0" w:line="108"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The Company shall have delivered to Parent a certificate, dated the Closing Date, signed by a senior executive officer of the Company, certifying as to the satisfaction of the conditions specified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Company Material Adverse Effect shall have occurred since the date of this Agreement and is continuing.</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Additional Conditions to the Obligations of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(where permissible under applicable Law) of the following additional conditions on or prior to the Effective Time, any of which may be waived exclusively by the Company in writing, subject to the approval of the Special Committee:</w:t>
      </w:r>
    </w:p>
    <w:p>
      <w:pPr>
        <w:spacing w:after="0" w:line="99" w:lineRule="exact"/>
        <w:rPr>
          <w:sz w:val="20"/>
          <w:szCs w:val="20"/>
          <w:color w:val="auto"/>
        </w:rPr>
      </w:pPr>
    </w:p>
    <w:p>
      <w:pPr>
        <w:ind w:left="1620" w:right="499" w:firstLine="360"/>
        <w:spacing w:after="0" w:line="254"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Parent and Merger Sub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(without giving effect to any qualification as to “materiality” or similar standard or qualification set forth therein) as of the date hereof and as of the Closing Date, as though made on and as of such date and time, except: (i) representations and warranties that by their terms address matters only as of a specified time, which shall be true and correct only as of such time, or (ii) where the failure of such representations and warranties of Parent and Merger Sub to be so true and correct, individually or in the aggregate,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336"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Each of Parent and Merger Sub shall have performed or complied with, in all material respects, all agreements and covenants required by this Agreement to be performed or complied with by it on or prior to the Closing Date.</w:t>
      </w:r>
    </w:p>
    <w:p>
      <w:pPr>
        <w:spacing w:after="0" w:line="108"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Parent shall have delivered to the Company a certificate, dated the date of the Closing, signed by a director or executive officer of Parent, certifying as to the satisfaction of the conditions specified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7.03(b)</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Neither of the Company, on the one hand, nor Parent or Merger Sub, on the other hand,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the failure of the Company, on the one hand, or Parent or Merger Sub, on the other hand, as applicable, to use the standard of efforts from such party to comply with this Agreement and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This Agreement may be terminated and the Transactions may be abandoned at any time prior to the Effective Time by mutual written consent of Parent and the Company with the approval of their respective boards of directors (or in the case of the Company, acting only upon the recommendation of the Special Committee).</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Termination by Either the Company or Parent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This Agreement may be terminated by either the Company (acting only upon the recommendation of the Special Committee) or Parent at any time prior to the Effective Time, if:</w:t>
      </w:r>
    </w:p>
    <w:p>
      <w:pPr>
        <w:spacing w:after="0" w:line="95" w:lineRule="exact"/>
        <w:rPr>
          <w:sz w:val="20"/>
          <w:szCs w:val="20"/>
          <w:color w:val="auto"/>
        </w:rPr>
      </w:pPr>
    </w:p>
    <w:p>
      <w:pPr>
        <w:ind w:left="1620" w:right="1399" w:firstLine="360"/>
        <w:spacing w:after="0" w:line="282" w:lineRule="auto"/>
        <w:tabs>
          <w:tab w:leader="none" w:pos="23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(the “</w:t>
      </w:r>
      <w:r>
        <w:rPr>
          <w:rFonts w:ascii="Times New Roman" w:cs="Times New Roman" w:eastAsia="Times New Roman" w:hAnsi="Times New Roman"/>
          <w:sz w:val="18"/>
          <w:szCs w:val="18"/>
          <w:u w:val="single" w:color="auto"/>
          <w:color w:val="auto"/>
        </w:rPr>
        <w:t>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Stop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1620" w:right="1219" w:firstLine="360"/>
        <w:spacing w:after="0" w:line="250" w:lineRule="auto"/>
        <w:tabs>
          <w:tab w:leader="none" w:pos="23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Order, which has the effect of preventing, prohibiting or otherwise making illegal consummation of the Merger; or</w:t>
      </w:r>
    </w:p>
    <w:p>
      <w:pPr>
        <w:spacing w:after="0" w:line="109"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65"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whose failure (or, in the case of Parent, the failure of Parent or Merger Sub) to fulfill any of its obligations under this Agreement has been a primary cause of, or resulted in, the failure of the Merger to be consummated by the Long Stop Date or the applicable condition(s) being satisfied.</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Agreement may be terminated by the Company (acting only upon the recommendation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Committee) at any time prior to the Effective Time, if:</w:t>
      </w:r>
    </w:p>
    <w:p>
      <w:pPr>
        <w:spacing w:after="0" w:line="124" w:lineRule="exact"/>
        <w:rPr>
          <w:sz w:val="20"/>
          <w:szCs w:val="20"/>
          <w:color w:val="auto"/>
        </w:rPr>
      </w:pPr>
    </w:p>
    <w:p>
      <w:pPr>
        <w:ind w:left="1620" w:right="479" w:firstLine="360"/>
        <w:spacing w:after="0" w:line="244" w:lineRule="auto"/>
        <w:tabs>
          <w:tab w:leader="none" w:pos="23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this Agreement shall have occurred, which breach (i)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be satisfied and as a result of such breach, such condition would not be capable of being satisfied prior to the Long Stop Date, and (ii) is incapable of being cured or, if capable of being cured, is not cured by Parent or Merger Sub, as applicable, by the earlier of the Long Stop Date and thirty (30) days following receipt of written notice of such breach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if the Company is then in breach of any representations, warranties, agreements or covenants of the Company hereunder that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of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those conditions that by their nature are to be satisfied by actions taken at the Closing, but subject to the satisfaction or waiver of such conditions at the Closing) have been satisfied, (ii) the Company has delivered to Parent an irrevocable written notice confirming that all of the conditions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satisfied (or that the Company is willing to waive any unsatisfied conditions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that it is ready, willing and able to consummate the Closing, and (iii) Parent and Merger Sub fail to complete the Closing within ten (10) Business Days following the later of (x) date on which the Closing should have occurred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and (y) the date on which the foregoing notice is delivered to Parent; or</w:t>
      </w:r>
    </w:p>
    <w:p>
      <w:pPr>
        <w:spacing w:after="0" w:line="328" w:lineRule="exact"/>
        <w:rPr>
          <w:rFonts w:ascii="Times New Roman" w:cs="Times New Roman" w:eastAsia="Times New Roman" w:hAnsi="Times New Roman"/>
          <w:sz w:val="18"/>
          <w:szCs w:val="18"/>
          <w:color w:val="auto"/>
        </w:rPr>
      </w:pPr>
    </w:p>
    <w:p>
      <w:pPr>
        <w:ind w:left="1620" w:right="859" w:firstLine="360"/>
        <w:spacing w:after="0" w:line="258" w:lineRule="auto"/>
        <w:tabs>
          <w:tab w:leader="none" w:pos="23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Company Board (acting at the recommendation of the Special Committee) or the Special Committee shall have authorized the Company to terminate this Agreement and enter into an Alternative Acquisition Agreement with</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 xml:space="preserve">respect to a Superior Proposal pursuant to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and (ii) the Company concurrently with or immediately after the termination of this Agreement enters into the Alternative Acquisition Agreement with respect to or consummate the Superior Proposal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entitled to terminate this Agreement pursuant to this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unless the Company has (A) complied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all respects (other than immaterial non - compliance that does not materially and adversely affect Parent or Merger Sub), and (B) complied with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concurrently with or immediately after such termination, pays in full the Company Termination Fee, and any purported termination pursuant to this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shall be void and of no force or effect if the Company shall not have paid in full the Company Termination Fee.</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Termination by Parent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Agreement may be terminated by Parent at any time prior to the Effective Time, if:</w:t>
      </w:r>
    </w:p>
    <w:p>
      <w:pPr>
        <w:spacing w:after="0" w:line="144" w:lineRule="exact"/>
        <w:rPr>
          <w:sz w:val="20"/>
          <w:szCs w:val="20"/>
          <w:color w:val="auto"/>
        </w:rPr>
      </w:pPr>
    </w:p>
    <w:p>
      <w:pPr>
        <w:ind w:left="1620" w:right="419" w:firstLine="360"/>
        <w:spacing w:after="0" w:line="247" w:lineRule="auto"/>
        <w:tabs>
          <w:tab w:leader="none" w:pos="23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this Agreement shall have occurred, which breach (i)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satisfied and as a result of such breach, such condition would not be capable of being satisfied prior to the Long Stop Date, and (ii) is incapable of being cured or,</w:t>
      </w:r>
    </w:p>
    <w:p>
      <w:pPr>
        <w:spacing w:after="0" w:line="3" w:lineRule="exact"/>
        <w:rPr>
          <w:rFonts w:ascii="Times New Roman" w:cs="Times New Roman" w:eastAsia="Times New Roman" w:hAnsi="Times New Roman"/>
          <w:sz w:val="18"/>
          <w:szCs w:val="18"/>
          <w:color w:val="auto"/>
        </w:rPr>
      </w:pPr>
    </w:p>
    <w:p>
      <w:pPr>
        <w:ind w:left="162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capable of being cured, is not cured by the Company by the earlier of the Long Stop Date and</w:t>
      </w: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thirty (30) days following receipt of written notice of such breach from Parent stating Parent’s intention to terminate this Agreement pursuant to this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shall not have the right to terminate this Agreement pursuant to this</w:t>
      </w:r>
    </w:p>
    <w:p>
      <w:pPr>
        <w:ind w:left="1620" w:right="4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if either Parent or Merger Sub is then in breach of any representations, warranties or covenants of Parent or Merger Sub hereunder that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or</w:t>
      </w:r>
    </w:p>
    <w:p>
      <w:pPr>
        <w:spacing w:after="0" w:line="113"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4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the Special Committee shall have effected a Change in the Company Recommendation.</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the event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Agreement shall forthwith become void, and there shall be no liability under this Agreement on the part of any party hereto (or any Representative of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termination shall not relieve any party hereto from its liabilities for any breach prior to such termination, and (b) the terms of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survive any termination of this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57"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66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 Competing Proposal relating to a Competing Transaction shall have been made or proposed (and not withdrawn) after the date hereof and prior to the Shareholders Meeting (or prior to the termination of this Agreement if there has been no Shareholders Meeting), (B) following the occurrence of an event described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this Agreement is terminated by the Company or Parent pursuant to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and (C) within nine (9) months after such termination of this Agreement, the Company or any of its Subsidiaries enters into a definitive agreement in connection with or consummates, such Competing Transaction (in each case whether or not the Competing Transaction was the same Competing Transaction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all references to “15%” in the definition of “Competing Transaction” shall be deemed to be references to “50%”);</w:t>
      </w:r>
    </w:p>
    <w:p>
      <w:pPr>
        <w:spacing w:after="0" w:line="118"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99"/>
        <w:spacing w:after="0" w:line="251" w:lineRule="auto"/>
        <w:rPr>
          <w:sz w:val="20"/>
          <w:szCs w:val="20"/>
          <w:color w:val="auto"/>
        </w:rPr>
      </w:pPr>
      <w:r>
        <w:rPr>
          <w:rFonts w:ascii="Times New Roman" w:cs="Times New Roman" w:eastAsia="Times New Roman" w:hAnsi="Times New Roman"/>
          <w:sz w:val="18"/>
          <w:szCs w:val="18"/>
          <w:color w:val="auto"/>
        </w:rPr>
        <w:t>then the Company shall pay, or cause to be paid, to Parent or its designees an amount in cash equal to $1,200,000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by wire transfer of same day funds as promptly as possible (but in any event (x) within five (5) Business Days after such termination in the case of a termination</w:t>
      </w: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(y) at least five (5) Business Days prior to and as a condition of the consummation by the Company of a Competing Transaction or entry by the Company into the definitive agreement in connection with a Competing Transaction in the case of a termination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(z) at least two (2) Business Days prior to, concurrently with or immediately after the termination of this Agreement in case of a termination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it being agreed that in no event shall the Company be required to pay the Company Termination Fee more than once.</w:t>
      </w:r>
    </w:p>
    <w:p>
      <w:pPr>
        <w:spacing w:after="0" w:line="325" w:lineRule="exact"/>
        <w:rPr>
          <w:sz w:val="20"/>
          <w:szCs w:val="20"/>
          <w:color w:val="auto"/>
        </w:rPr>
      </w:pPr>
    </w:p>
    <w:p>
      <w:pPr>
        <w:ind w:left="1620" w:right="419" w:firstLine="360"/>
        <w:spacing w:after="0" w:line="247" w:lineRule="auto"/>
        <w:tabs>
          <w:tab w:leader="none" w:pos="23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pay, or cause to be paid, to the Company or its designees an amount in cash equal to $1,800,000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if this Agreement is terminated by the Company pursuant to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such payment to be made as promptly as possible (but in any event within five (5) Business Days after such termination by wire transfer of same day funds); it being agreed that in no event shall Parent be required to pay the Parent Termination Fee more than once.</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specified in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all expenses incurred in connection with this Agreement and the Transactions shall be paid by the party incurring such expenses, whether or not the Merger or any other Transaction is consummated.</w:t>
      </w:r>
    </w:p>
    <w:p>
      <w:pPr>
        <w:spacing w:after="0" w:line="101"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fails to pay the Company Termination Fee, or Parent fails to pay the Parent Termination Fee, when due and in accordance with the requirements of this Agreement, the Company or Parent, as the case may be, shall reimburse the other party for reasonable costs and expenses actually incurred or accrued by the other party (including fees and expenses of counsel) in connection with the collection under and enforcement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together with interest on such unpaid Company Termination Fee or Parent Termination Fee, as the case may be, commencing on the date that the Company Termination Fee or Parent Termination Fee, as the case may be, became due,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122"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Parent and Merger Sub acknowledges that (i) the agreements contained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are an integral part of the Transactions, (ii) the damages resulting from termination of this Agreement under circumstances where a Company Termination Fee or Parent Termination Fee is payable are uncertain and incapable of accurate calculation and therefore, the amounts payable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are not a penalty but rather constitute amounts akin to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 and (iii) without the agreements contained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parties hereto would not have entered into this Agreement.</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w:t>
      </w:r>
    </w:p>
    <w:p>
      <w:pPr>
        <w:spacing w:after="0" w:line="158" w:lineRule="exact"/>
        <w:rPr>
          <w:sz w:val="20"/>
          <w:szCs w:val="20"/>
          <w:color w:val="auto"/>
        </w:rPr>
      </w:pPr>
    </w:p>
    <w:p>
      <w:pPr>
        <w:ind w:left="1980" w:right="419" w:firstLine="360"/>
        <w:spacing w:after="0" w:line="242" w:lineRule="auto"/>
        <w:tabs>
          <w:tab w:leader="none" w:pos="266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Equity Commitment Letter, the Facility Agreement and the Limited Guarantee, the Company’s right to (1) terminate this Agreement and receive the Parent Termination Fee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the guarantee of such obligations pursuant to the Limited Guarantee (subject to its terms, conditions and limitations), (2) if applicable, receive reimbursement and indemnification pursuant to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(3) if applicable, receive reimbursement and interest pursuant to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Company Reimbursement</w:t>
      </w:r>
      <w:r>
        <w:rPr>
          <w:rFonts w:ascii="Times New Roman" w:cs="Times New Roman" w:eastAsia="Times New Roman" w:hAnsi="Times New Roman"/>
          <w:sz w:val="18"/>
          <w:szCs w:val="18"/>
          <w:color w:val="auto"/>
        </w:rPr>
        <w:t>”), shall be the sole and exclusive remedy (whether at law, in equity, in contract, in tort or otherwise) of any Group Company and all members of the Company Group against (A) Parent, Merger Sub, the Guarantor or the Rollover Shareholders,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Parent, Merger Sub, the Guarantor or Rollover Shareholders, (C) any financing source or other lender or prospective lender, lead arranger, arranger, agent or Representative of or to Parent, Merger Sub or the Guarantor, or (D) any former, current or future direct or indirect holders of any equity, general or limited partnership or limited liability company interest, controlling persons, management companies, portfolio companies, incorporators, directors, officers,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41" w:lineRule="auto"/>
        <w:rPr>
          <w:sz w:val="20"/>
          <w:szCs w:val="20"/>
          <w:color w:val="auto"/>
        </w:rPr>
      </w:pPr>
      <w:r>
        <w:rPr>
          <w:rFonts w:ascii="Times New Roman" w:cs="Times New Roman" w:eastAsia="Times New Roman" w:hAnsi="Times New Roman"/>
          <w:sz w:val="18"/>
          <w:szCs w:val="18"/>
          <w:color w:val="auto"/>
        </w:rPr>
        <w:t>employees, agents, advisors, attorneys, Representatives, Affiliates, members, managers, general or limited partners, stockholders, successors or assignees of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8.06(f)(i)</w:t>
      </w:r>
      <w:r>
        <w:rPr>
          <w:rFonts w:ascii="Times New Roman" w:cs="Times New Roman" w:eastAsia="Times New Roman" w:hAnsi="Times New Roman"/>
          <w:sz w:val="18"/>
          <w:szCs w:val="18"/>
          <w:color w:val="auto"/>
        </w:rPr>
        <w:t xml:space="preserve">, collectively, the “ </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xml:space="preserve">”), for any loss or damage suffered as a result of any breach of any representation, warranty, covenant or agreement or failure to perform hereunder or other failure of the Merger or the other Transactions to be consummated. For the avoidance of doubt, neither Parent nor any other member of the Parent Group shall have any liability for monetary damages of any kind or nature or arising in any circumstance in connection with this Agreement or any of the Transactions (including the Equity Commitment Letter, the Limited Guarantee, the Support Agreement, the Consortium Agreement, the Interim Investors Agreement, the Facility Agreement and any other Financing Documents) other than the payment of the Parent Termination Fee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the Company Reimbursement, and in no event shall any Group Company, the direct or indirect shareholders of the Company or any other Group Company, or any of their respective Affiliates, members, managers, partners, Representatives, stockholders, successors or assignees of the foregoing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seek, or permit to be sought, on behalf of any member of the Company Group, any monetary damages from any member of the Parent Group in connection with this Agreement or any of the Transactions (including the Equity Commitment Letter, the Limited Guarantee, the Support Agreement, the Consortium Agreement, the Interim Investors Agreement, the Facility Agreement and any other Financing Documents), other than (without duplication) from (A) Parent or Merger Sub to the extent provided in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or</w:t>
      </w:r>
    </w:p>
    <w:p>
      <w:pPr>
        <w:spacing w:after="0" w:line="215" w:lineRule="exact"/>
        <w:rPr>
          <w:sz w:val="20"/>
          <w:szCs w:val="20"/>
          <w:color w:val="auto"/>
        </w:rPr>
      </w:pPr>
    </w:p>
    <w:p>
      <w:pPr>
        <w:ind w:left="1980" w:right="419"/>
        <w:spacing w:after="0" w:line="242" w:lineRule="auto"/>
        <w:tabs>
          <w:tab w:leader="none" w:pos="227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or the Rollover Shareholders to the extent provided in the Limited Guarantee, Equity Commitment Letter or Support Agreement (subject to their respective terms, conditions and limitations). This provision was specifically bargained for and is intended to be for the benefit of, and shall be enforceable by, each member of the Parent Group.</w:t>
      </w:r>
    </w:p>
    <w:p>
      <w:pPr>
        <w:spacing w:after="0" w:line="117"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7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Parent’s right to terminate this Agreement and receive the Company Termination Fee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reimbursement and interest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shall be the sole and exclusive remedy (whether at law, in equity, in contract, in tort or otherwise) of any Rollover Shareholder or any member of the Parent Group against any member of the Company Group or any of their respective former, current or future employees, officers, partners, shareholders, agents, managers, members or Affiliates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the Company nor any Company Related Party shall have any liability for monetary damages of any kind or nature or arising in any circumstance in connection with this Agreement or any of the Transactions other than the payment by the Company of the Company Termination Fee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the costs and expenses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and in no event shall any of Parent, Merger Sub, any Rollover Shareholder or any other member of the Parent Group seek, or permit to be sought, on behalf of any member of the Parent Group, any monetary damages from any Company Related Party in connection with this Agreement (or any certificate or other document delivered in connection herewith) or any of the Transactions, other than (without duplication) from the Company to the extent provided in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335" w:lineRule="exact"/>
        <w:rPr>
          <w:rFonts w:ascii="Times New Roman" w:cs="Times New Roman" w:eastAsia="Times New Roman" w:hAnsi="Times New Roman"/>
          <w:sz w:val="18"/>
          <w:szCs w:val="18"/>
          <w:color w:val="auto"/>
        </w:rPr>
      </w:pPr>
    </w:p>
    <w:p>
      <w:pPr>
        <w:ind w:left="1980" w:right="479" w:firstLine="360"/>
        <w:spacing w:after="0" w:line="241" w:lineRule="auto"/>
        <w:tabs>
          <w:tab w:leader="none" w:pos="2773"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Financing Documents, the Limited Guarantee, the Support Agreement, the Consortium Agreement, the Interim Investors Agreement or any other document contemplated thereby or any document or instrument delivered in connection hereunder or thereunder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the maximum aggregate liability, whether in equity or at Law, in Contract, in tort or otherwise, of the Parent Group collectively (A) under this Agreement or any other Transaction Document, (B) in connection with the failure of the Merger or the other transactions contemplated hereunder or under the Transaction Documents (including the Financing) to be consummated, or</w:t>
      </w:r>
    </w:p>
    <w:p>
      <w:pPr>
        <w:spacing w:after="0" w:line="4" w:lineRule="exact"/>
        <w:rPr>
          <w:rFonts w:ascii="Times New Roman" w:cs="Times New Roman" w:eastAsia="Times New Roman" w:hAnsi="Times New Roman"/>
          <w:sz w:val="18"/>
          <w:szCs w:val="18"/>
          <w:color w:val="auto"/>
        </w:rPr>
      </w:pPr>
    </w:p>
    <w:p>
      <w:pPr>
        <w:ind w:left="1980" w:right="419"/>
        <w:spacing w:after="0" w:line="242" w:lineRule="auto"/>
        <w:tabs>
          <w:tab w:leader="none" w:pos="227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representation or warranty made or alleged to have been made in connection with this Agreement or any other Transaction Document, shall not exceed under any circumstances an amount equal to the sum of (i) the Parent Termination Fee, if any, due and owing to the Company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and (ii) the Company Reimbursement.</w:t>
      </w: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firstLine="360"/>
        <w:spacing w:after="0" w:line="253" w:lineRule="auto"/>
        <w:tabs>
          <w:tab w:leader="none" w:pos="27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the other Transaction Documents, but 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maximum aggregate liability, whether in equity or at Law, in Contract, in tort or otherwise, of the Company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Company Termination Fee, if any, due and owing to Parent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(ii) the amounts, if any, due and owing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representations, warranties, covenants and agreements in this Agreement and in any certificate delivered pursuant hereto shall terminate at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that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not limit any covenant or agreement of the parties hereto which by its terms contemplates performance after the Effective Time or termination of this Agreement, including the agreements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email, or by international overnight courier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2340" w:hanging="360"/>
        <w:spacing w:after="0"/>
        <w:tabs>
          <w:tab w:leader="none" w:pos="2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w:t>
      </w:r>
    </w:p>
    <w:p>
      <w:pPr>
        <w:spacing w:after="0" w:line="157" w:lineRule="exact"/>
        <w:rPr>
          <w:rFonts w:ascii="Times New Roman" w:cs="Times New Roman" w:eastAsia="Times New Roman" w:hAnsi="Times New Roman"/>
          <w:sz w:val="18"/>
          <w:szCs w:val="18"/>
          <w:color w:val="auto"/>
        </w:rPr>
      </w:pPr>
    </w:p>
    <w:p>
      <w:pPr>
        <w:ind w:left="2340" w:right="49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Investment Holding Limited TSH Merger Sub Limited</w:t>
      </w:r>
    </w:p>
    <w:p>
      <w:pPr>
        <w:ind w:left="2340" w:right="30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 2815c, 28/F, Metropole Square, No.2 On Yiu Street, Shek Mun, N.T., Hong Kong</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Kin Ho Philip Chan, Director</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info@risechainltd.com</w:t>
      </w:r>
    </w:p>
    <w:p>
      <w:pPr>
        <w:spacing w:after="0" w:line="13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 (which shall not constitute notice):</w:t>
      </w:r>
    </w:p>
    <w:p>
      <w:pPr>
        <w:spacing w:after="0" w:line="14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Ropes &amp; Gray</w:t>
      </w:r>
    </w:p>
    <w:p>
      <w:pPr>
        <w:spacing w:after="0" w:line="27" w:lineRule="exact"/>
        <w:rPr>
          <w:rFonts w:ascii="Times New Roman" w:cs="Times New Roman" w:eastAsia="Times New Roman" w:hAnsi="Times New Roman"/>
          <w:sz w:val="18"/>
          <w:szCs w:val="18"/>
          <w:color w:val="auto"/>
        </w:rPr>
      </w:pPr>
    </w:p>
    <w:p>
      <w:pPr>
        <w:ind w:left="2340" w:right="49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44th Floor, One Exchange Square 8 Connaught Place</w:t>
      </w:r>
    </w:p>
    <w:p>
      <w:pPr>
        <w:ind w:left="2340" w:right="6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Hong Kong Attn: Oliver Nip</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Oliver.Nip@ropesgray.com</w:t>
      </w:r>
    </w:p>
    <w:p>
      <w:pPr>
        <w:spacing w:after="0" w:line="13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Prospera Law, LLP</w:t>
      </w:r>
    </w:p>
    <w:p>
      <w:pPr>
        <w:spacing w:after="0" w:line="27" w:lineRule="exact"/>
        <w:rPr>
          <w:rFonts w:ascii="Times New Roman" w:cs="Times New Roman" w:eastAsia="Times New Roman" w:hAnsi="Times New Roman"/>
          <w:sz w:val="18"/>
          <w:szCs w:val="18"/>
          <w:color w:val="auto"/>
        </w:rPr>
      </w:pPr>
    </w:p>
    <w:p>
      <w:pPr>
        <w:ind w:left="2340" w:right="48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Avenue of the Stars, Suite 480 Los Angeles, CA 90067</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Kevin Leung</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kleung@prosperalaw.com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360"/>
        <w:spacing w:after="0"/>
        <w:tabs>
          <w:tab w:leader="none" w:pos="2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57"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w:t>
      </w:r>
    </w:p>
    <w:p>
      <w:pPr>
        <w:spacing w:after="0" w:line="15" w:lineRule="exact"/>
        <w:rPr>
          <w:rFonts w:ascii="Times New Roman" w:cs="Times New Roman" w:eastAsia="Times New Roman" w:hAnsi="Times New Roman"/>
          <w:sz w:val="18"/>
          <w:szCs w:val="18"/>
          <w:color w:val="auto"/>
        </w:rPr>
      </w:pPr>
    </w:p>
    <w:p>
      <w:pPr>
        <w:ind w:left="2340" w:right="227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15/F Prosperity Millennia Plaza, 663 King’s Road, Quarry Bay, Hong Kong S.A.R., People’s Republic of China </w:t>
      </w:r>
      <w:r>
        <w:rPr>
          <w:rFonts w:ascii="Times New Roman" w:cs="Times New Roman" w:eastAsia="Times New Roman" w:hAnsi="Times New Roman"/>
          <w:sz w:val="18"/>
          <w:szCs w:val="18"/>
          <w:u w:val="single" w:color="auto"/>
          <w:color w:val="auto"/>
        </w:rPr>
        <w:t>philip.kan@i-click.com</w:t>
      </w:r>
    </w:p>
    <w:p>
      <w:pPr>
        <w:spacing w:after="0" w:line="320"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57"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w:t>
      </w:r>
    </w:p>
    <w:p>
      <w:pPr>
        <w:spacing w:after="0" w:line="15" w:lineRule="exact"/>
        <w:rPr>
          <w:rFonts w:ascii="Times New Roman" w:cs="Times New Roman" w:eastAsia="Times New Roman" w:hAnsi="Times New Roman"/>
          <w:sz w:val="18"/>
          <w:szCs w:val="18"/>
          <w:color w:val="auto"/>
        </w:rPr>
      </w:pPr>
    </w:p>
    <w:p>
      <w:pPr>
        <w:ind w:left="2340" w:right="41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45th Floor, Fortune Financial Center, 5 Dong San Huan Zhong Lu</w:t>
      </w:r>
    </w:p>
    <w:p>
      <w:pPr>
        <w:spacing w:after="0" w:line="1" w:lineRule="exact"/>
        <w:rPr>
          <w:rFonts w:ascii="Times New Roman" w:cs="Times New Roman" w:eastAsia="Times New Roman" w:hAnsi="Times New Roman"/>
          <w:sz w:val="18"/>
          <w:szCs w:val="18"/>
          <w:color w:val="auto"/>
        </w:rPr>
      </w:pPr>
    </w:p>
    <w:p>
      <w:pPr>
        <w:ind w:left="2340" w:right="435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Chaoyang District, Beijing, China 100022 Attn: Denise Shiu</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110"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Special Committee, addressed to the care of the Company, with a copy (which shall not constitute notice) to:</w:t>
      </w:r>
    </w:p>
    <w:p>
      <w:pPr>
        <w:spacing w:after="0" w:line="9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w:t>
      </w:r>
    </w:p>
    <w:p>
      <w:pPr>
        <w:spacing w:after="0" w:line="15" w:lineRule="exact"/>
        <w:rPr>
          <w:rFonts w:ascii="Times New Roman" w:cs="Times New Roman" w:eastAsia="Times New Roman" w:hAnsi="Times New Roman"/>
          <w:sz w:val="18"/>
          <w:szCs w:val="18"/>
          <w:color w:val="auto"/>
        </w:rPr>
      </w:pPr>
    </w:p>
    <w:p>
      <w:pPr>
        <w:ind w:left="2340" w:right="41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45th Floor, Fortune Financial Center, 5 Dong San Huan Zhong Lu</w:t>
      </w:r>
    </w:p>
    <w:p>
      <w:pPr>
        <w:spacing w:after="0" w:line="1" w:lineRule="exact"/>
        <w:rPr>
          <w:rFonts w:ascii="Times New Roman" w:cs="Times New Roman" w:eastAsia="Times New Roman" w:hAnsi="Times New Roman"/>
          <w:sz w:val="18"/>
          <w:szCs w:val="18"/>
          <w:color w:val="auto"/>
        </w:rPr>
      </w:pPr>
    </w:p>
    <w:p>
      <w:pPr>
        <w:ind w:left="2340" w:right="435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Chaoyang District, Beijing, China 100022 Attn: Denise Shiu</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(a)</w:t>
        <w:tab/>
        <w:t>For purposes of this Agreement:</w:t>
      </w:r>
    </w:p>
    <w:p>
      <w:pPr>
        <w:spacing w:after="0" w:line="158" w:lineRule="exact"/>
        <w:rPr>
          <w:sz w:val="20"/>
          <w:szCs w:val="20"/>
          <w:color w:val="auto"/>
        </w:rPr>
      </w:pPr>
    </w:p>
    <w:p>
      <w:pPr>
        <w:ind w:left="1620" w:right="45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provisions that are no less favorable in the aggregate to the Company than those contained in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agreement and any related agreements shall not include any provision calling for any exclusive right to negotiate with such party or having the effect of restricting the Company from satisfying its obligations under this Agreement.</w:t>
      </w:r>
    </w:p>
    <w:p>
      <w:pPr>
        <w:spacing w:after="0" w:line="114" w:lineRule="exact"/>
        <w:rPr>
          <w:sz w:val="20"/>
          <w:szCs w:val="20"/>
          <w:color w:val="auto"/>
        </w:rPr>
      </w:pPr>
    </w:p>
    <w:p>
      <w:pPr>
        <w:ind w:left="1620" w:right="41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(i) any other Person that, directly or indirectly through one or more intermediaries, controls, is controlled by, or is under common control with, such specified Person and (ii) with respect to any natural person, the term “Affiliate” shall also include any member of</w:t>
      </w:r>
    </w:p>
    <w:p>
      <w:pPr>
        <w:spacing w:after="0" w:line="2" w:lineRule="exact"/>
        <w:rPr>
          <w:sz w:val="20"/>
          <w:szCs w:val="20"/>
          <w:color w:val="auto"/>
        </w:rPr>
      </w:pPr>
    </w:p>
    <w:p>
      <w:pPr>
        <w:ind w:left="1620" w:right="459"/>
        <w:spacing w:after="0" w:line="242" w:lineRule="auto"/>
        <w:rPr>
          <w:sz w:val="20"/>
          <w:szCs w:val="20"/>
          <w:color w:val="auto"/>
        </w:rPr>
      </w:pPr>
      <w:r>
        <w:rPr>
          <w:rFonts w:ascii="Times New Roman" w:cs="Times New Roman" w:eastAsia="Times New Roman" w:hAnsi="Times New Roman"/>
          <w:sz w:val="18"/>
          <w:szCs w:val="18"/>
          <w:color w:val="auto"/>
        </w:rPr>
        <w:t xml:space="preserve">the immediate family of such natural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Parent, Merger Sub, the Rollover Shareholders, the Guarantor and their respective Affiliates (excluding the Group Companies) shall not be deemed to be Affiliates of the Company and/or its Subsidiaries, and vice versa, and (y) the Rollover Shareholders and the Guarantor shall be deemed to be Affiliates of either Parent or Merger Sub.</w:t>
      </w:r>
    </w:p>
    <w:p>
      <w:pPr>
        <w:spacing w:after="0" w:line="119" w:lineRule="exact"/>
        <w:rPr>
          <w:sz w:val="20"/>
          <w:szCs w:val="20"/>
          <w:color w:val="auto"/>
        </w:rPr>
      </w:pPr>
    </w:p>
    <w:p>
      <w:pPr>
        <w:ind w:left="162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provided in Section 13(d) of the Exchange Act and the rules and regulations thereunder.</w:t>
      </w:r>
    </w:p>
    <w:p>
      <w:pPr>
        <w:spacing w:after="0" w:line="95" w:lineRule="exact"/>
        <w:rPr>
          <w:sz w:val="20"/>
          <w:szCs w:val="20"/>
          <w:color w:val="auto"/>
        </w:rPr>
      </w:pPr>
    </w:p>
    <w:p>
      <w:pPr>
        <w:ind w:left="1620" w:right="45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Bubinga</w:t>
      </w:r>
      <w:r>
        <w:rPr>
          <w:rFonts w:ascii="Times New Roman" w:cs="Times New Roman" w:eastAsia="Times New Roman" w:hAnsi="Times New Roman"/>
          <w:sz w:val="18"/>
          <w:szCs w:val="18"/>
          <w:color w:val="auto"/>
        </w:rPr>
        <w:t xml:space="preserve"> ” means Bubinga Holdings Limited, a company incorporated under the laws of the British Virgin Islands. As of the date hereof, (a) Mr. Wing Hong Sammy Hsieh wholly owns and is the sole director of Bubinga, and (b) Bubinga is a shareholder of Parent. Mr. Wing Hong Sammy Hsieh is a director and co-founder of the Company.</w:t>
      </w:r>
    </w:p>
    <w:p>
      <w:pPr>
        <w:spacing w:after="0" w:line="110" w:lineRule="exact"/>
        <w:rPr>
          <w:sz w:val="20"/>
          <w:szCs w:val="20"/>
          <w:color w:val="auto"/>
        </w:rPr>
      </w:pPr>
    </w:p>
    <w:p>
      <w:pPr>
        <w:ind w:left="1620" w:right="5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 means any day other than a Saturday, Sunday or other day on which the banks in New York City, the Cayman Islands, Hong Kong or the PRC are authorized by Law to be closed.</w:t>
      </w:r>
    </w:p>
    <w:p>
      <w:pPr>
        <w:spacing w:after="0" w:line="95"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means Mr. Jian Tang, the Chairman, Chief Executive Officer and co-founder of the Company.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the Company to and accepted by Parent and Merger Sub on the date hereof.</w:t>
      </w:r>
    </w:p>
    <w:p>
      <w:pPr>
        <w:spacing w:after="0" w:line="81" w:lineRule="exact"/>
        <w:rPr>
          <w:sz w:val="20"/>
          <w:szCs w:val="20"/>
          <w:color w:val="auto"/>
        </w:rPr>
      </w:pPr>
    </w:p>
    <w:p>
      <w:pPr>
        <w:ind w:left="1620" w:right="49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w:t>
      </w:r>
      <w:r>
        <w:rPr>
          <w:rFonts w:ascii="Times New Roman" w:cs="Times New Roman" w:eastAsia="Times New Roman" w:hAnsi="Times New Roman"/>
          <w:sz w:val="18"/>
          <w:szCs w:val="18"/>
          <w:color w:val="auto"/>
        </w:rPr>
        <w:t>” means any written plan, program, policy, Contract or other arrangement providing for compensation, severance, termination pay, deferred compensation, performance awards, share or share-related awards, fringe benefits or other employee benefits or remuneration of any kind that is or has been maintained, contributed to or required to be contributed to by any Group Company for the benefit of any current or former employee, director or officer of such Group Company, other than any employment Contract or compensatory agreement with a current or former employee, director or officer which is not maintained for the benefit of any group or class of employees. For the avoidance of doubt, the Company Employee Plan includes the Company Share Plans.</w:t>
      </w:r>
    </w:p>
    <w:p>
      <w:pPr>
        <w:spacing w:after="0" w:line="328" w:lineRule="exact"/>
        <w:rPr>
          <w:sz w:val="20"/>
          <w:szCs w:val="20"/>
          <w:color w:val="auto"/>
        </w:rPr>
      </w:pPr>
    </w:p>
    <w:p>
      <w:pPr>
        <w:ind w:left="1620" w:right="4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fact, event, circumstance, change, condition,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with all other Effects, is or would reasonably be expected to (a) have a material adverse effect on the business, financial condition, assets, liabilities, properties or results of operations of the Company and its Subsidiaries taken as a whole or</w:t>
      </w:r>
    </w:p>
    <w:p>
      <w:pPr>
        <w:spacing w:after="0" w:line="3" w:lineRule="exact"/>
        <w:rPr>
          <w:sz w:val="20"/>
          <w:szCs w:val="20"/>
          <w:color w:val="auto"/>
        </w:rPr>
      </w:pPr>
    </w:p>
    <w:p>
      <w:pPr>
        <w:ind w:left="1620" w:right="579"/>
        <w:spacing w:after="0" w:line="239" w:lineRule="auto"/>
        <w:tabs>
          <w:tab w:leader="none" w:pos="188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prevent or materially delay the consummation of the Transactions or otherwise be materially adverse to the ability of the Company to perform its material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no Effect arising out of or resulting from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shall be taken into account in determining whether a Company Material Adverse Effect has occurred or is reasonably expected to occur: (i) geopolitical conditions, any outbreak or escalation of war or major hostilities, any act of sabotage or terrorism, natural or man-made disasters, pandemic (including COVID-19), epidemic or other public health crises, or other force majeure events,</w:t>
      </w:r>
    </w:p>
    <w:p>
      <w:pPr>
        <w:spacing w:after="0" w:line="3" w:lineRule="exact"/>
        <w:rPr>
          <w:rFonts w:ascii="Times New Roman" w:cs="Times New Roman" w:eastAsia="Times New Roman" w:hAnsi="Times New Roman"/>
          <w:sz w:val="18"/>
          <w:szCs w:val="18"/>
          <w:color w:val="auto"/>
        </w:rPr>
      </w:pPr>
    </w:p>
    <w:p>
      <w:pPr>
        <w:ind w:left="1620" w:right="439"/>
        <w:spacing w:after="0"/>
        <w:tabs>
          <w:tab w:leader="none" w:pos="190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GAAP or enforcement or interpretation thereof, in each case proposed, adopted or enacted after the date of this Agreement, (iii) changes or conditions that generally affect the industry and market in which the Company and its Subsidiaries operate, (iv) changes in the financial, credit or other securities or capital markets, or in general economic, business, regulatory, legislative or political conditions of any country or jurisdiction in which the Company and its Subsidiaries operate, (v) any announcement, disclosure, pendency or consummation of the Transactions, including any initiation of shareholder litigation or any other legal proceeding challenging any aspect of this Agreement and/or the Transactions, (vi) any action taken, and/or omission to take any action, by the Company or any of its Subsidiaries at the express request or with the written consent of Parent, Merger Sub, the Chairman, the Rollover Shareholders or any of their respective Affiliates, (vii) any action taken by any Group Company that is expressly required by this Agreement or the failure by any Group Company to take any action that is prohibited by this Agreement, (viii) any breach of this Agreement or other Transaction Documents by Parent, Merger Sub or any other party thereunder (other than the Company), (ix) any failure to meet any internal or public projections, forecasts, guidance, estimates, milestones, budgets or internal or published predictions of revenue, earnings, cash flow or cash position (but excluding the underlying circumstances or reasons for that failure), (x) any decline in the market price, or change in trading volume, of the capital stock of the Company (but excluding the underlying circumstances or reasons for that decline or change), or (xi) any change or prospective change in the Company’s credit ratings (but excluding the underlying circumstances or reasons for such change); except,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w:t>
      </w:r>
    </w:p>
    <w:p>
      <w:pPr>
        <w:spacing w:after="0" w:line="322" w:lineRule="exact"/>
        <w:rPr>
          <w:sz w:val="20"/>
          <w:szCs w:val="20"/>
          <w:color w:val="auto"/>
        </w:rPr>
      </w:pPr>
    </w:p>
    <w:p>
      <w:pPr>
        <w:jc w:val="both"/>
        <w:ind w:left="1620" w:right="5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each ADS granted under the Company Share Plans at or prior to the Effective Time whether or not such option has become vested at or prior to the Effective Time in accordance with the terms thereof.</w:t>
      </w:r>
    </w:p>
    <w:p>
      <w:pPr>
        <w:spacing w:after="0" w:line="102" w:lineRule="exact"/>
        <w:rPr>
          <w:sz w:val="20"/>
          <w:szCs w:val="20"/>
          <w:color w:val="auto"/>
        </w:rPr>
      </w:pPr>
    </w:p>
    <w:p>
      <w:pPr>
        <w:ind w:left="162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restricted share unit granted under the Post-IPO Share Incentive Plan at or prior to the Effective Time.</w:t>
      </w:r>
    </w:p>
    <w:p>
      <w:pPr>
        <w:spacing w:after="0" w:line="95" w:lineRule="exact"/>
        <w:rPr>
          <w:sz w:val="20"/>
          <w:szCs w:val="20"/>
          <w:color w:val="auto"/>
        </w:rPr>
      </w:pPr>
    </w:p>
    <w:p>
      <w:pPr>
        <w:jc w:val="both"/>
        <w:ind w:left="1620" w:right="6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 means, collectively, (i) the 2018 Share Incentive Plan of the Company, which replaced the Company’s 2010 Share Incentive Plan in its entirety, and (ii) the Post-IPO Share Incentive Plan of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written bona fide offer, proposal, or indication of interest (other than an offer, proposal, or indication of interest by Parent) that constitutes or could reasonably be expected to lead to a Competing Transaction.</w:t>
      </w:r>
    </w:p>
    <w:p>
      <w:pPr>
        <w:spacing w:after="0" w:line="102" w:lineRule="exact"/>
        <w:rPr>
          <w:sz w:val="20"/>
          <w:szCs w:val="20"/>
          <w:color w:val="auto"/>
        </w:rPr>
      </w:pPr>
    </w:p>
    <w:p>
      <w:pPr>
        <w:ind w:left="1620" w:right="419" w:firstLine="3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Equity Securities of the Company; (iv) any tender offer or exchange offer (as such terms are defined under the Exchange Act) that, if consummated, would result in any person beneficially owning 15% or more of Equity Securities of the Company; or</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any combination of the foregoing.</w:t>
      </w:r>
    </w:p>
    <w:p>
      <w:pPr>
        <w:spacing w:after="0" w:line="124" w:lineRule="exact"/>
        <w:rPr>
          <w:sz w:val="20"/>
          <w:szCs w:val="20"/>
          <w:color w:val="auto"/>
        </w:rPr>
      </w:pPr>
    </w:p>
    <w:p>
      <w:pPr>
        <w:ind w:left="162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the Company and Rise Chain dated January 11, 2023, as may be amended and restated from time to time.</w:t>
      </w:r>
    </w:p>
    <w:p>
      <w:pPr>
        <w:spacing w:after="0" w:line="95" w:lineRule="exact"/>
        <w:rPr>
          <w:sz w:val="20"/>
          <w:szCs w:val="20"/>
          <w:color w:val="auto"/>
        </w:rPr>
      </w:pPr>
    </w:p>
    <w:p>
      <w:pPr>
        <w:jc w:val="both"/>
        <w:ind w:left="1620" w:right="7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Consortium Agreement</w:t>
      </w:r>
      <w:r>
        <w:rPr>
          <w:rFonts w:ascii="Times New Roman" w:cs="Times New Roman" w:eastAsia="Times New Roman" w:hAnsi="Times New Roman"/>
          <w:sz w:val="18"/>
          <w:szCs w:val="18"/>
          <w:color w:val="auto"/>
        </w:rPr>
        <w:t>” means the Consortium Agreement, dated December 20, 2022, by and among Igomax, the Chairman, Bubinga, Mr. Wing Hong Sammy Hsieh, Rise Chain and Mr. Huang Jianjun, as may be amended from time to time.</w:t>
      </w:r>
    </w:p>
    <w:p>
      <w:pPr>
        <w:spacing w:after="0" w:line="102" w:lineRule="exact"/>
        <w:rPr>
          <w:sz w:val="20"/>
          <w:szCs w:val="20"/>
          <w:color w:val="auto"/>
        </w:rPr>
      </w:pPr>
    </w:p>
    <w:p>
      <w:pPr>
        <w:ind w:left="162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note, bond, mortgage, indenture, deed of trust, lease, license, permit, franchise or other instrument.</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Documents</w:t>
      </w:r>
      <w:r>
        <w:rPr>
          <w:rFonts w:ascii="Times New Roman" w:cs="Times New Roman" w:eastAsia="Times New Roman" w:hAnsi="Times New Roman"/>
          <w:sz w:val="18"/>
          <w:szCs w:val="18"/>
          <w:color w:val="auto"/>
        </w:rPr>
        <w:t>” means (i) Third Amended and Restated Equity Pledge Agreement entered</w:t>
      </w:r>
    </w:p>
    <w:p>
      <w:pPr>
        <w:ind w:left="1620"/>
        <w:spacing w:after="0" w:line="219" w:lineRule="exact"/>
        <w:rPr>
          <w:sz w:val="20"/>
          <w:szCs w:val="20"/>
          <w:color w:val="auto"/>
        </w:rPr>
      </w:pPr>
      <w:r>
        <w:rPr>
          <w:rFonts w:ascii="Times New Roman" w:cs="Times New Roman" w:eastAsia="Times New Roman" w:hAnsi="Times New Roman"/>
          <w:sz w:val="18"/>
          <w:szCs w:val="18"/>
          <w:color w:val="auto"/>
        </w:rPr>
        <w:t>into by and among iClick Data Technology (Beijing) Limited (</w:t>
      </w:r>
      <w:r>
        <w:rPr>
          <w:rFonts w:ascii="SimSun" w:cs="SimSun" w:eastAsia="SimSun" w:hAnsi="SimSun"/>
          <w:sz w:val="18"/>
          <w:szCs w:val="18"/>
          <w:color w:val="auto"/>
        </w:rPr>
        <w:t>愛点擊</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北京</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數据科技有限公司</w:t>
      </w:r>
      <w:r>
        <w:rPr>
          <w:rFonts w:ascii="Times New Roman" w:cs="Times New Roman" w:eastAsia="Times New Roman" w:hAnsi="Times New Roman"/>
          <w:sz w:val="18"/>
          <w:szCs w:val="18"/>
          <w:color w:val="auto"/>
        </w:rPr>
        <w:t>)</w:t>
      </w:r>
    </w:p>
    <w:p>
      <w:pPr>
        <w:ind w:left="1620"/>
        <w:spacing w:after="0" w:line="21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iClick Beijing</w:t>
      </w:r>
      <w:r>
        <w:rPr>
          <w:rFonts w:ascii="Times New Roman" w:cs="Times New Roman" w:eastAsia="Times New Roman" w:hAnsi="Times New Roman"/>
          <w:sz w:val="18"/>
          <w:szCs w:val="18"/>
          <w:color w:val="auto"/>
        </w:rPr>
        <w:t>”), Beijing OptAim Network Technology Co., Ltd. (</w:t>
      </w:r>
      <w:r>
        <w:rPr>
          <w:rFonts w:ascii="SimSun" w:cs="SimSun" w:eastAsia="SimSun" w:hAnsi="SimSun"/>
          <w:sz w:val="18"/>
          <w:szCs w:val="18"/>
          <w:color w:val="auto"/>
        </w:rPr>
        <w:t>北京智云众网絡科技有限公司</w:t>
      </w:r>
      <w:r>
        <w:rPr>
          <w:rFonts w:ascii="Times New Roman" w:cs="Times New Roman" w:eastAsia="Times New Roman" w:hAnsi="Times New Roman"/>
          <w:sz w:val="18"/>
          <w:szCs w:val="18"/>
          <w:color w:val="auto"/>
        </w:rPr>
        <w:t>)</w:t>
      </w:r>
    </w:p>
    <w:p>
      <w:pPr>
        <w:ind w:left="162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OptAim Network</w:t>
      </w:r>
      <w:r>
        <w:rPr>
          <w:rFonts w:ascii="Times New Roman" w:cs="Times New Roman" w:eastAsia="Times New Roman" w:hAnsi="Times New Roman"/>
          <w:sz w:val="18"/>
          <w:szCs w:val="18"/>
          <w:color w:val="auto"/>
        </w:rPr>
        <w:t>”) and the Chairman as of November 1, 2021, (ii) Power of Attorney entered into by</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Chairman as of November 1, 2021, (iii) Spousal Consent Letter entered into by Fan Xinyu,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spouse of the Chairman as of November 1, 2021, (iv) Exclusive Business Cooperation Agreement</w:t>
      </w:r>
    </w:p>
    <w:p>
      <w:pPr>
        <w:ind w:left="1620"/>
        <w:spacing w:after="0" w:line="219" w:lineRule="auto"/>
        <w:rPr>
          <w:sz w:val="20"/>
          <w:szCs w:val="20"/>
          <w:color w:val="auto"/>
        </w:rPr>
      </w:pPr>
      <w:r>
        <w:rPr>
          <w:rFonts w:ascii="Times New Roman" w:cs="Times New Roman" w:eastAsia="Times New Roman" w:hAnsi="Times New Roman"/>
          <w:sz w:val="18"/>
          <w:szCs w:val="18"/>
          <w:color w:val="auto"/>
        </w:rPr>
        <w:t>entered into by and among iClick Beijing, OptAim Network and Zhiyunzhong (Shanghai) Technology</w:t>
      </w:r>
    </w:p>
    <w:p>
      <w:pPr>
        <w:spacing w:after="0" w:line="1" w:lineRule="exact"/>
        <w:rPr>
          <w:sz w:val="20"/>
          <w:szCs w:val="20"/>
          <w:color w:val="auto"/>
        </w:rPr>
      </w:pPr>
    </w:p>
    <w:p>
      <w:pPr>
        <w:ind w:left="1620"/>
        <w:spacing w:after="0" w:line="219" w:lineRule="exact"/>
        <w:rPr>
          <w:sz w:val="20"/>
          <w:szCs w:val="20"/>
          <w:color w:val="auto"/>
        </w:rPr>
      </w:pPr>
      <w:r>
        <w:rPr>
          <w:rFonts w:ascii="Times New Roman" w:cs="Times New Roman" w:eastAsia="Times New Roman" w:hAnsi="Times New Roman"/>
          <w:sz w:val="18"/>
          <w:szCs w:val="18"/>
          <w:color w:val="auto"/>
        </w:rPr>
        <w:t xml:space="preserve">Co., Ltd. ( </w:t>
      </w:r>
      <w:r>
        <w:rPr>
          <w:rFonts w:ascii="SimSun" w:cs="SimSun" w:eastAsia="SimSun" w:hAnsi="SimSun"/>
          <w:sz w:val="18"/>
          <w:szCs w:val="18"/>
          <w:color w:val="auto"/>
        </w:rPr>
        <w:t>指勻众</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科技有限公司</w:t>
      </w:r>
      <w:r>
        <w:rPr>
          <w:rFonts w:ascii="Times New Roman" w:cs="Times New Roman" w:eastAsia="Times New Roman" w:hAnsi="Times New Roman"/>
          <w:sz w:val="18"/>
          <w:szCs w:val="18"/>
          <w:color w:val="auto"/>
        </w:rPr>
        <w:t>) as of November 1, 2021, and (v) Third Amended and Restated</w:t>
      </w:r>
    </w:p>
    <w:p>
      <w:pPr>
        <w:spacing w:after="0" w:line="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Exclusive Call Option Agreement entered into by and among iClick Beijing, OptAim Network and the</w:t>
      </w:r>
    </w:p>
    <w:p>
      <w:pPr>
        <w:ind w:left="1620"/>
        <w:spacing w:after="0"/>
        <w:rPr>
          <w:sz w:val="20"/>
          <w:szCs w:val="20"/>
          <w:color w:val="auto"/>
        </w:rPr>
      </w:pPr>
      <w:r>
        <w:rPr>
          <w:rFonts w:ascii="Times New Roman" w:cs="Times New Roman" w:eastAsia="Times New Roman" w:hAnsi="Times New Roman"/>
          <w:sz w:val="18"/>
          <w:szCs w:val="18"/>
          <w:color w:val="auto"/>
        </w:rPr>
        <w:t>Chairman as of November 1, 2021.</w:t>
      </w:r>
    </w:p>
    <w:p>
      <w:pPr>
        <w:spacing w:after="0" w:line="1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means the VIE Entities and their respective Subsidiaries.</w:t>
      </w:r>
    </w:p>
    <w:p>
      <w:pPr>
        <w:spacing w:after="0" w:line="158" w:lineRule="exact"/>
        <w:rPr>
          <w:sz w:val="20"/>
          <w:szCs w:val="20"/>
          <w:color w:val="auto"/>
        </w:rPr>
      </w:pPr>
    </w:p>
    <w:p>
      <w:pPr>
        <w:ind w:left="1620" w:right="5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and Security Requirements</w:t>
      </w:r>
      <w:r>
        <w:rPr>
          <w:rFonts w:ascii="Times New Roman" w:cs="Times New Roman" w:eastAsia="Times New Roman" w:hAnsi="Times New Roman"/>
          <w:sz w:val="18"/>
          <w:szCs w:val="18"/>
          <w:color w:val="auto"/>
        </w:rPr>
        <w:t>” means (i) the Company’s and its Subsidiaries internal and posted policies and procedures with respect to privacy, Personal Data, data and system security,</w:t>
      </w:r>
    </w:p>
    <w:p>
      <w:pPr>
        <w:ind w:left="1620" w:right="759"/>
        <w:spacing w:after="0" w:line="255" w:lineRule="auto"/>
        <w:tabs>
          <w:tab w:leader="none" w:pos="190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privacy and data security Laws and industry standards (including the Payment Card Industry Data Security Standards), and (iii) applicable requirements relating to data collection, use, privacy, security or protection under any Contracts.</w:t>
      </w:r>
    </w:p>
    <w:p>
      <w:pPr>
        <w:spacing w:after="0" w:line="105" w:lineRule="exact"/>
        <w:rPr>
          <w:sz w:val="20"/>
          <w:szCs w:val="20"/>
          <w:color w:val="auto"/>
        </w:rPr>
      </w:pPr>
    </w:p>
    <w:p>
      <w:pPr>
        <w:ind w:left="1620" w:right="7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capital stock, registered capital, partnership, member or similar interest in any entity and any option, warrant, right or security convertible, exchangeable or exercisable therefor or any other instrument or right the value of which is based on any of the foregoing.</w:t>
      </w:r>
    </w:p>
    <w:p>
      <w:pPr>
        <w:spacing w:after="0" w:line="112" w:lineRule="exact"/>
        <w:rPr>
          <w:sz w:val="20"/>
          <w:szCs w:val="20"/>
          <w:color w:val="auto"/>
        </w:rPr>
      </w:pPr>
    </w:p>
    <w:p>
      <w:pPr>
        <w:ind w:left="1620" w:right="4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collectively, (i) the Rollover Shares, (ii) Shares held by Parent, Merger Sub and the Rollover Shareholders, (iii) Shares held by the Company or any Subsidiary of the Company or held in the Company’s treasury, and (iv) any Shares (including ADSs corresponding to such Shares) held by the Company or the Depositary and reserved for issuance and allocation pursuant to the Company Share Plans.</w:t>
      </w:r>
    </w:p>
    <w:p>
      <w:pPr>
        <w:spacing w:after="0" w:line="335" w:lineRule="exact"/>
        <w:rPr>
          <w:sz w:val="20"/>
          <w:szCs w:val="20"/>
          <w:color w:val="auto"/>
        </w:rPr>
      </w:pPr>
    </w:p>
    <w:p>
      <w:pPr>
        <w:ind w:left="1620" w:right="5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Party</w:t>
      </w:r>
      <w:r>
        <w:rPr>
          <w:rFonts w:ascii="Times New Roman" w:cs="Times New Roman" w:eastAsia="Times New Roman" w:hAnsi="Times New Roman"/>
          <w:sz w:val="18"/>
          <w:szCs w:val="18"/>
          <w:color w:val="auto"/>
        </w:rPr>
        <w:t>” means any Person or group of Persons (other than Parent and its Subsidiaries, Affiliates and Representatives) (i) who submits a written offer or proposal that constitutes a bona fide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Competing Proposal to the Company or any of its Representatives after the date hereof and prior to the No-Shop Period Start Date, and (ii) whose Competing Proposal is determined by the Company Board upon the recommendation of the Special Committee, in good faith, prior to the start of the No- Shop Period Start Date (after consultation with its outside legal counsel and the Financial Advisor), to be, or to be reasonably expected to lead to, a Superior Proposal.</w:t>
      </w:r>
    </w:p>
    <w:p>
      <w:pPr>
        <w:spacing w:after="0" w:line="110" w:lineRule="exact"/>
        <w:rPr>
          <w:sz w:val="20"/>
          <w:szCs w:val="20"/>
          <w:color w:val="auto"/>
        </w:rPr>
      </w:pPr>
    </w:p>
    <w:p>
      <w:pPr>
        <w:ind w:left="1620" w:right="7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with respect to any Company Option, the applicable exercise price per ADS underlying such Company Option in accordance with its terms and conditions thereof.</w:t>
      </w:r>
    </w:p>
    <w:p>
      <w:pPr>
        <w:spacing w:after="0" w:line="95" w:lineRule="exact"/>
        <w:rPr>
          <w:sz w:val="20"/>
          <w:szCs w:val="20"/>
          <w:color w:val="auto"/>
        </w:rPr>
      </w:pPr>
    </w:p>
    <w:p>
      <w:pPr>
        <w:ind w:left="1620" w:right="7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xml:space="preserve"> ” means any of the Company and its Subsidiaries (which for the avoidance of doubt include the VIE Entities).</w:t>
      </w:r>
    </w:p>
    <w:p>
      <w:pPr>
        <w:spacing w:after="0" w:line="9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Igomax</w:t>
      </w:r>
      <w:r>
        <w:rPr>
          <w:rFonts w:ascii="Times New Roman" w:cs="Times New Roman" w:eastAsia="Times New Roman" w:hAnsi="Times New Roman"/>
          <w:sz w:val="18"/>
          <w:szCs w:val="18"/>
          <w:color w:val="auto"/>
        </w:rPr>
        <w:t>” means Igomax Inc., a company incorporated under the laws of the British Virgin</w:t>
      </w:r>
    </w:p>
    <w:p>
      <w:pPr>
        <w:spacing w:after="0" w:line="2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Islands. As of the date hereof, (a) the Chairman wholly owns and is the sole director of Igomax, and</w:t>
      </w:r>
    </w:p>
    <w:p>
      <w:pPr>
        <w:ind w:left="1620"/>
        <w:spacing w:after="0"/>
        <w:rPr>
          <w:sz w:val="20"/>
          <w:szCs w:val="20"/>
          <w:color w:val="auto"/>
        </w:rPr>
      </w:pPr>
      <w:r>
        <w:rPr>
          <w:rFonts w:ascii="Times New Roman" w:cs="Times New Roman" w:eastAsia="Times New Roman" w:hAnsi="Times New Roman"/>
          <w:sz w:val="18"/>
          <w:szCs w:val="18"/>
          <w:color w:val="auto"/>
        </w:rPr>
        <w:t>(b) Igomax is a shareholder of Parent.</w:t>
      </w:r>
    </w:p>
    <w:p>
      <w:pPr>
        <w:spacing w:after="0" w:line="124"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 means, with respect to any person, (a) all indebtedness of such person, whether or not contingent, for borrowed money, (b) all obligations of such person for the deferred purchase price of property or services, (c) all obligations of such person evidenced by notes, bonds, debentures or other similar instruments, (d) all obligations of such person under currency, interest rate or other swaps, and all hedging and other obligations of such person under other derivative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will Indebtedness include any accounts payable or other trade payable arising in the ordinary course of business, and (e) all Indebtedness of others referred to in clauses (a) through (d) above guaranteed directly or indirectly by such person.</w:t>
      </w:r>
    </w:p>
    <w:p>
      <w:pPr>
        <w:spacing w:after="0" w:line="119" w:lineRule="exact"/>
        <w:rPr>
          <w:sz w:val="20"/>
          <w:szCs w:val="20"/>
          <w:color w:val="auto"/>
        </w:rPr>
      </w:pPr>
    </w:p>
    <w:p>
      <w:pPr>
        <w:ind w:left="1620" w:right="7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anywhere in the world, in or to: (a) patents, patent applications (and any patents that issue from those patent application), certificates of invention, substitutions relating to any of the patents and patent applications, utility models, inventions and discoveries, statutory invention registrations, mask works, invention disclosures, industrial designs, community designs and other designs, and any other governmental grant for the protection of inventions or designs, (b) Trademarks, (c) works of authorship (including Software) and copyrights, and moral rights, design rights and database rights therein and thereto, whether or not registered,</w:t>
      </w:r>
    </w:p>
    <w:p>
      <w:pPr>
        <w:spacing w:after="0" w:line="4" w:lineRule="exact"/>
        <w:rPr>
          <w:sz w:val="20"/>
          <w:szCs w:val="20"/>
          <w:color w:val="auto"/>
        </w:rPr>
      </w:pPr>
    </w:p>
    <w:p>
      <w:pPr>
        <w:ind w:left="1620" w:right="539"/>
        <w:spacing w:after="0" w:line="246" w:lineRule="auto"/>
        <w:tabs>
          <w:tab w:leader="none" w:pos="188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and proprietary information, including trade secrets, know-how and invention rights, and (e) registrations, applications, renewals, reissues, reexaminations, continuations, continuations-in-part, divisions, extensions, and foreign counterparts for any of the foregoing in </w:t>
      </w:r>
      <w:r>
        <w:rPr>
          <w:rFonts w:ascii="Times New Roman" w:cs="Times New Roman" w:eastAsia="Times New Roman" w:hAnsi="Times New Roman"/>
          <w:sz w:val="18"/>
          <w:szCs w:val="18"/>
          <w:u w:val="single" w:color="auto"/>
          <w:color w:val="auto"/>
        </w:rPr>
        <w:t>clauses (a)  – (d)</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620" w:right="47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Investors Agreement</w:t>
      </w:r>
      <w:r>
        <w:rPr>
          <w:rFonts w:ascii="Times New Roman" w:cs="Times New Roman" w:eastAsia="Times New Roman" w:hAnsi="Times New Roman"/>
          <w:sz w:val="18"/>
          <w:szCs w:val="18"/>
          <w:color w:val="auto"/>
        </w:rPr>
        <w:t>” means the interim investors agreement entered into by Igomax, the Chairman, Bubinga, Mr. Wing Hong Sammy Hsieh, Rise Chain, Mr. Huang Jianjun, Parent and Merger Sub concurrently with the execution and delivery of this Agreement, that governs the relationship among the parties thereto with respect to this Agreement and matters relating thereto until the earliest of (a) the consummation of the Merger, (b) the termination of the Merger Agreement, and (c) the agreement amongst Igomax, the Chairman, Bubinga, Mr. Wing Hong Sammy Hsieh and Rise Chain to terminate the Interim Investors Agreement.</w:t>
      </w:r>
    </w:p>
    <w:p>
      <w:pPr>
        <w:spacing w:after="0" w:line="121" w:lineRule="exact"/>
        <w:rPr>
          <w:sz w:val="20"/>
          <w:szCs w:val="20"/>
          <w:color w:val="auto"/>
        </w:rPr>
      </w:pPr>
    </w:p>
    <w:p>
      <w:pPr>
        <w:ind w:left="162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material event, material development or material change occurring after the date hereof with respect to the Group Companies or their business, assets or operations of the Group Companies that is unrelated to any Competing Proposal, Competing Transaction or Superior Proposal and that (a) was unknown by, and not reasonably foreseeable to, the Company Board and Special Committee as of or prior to the date hereof, and (b) occurs, arises or becomes known to the Company Board or Special Committee after the date hereof and on or prior to the receipt of the Requisite Company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change, event, occurrence or development that (i) involves or relates to the receipt, existence of or terms of a Competing Proposal or a Superior Proposal (which, for purposes of this definition, should be read without reference to any percentage set forth in the definitions of “Competing Proposal”, “Competing Transaction” or “Superior Proposal”) or any inquiry relating thereto or the consequences thereof, (ii) results from a breach of this Agreement by the Company, (iii) involves or relates to the market price or trading volume of the Shares or the ADSs, in and of itself, after the date of this Agreement, (iv) relates to Parent, Merger Sub or any of their respective Affiliates, (v) relates to changes in any applicable Laws or regulations or applicable accounting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 xml:space="preserve">regulations or principles or interpretation or enforcement thereof, and (vi) relates to or results from the fact alone that the Company meets or exceeds any internal or published forecasts or projections for any period, shall not be taken into account in determining the existence of, an Intervening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clauses (iii) and (vi), the underlying reasons for such change,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or development may constitute an Intervening Event.</w:t>
      </w:r>
    </w:p>
    <w:p>
      <w:pPr>
        <w:spacing w:after="0" w:line="116" w:lineRule="exact"/>
        <w:rPr>
          <w:sz w:val="20"/>
          <w:szCs w:val="20"/>
          <w:color w:val="auto"/>
        </w:rPr>
      </w:pPr>
    </w:p>
    <w:p>
      <w:pPr>
        <w:ind w:left="1620" w:right="4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any of the individuals whose titles are listed on Section 9.03 of the Company Disclosure Schedule, (b) with respect to Parent, the actual knowledge of the directors of Parent, namely the Chairman, Mr. Wing Hong Sammy Hsieh and Mr. Kin Ho Philip Chan, (c) with respect to Merger Sub, the actual knowledge of the directors of Merger Sub, namely the Chairman, Mr. Wing Hong Sammy Hsieh and Mr. Kin Ho Philip Chan, (d) with respect to Rise Chain, the actual knowledge of Mr. Huang Jianjun, (e) with respect to Igomax, the actual knowledge of the Chairman, and (f) with respect to Bubinga, the actual knowledge of Mr. Wing Hong Sammy Hsieh.</w:t>
      </w:r>
    </w:p>
    <w:p>
      <w:pPr>
        <w:spacing w:after="0" w:line="337" w:lineRule="exact"/>
        <w:rPr>
          <w:sz w:val="20"/>
          <w:szCs w:val="20"/>
          <w:color w:val="auto"/>
        </w:rPr>
      </w:pPr>
    </w:p>
    <w:p>
      <w:pPr>
        <w:ind w:left="1620" w:right="5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national, supranational, foreign or administrative law (including common law), statute, code, rule, regulation, rules of the relevant stock exchange on which the relevant parties’ securities are listed, Order, ordinance or other pronouncement of any Governmental Authority.</w:t>
      </w:r>
    </w:p>
    <w:p>
      <w:pPr>
        <w:spacing w:after="0" w:line="99" w:lineRule="exact"/>
        <w:rPr>
          <w:sz w:val="20"/>
          <w:szCs w:val="20"/>
          <w:color w:val="auto"/>
        </w:rPr>
      </w:pPr>
    </w:p>
    <w:p>
      <w:pPr>
        <w:ind w:left="162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any Group Company that are material to the business of the Group Companies taken as a whole.</w:t>
      </w:r>
    </w:p>
    <w:p>
      <w:pPr>
        <w:spacing w:after="0" w:line="108" w:lineRule="exact"/>
        <w:rPr>
          <w:sz w:val="20"/>
          <w:szCs w:val="20"/>
          <w:color w:val="auto"/>
        </w:rPr>
      </w:pPr>
    </w:p>
    <w:p>
      <w:pPr>
        <w:jc w:val="both"/>
        <w:ind w:left="162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and other agreements (written or oral), including all amendments, extensions, renewals, guarantees and other agreements with respect thereto, pursuant to which any Group Company holds any Leased Real Property.</w:t>
      </w:r>
    </w:p>
    <w:p>
      <w:pPr>
        <w:spacing w:after="0" w:line="108" w:lineRule="exact"/>
        <w:rPr>
          <w:sz w:val="20"/>
          <w:szCs w:val="20"/>
          <w:color w:val="auto"/>
        </w:rPr>
      </w:pPr>
    </w:p>
    <w:p>
      <w:pPr>
        <w:ind w:left="1620" w:right="47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security interest, pledge, hypothecation, mortgage, lien (including environmental and Tax liens), violation, charge, lease, license, encumbrance, servient easement, adverse claim, reversion, reverter, preferential arrangement, restrictive covenant, condition or restriction of any kind, including any right of first refusal, right of first offer, call option, and any other restriction on the use, voting, transfer, receipt of income or other exercise of any attributes of ownership.</w:t>
      </w:r>
    </w:p>
    <w:p>
      <w:pPr>
        <w:spacing w:after="0" w:line="323" w:lineRule="exact"/>
        <w:rPr>
          <w:sz w:val="20"/>
          <w:szCs w:val="20"/>
          <w:color w:val="auto"/>
        </w:rPr>
      </w:pPr>
    </w:p>
    <w:p>
      <w:pPr>
        <w:ind w:left="1620" w:right="5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(a) real estate Taxes, assessments and other governmental levies, fees or charges imposed with respect to such real property which are not due and payable as of the Closing Date, or which are being contested in good faith and for which appropriate reserves have been established in accordance with GAAP, (b) mechanics liens and similar liens for labor, materials or supplies provided with respect to such real property incurred in the ordinary course of business for amounts which are not due and payable and which shall be paid in full and released at Closing,</w:t>
      </w:r>
    </w:p>
    <w:p>
      <w:pPr>
        <w:spacing w:after="0" w:line="5" w:lineRule="exact"/>
        <w:rPr>
          <w:sz w:val="20"/>
          <w:szCs w:val="20"/>
          <w:color w:val="auto"/>
        </w:rPr>
      </w:pPr>
    </w:p>
    <w:p>
      <w:pPr>
        <w:ind w:left="1620" w:right="439"/>
        <w:spacing w:after="0" w:line="250" w:lineRule="auto"/>
        <w:tabs>
          <w:tab w:leader="none" w:pos="187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building codes and other land use Laws regulating the use or occupancy of such real property or the activities conducted thereon which are imposed by any Governmental Authority having jurisdiction over such real property which are not violated by the current use or occupancy of such real property or the operation of the business thereon,(d) easements, covenants, conditions, restrictions and other similar matters of record affecting title to such real property which do not or would not materially impair the use or occupancy of such real property in the operation of the business conducted thereon,</w:t>
      </w:r>
    </w:p>
    <w:p>
      <w:pPr>
        <w:spacing w:after="0" w:line="2" w:lineRule="exact"/>
        <w:rPr>
          <w:rFonts w:ascii="Times New Roman" w:cs="Times New Roman" w:eastAsia="Times New Roman" w:hAnsi="Times New Roman"/>
          <w:sz w:val="18"/>
          <w:szCs w:val="18"/>
          <w:color w:val="auto"/>
        </w:rPr>
      </w:pPr>
    </w:p>
    <w:p>
      <w:pPr>
        <w:ind w:left="1620" w:right="439"/>
        <w:spacing w:after="0" w:line="252" w:lineRule="auto"/>
        <w:tabs>
          <w:tab w:leader="none" w:pos="187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by the Company or any Company Subsidiary to its customers in the ordinary course of business consistent with past practice, (f) Liens imposed by applicable Law, (g) Liens contemplated under the Control Documents, and (h) Liens securing indebtedness or liabilities that (x) are reflected in the Company SEC Reports filed or furnished on or after the Applicable Date and prior to the date hereof, or (y) that have otherwise been disclosed to Parent in writing prior to the date of this Agreement.</w:t>
      </w:r>
    </w:p>
    <w:p>
      <w:pPr>
        <w:spacing w:after="0" w:line="122" w:lineRule="exact"/>
        <w:rPr>
          <w:sz w:val="20"/>
          <w:szCs w:val="20"/>
          <w:color w:val="auto"/>
        </w:rPr>
      </w:pPr>
    </w:p>
    <w:p>
      <w:pPr>
        <w:ind w:left="1620" w:right="6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other information that can be used, directly or indirectly, alone or in combination with other information, to identify an individual or is otherwise protected by or subject to any privacy or data security Laws.</w:t>
      </w:r>
    </w:p>
    <w:p>
      <w:pPr>
        <w:spacing w:after="0" w:line="102" w:lineRule="exact"/>
        <w:rPr>
          <w:sz w:val="20"/>
          <w:szCs w:val="20"/>
          <w:color w:val="auto"/>
        </w:rPr>
      </w:pPr>
    </w:p>
    <w:p>
      <w:pPr>
        <w:ind w:left="162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 excluding, for the purposes of this Agreement, the Hong Kong Special Administrative Region, the Macau Special Administrative Region and Taiwan.</w:t>
      </w:r>
    </w:p>
    <w:p>
      <w:pPr>
        <w:spacing w:after="0" w:line="95"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directors, employees, accountants, consultants, financial and legal advisors, agents, financing sources and other authorized representatives.</w:t>
      </w:r>
    </w:p>
    <w:p>
      <w:pPr>
        <w:spacing w:after="0" w:line="102" w:lineRule="exact"/>
        <w:rPr>
          <w:sz w:val="20"/>
          <w:szCs w:val="20"/>
          <w:color w:val="auto"/>
        </w:rPr>
      </w:pPr>
    </w:p>
    <w:p>
      <w:pPr>
        <w:ind w:left="1620" w:right="5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Company Vote</w:t>
      </w:r>
      <w:r>
        <w:rPr>
          <w:rFonts w:ascii="Times New Roman" w:cs="Times New Roman" w:eastAsia="Times New Roman" w:hAnsi="Times New Roman"/>
          <w:sz w:val="18"/>
          <w:szCs w:val="18"/>
          <w:color w:val="auto"/>
        </w:rPr>
        <w:t xml:space="preserve"> ” means the affirmative vote of holders of Shares representing at least two-thirds of the voting power of the outstanding Shares present and voting in person or by proxy as a single class at the Shareholders Meeting or any adjournment or postponement thereof.</w:t>
      </w:r>
    </w:p>
    <w:p>
      <w:pPr>
        <w:spacing w:after="0" w:line="102" w:lineRule="exact"/>
        <w:rPr>
          <w:sz w:val="20"/>
          <w:szCs w:val="20"/>
          <w:color w:val="auto"/>
        </w:rPr>
      </w:pPr>
    </w:p>
    <w:p>
      <w:pPr>
        <w:jc w:val="both"/>
        <w:ind w:left="1620" w:right="41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means Rise Chain Investment Limited, a company incorporated under the laws of the British Virgin Islands. As of the date hereof, (a) Mr. Huang Jianjun wholly owns and is the sole director of Rise Chain, and (b) Rise Chain is a shareholder of Parent.</w:t>
      </w:r>
    </w:p>
    <w:p>
      <w:pPr>
        <w:spacing w:after="0" w:line="1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jc w:val="both"/>
        <w:ind w:left="1620" w:right="6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Meeting</w:t>
      </w:r>
      <w:r>
        <w:rPr>
          <w:rFonts w:ascii="Times New Roman" w:cs="Times New Roman" w:eastAsia="Times New Roman" w:hAnsi="Times New Roman"/>
          <w:sz w:val="18"/>
          <w:szCs w:val="18"/>
          <w:color w:val="auto"/>
        </w:rPr>
        <w:t>” means a general meeting of the Company’s shareholders (including any adjournments or postponements thereof) to be held to consider the authorization and approval of this Agreement, the Plan of Merger and the Transactions, including the Merger.</w:t>
      </w:r>
    </w:p>
    <w:p>
      <w:pPr>
        <w:spacing w:after="0" w:line="88" w:lineRule="exact"/>
        <w:rPr>
          <w:sz w:val="20"/>
          <w:szCs w:val="20"/>
          <w:color w:val="auto"/>
        </w:rPr>
      </w:pPr>
    </w:p>
    <w:p>
      <w:pPr>
        <w:ind w:left="1620" w:right="9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in the capital of the Company which, as of the date hereof, consist of Class A Shares and Class B Shares.</w:t>
      </w:r>
    </w:p>
    <w:p>
      <w:pPr>
        <w:spacing w:after="0" w:line="81" w:lineRule="exact"/>
        <w:rPr>
          <w:sz w:val="20"/>
          <w:szCs w:val="20"/>
          <w:color w:val="auto"/>
        </w:rPr>
      </w:pPr>
    </w:p>
    <w:p>
      <w:pPr>
        <w:ind w:left="1620" w:right="49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(a) computer programs, applications, systems and code, including software implementations of algorithms, models and methodologies, program interfaces, and source code and object code, and firmware, operating systems and specifications, (b) Internet and intranet websites, databases and compilations, including data and collections of data, whether machine-readable or otherwise, (c) development and design tools, library functions and compilers, (d) technology supporting websites, and the contents and audiovisual displays of websites, and (e) media, documentation and other works of authorship, including user manuals, training materials, descriptions, flow charts and other work products relating to or embodying any of the foregoing or on which any of the foregoing is recorded.</w:t>
      </w:r>
    </w:p>
    <w:p>
      <w:pPr>
        <w:spacing w:after="0" w:line="328" w:lineRule="exact"/>
        <w:rPr>
          <w:sz w:val="20"/>
          <w:szCs w:val="20"/>
          <w:color w:val="auto"/>
        </w:rPr>
      </w:pPr>
    </w:p>
    <w:p>
      <w:pPr>
        <w:ind w:left="1620" w:right="4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means the special committee of the Company Board currently consisting of four (4) members of the Company Board who are not affiliated with Parent or Merger Sub and are not members of the management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solely if the existing Special Committee no longer exists after the date of this Agreement or is otherwise altered by the Company Board, it shall mean any other special committee established by the Company Board in relation to the Transactions composed solely of independent directors who are (i) not affiliated with Parent or Merger Sub, and (ii) not members of the Company’s management.</w:t>
      </w:r>
    </w:p>
    <w:p>
      <w:pPr>
        <w:spacing w:after="0" w:line="114" w:lineRule="exact"/>
        <w:rPr>
          <w:sz w:val="20"/>
          <w:szCs w:val="20"/>
          <w:color w:val="auto"/>
        </w:rPr>
      </w:pPr>
    </w:p>
    <w:p>
      <w:pPr>
        <w:ind w:left="1620" w:right="43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party, any person (a) of which such party or any other Subsidiary of such party is a general or managing partner, (b) of which at least a majority of the securities (or other interests having by their terms ordinary voting power to elect a majority of the board of directors or other performing similar functions with respect to such corporation or other organization) is, directly or indirectly, owned or controlled by such party or by any one or more of its Subsidiaries, or by such party and one or more of its Subsidiaries, (c) of which at least a majority of the economic interests is, directly or indirectly, owned or controlled by such party or by any one or more of its Subsidiaries, or by such party and one or more of its Subsidiaries, including interests held through a “variable interest entity” structure or other similar arrangements, or (d) whose assets and financial results are consolidated with the net earnings of such party and are recorded on the books of such party for financial reporting purposes in accordance with GAAP.</w:t>
      </w:r>
    </w:p>
    <w:p>
      <w:pPr>
        <w:spacing w:after="0" w:line="115" w:lineRule="exact"/>
        <w:rPr>
          <w:sz w:val="20"/>
          <w:szCs w:val="20"/>
          <w:color w:val="auto"/>
        </w:rPr>
      </w:pPr>
    </w:p>
    <w:p>
      <w:pPr>
        <w:jc w:val="both"/>
        <w:ind w:left="1620" w:right="8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written bona fide proposal or offer with respect to a Competing Transaction (provided that each reference to “15%” in the definition of “Competing Transaction”</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 xml:space="preserve">should be replaced with “50%”) that the Company Board determines in its good faith judgment, acting at the recommendation of the Special Committee (after consultation with its independent financial advisor and outside legal counsel), taking into account, among other things, all of the terms and conditions, including all legal, financial and regulatory, and other aspects of the proposal (including financing, regulatory or other consents and approvals, shareholder litigation, the identity of the person making the proposal, breakup or termination fee and expense reimbursement provisions, expected timing, risk and likelihood of consummation and other relevant events and circumstances), is reasonably capable of being completed on the terms and conditions proposed and would, if consummated, result in a transaction more favorable to the Company and its shareholders (other than holders of Excluded Shares) from a financial point of view than the Transactions (taking into account, as the case may be, any revisions to the terms of this Agreement and the Financing Documents made or proposed in writing by Parent in response to such proposal or otherwise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offer or proposal shall be deemed to be a “Superior Proposal” if any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consummate the transaction contemplated by such offer or proposal is not fully committed or if the receipt of any such financing is a condition to the consummation of such transaction.</w:t>
      </w:r>
    </w:p>
    <w:p>
      <w:pPr>
        <w:spacing w:after="0" w:line="346" w:lineRule="exact"/>
        <w:rPr>
          <w:sz w:val="20"/>
          <w:szCs w:val="20"/>
          <w:color w:val="auto"/>
        </w:rPr>
      </w:pPr>
    </w:p>
    <w:p>
      <w:pPr>
        <w:ind w:left="162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estimate, form or information return relating to Taxes filed or required to be filed with a Governmental Authority under the applicable Laws, and any schedules or amendments thereof.</w:t>
      </w:r>
    </w:p>
    <w:p>
      <w:pPr>
        <w:spacing w:after="0" w:line="108"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fees, levies, duties, tariffs, imposts and other similar charges (together with any and all interest, penalties, additions to tax and additional amounts imposed with respect thereto) imposed by any Governmental Authority, including taxes or other charges on or with respect to income, franchise, windfall or other profits, gross receipts, occupation, property, real estate, deed, land use, sales, use, capital stock, payroll, severance, employment (including withholding obligations imposed on employer/payor), social security, workers’ compensation, unemployment compensation or net worth; taxes or other charges in the nature of excise, withholding (as payor or payee), ad valorem, stamp, transfer, value-added or gains taxes; license, registration and documentation fees; and customers’ duties, tariffs and similar charges.</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“group” ​(as defined under Section 13(d) of the Exchange Act)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 persons, other than Parent, Merger Sub or any of their respective Affiliates or Representatives.</w:t>
      </w:r>
    </w:p>
    <w:p>
      <w:pPr>
        <w:spacing w:after="0" w:line="139" w:lineRule="exact"/>
        <w:rPr>
          <w:sz w:val="20"/>
          <w:szCs w:val="20"/>
          <w:color w:val="auto"/>
        </w:rPr>
      </w:pPr>
    </w:p>
    <w:p>
      <w:pPr>
        <w:ind w:left="1620" w:right="8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logos, slogans, brand names, domain names, uniform resource locators, trade dress, trade names, corporate names, geographical indications and other identifiers of source or goodwill, including the goodwill symbolized thereby or associated therewith, in any and all jurisdictions, whether or not registered.</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any Company Option that is not a Vested Company Option.</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RSU</w:t>
      </w:r>
      <w:r>
        <w:rPr>
          <w:rFonts w:ascii="Times New Roman" w:cs="Times New Roman" w:eastAsia="Times New Roman" w:hAnsi="Times New Roman"/>
          <w:sz w:val="18"/>
          <w:szCs w:val="18"/>
          <w:color w:val="auto"/>
        </w:rPr>
        <w:t>” means any Company RSU that is not a Vested Company RSU.</w:t>
      </w:r>
    </w:p>
    <w:p>
      <w:pPr>
        <w:spacing w:after="0" w:line="158" w:lineRule="exact"/>
        <w:rPr>
          <w:sz w:val="20"/>
          <w:szCs w:val="20"/>
          <w:color w:val="auto"/>
        </w:rPr>
      </w:pPr>
    </w:p>
    <w:p>
      <w:pPr>
        <w:ind w:left="1620" w:right="5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any Company Option that shall have become vested at or prior to the Effective Time and remains outstanding at the Effective Time in accordance with the terms of such Company Option.</w:t>
      </w:r>
    </w:p>
    <w:p>
      <w:pPr>
        <w:spacing w:after="0" w:line="108" w:lineRule="exact"/>
        <w:rPr>
          <w:sz w:val="20"/>
          <w:szCs w:val="20"/>
          <w:color w:val="auto"/>
        </w:rPr>
      </w:pPr>
    </w:p>
    <w:p>
      <w:pPr>
        <w:ind w:left="1620" w:right="4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RSU</w:t>
      </w:r>
      <w:r>
        <w:rPr>
          <w:rFonts w:ascii="Times New Roman" w:cs="Times New Roman" w:eastAsia="Times New Roman" w:hAnsi="Times New Roman"/>
          <w:sz w:val="18"/>
          <w:szCs w:val="18"/>
          <w:color w:val="auto"/>
        </w:rPr>
        <w:t>” means any Company RSU that shall have become vested at or prior to the Effective Time and remains outstanding in the form of an ADS at the Effective Time in accordance with the terms of such Company RSU.</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VIE Entities</w:t>
      </w:r>
      <w:r>
        <w:rPr>
          <w:rFonts w:ascii="Times New Roman" w:cs="Times New Roman" w:eastAsia="Times New Roman" w:hAnsi="Times New Roman"/>
          <w:sz w:val="18"/>
          <w:szCs w:val="18"/>
          <w:color w:val="auto"/>
        </w:rPr>
        <w:t>” means OptAim Network and its Subsidiaries, and “</w:t>
      </w:r>
      <w:r>
        <w:rPr>
          <w:rFonts w:ascii="Times New Roman" w:cs="Times New Roman" w:eastAsia="Times New Roman" w:hAnsi="Times New Roman"/>
          <w:sz w:val="18"/>
          <w:szCs w:val="18"/>
          <w:u w:val="single" w:color="auto"/>
          <w:color w:val="auto"/>
        </w:rPr>
        <w:t>VIE Entity</w:t>
      </w:r>
      <w:r>
        <w:rPr>
          <w:rFonts w:ascii="Times New Roman" w:cs="Times New Roman" w:eastAsia="Times New Roman" w:hAnsi="Times New Roman"/>
          <w:sz w:val="18"/>
          <w:szCs w:val="18"/>
          <w:color w:val="auto"/>
        </w:rPr>
        <w:t>” means any of them.</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WFOE</w:t>
      </w:r>
      <w:r>
        <w:rPr>
          <w:rFonts w:ascii="Times New Roman" w:cs="Times New Roman" w:eastAsia="Times New Roman" w:hAnsi="Times New Roman"/>
          <w:sz w:val="18"/>
          <w:szCs w:val="18"/>
          <w:color w:val="auto"/>
        </w:rPr>
        <w:t>” means iClick Beijing.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(b)</w:t>
        <w:tab/>
        <w:t>The following terms have the meaning set forth in the Sections set forth below:</w:t>
      </w:r>
    </w:p>
    <w:p>
      <w:pPr>
        <w:spacing w:after="0" w:line="53" w:lineRule="exact"/>
        <w:rPr>
          <w:sz w:val="20"/>
          <w:szCs w:val="20"/>
          <w:color w:val="auto"/>
        </w:rPr>
      </w:pPr>
    </w:p>
    <w:p>
      <w:pPr>
        <w:jc w:val="right"/>
        <w:ind w:right="739"/>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Defined Term</w:t>
      </w:r>
      <w:r>
        <w:rPr>
          <w:sz w:val="20"/>
          <w:szCs w:val="20"/>
          <w:color w:val="auto"/>
        </w:rPr>
        <w:tab/>
      </w:r>
      <w:r>
        <w:rPr>
          <w:rFonts w:ascii="Times New Roman" w:cs="Times New Roman" w:eastAsia="Times New Roman" w:hAnsi="Times New Roman"/>
          <w:sz w:val="16"/>
          <w:szCs w:val="16"/>
          <w:b w:val="1"/>
          <w:bCs w:val="1"/>
          <w:color w:val="auto"/>
          <w:vertAlign w:val="subscript"/>
        </w:rPr>
        <w:t xml:space="preserve">​ ​ </w:t>
      </w:r>
      <w:r>
        <w:rPr>
          <w:rFonts w:ascii="Times New Roman" w:cs="Times New Roman" w:eastAsia="Times New Roman" w:hAnsi="Times New Roman"/>
          <w:sz w:val="16"/>
          <w:szCs w:val="16"/>
          <w:b w:val="1"/>
          <w:bCs w:val="1"/>
          <w:color w:val="auto"/>
        </w:rPr>
        <w:t xml:space="preserve">Location of Definition  </w:t>
      </w:r>
      <w:r>
        <w:rPr>
          <w:rFonts w:ascii="Times New Roman" w:cs="Times New Roman" w:eastAsia="Times New Roman" w:hAnsi="Times New Roman"/>
          <w:sz w:val="16"/>
          <w:szCs w:val="1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123825</wp:posOffset>
            </wp:positionV>
            <wp:extent cx="37115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 Cancellation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ADR Record Date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Agreement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Acquisition Agreement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Financing Documents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Anti-Corruption Laws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Applicable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Arbitrator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the Company Recommendation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CICA</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A Share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B Share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Board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Group</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Recommendation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Reimbursement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SEC Reports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Termination Fee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Cut-Off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Damages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Debt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Depositary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Dissenting Shareholders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Dissenting 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Time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Enforceability Exceptions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Equity Commitment Letter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Equity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Act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Fund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Facility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Advisor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Financing Documents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Section 3.10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2.01(b)</w:t>
            </w:r>
            <w:r>
              <w:rPr>
                <w:rFonts w:ascii="Times New Roman" w:cs="Times New Roman" w:eastAsia="Times New Roman" w:hAnsi="Times New Roman"/>
                <w:sz w:val="29"/>
                <w:szCs w:val="29"/>
                <w:color w:val="auto"/>
                <w:vertAlign w:val="superscript"/>
              </w:rPr>
              <w:t>​</w:t>
            </w:r>
          </w:p>
        </w:tc>
      </w:tr>
      <w:tr>
        <w:trPr>
          <w:trHeight w:val="257"/>
        </w:trPr>
        <w:tc>
          <w:tcPr>
            <w:tcW w:w="16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Section 2.04(b)(ii)</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6.02(a)</w:t>
            </w:r>
            <w:r>
              <w:rPr>
                <w:rFonts w:ascii="Times New Roman" w:cs="Times New Roman" w:eastAsia="Times New Roman" w:hAnsi="Times New Roman"/>
                <w:sz w:val="29"/>
                <w:szCs w:val="29"/>
                <w:color w:val="auto"/>
                <w:vertAlign w:val="superscript"/>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Preamble</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6.04(c)</w:t>
            </w:r>
            <w:r>
              <w:rPr>
                <w:rFonts w:ascii="Times New Roman" w:cs="Times New Roman" w:eastAsia="Times New Roman" w:hAnsi="Times New Roman"/>
                <w:sz w:val="29"/>
                <w:szCs w:val="29"/>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6.07(b)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6.07(b)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3.06(c)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9.09(b)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6.04(d)</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1.02</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1.02</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2.06</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2.06</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2.03(a)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2.03(a)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3.03(c)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3.04(d)</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4.05(a)</w:t>
            </w:r>
            <w:r>
              <w:rPr>
                <w:rFonts w:ascii="Times New Roman" w:cs="Times New Roman" w:eastAsia="Times New Roman" w:hAnsi="Times New Roman"/>
                <w:sz w:val="35"/>
                <w:szCs w:val="35"/>
                <w:color w:val="auto"/>
                <w:vertAlign w:val="superscript"/>
              </w:rPr>
              <w:t>​</w:t>
            </w:r>
          </w:p>
        </w:tc>
      </w:tr>
    </w:tbl>
    <w:p>
      <w:pPr>
        <w:spacing w:after="0" w:line="200"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37458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GAAP</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Guarantor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HKIAC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Indemnified Party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Limited Guarantee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 Stop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Material Company Permits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Maximum Annual Premium</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 Sub</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Nasdaq</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No-Shop Period Start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Order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Group</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Termination Fee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Paying Agent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 ADS 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 Share 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Plan of Merger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Proxy Statement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Record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Requisite Approvals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Rollover Shareholders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Rollover 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Schedule 13E-3</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Securities Act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 Certificates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Support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Surviving Company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Takeover Statute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Transaction Documents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Transactions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Uncertificated Shares</w:t>
      </w:r>
    </w:p>
    <w:p>
      <w:pPr>
        <w:spacing w:after="0" w:line="27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Location of Definition </w:t>
      </w:r>
      <w:r>
        <w:rPr>
          <w:rFonts w:ascii="Times New Roman" w:cs="Times New Roman" w:eastAsia="Times New Roman" w:hAnsi="Times New Roman"/>
          <w:sz w:val="28"/>
          <w:szCs w:val="28"/>
          <w:b w:val="1"/>
          <w:bCs w:val="1"/>
          <w:color w:val="auto"/>
          <w:vertAlign w:val="subscript"/>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Section 3.07(b)</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3.05(b)</w:t>
            </w:r>
            <w:r>
              <w:rPr>
                <w:rFonts w:ascii="Times New Roman" w:cs="Times New Roman" w:eastAsia="Times New Roman" w:hAnsi="Times New Roman"/>
                <w:sz w:val="29"/>
                <w:szCs w:val="29"/>
                <w:color w:val="auto"/>
                <w:vertAlign w:val="superscript"/>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Recitals</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9.09(b)</w:t>
            </w:r>
            <w:r>
              <w:rPr>
                <w:rFonts w:ascii="Times New Roman" w:cs="Times New Roman" w:eastAsia="Times New Roman" w:hAnsi="Times New Roman"/>
                <w:sz w:val="29"/>
                <w:szCs w:val="29"/>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8.02(a)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3.03(c)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7.01(b)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6.02(a)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3.17</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2.04(b)</w:t>
            </w:r>
            <w:r>
              <w:rPr>
                <w:rFonts w:ascii="Times New Roman" w:cs="Times New Roman" w:eastAsia="Times New Roman" w:hAnsi="Times New Roman"/>
                <w:sz w:val="35"/>
                <w:szCs w:val="35"/>
                <w:color w:val="auto"/>
                <w:vertAlign w:val="superscript"/>
              </w:rPr>
              <w:t>​</w:t>
            </w:r>
          </w:p>
        </w:tc>
      </w:tr>
    </w:tbl>
    <w:p>
      <w:pPr>
        <w:spacing w:after="0" w:line="416" w:lineRule="exact"/>
        <w:rPr>
          <w:sz w:val="20"/>
          <w:szCs w:val="20"/>
          <w:color w:val="auto"/>
        </w:rPr>
      </w:pPr>
    </w:p>
    <w:p>
      <w:pPr>
        <w:sectPr>
          <w:pgSz w:w="11900" w:h="16838" w:orient="portrait"/>
          <w:cols w:equalWidth="0" w:num="2">
            <w:col w:w="6800" w:space="720"/>
            <w:col w:w="2359"/>
          </w:cols>
          <w:pgMar w:left="580" w:top="97" w:right="1440" w:bottom="1440" w:gutter="0" w:footer="0" w:header="0"/>
        </w:sect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so as to effect the original intent of the parties as closely as possible in a mutually acceptable manner in order that the Transactions be consummated as originally contemplated to the fullest extent possible.</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set forth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any rules and regulations promulgated thereunder and references to all attachments thereto and instruments incorporated therein. References to a person are also to its permitted successors and assigns. References to clauses without a cross-reference to a Section or subsection are references to clauses within the same Section or, if more specific, subsection. References from or through any date mean, unless otherwise specified, from and including or through and including, respectively. The symbol “$” or “US$” refers to United States Dollars. All “$” amounts used in this Agreement include the equivalent amount denominated in other currencies. The word “extent” in the phrase “to the extent” means the degree to which a subject or other thing extends and such phrase shall not mean simply “if.” References to “day” mean a calendar day unless otherwise indicated as a “Business Day.”</w:t>
      </w:r>
    </w:p>
    <w:p>
      <w:pPr>
        <w:spacing w:after="0" w:line="34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Agreement, the Company Disclosure Schedule and the Confidentiality Agreement constitute the entire agreement among the parties hereto with respect to the subject matter hereof and supersedes all prior agreements and undertakings, both written and oral, among any parties hereto, with respect to the subject matter hereof. This Agreement shall not be assigned (whether pursuant to a merger, by operation of law or otherwise), except that Parent and Merger Sub may assign all or any of their rights and obligations hereunder (i) to any wholly-owned Subsidiary of Parent by prior written notice to the Company, or (ii) to the Debt Financing or Alternative Financing sources pursuant to the terms thereof (to the extent necessary to create a security interest herein or otherwise assign as collateral in respect of the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the assigning party of its obligations hereunder if such assignee does not perform such obligations. Any purported assignment in violation of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is void.</w:t>
      </w:r>
    </w:p>
    <w:p>
      <w:pPr>
        <w:spacing w:after="0" w:line="34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9.07</w:t>
      </w:r>
      <w:r>
        <w:rPr>
          <w:sz w:val="20"/>
          <w:szCs w:val="20"/>
          <w:color w:val="auto"/>
        </w:rPr>
        <w:tab/>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(a) at and after the Effective Time,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(which are intended to be for the benefit of the persons covered thereby and may be enforced by such persons), and (b)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8.06(f)</w:t>
      </w:r>
      <w:r>
        <w:rPr>
          <w:rFonts w:ascii="Times New Roman" w:cs="Times New Roman" w:eastAsia="Times New Roman" w:hAnsi="Times New Roman"/>
          <w:sz w:val="18"/>
          <w:szCs w:val="18"/>
          <w:color w:val="auto"/>
        </w:rPr>
        <w:t xml:space="preserve"> (which are intended to be for the benefit of the persons covered thereby and may be enforced by such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holders of Shares (including Shares represented by ADSs) or holders of Company Options or Company RSUs, in each case in their capacity as such, have any right, benefit or remedy of any nature whatsoever under or by reason of this Agreement.</w:t>
      </w: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xml:space="preserve">, the parties hereto agree that irreparable damage would occur if any provision of this Agreement is not performed in accordance with the terms hereof by the parties hereto, and that money damages or other legal remedies would not be an adequate remedy for such damages. Accordingly, subject to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the parties hereto acknowledge and agree that in the event of any breach by the Company, on the one hand, or Parent or Merger Sub, on the other hand, of any of their respective covenants or obligations set forth in this Agreement, Parent or Merger Sub, on the one hand, or the Company (acting at the direction of the Special Committee), on the other hand, shall each be entitled to specific performance of the terms hereof (including the obligation of the parties hereto to consummate the Merger, subject in each case to the terms and conditions of this Agreement), including an injunction or injunctions to prevent breaches of this Agreement by any party, in addition to any other remedy at law or equity.</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obligation of Parent to consummate the Transactions and the Company’s right to seek or obtain an injunction or injunctions, or other appropriate form of specific performance or equitable relief, in each case, with respect to causing Parent and/or Merger Sub to cause the Equity Financing to be funded at any time and/or to effect the Closing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on the terms and subject to the conditions in this Agreement, shall be subject to the satisfaction of each of the following conditions: (i) all conditions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of such conditions at the Closing) have been satisfied or, if permissible, waived in accordance with the terms of this Agreement, (ii) Parent is required to complete the Closing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Parent fails to complete the Closing by the date the Closing is required to have occurred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(iii) the Debt Financing or the Alternative Financing has been funded in full or will be funded in full at the Closing if the Equity Financing is funded at the Closing, and (iv) the Company has irrevocably confirmed in writing that (A) all conditions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satisfied or that it is waiving any of the conditions to the extent not so satisfied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of such conditions at the Closing), and (B) if specific performance is granted and the Equity Financing and Debt Financing are funded, then it would take such actions required of it by this Agreement to cause the Closing to occur. In no event shall the Company be entitled to specific performance to cause Parent or Merger Sub to cause the Equity Financing to be funded or to effect the Closing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the Debt Financing or the Alternative Financing has not been funded in full (or will not be funded in full at the Closing even if the Equity Financing is funded at the Closing).</w:t>
      </w:r>
    </w:p>
    <w:p>
      <w:pPr>
        <w:spacing w:after="0" w:line="333"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waives (i) any defenses in any action for an injunction or other appropriate form of specific performance or equitable relief, including the defense that a remedy at law would be adequate, and (ii) any requirement under any Law to post a bond or other security as a prerequisite to obtaining an injunction or other appropriate form of specific performance or equitable relief. Notwithstanding anything herein to the contrary, (x) while the parties hereto may pursue both a grant of specific performance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to the extent permitted hereunder and the payment of the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neither Parent and Merger Sub, on the one hand, nor the Company, on the other hand, shall be permitted or entitled to receive both a grant of specific performance that results in a Closing and payment of such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(y) upon the payment of such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remedy of specific performance shall not be available against the party making such payment and, if such party is Parent or Merger Sub, any other member of the Parent Group or, if such party is the Company, any other member of the Company Group.</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59" w:firstLine="360"/>
        <w:spacing w:after="0" w:line="247" w:lineRule="auto"/>
        <w:tabs>
          <w:tab w:leader="none" w:pos="233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except that the following matters arising out of or relating to this Agreement shall be governed by and construed in accordance with the laws of the Cayman Islands in respect of which the parties hereto hereby irrevocably submit to the nonexclusive jurisdiction of the courts of the Cayman Islands: the Merger, the vesting of the undertaking, property and liabilities of each of Merger Sub and the Company in the Surviving Company, the cancellation of the Shares (including Shares represented</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79"/>
        <w:spacing w:after="0" w:line="258" w:lineRule="auto"/>
        <w:rPr>
          <w:sz w:val="20"/>
          <w:szCs w:val="20"/>
          <w:color w:val="auto"/>
        </w:rPr>
      </w:pPr>
      <w:r>
        <w:rPr>
          <w:rFonts w:ascii="Times New Roman" w:cs="Times New Roman" w:eastAsia="Times New Roman" w:hAnsi="Times New Roman"/>
          <w:sz w:val="18"/>
          <w:szCs w:val="18"/>
          <w:color w:val="auto"/>
        </w:rPr>
        <w:t>by ADSs), the rights provided for in Section 238 of the CICA with respect to any Dissenting Shares, the fiduciary or other duties of the Company Board and the directors of Merger Sub and the internal corporate affairs of the Company and Merger Sub.</w:t>
      </w:r>
    </w:p>
    <w:p>
      <w:pPr>
        <w:spacing w:after="0" w:line="102" w:lineRule="exact"/>
        <w:rPr>
          <w:sz w:val="20"/>
          <w:szCs w:val="20"/>
          <w:color w:val="auto"/>
        </w:rPr>
      </w:pPr>
    </w:p>
    <w:p>
      <w:pPr>
        <w:ind w:left="1620" w:right="439" w:firstLine="360"/>
        <w:spacing w:after="0" w:line="241" w:lineRule="auto"/>
        <w:tabs>
          <w:tab w:leader="none" w:pos="23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Section 9.09(a) and the last sentence of this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any Actions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33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This Agreement may not be amended except by an instrument in writing signed by each of the parties hereto. This Agreement may be amended by the parties hereto at any time prior to the Effective Time by action taken (a) with respect to Parent and Merger Sub, by or on behalf of their respective boards of directors, and (b) with respect to the Company, by the Company Board (acting at the recommendation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 that after the approval of this Agreement and the Transactions by the shareholders of the Company, no amendment may be made that would require further approval by the shareholders of the Company without such further approval.</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any party hereto may by action taken (a) with respect to Parent and Merger Sub, by or on behalf of their respective boards of directors and (b) with respect to the Company, by action taken by or on behalf of the Company Board (acting at the recommendation of the Special Committee), (i) extend the time for the performance of any obligation or other act of any other party hereto,</w:t>
      </w:r>
    </w:p>
    <w:p>
      <w:pPr>
        <w:spacing w:after="0" w:line="3" w:lineRule="exact"/>
        <w:rPr>
          <w:sz w:val="20"/>
          <w:szCs w:val="20"/>
          <w:color w:val="auto"/>
        </w:rPr>
      </w:pPr>
    </w:p>
    <w:p>
      <w:pPr>
        <w:ind w:left="1260" w:right="479"/>
        <w:spacing w:after="0" w:line="252" w:lineRule="auto"/>
        <w:tabs>
          <w:tab w:leader="none" w:pos="154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inaccuracy in the representations and warranties of any other party contained herein or in any document delivered pursuant hereto, and (iii) waive compliance with any agreement of any other party or any condition to its own obligations contained herein. Any such extension or waiver shall be valid if set forth in an instrument in writing signed by the party or parties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Beginning on the date hereof and ending on the second anniversary of this Agreement, each Party agrees to maintain in confidence any non-public information received from the other Parties, and to use such non-public information only for purposes of negotiating, executing and consummating the Transactions (including the Merger). With respect to each Party, such confidentiality obligations will not apply to:</w:t>
      </w:r>
    </w:p>
    <w:p>
      <w:pPr>
        <w:spacing w:after="0" w:line="3" w:lineRule="exact"/>
        <w:rPr>
          <w:sz w:val="20"/>
          <w:szCs w:val="20"/>
          <w:color w:val="auto"/>
        </w:rPr>
      </w:pPr>
    </w:p>
    <w:p>
      <w:pPr>
        <w:ind w:left="1260" w:right="439"/>
        <w:spacing w:after="0" w:line="252" w:lineRule="auto"/>
        <w:tabs>
          <w:tab w:leader="none" w:pos="148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was known to such Party or its Representatives prior to their receipt of such information from the other Parties; (ii) information which is or becomes generally known to the public without breach by such Party of this Agreement or an existing obligation of confidentiality to which such Party is a party; (iii) information acquired by such Party or its Representative from a third party who to the knowledge of such Party was not bound to an obligation of confidentiality; (iv) information developed by such Party or its Representatives independently without any reliance on the non-public information received</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from any other Party; (v) disclosure required by applicable Laws or stock exchange rules; (vi) disclosure by such Party to its Affiliates and its and its Affiliates’ Representatives on a need-to-know basis, or (vii) prior to the Effective Time, disclosure consented to in writing by the Company (with respect to the non-public information of the Company or its Subsidiaries or Representatives) or Parent (with respect to the non-public information of a member of Parent Group).</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8"/>
          <w:szCs w:val="18"/>
          <w:u w:val="single" w:color="auto"/>
          <w:color w:val="auto"/>
        </w:rPr>
        <w:t>Special Committee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requirements of applicable Law, any amendment, consent, waiver or other determination to be made, or action to be taken, by the Company or the Company Board under this Agreement shall be made or taken upon the recommendation of, and only upon the recommendation of the Special Committee.</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9.14</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This Agreement may be executed and delivered (including by email of PDF or scanned versions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Jian Tang</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 Jian Tang</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 Philip Kan</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THIS PLAN OF MERGER </w:t>
      </w:r>
      <w:r>
        <w:rPr>
          <w:rFonts w:ascii="Times New Roman" w:cs="Times New Roman" w:eastAsia="Times New Roman" w:hAnsi="Times New Roman"/>
          <w:sz w:val="18"/>
          <w:szCs w:val="18"/>
          <w:color w:val="auto"/>
        </w:rPr>
        <w:t>is made on [date]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08" w:lineRule="exact"/>
        <w:rPr>
          <w:sz w:val="20"/>
          <w:szCs w:val="20"/>
          <w:color w:val="auto"/>
        </w:rPr>
      </w:pPr>
    </w:p>
    <w:p>
      <w:pPr>
        <w:ind w:left="1980" w:right="619" w:hanging="360"/>
        <w:spacing w:after="0" w:line="261" w:lineRule="auto"/>
        <w:tabs>
          <w:tab w:leader="none" w:pos="19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Merger Sub Limited, an exempted company incorporated under the laws of the Cayman Islands, with its registered office situated at the offices of Harneys Fiduciary (Cayman) Limited, 4th Floor, Harbour Place, 103 South Church Street, P.O. Box 10240, Grand Cayman KY1-1002, Cayman Islands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1980" w:right="599" w:hanging="360"/>
        <w:spacing w:after="0" w:line="258" w:lineRule="auto"/>
        <w:tabs>
          <w:tab w:leader="none" w:pos="19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an exempted company incorporated under the laws of the Cayman Islands, with its registered office situated at the offices of Maples Corporate Services Limited at PO Box 309, Ugland House, Grand Cayman, KY1-1104,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together with Merger Sub, the “</w:t>
      </w:r>
      <w:r>
        <w:rPr>
          <w:rFonts w:ascii="Times New Roman" w:cs="Times New Roman" w:eastAsia="Times New Roman" w:hAnsi="Times New Roman"/>
          <w:sz w:val="18"/>
          <w:szCs w:val="18"/>
          <w:b w:val="1"/>
          <w:bCs w:val="1"/>
          <w:color w:val="auto"/>
        </w:rPr>
        <w:t>Constituent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04" w:lineRule="exact"/>
        <w:rPr>
          <w:sz w:val="20"/>
          <w:szCs w:val="20"/>
          <w:color w:val="auto"/>
        </w:rPr>
      </w:pPr>
    </w:p>
    <w:p>
      <w:pPr>
        <w:ind w:left="1980" w:right="419" w:hanging="360"/>
        <w:spacing w:after="0" w:line="256" w:lineRule="auto"/>
        <w:tabs>
          <w:tab w:leader="none" w:pos="1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and the Company have agreed to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on the terms and conditions contained or referred to in an Agreement and Plan of Merger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24, 2023 by and among TSH Investment Holding Limited, Merger Sub and the Company, a copy of which is attached as Appendix I to this Plan of Merger and under the provisions of Part XVI of the Companies Act (Revised) of the Cayman Islands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pursuant to which Merger Sub will merge with and into the Company and cease to exist,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Company will continue as the surviving company in the Merger.</w:t>
      </w:r>
    </w:p>
    <w:p>
      <w:pPr>
        <w:spacing w:after="0" w:line="5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is made in accordance with section 233 of the Companies Act.</w:t>
      </w:r>
    </w:p>
    <w:p>
      <w:pPr>
        <w:spacing w:after="0" w:line="90"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Plan of Merger and not otherwise defined in this Plan of Merger shall have the meanings given to them in the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CONSTITUENT COMPANIES</w:t>
      </w:r>
    </w:p>
    <w:p>
      <w:pPr>
        <w:spacing w:after="0" w:line="94" w:lineRule="exact"/>
        <w:rPr>
          <w:sz w:val="20"/>
          <w:szCs w:val="20"/>
          <w:color w:val="auto"/>
        </w:rPr>
      </w:pPr>
    </w:p>
    <w:p>
      <w:pPr>
        <w:ind w:left="1980" w:right="639" w:hanging="360"/>
        <w:spacing w:after="0" w:line="282" w:lineRule="auto"/>
        <w:tabs>
          <w:tab w:leader="none" w:pos="19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constituent companies (as defined in the Companies Act) to the Merger are Merger Sub and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 OF THE SURVIVING COMPANY</w:t>
      </w:r>
    </w:p>
    <w:p>
      <w:pPr>
        <w:spacing w:after="0" w:line="108" w:lineRule="exact"/>
        <w:rPr>
          <w:sz w:val="20"/>
          <w:szCs w:val="20"/>
          <w:color w:val="auto"/>
        </w:rPr>
      </w:pPr>
    </w:p>
    <w:p>
      <w:pPr>
        <w:ind w:left="1980" w:right="459" w:hanging="360"/>
        <w:spacing w:after="0" w:line="282" w:lineRule="auto"/>
        <w:tabs>
          <w:tab w:leader="none" w:pos="19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surviving company (as defined in the Companies Act) is the Surviving Company and its name shall be </w:t>
      </w:r>
      <w:r>
        <w:rPr>
          <w:rFonts w:ascii="Times New Roman" w:cs="Times New Roman" w:eastAsia="Times New Roman" w:hAnsi="Times New Roman"/>
          <w:sz w:val="18"/>
          <w:szCs w:val="18"/>
          <w:b w:val="1"/>
          <w:bCs w:val="1"/>
          <w:color w:val="auto"/>
        </w:rPr>
        <w:t>iClick Interactive Asia Group Limited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08" w:lineRule="exact"/>
        <w:rPr>
          <w:sz w:val="20"/>
          <w:szCs w:val="20"/>
          <w:color w:val="auto"/>
        </w:rPr>
      </w:pPr>
    </w:p>
    <w:p>
      <w:pPr>
        <w:ind w:left="1980" w:hanging="360"/>
        <w:spacing w:after="0"/>
        <w:tabs>
          <w:tab w:leader="none" w:pos="19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have its registered office at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ISSUED SHARE CAPITAL</w:t>
      </w:r>
    </w:p>
    <w:p>
      <w:pPr>
        <w:spacing w:after="0" w:line="94" w:lineRule="exact"/>
        <w:rPr>
          <w:sz w:val="20"/>
          <w:szCs w:val="20"/>
          <w:color w:val="auto"/>
        </w:rPr>
      </w:pPr>
    </w:p>
    <w:p>
      <w:pPr>
        <w:jc w:val="both"/>
        <w:ind w:left="1980" w:right="499" w:hanging="360"/>
        <w:spacing w:after="0" w:line="266" w:lineRule="auto"/>
        <w:tabs>
          <w:tab w:leader="none" w:pos="19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(as defined below) the authorized share capital of Merger Sub was US$50,000 divided into 50,000 ordinary shares of US$1.00 par value per share, of which 1 share has been issued.</w:t>
      </w:r>
    </w:p>
    <w:p>
      <w:pPr>
        <w:spacing w:after="0" w:line="41" w:lineRule="exact"/>
        <w:rPr>
          <w:sz w:val="20"/>
          <w:szCs w:val="20"/>
          <w:color w:val="auto"/>
        </w:rPr>
      </w:pPr>
    </w:p>
    <w:p>
      <w:pPr>
        <w:ind w:left="1980" w:hanging="360"/>
        <w:spacing w:after="0"/>
        <w:tabs>
          <w:tab w:leader="none" w:pos="19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authorized share capital of the Company was</w:t>
      </w:r>
    </w:p>
    <w:p>
      <w:pPr>
        <w:spacing w:after="0" w:line="27" w:lineRule="exact"/>
        <w:rPr>
          <w:rFonts w:ascii="Times New Roman" w:cs="Times New Roman" w:eastAsia="Times New Roman" w:hAnsi="Times New Roman"/>
          <w:sz w:val="18"/>
          <w:szCs w:val="18"/>
          <w:color w:val="auto"/>
        </w:rPr>
      </w:pPr>
    </w:p>
    <w:p>
      <w:pPr>
        <w:ind w:left="198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US$100,000 divided into 100,000,000 shares of a nominal or par value of US$0.001, of which 80,000,000 shares are designated as Class A Shares and 20,000,000 shares are designated as Class B Shares, of which [•] Class A Shares and [•] Class B Shares have been issued and are fully paid.</w:t>
      </w:r>
    </w:p>
    <w:p>
      <w:pPr>
        <w:spacing w:after="0" w:line="267" w:lineRule="exact"/>
        <w:rPr>
          <w:sz w:val="20"/>
          <w:szCs w:val="20"/>
          <w:color w:val="auto"/>
        </w:rPr>
      </w:pPr>
    </w:p>
    <w:p>
      <w:pPr>
        <w:ind w:left="1980" w:right="839" w:hanging="360"/>
        <w:spacing w:after="0" w:line="282" w:lineRule="auto"/>
        <w:tabs>
          <w:tab w:leader="none" w:pos="19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authorized share capital of the Surviving Company shall be US$[•] divided into [•] ordinary shares of US$[•] par value per share.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in accordance with the terms and conditions of the Agreement:</w:t>
      </w:r>
    </w:p>
    <w:p>
      <w:pPr>
        <w:spacing w:after="0" w:line="103" w:lineRule="exact"/>
        <w:rPr>
          <w:rFonts w:ascii="Times New Roman" w:cs="Times New Roman" w:eastAsia="Times New Roman" w:hAnsi="Times New Roman"/>
          <w:sz w:val="18"/>
          <w:szCs w:val="18"/>
          <w:color w:val="auto"/>
        </w:rPr>
      </w:pPr>
    </w:p>
    <w:p>
      <w:pPr>
        <w:ind w:left="2340" w:right="1280" w:hanging="360"/>
        <w:spacing w:after="0" w:line="261" w:lineRule="auto"/>
        <w:tabs>
          <w:tab w:leader="none" w:pos="23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Share and each Class B Share issued and outstanding immediately prior to the Effective Time, other than the Excluded Shares, the Dissenting Shares and the Shares represented by ADSs, shall be cancelled and cease to exist in exchange for the right to receive the Per Share Merger Consideration.</w:t>
      </w:r>
    </w:p>
    <w:p>
      <w:pPr>
        <w:spacing w:after="0" w:line="40" w:lineRule="exact"/>
        <w:rPr>
          <w:rFonts w:ascii="Times New Roman" w:cs="Times New Roman" w:eastAsia="Times New Roman" w:hAnsi="Times New Roman"/>
          <w:sz w:val="18"/>
          <w:szCs w:val="18"/>
          <w:color w:val="auto"/>
        </w:rPr>
      </w:pPr>
    </w:p>
    <w:p>
      <w:pPr>
        <w:ind w:left="2340" w:right="1340" w:hanging="360"/>
        <w:spacing w:after="0" w:line="259" w:lineRule="auto"/>
        <w:tabs>
          <w:tab w:leader="none" w:pos="23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American Depositary Share, representing five (5) Class A Shares (each, an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and outstanding immediately prior to the Effective Time (other than ADSs representing the Excluded Shares), together with each share represented by such ADSs, shall be cancelled and cease to exist in exchange for the right to receive the Per ADS Merger Consideration.</w:t>
      </w:r>
    </w:p>
    <w:p>
      <w:pPr>
        <w:spacing w:after="0" w:line="61" w:lineRule="exact"/>
        <w:rPr>
          <w:rFonts w:ascii="Times New Roman" w:cs="Times New Roman" w:eastAsia="Times New Roman" w:hAnsi="Times New Roman"/>
          <w:sz w:val="18"/>
          <w:szCs w:val="18"/>
          <w:color w:val="auto"/>
        </w:rPr>
      </w:pPr>
    </w:p>
    <w:p>
      <w:pPr>
        <w:ind w:left="2340" w:right="1340" w:hanging="360"/>
        <w:spacing w:after="0" w:line="266" w:lineRule="auto"/>
        <w:tabs>
          <w:tab w:leader="none" w:pos="23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Excluded Shares issued and outstanding immediately prior to the Effective Time, shall be cancelled and cease to exist without payment of any consideration or distribution therefor other than as set forth in the Support Agreement.</w:t>
      </w:r>
    </w:p>
    <w:p>
      <w:pPr>
        <w:spacing w:after="0" w:line="40" w:lineRule="exact"/>
        <w:rPr>
          <w:rFonts w:ascii="Times New Roman" w:cs="Times New Roman" w:eastAsia="Times New Roman" w:hAnsi="Times New Roman"/>
          <w:sz w:val="18"/>
          <w:szCs w:val="18"/>
          <w:color w:val="auto"/>
        </w:rPr>
      </w:pPr>
    </w:p>
    <w:p>
      <w:pPr>
        <w:ind w:left="2340" w:right="1280" w:hanging="360"/>
        <w:spacing w:after="0" w:line="266" w:lineRule="auto"/>
        <w:tabs>
          <w:tab w:leader="none" w:pos="23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shall be cancelled and shall cease to exist in accordance with Section 2.03 of the Agreement and thereafter represent only the right to receive the applicable payments set forth in Section 2.03 of the Agreement.</w:t>
      </w:r>
    </w:p>
    <w:p>
      <w:pPr>
        <w:spacing w:after="0" w:line="40" w:lineRule="exact"/>
        <w:rPr>
          <w:rFonts w:ascii="Times New Roman" w:cs="Times New Roman" w:eastAsia="Times New Roman" w:hAnsi="Times New Roman"/>
          <w:sz w:val="18"/>
          <w:szCs w:val="18"/>
          <w:color w:val="auto"/>
        </w:rPr>
      </w:pPr>
    </w:p>
    <w:p>
      <w:pPr>
        <w:ind w:left="2340" w:right="1280" w:hanging="360"/>
        <w:spacing w:after="0" w:line="258" w:lineRule="auto"/>
        <w:tabs>
          <w:tab w:leader="none" w:pos="23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of Merger Sub issued and outstanding immediately prior to the Effective Time shall be converted into and become one (1) validly issued, fully paid and non-assessable ordinary share, par value US$[•] per share, of the Surviving Company. Such ordinary share shall constitute the only issued and outstanding share capital of the Surviving Company, which shall be reflected in the register of members of the Surviving Company.</w:t>
      </w:r>
    </w:p>
    <w:p>
      <w:pPr>
        <w:spacing w:after="0" w:line="62" w:lineRule="exact"/>
        <w:rPr>
          <w:sz w:val="20"/>
          <w:szCs w:val="20"/>
          <w:color w:val="auto"/>
        </w:rPr>
      </w:pPr>
    </w:p>
    <w:p>
      <w:pPr>
        <w:ind w:left="1980" w:right="1340" w:hanging="360"/>
        <w:spacing w:after="0" w:line="266" w:lineRule="auto"/>
        <w:tabs>
          <w:tab w:leader="none" w:pos="19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and restrictions attaching to the ordinary shares of the Surviving Company are set out in the Amended and Restated Memorandum of Association and Articles of Association of the Surviving Company in the form attached as Appendix II to this Plan of Merger.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94" w:lineRule="exact"/>
        <w:rPr>
          <w:sz w:val="20"/>
          <w:szCs w:val="20"/>
          <w:color w:val="auto"/>
        </w:rPr>
      </w:pPr>
    </w:p>
    <w:p>
      <w:pPr>
        <w:ind w:left="1980" w:right="1420" w:hanging="360"/>
        <w:spacing w:after="0" w:line="282" w:lineRule="auto"/>
        <w:tabs>
          <w:tab w:leader="none" w:pos="1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take effect [upon the time of registration of the Plan of Merger by the Registrar of Companies of the Cayman Islands]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108" w:lineRule="exact"/>
        <w:rPr>
          <w:sz w:val="20"/>
          <w:szCs w:val="20"/>
          <w:color w:val="auto"/>
        </w:rPr>
      </w:pPr>
    </w:p>
    <w:p>
      <w:pPr>
        <w:ind w:left="1980" w:right="1280" w:hanging="360"/>
        <w:spacing w:after="0" w:line="258" w:lineRule="auto"/>
        <w:tabs>
          <w:tab w:leader="none" w:pos="19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MEMORANDUM OF ASSOCIATION AND ARTICLES OF ASSOCIATION</w:t>
      </w:r>
    </w:p>
    <w:p>
      <w:pPr>
        <w:spacing w:after="0" w:line="108" w:lineRule="exact"/>
        <w:rPr>
          <w:sz w:val="20"/>
          <w:szCs w:val="20"/>
          <w:color w:val="auto"/>
        </w:rPr>
      </w:pPr>
    </w:p>
    <w:p>
      <w:pPr>
        <w:jc w:val="both"/>
        <w:ind w:left="1980" w:right="1420" w:hanging="360"/>
        <w:spacing w:after="0" w:line="266" w:lineRule="auto"/>
        <w:tabs>
          <w:tab w:leader="none" w:pos="19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of Association and Articles of Association of the Surviving Company shall be amended and restated in the form attached as Appendix II to this Plan of Merger at the Effective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BENEFITS</w:t>
      </w:r>
    </w:p>
    <w:p>
      <w:pPr>
        <w:spacing w:after="0" w:line="94" w:lineRule="exact"/>
        <w:rPr>
          <w:sz w:val="20"/>
          <w:szCs w:val="20"/>
          <w:color w:val="auto"/>
        </w:rPr>
      </w:pPr>
    </w:p>
    <w:p>
      <w:pPr>
        <w:ind w:left="1980" w:right="1620" w:hanging="360"/>
        <w:spacing w:after="0" w:line="282" w:lineRule="auto"/>
        <w:tabs>
          <w:tab w:leader="none" w:pos="19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amounts or benefits payable to the directors of the Constituent Companies on the Merger becoming effective.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OF THE SURVIVING COMPANY</w:t>
      </w:r>
    </w:p>
    <w:p>
      <w:pPr>
        <w:spacing w:after="0" w:line="108"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13</w:t>
        <w:tab/>
        <w:t>The names and addresses of the directors of the Surviving Company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 ​ ADDRESS</w:t>
            </w:r>
          </w:p>
        </w:tc>
        <w:tc>
          <w:tcPr>
            <w:tcW w:w="568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3360" w:type="dxa"/>
            <w:vAlign w:val="bottom"/>
          </w:tcPr>
          <w:p>
            <w:pPr>
              <w:ind w:left="23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tcPr>
          <w:p>
            <w:pPr>
              <w:ind w:left="44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B-3</w:t>
            </w:r>
          </w:p>
        </w:tc>
        <w:tc>
          <w:tcPr>
            <w:tcW w:w="0" w:type="dxa"/>
            <w:vAlign w:val="bottom"/>
          </w:tcPr>
          <w:p>
            <w:pPr>
              <w:spacing w:after="0"/>
              <w:rPr>
                <w:sz w:val="1"/>
                <w:szCs w:val="1"/>
                <w:color w:val="auto"/>
              </w:rPr>
            </w:pPr>
          </w:p>
        </w:tc>
      </w:tr>
      <w:tr>
        <w:trPr>
          <w:trHeight w:val="399"/>
        </w:trPr>
        <w:tc>
          <w:tcPr>
            <w:tcW w:w="3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SECURED CREDITORS</w:t>
      </w:r>
    </w:p>
    <w:p>
      <w:pPr>
        <w:spacing w:after="0" w:line="108" w:lineRule="exact"/>
        <w:rPr>
          <w:sz w:val="20"/>
          <w:szCs w:val="20"/>
          <w:color w:val="auto"/>
        </w:rPr>
      </w:pPr>
    </w:p>
    <w:p>
      <w:pPr>
        <w:ind w:left="2340" w:right="99" w:hanging="720"/>
        <w:spacing w:after="0" w:line="258" w:lineRule="auto"/>
        <w:tabs>
          <w:tab w:leader="none" w:pos="197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Sub has entered into a facility agreement dated November 24, 2023 in favor of NEW AGE SP II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In connection with the Facility Agreement, Parent has provided a fixed security interest over the shares of Merger Sub to NEW AGE SP II (the “</w:t>
      </w:r>
      <w:r>
        <w:rPr>
          <w:rFonts w:ascii="Times New Roman" w:cs="Times New Roman" w:eastAsia="Times New Roman" w:hAnsi="Times New Roman"/>
          <w:sz w:val="18"/>
          <w:szCs w:val="18"/>
          <w:b w:val="1"/>
          <w:bCs w:val="1"/>
          <w:color w:val="auto"/>
        </w:rPr>
        <w:t>Equitable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Merger Sub has no secured creditors (other than NEW AGE SP II) and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any other fixed or floating security interests as at the date of this Plan of Merger (other than the Equity Mortgage), in each case, unless otherwise permitted under the Facility Agreement; and</w:t>
      </w:r>
    </w:p>
    <w:p>
      <w:pPr>
        <w:spacing w:after="0" w:line="298" w:lineRule="exact"/>
        <w:rPr>
          <w:rFonts w:ascii="Times New Roman" w:cs="Times New Roman" w:eastAsia="Times New Roman" w:hAnsi="Times New Roman"/>
          <w:sz w:val="18"/>
          <w:szCs w:val="18"/>
          <w:color w:val="auto"/>
        </w:rPr>
      </w:pPr>
    </w:p>
    <w:p>
      <w:pPr>
        <w:ind w:left="2340" w:right="559" w:hanging="360"/>
        <w:spacing w:after="0" w:line="266" w:lineRule="auto"/>
        <w:tabs>
          <w:tab w:leader="none" w:pos="2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disclosed in Appendix III, the Company has no other secured creditors and has granted no fixed or floating security interests that are outstanding as at the date of this Plan of Merger.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 OF TERMINATION</w:t>
      </w:r>
    </w:p>
    <w:p>
      <w:pPr>
        <w:spacing w:after="0" w:line="94" w:lineRule="exact"/>
        <w:rPr>
          <w:sz w:val="20"/>
          <w:szCs w:val="20"/>
          <w:color w:val="auto"/>
        </w:rPr>
      </w:pPr>
    </w:p>
    <w:p>
      <w:pPr>
        <w:ind w:left="1980" w:right="719" w:hanging="360"/>
        <w:spacing w:after="0" w:line="282" w:lineRule="auto"/>
        <w:tabs>
          <w:tab w:leader="none" w:pos="19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terminated or amended pursuant to the terms and conditions of the Agreement at any time prior to the Effective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08" w:lineRule="exact"/>
        <w:rPr>
          <w:sz w:val="20"/>
          <w:szCs w:val="20"/>
          <w:color w:val="auto"/>
        </w:rPr>
      </w:pPr>
    </w:p>
    <w:p>
      <w:pPr>
        <w:ind w:left="1980" w:right="439" w:hanging="360"/>
        <w:spacing w:after="0" w:line="256" w:lineRule="auto"/>
        <w:tabs>
          <w:tab w:leader="none" w:pos="19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Effective Time, this Plan of Merger may be amended by the board of directors of both the Surviving Company and Merger Sub in accordance with Section 235(1) of the Companies Act, including to effect any other changes to this Plan of Merger which the directors of both the Surviving Company and Merger Sub deem advisable, provided, that such changes do not materially adversely affect any rights of the shareholders of the Surviving Company or Merger Sub, as determined by the directors of both the Surviving Company and Merger Sub, respectively.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AND AUTHORIZATION</w:t>
      </w:r>
    </w:p>
    <w:p>
      <w:pPr>
        <w:spacing w:after="0" w:line="108" w:lineRule="exact"/>
        <w:rPr>
          <w:sz w:val="20"/>
          <w:szCs w:val="20"/>
          <w:color w:val="auto"/>
        </w:rPr>
      </w:pPr>
    </w:p>
    <w:p>
      <w:pPr>
        <w:ind w:left="1980" w:right="679" w:hanging="360"/>
        <w:spacing w:after="0" w:line="282" w:lineRule="auto"/>
        <w:tabs>
          <w:tab w:leader="none" w:pos="19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approved by the board of directors of each of Merger Sub and the Company pursuant to section 233(3) of the Companies Act.</w:t>
      </w:r>
    </w:p>
    <w:p>
      <w:pPr>
        <w:spacing w:after="0" w:line="26"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authorized by the shareholders of each of Merger Sub and the Company pursuant to section233(6) of the Companies Act.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COUNTERPARTS</w:t>
      </w:r>
    </w:p>
    <w:p>
      <w:pPr>
        <w:spacing w:after="0" w:line="108" w:lineRule="exact"/>
        <w:rPr>
          <w:sz w:val="20"/>
          <w:szCs w:val="20"/>
          <w:color w:val="auto"/>
        </w:rPr>
      </w:pPr>
    </w:p>
    <w:p>
      <w:pPr>
        <w:jc w:val="both"/>
        <w:ind w:left="1980" w:right="439" w:hanging="360"/>
        <w:spacing w:after="0" w:line="282" w:lineRule="auto"/>
        <w:tabs>
          <w:tab w:leader="none" w:pos="19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executed by facsimile and in one or more counterparts, each of which shall be deemed an original and all of which together shall constitute one and the same instrument.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08" w:lineRule="exact"/>
        <w:rPr>
          <w:sz w:val="20"/>
          <w:szCs w:val="20"/>
          <w:color w:val="auto"/>
        </w:rPr>
      </w:pPr>
    </w:p>
    <w:p>
      <w:pPr>
        <w:ind w:left="1980" w:right="1039" w:hanging="360"/>
        <w:spacing w:after="0" w:line="282" w:lineRule="auto"/>
        <w:tabs>
          <w:tab w:leader="none" w:pos="19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shall be governed by and construed in accordance with the laws of the Cayman Islands.</w:t>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51435</wp:posOffset>
            </wp:positionV>
            <wp:extent cx="23145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66040</wp:posOffset>
            </wp:positionV>
            <wp:extent cx="23145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1203" w:lineRule="exact"/>
        <w:rPr>
          <w:sz w:val="20"/>
          <w:szCs w:val="20"/>
          <w:color w:val="auto"/>
        </w:rPr>
      </w:pPr>
    </w:p>
    <w:p>
      <w:pPr>
        <w:sectPr>
          <w:pgSz w:w="11900" w:h="16838" w:orient="portrait"/>
          <w:cols w:equalWidth="0" w:num="2">
            <w:col w:w="4900" w:space="720"/>
            <w:col w:w="4259"/>
          </w:cols>
          <w:pgMar w:left="580" w:top="97" w:right="1440" w:bottom="1440" w:gutter="0" w:footer="0" w:header="0"/>
          <w:type w:val="continuous"/>
        </w:sectPr>
      </w:pP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Amended and Restated Memorandum of Association and Articles of Association of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III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Secured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OPINION OF HOULIHAN LOKEY (CHINA) LIMITED AS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131445</wp:posOffset>
            </wp:positionV>
            <wp:extent cx="1817370" cy="660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181737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23, 2023</w:t>
      </w:r>
    </w:p>
    <w:p>
      <w:pPr>
        <w:spacing w:after="0" w:line="144" w:lineRule="exact"/>
        <w:rPr>
          <w:sz w:val="20"/>
          <w:szCs w:val="20"/>
          <w:color w:val="auto"/>
        </w:rPr>
      </w:pPr>
    </w:p>
    <w:p>
      <w:pPr>
        <w:ind w:left="1260" w:right="1759"/>
        <w:spacing w:after="0" w:line="254" w:lineRule="auto"/>
        <w:rPr>
          <w:sz w:val="20"/>
          <w:szCs w:val="20"/>
          <w:color w:val="auto"/>
        </w:rPr>
      </w:pPr>
      <w:r>
        <w:rPr>
          <w:rFonts w:ascii="Times New Roman" w:cs="Times New Roman" w:eastAsia="Times New Roman" w:hAnsi="Times New Roman"/>
          <w:sz w:val="18"/>
          <w:szCs w:val="18"/>
          <w:color w:val="auto"/>
        </w:rPr>
        <w:t>The Special Committee of the Board of Directors of iClick Interactive Asia Group Limited 15/F Prosperity Millennia Plaza 663 King’s Road, Quarry Bay</w:t>
      </w:r>
    </w:p>
    <w:p>
      <w:pPr>
        <w:ind w:left="12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Members of the Special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understand that TSH Investment Holding Limited, an exempted company with limited liability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under the laws of the Cayman Islands (“Parent”), TSH Merger Sub Limited, an exempted</w:t>
      </w:r>
    </w:p>
    <w:p>
      <w:pPr>
        <w:ind w:left="1260"/>
        <w:spacing w:after="0"/>
        <w:rPr>
          <w:sz w:val="20"/>
          <w:szCs w:val="20"/>
          <w:color w:val="auto"/>
        </w:rPr>
      </w:pPr>
      <w:r>
        <w:rPr>
          <w:rFonts w:ascii="Times New Roman" w:cs="Times New Roman" w:eastAsia="Times New Roman" w:hAnsi="Times New Roman"/>
          <w:sz w:val="18"/>
          <w:szCs w:val="18"/>
          <w:color w:val="auto"/>
        </w:rPr>
        <w:t>company with limited liability incorporated under the laws of the Cayman Islands and a wholly-owned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of Parent (“Merger Sub”), and iClick Interactive Asia Group Limited, an exempted company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limited liability incorporated under the laws of the Cayman Islands (the “Company”), propose to enter into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Agreement (as defined below) pursuant to which, among other things, the Merger Sub will be merged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and into the Company (the “Merger”) and that, in connection with the Merger, (a) each class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ordinary share of the Company with a par value $0.001 per share (the “Class A Ordinary Shares”)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ordinary share of the Company with a par value of $0.001 per share (the “Class B Ordinary Shares”,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together with the Class A Ordinary Shares, the “Shares”) issued and outstanding immediately prior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Effective Time (as defined in the Agreement), other than the Excluded Shares (as defined below),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Dissenting Shares (as defined in the Agreement) and the Class A Ordinary Shares represented by the ADSs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defined below), will be cancelled in exchange for the right to receive $0.816 in cash without interest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 Share Merger Consideration”), (b) each American depositary share of the Company (each, an “ADS”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collectively, the “ADSs”), representing five (5) Class A Ordinary Shares, issued and outstanding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immediately prior to the Effective Time (other than ADSs representing the Excluded Shares and the ADSs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described in Section 2.01(c) of the Agreement), together with the underlying Class A Ordinary Shares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such ADSs, shall be cancelled in exchange for the right to receive $4.08 in cash without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(the “Per ADS Merger Consideration”, together with Per Share Merger Consideration,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“Consideration”), subject to certain adjustments as provided for in the Agreement (as to which adjustments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express no opinion), and (c) the Company will be the surviving corporation and become a direct wholly-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subsidiary of Parent. For the purpose of this opinion letter, “Excluded Shares” means, collectively,</w:t>
      </w:r>
    </w:p>
    <w:p>
      <w:pPr>
        <w:ind w:left="1260" w:right="439"/>
        <w:spacing w:after="0"/>
        <w:tabs>
          <w:tab w:leader="none" w:pos="148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Rollover Shares (as defined in the Agreement), (ii) Shares held by Parent, Merger Sub and the Rollover Shareholders (as defined in the Agreement), (iii) Shares held by the Company or any subsidiary of the Company or held in the Company’s treasury, and (iv) any Shares (including ADSs corresponding to such Shares) held by the Company or the Depositary (as defined in the Agreement) and reserved for issuance and allocation pursuant to the Company Share Plans (as defined in the Agreement).</w:t>
      </w:r>
    </w:p>
    <w:p>
      <w:pPr>
        <w:spacing w:after="0" w:line="12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Special Committee (the “Committee”) of the Board of Directors (the “Board”) of the Company has requested that Houlihan Lokey (China) Limited (“Houlihan Lokey”) provide an opinion (the “Opinion”) to the Committee as to whether, as of the date hereof, the Consideration to be received by the holders of the Shares (other than the Excluded Shares and the Dissenting Shares) and the ADSs (other than ADSs representing the Excluded Shares) (collectively, the “Unaffiliated Shareholders”) in the Merger pursuant to the Agreement is fair to them from a financial point of view.</w:t>
      </w:r>
    </w:p>
    <w:p>
      <w:pPr>
        <w:spacing w:after="0" w:line="11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Among other things, we have:</w:t>
      </w:r>
    </w:p>
    <w:p>
      <w:pPr>
        <w:spacing w:after="0" w:line="95" w:lineRule="exact"/>
        <w:rPr>
          <w:sz w:val="20"/>
          <w:szCs w:val="20"/>
          <w:color w:val="auto"/>
        </w:rPr>
      </w:pPr>
    </w:p>
    <w:p>
      <w:pPr>
        <w:ind w:left="1980" w:right="539" w:hanging="360"/>
        <w:spacing w:after="0" w:line="282" w:lineRule="auto"/>
        <w:tabs>
          <w:tab w:leader="none" w:pos="19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dated November 21, 2023 of the Agreement and Plan of Merger by and among Parent, Merger Sub and the Company (the “Agreement”);</w:t>
      </w:r>
    </w:p>
    <w:p>
      <w:pPr>
        <w:spacing w:after="0" w:line="80"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we deemed to be relevant;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61"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us by the Company, including financial projections (and adjustments thereto) prepared by the management of the Company relating to the Company for the fiscal years ending 2023 through 2028 (the “Financial Projections”);</w:t>
      </w:r>
    </w:p>
    <w:p>
      <w:pPr>
        <w:spacing w:after="0" w:line="112"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spoken with certain members of the management of the Company regarding the businesses, operations, financial condition and prospects of the Company, the Merger and related matters;</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certificates and/or confirmation emails addressed to us from senior management of the Company which contains, among other things, representations regarding the accuracy of the information, data and other materials (financial or otherwise) provided to, or discussed with, us by or on behalf of the Company; and</w:t>
      </w:r>
    </w:p>
    <w:p>
      <w:pPr>
        <w:spacing w:after="0" w:line="98" w:lineRule="exact"/>
        <w:rPr>
          <w:rFonts w:ascii="Times New Roman" w:cs="Times New Roman" w:eastAsia="Times New Roman" w:hAnsi="Times New Roman"/>
          <w:sz w:val="18"/>
          <w:szCs w:val="18"/>
          <w:color w:val="auto"/>
        </w:rPr>
      </w:pPr>
    </w:p>
    <w:p>
      <w:pPr>
        <w:ind w:left="1980" w:right="1239" w:hanging="360"/>
        <w:spacing w:after="0" w:line="282"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9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we have assumed, that the Financial Projections (and adjustments thereto) reviewed by us have been reasonably prepared in good faith on bases reflecting the best currently available estimates and judgments of such management as to the future financial results and condition of the Company and the other matters covered thereby, and we express no opinion with respect to such projections or the assumptions on which they are based. We have relied upon and assumed, without independent verification, that there has been no change in the businesses,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As you are aware, the credit, financial and stock markets have recently been experiencing unusual volatility and we express no opinion or view as to any potential effects of such volatility on the Merger, and this Opinion does not purport to address potential developments in any such markets. In addition, we express no view as to, and this Opinion does not address, foreign currency exchange risks (if any) associated with the Merger, the financial projections or otherwise.</w:t>
      </w:r>
    </w:p>
    <w:p>
      <w:pPr>
        <w:spacing w:after="0" w:line="32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will be satisfied without waiver thereof, and (d) the Merger will be consummated in a timely manner in accordance with the terms described in the Agreement and such other related documents and instruments, without any amendments or modifications thereto. We have relied upon and assumed, without independent verification, that (i) the Merger will be consummated in a manner that complies in all respects with all applicable foreign, federal and state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result in the disposition of any assets of the Company or the Parent, or otherwise have an effect on the Merger, or the Company that would be material to our analyses or this Opinion. We have also relied upon and assumed, without independent verification, at the direction of the Compan</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that any adjustments to the Consideration pursuant to the Agreement will not be material to our analyses or this Opinion. In addition, we have relied upon and assumed, without independent verification, that the final form of the Agreement will not differ in any respect from the draft of the Agreement identified above.</w:t>
      </w:r>
    </w:p>
    <w:p>
      <w:pPr>
        <w:spacing w:after="0" w:line="32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this Opinion, we have not been requested to make, and have not made, any physical inspection or independent appraisal or evaluation of any of the assets, properties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liabilities (fixed, contingent, derivative, off-balance-sheet or otherwise) of the Company,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is or may be a party or is or may be subject, or of any governmental investigation of any possible unasserted claims or other contingent liabilities to which the Company is or may be a party or is or may be subject.</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have not been requested to, and did not, (a) negotiate the terms of the Merger, or (b) advise the Committee, the Board or any other party with respect to alternatives to the Merger.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w:t>
      </w:r>
    </w:p>
    <w:p>
      <w:pPr>
        <w:spacing w:after="0" w:line="11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Opinion is furnished for the use of the Committee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or make any election with respect to any matter relating to the Merger or otherwise.</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pacing w:after="0" w:line="32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 addition, we will receive a fee for rendering this Opinion, which is not contingent upon the closing of the Merger. The Company has agreed to reimburse certain of our expenses and to indemnify us and certain related parties for certain potential liabilities arising out of our engagement.</w:t>
      </w:r>
    </w:p>
    <w:p>
      <w:pPr>
        <w:spacing w:after="0" w:line="109"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(i) the underlying business decision of the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Consideration to the extent expressly specified herein), (iii) the fairness of any portion or aspect of the Merger to the holders of any class of securities, creditors or other constituencies of the Company or Parent, or to any other party, except if and only to the extent expressly set forth in the last sentence of this Opinion, (iv) the relative merits of the Merger as compared to any alternative business strategies or transactions that might be available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 (vii) the solvency, creditworthiness or fair value of the Company, the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the Parent and their respective advisors, as to all legal, regulatory, accounting, insurance, tax and other similar matters with respect to the Company, the Parent and the Merger or otherwise. The issuance of this Opinion was approved by a committee authorized to approve opinions of this nature.</w:t>
      </w:r>
    </w:p>
    <w:p>
      <w:pPr>
        <w:spacing w:after="0" w:line="34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Consideration to be received by the Unaffiliated Shareholders of the Company in the Merger pursuant to the Agreement is fair to them from a financial point of view.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477135" cy="4368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24771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Houlihan Lokey (China)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CAYMAN ISLANDS COMPANIES ACT (AS AMENDED) — SECTION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CAYMAN ISLANDS COMPANIES ACT (AS AMENDED) — SECTION 238</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238. Rights of dissenters</w:t>
      </w:r>
    </w:p>
    <w:p>
      <w:pPr>
        <w:spacing w:after="0" w:line="144" w:lineRule="exact"/>
        <w:rPr>
          <w:sz w:val="20"/>
          <w:szCs w:val="20"/>
          <w:color w:val="auto"/>
        </w:rPr>
      </w:pPr>
    </w:p>
    <w:p>
      <w:pPr>
        <w:ind w:left="1620" w:right="459" w:hanging="360"/>
        <w:spacing w:after="0" w:line="282"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constituent company incorporated under this Act shall be entitled to payment of the fair value of that person’s shares upon dissenting from a merger or consolidation.</w:t>
      </w:r>
    </w:p>
    <w:p>
      <w:pPr>
        <w:spacing w:after="0" w:line="80"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desires to exercise that person’s entitlement under subsection (1) shall give to the constituent company, before the vote on the merger or consolidation, written objection to the action.</w:t>
      </w:r>
    </w:p>
    <w:p>
      <w:pPr>
        <w:spacing w:after="0" w:line="80"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objection under subsection (2) shall include a statement that the member proposes to demand payment for that person’s shares if the merger or consolidation is authorised by the vote.</w:t>
      </w:r>
    </w:p>
    <w:p>
      <w:pPr>
        <w:spacing w:after="0" w:line="9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days immediately following the date on which the vote of members giving authorisation for the merger or consolidation is made, the constituent company shall give written notice of the authorisation to each member who made a written objection.</w:t>
      </w:r>
    </w:p>
    <w:p>
      <w:pPr>
        <w:spacing w:after="0" w:line="9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elects to dissent shall, within twenty days immediately following the date on which the notice referred to in subsection (4) is given, give to the constituent company a written notice of that person’s decision to dissent, stating —</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name and address;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classes of shares in respect of which that person dissents;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that person’s shares.</w:t>
      </w:r>
    </w:p>
    <w:p>
      <w:pPr>
        <w:spacing w:after="0" w:line="144"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dissents shall do so in respect of all shares that that person holds in the constituent company.</w:t>
      </w:r>
    </w:p>
    <w:p>
      <w:pPr>
        <w:spacing w:after="0" w:line="80"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giving of a notice of dissent under subsection (5), the member to whom the notice relates shall cease to have any of the rights of a member except the right to be paid the fair value of that person’s shares and the rights referred to in subsections (12) and (16).</w:t>
      </w:r>
    </w:p>
    <w:p>
      <w:pPr>
        <w:spacing w:after="0" w:line="108" w:lineRule="exact"/>
        <w:rPr>
          <w:rFonts w:ascii="Times New Roman" w:cs="Times New Roman" w:eastAsia="Times New Roman" w:hAnsi="Times New Roman"/>
          <w:sz w:val="18"/>
          <w:szCs w:val="18"/>
          <w:color w:val="auto"/>
        </w:rPr>
      </w:pPr>
    </w:p>
    <w:p>
      <w:pPr>
        <w:ind w:left="1620" w:right="539" w:hanging="360"/>
        <w:spacing w:after="0" w:line="254"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w:t>
      </w:r>
    </w:p>
    <w:p>
      <w:pPr>
        <w:spacing w:after="0" w:line="110"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a dissenting member fail, within the period specified in subsection (8), to agree on the price to be paid for the shares owned by the member, within twenty days immediately following the date on which the period expires —</w:t>
      </w:r>
    </w:p>
    <w:p>
      <w:pPr>
        <w:spacing w:after="0" w:line="94" w:lineRule="exact"/>
        <w:rPr>
          <w:rFonts w:ascii="Times New Roman" w:cs="Times New Roman" w:eastAsia="Times New Roman" w:hAnsi="Times New Roman"/>
          <w:sz w:val="18"/>
          <w:szCs w:val="18"/>
          <w:color w:val="auto"/>
        </w:rPr>
      </w:pPr>
    </w:p>
    <w:p>
      <w:pPr>
        <w:ind w:left="1980" w:right="1319" w:hanging="360"/>
        <w:spacing w:after="0" w:line="282" w:lineRule="auto"/>
        <w:tabs>
          <w:tab w:leader="none" w:pos="1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any dissenting member may) file a petition with the Court for a determination of the fair value of the shares of all dissenting members;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by the company shall be accompanied by a verified list containing the names and addresses of all members who have filed a notice under subsection (5) and with whom agreements as to the fair value of their shares have not been reached by the company.</w:t>
      </w:r>
    </w:p>
    <w:p>
      <w:pPr>
        <w:spacing w:after="0" w:line="94"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petition filed under subsection (9)(a) shall be served on the other party; and where a dissenting member has so filed, the company shall within ten days after such service file the verified list referred to in subsection (9)(b).</w:t>
      </w:r>
    </w:p>
    <w:p>
      <w:pPr>
        <w:spacing w:after="0" w:line="108"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of a petition, the Court shall determine the fair value of the shares of such dissenting members as it finds are involved, together with a fair rate of interest, if any, to be paid by the company upon the amount determined to be the fair value.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whose name appears on the list filed by the company under subsection (9)(b) or (10) and who the Court finds are involved may participate fully in all proceedings until the determination of fair value is reached.</w:t>
      </w:r>
    </w:p>
    <w:p>
      <w:pPr>
        <w:spacing w:after="0" w:line="108"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the Court resulting from proceeding on the petition shall be enforceable in such manner as other orders of the Court are enforced, whether the company is incorporated under the laws of the Islands or not.</w:t>
      </w:r>
    </w:p>
    <w:p>
      <w:pPr>
        <w:spacing w:after="0" w:line="108"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w:t>
      </w:r>
    </w:p>
    <w:p>
      <w:pPr>
        <w:spacing w:after="0" w:line="102"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the company pursuant to this section shall be cancelled and, if they are shares of a surviving company, they shall be available for re-issue.</w:t>
      </w:r>
    </w:p>
    <w:p>
      <w:pPr>
        <w:spacing w:after="0" w:line="94"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DIRECTORS AND EXECUTIVE OFFICERS OF EACH FILING PERSON</w:t>
      </w:r>
    </w:p>
    <w:p>
      <w:pPr>
        <w:spacing w:after="0" w:line="237" w:lineRule="exact"/>
        <w:rPr>
          <w:sz w:val="20"/>
          <w:szCs w:val="20"/>
          <w:color w:val="auto"/>
        </w:rPr>
      </w:pPr>
    </w:p>
    <w:p>
      <w:pPr>
        <w:ind w:left="1620" w:hanging="360"/>
        <w:spacing w:after="0"/>
        <w:tabs>
          <w:tab w:leader="none" w:pos="162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2858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Wing Hong Sammy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Lub Bun Chong</w:t>
      </w:r>
      <w:r>
        <w:rPr>
          <w:rFonts w:ascii="Times New Roman" w:cs="Times New Roman" w:eastAsia="Times New Roman" w:hAnsi="Times New Roman"/>
          <w:sz w:val="23"/>
          <w:szCs w:val="23"/>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Matthew Chu Pong</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Fong</w:t>
      </w:r>
      <w:r>
        <w:rPr>
          <w:rFonts w:ascii="Times New Roman" w:cs="Times New Roman" w:eastAsia="Times New Roman" w:hAnsi="Times New Roman"/>
          <w:sz w:val="23"/>
          <w:szCs w:val="23"/>
          <w:color w:val="auto"/>
          <w:vertAlign w:val="superscript"/>
        </w:rPr>
        <w:t>(4)</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Dylan Huang</w:t>
      </w:r>
      <w:r>
        <w:rPr>
          <w:rFonts w:ascii="Times New Roman" w:cs="Times New Roman" w:eastAsia="Times New Roman" w:hAnsi="Times New Roman"/>
          <w:sz w:val="23"/>
          <w:szCs w:val="23"/>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Philip Kan</w:t>
      </w:r>
      <w:r>
        <w:rPr>
          <w:rFonts w:ascii="Times New Roman" w:cs="Times New Roman" w:eastAsia="Times New Roman" w:hAnsi="Times New Roman"/>
          <w:sz w:val="23"/>
          <w:szCs w:val="23"/>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Zhang</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565785</wp:posOffset>
            </wp:positionV>
            <wp:extent cx="12344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w:t>
            </w:r>
          </w:p>
        </w:tc>
      </w:tr>
      <w:tr>
        <w:trPr>
          <w:trHeight w:val="234"/>
        </w:trPr>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ind w:left="220" w:right="120" w:hanging="215"/>
        <w:spacing w:after="0" w:line="273" w:lineRule="auto"/>
        <w:tabs>
          <w:tab w:leader="none" w:pos="11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and Co-Founder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120" w:hanging="115"/>
        <w:spacing w:after="0"/>
        <w:tabs>
          <w:tab w:leader="none" w:pos="1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Plaza, 663 King’s Road,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Quarry Bay, Hong Kong</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S.A.R.</w:t>
      </w:r>
    </w:p>
    <w:p>
      <w:pPr>
        <w:spacing w:after="0" w:line="9" w:lineRule="exact"/>
        <w:rPr>
          <w:sz w:val="20"/>
          <w:szCs w:val="20"/>
          <w:color w:val="auto"/>
        </w:rPr>
      </w:pPr>
    </w:p>
    <w:p>
      <w:pPr>
        <w:ind w:left="220" w:right="1400" w:hanging="215"/>
        <w:spacing w:after="0" w:line="273" w:lineRule="auto"/>
        <w:tabs>
          <w:tab w:leader="none" w:pos="11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220" w:right="1400" w:hanging="215"/>
        <w:spacing w:after="0" w:line="273" w:lineRule="auto"/>
        <w:tabs>
          <w:tab w:leader="none" w:pos="11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220" w:right="1400" w:hanging="215"/>
        <w:spacing w:after="0" w:line="276" w:lineRule="auto"/>
        <w:tabs>
          <w:tab w:leader="none" w:pos="11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120" w:hanging="115"/>
        <w:spacing w:after="0"/>
        <w:tabs>
          <w:tab w:leader="none" w:pos="1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and Chief</w:t>
      </w:r>
    </w:p>
    <w:p>
      <w:pPr>
        <w:spacing w:after="0" w:line="54" w:lineRule="exact"/>
        <w:rPr>
          <w:sz w:val="20"/>
          <w:szCs w:val="20"/>
          <w:color w:val="auto"/>
        </w:rPr>
      </w:pPr>
    </w:p>
    <w:p>
      <w:pPr>
        <w:ind w:left="220"/>
        <w:spacing w:after="0"/>
        <w:tabs>
          <w:tab w:leader="none" w:pos="2440" w:val="left"/>
        </w:tabs>
        <w:rPr>
          <w:sz w:val="20"/>
          <w:szCs w:val="20"/>
          <w:color w:val="auto"/>
        </w:rPr>
      </w:pPr>
      <w:r>
        <w:rPr>
          <w:rFonts w:ascii="Times New Roman" w:cs="Times New Roman" w:eastAsia="Times New Roman" w:hAnsi="Times New Roman"/>
          <w:sz w:val="18"/>
          <w:szCs w:val="18"/>
          <w:color w:val="auto"/>
        </w:rPr>
        <w:t>Plaza, 663 King’s Road,</w:t>
      </w:r>
      <w:r>
        <w:rPr>
          <w:sz w:val="20"/>
          <w:szCs w:val="20"/>
          <w:color w:val="auto"/>
        </w:rPr>
        <w:tab/>
      </w: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Quarry Bay, Hong Kong</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S.A.R.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Hong Kong S.A.R.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Singapore</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0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838" w:lineRule="exact"/>
        <w:rPr>
          <w:sz w:val="20"/>
          <w:szCs w:val="20"/>
          <w:color w:val="auto"/>
        </w:rPr>
      </w:pPr>
    </w:p>
    <w:p>
      <w:pPr>
        <w:sectPr>
          <w:pgSz w:w="11900" w:h="16838" w:orient="portrait"/>
          <w:cols w:equalWidth="0" w:num="3">
            <w:col w:w="2740" w:space="540"/>
            <w:col w:w="4480" w:space="0"/>
            <w:col w:w="2119"/>
          </w:cols>
          <w:pgMar w:left="580" w:top="97" w:right="1440" w:bottom="1440" w:gutter="0" w:footer="0" w:header="0"/>
          <w:type w:val="continuous"/>
        </w:sectPr>
      </w:pPr>
    </w:p>
    <w:p>
      <w:pPr>
        <w:spacing w:after="0" w:line="196" w:lineRule="exact"/>
        <w:rPr>
          <w:sz w:val="20"/>
          <w:szCs w:val="20"/>
          <w:color w:val="auto"/>
        </w:rPr>
      </w:pPr>
    </w:p>
    <w:p>
      <w:pPr>
        <w:ind w:left="1620" w:right="439" w:hanging="360"/>
        <w:spacing w:after="0" w:line="252" w:lineRule="auto"/>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Jian Tang is our chairman of the board, chief executive officer and co-founder and served as our chief operating officer and our chief technology officer during 2016 to 2019. Mr. Tang has approximately 20 years of experience in digital advertising and is well-known in the area of advertising technologies and big data in China. Prior to joining the Company, Mr. Tang founded OptAim in 2012, which was later acquired by the Company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w:t>
      </w:r>
    </w:p>
    <w:p>
      <w:pPr>
        <w:spacing w:after="0" w:line="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Tang was named by Campaign Asia as one of the leaders in its Digital A-List in 2016.</w:t>
      </w:r>
    </w:p>
    <w:p>
      <w:pPr>
        <w:spacing w:after="0" w:line="58"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Wing Hong Sammy Hsieh is our director and co-founder and served as our chief executive officer from 2009 to 2019. Mr. Hsieh is currently a non-executive director of Yoho Group Holdings Limited (HKEX: 2347) and an independent director of Magnum Opus Acquisition Limited (NYSE: OPA). Prior to founding our company, Mr. Hsieh held senior positions in a number of prominent technology companies. Mr. Hsieh was general manager for Asia Pacific at Efficient Frontier (now an Adobe company), a leading digital performance marketing company in 2008. Prior to that, Mr. Hsieh was</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61" w:lineRule="auto"/>
        <w:rPr>
          <w:sz w:val="20"/>
          <w:szCs w:val="20"/>
          <w:color w:val="auto"/>
        </w:rPr>
      </w:pPr>
      <w:r>
        <w:rPr>
          <w:rFonts w:ascii="Times New Roman" w:cs="Times New Roman" w:eastAsia="Times New Roman" w:hAnsi="Times New Roman"/>
          <w:sz w:val="18"/>
          <w:szCs w:val="18"/>
          <w:color w:val="auto"/>
        </w:rPr>
        <w:t>director of Search Marketing at Yahoo Hong Kong during 2000 to 2008, during which he oversaw the business operations, including sales, marketing, business development and product management.</w:t>
      </w:r>
    </w:p>
    <w:p>
      <w:pPr>
        <w:ind w:left="1620" w:right="659"/>
        <w:spacing w:after="0" w:line="255" w:lineRule="auto"/>
        <w:rPr>
          <w:sz w:val="20"/>
          <w:szCs w:val="20"/>
          <w:color w:val="auto"/>
        </w:rPr>
      </w:pPr>
      <w:r>
        <w:rPr>
          <w:rFonts w:ascii="Times New Roman" w:cs="Times New Roman" w:eastAsia="Times New Roman" w:hAnsi="Times New Roman"/>
          <w:sz w:val="18"/>
          <w:szCs w:val="18"/>
          <w:color w:val="auto"/>
        </w:rPr>
        <w:t>Mr. Hsieh also held various sales and marketing positions at the LVMH Group and British American Tobacco earlier in his career. Mr. Hsieh received his bachelor’s degree in economics from the University of California, Los Angeles.</w:t>
      </w:r>
    </w:p>
    <w:p>
      <w:pPr>
        <w:spacing w:after="0" w:line="51" w:lineRule="exact"/>
        <w:rPr>
          <w:sz w:val="20"/>
          <w:szCs w:val="20"/>
          <w:color w:val="auto"/>
        </w:rPr>
      </w:pPr>
    </w:p>
    <w:p>
      <w:pPr>
        <w:ind w:left="1620" w:right="539" w:hanging="360"/>
        <w:spacing w:after="0" w:line="253"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Lub Bun Chong 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w:t>
      </w:r>
    </w:p>
    <w:p>
      <w:pPr>
        <w:spacing w:after="0" w:line="5" w:lineRule="exact"/>
        <w:rPr>
          <w:rFonts w:ascii="Times New Roman" w:cs="Times New Roman" w:eastAsia="Times New Roman" w:hAnsi="Times New Roman"/>
          <w:sz w:val="18"/>
          <w:szCs w:val="18"/>
          <w:color w:val="auto"/>
        </w:rPr>
      </w:pPr>
    </w:p>
    <w:p>
      <w:pPr>
        <w:ind w:left="162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Matthew Chu Pong Fong has served as the Company’s director since January 2020. Mr. Fong has more than 10 years of professional experience in auditing, corporate finance and financial management for both private and listed corporations. He held senior positions in corporate finance management in a multi-strategy private investment fund and a listed company on Hong Kong Mainboard. He had also worked at audit division of Ernst &amp; Young. Mr. Fong obtained his bachelor degree in accountancy from The Hong Kong Polytechnic University in 2003 and is currently a fellow member of the Association of Chartered Certified Accountants.</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Dylan Huang 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53"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Philip Kan 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spacing w:after="0" w:line="264"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Zhang has served as our director and chief financial officer since January 31, 2022. 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pacing w:after="0" w:line="12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Company or any of the Company’s directors and executive officers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97" w:lineRule="auto"/>
        <w:rPr>
          <w:sz w:val="20"/>
          <w:szCs w:val="20"/>
          <w:color w:val="auto"/>
        </w:rPr>
      </w:pPr>
      <w:r>
        <w:rPr>
          <w:rFonts w:ascii="Times New Roman" w:cs="Times New Roman" w:eastAsia="Times New Roman" w:hAnsi="Times New Roman"/>
          <w:sz w:val="18"/>
          <w:szCs w:val="18"/>
          <w:color w:val="auto"/>
        </w:rPr>
        <w:t>person from future violations of, or prohibiting activities subject to, federal or state securities laws, or a finding of any violation of federal or state securities laws.</w:t>
      </w:r>
    </w:p>
    <w:p>
      <w:pPr>
        <w:spacing w:after="0" w:line="172" w:lineRule="exact"/>
        <w:rPr>
          <w:sz w:val="20"/>
          <w:szCs w:val="20"/>
          <w:color w:val="auto"/>
        </w:rPr>
      </w:pPr>
    </w:p>
    <w:p>
      <w:pPr>
        <w:ind w:left="1620" w:hanging="360"/>
        <w:spacing w:after="0"/>
        <w:tabs>
          <w:tab w:leader="none" w:pos="162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Parent</w:t>
      </w:r>
    </w:p>
    <w:p>
      <w:pPr>
        <w:spacing w:after="0" w:line="16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As of the date of this Proxy Statement, Parent has three directors as set forth in the following table and does not have any executive officers.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0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 of the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Wing Hong Sammy</w:t>
            </w:r>
          </w:p>
        </w:tc>
        <w:tc>
          <w:tcPr>
            <w:tcW w:w="2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 ​ 15/F, Prosperity Millennia ​ ​</w:t>
            </w:r>
          </w:p>
        </w:tc>
        <w:tc>
          <w:tcPr>
            <w:tcW w:w="2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Director and Co-Founder</w:t>
            </w:r>
          </w:p>
        </w:tc>
        <w:tc>
          <w:tcPr>
            <w:tcW w:w="174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8"/>
                <w:szCs w:val="18"/>
                <w:color w:val="auto"/>
              </w:rPr>
              <w:t>​ ​ Hong Kong S.A.R. ​</w:t>
            </w:r>
          </w:p>
        </w:tc>
        <w:tc>
          <w:tcPr>
            <w:tcW w:w="0" w:type="dxa"/>
            <w:vAlign w:val="bottom"/>
          </w:tcPr>
          <w:p>
            <w:pPr>
              <w:spacing w:after="0"/>
              <w:rPr>
                <w:sz w:val="1"/>
                <w:szCs w:val="1"/>
                <w:color w:val="auto"/>
              </w:rPr>
            </w:pPr>
          </w:p>
        </w:tc>
      </w:t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Kin Ho Philip Chan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Unit 5D, 5/F, Hang</w:t>
            </w:r>
          </w:p>
        </w:tc>
        <w:tc>
          <w:tcPr>
            <w:tcW w:w="3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Chief Executive Officer of​ ​ Hong Kong S.A.R. ​</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Cheong Factory Building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Worldgate Global Logistic</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 1 Wing Ming Street</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419" w:hanging="360"/>
        <w:spacing w:after="0" w:line="266" w:lineRule="auto"/>
        <w:tabs>
          <w:tab w:leader="none" w:pos="16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5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54"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 is the CEO of Worldgate Global Logistic Limited, which provides global logistics and supply chain management solutions, since September 2021, and was previously the Executive Director of Willing International Capital Limited, a consulting company specializing in back-office support and corporate secretary services to small and medium enterprises in Hong Kong.</w:t>
      </w:r>
    </w:p>
    <w:p>
      <w:pPr>
        <w:spacing w:after="0" w:line="166" w:lineRule="exact"/>
        <w:rPr>
          <w:sz w:val="20"/>
          <w:szCs w:val="20"/>
          <w:color w:val="auto"/>
        </w:rPr>
      </w:pPr>
    </w:p>
    <w:p>
      <w:pPr>
        <w:ind w:left="1260" w:right="499" w:firstLine="360"/>
        <w:spacing w:after="0" w:line="267" w:lineRule="auto"/>
        <w:rPr>
          <w:sz w:val="20"/>
          <w:szCs w:val="20"/>
          <w:color w:val="auto"/>
        </w:rPr>
      </w:pPr>
      <w:r>
        <w:rPr>
          <w:rFonts w:ascii="Times New Roman" w:cs="Times New Roman" w:eastAsia="Times New Roman" w:hAnsi="Times New Roman"/>
          <w:sz w:val="18"/>
          <w:szCs w:val="18"/>
          <w:color w:val="auto"/>
        </w:rPr>
        <w:t>During the last five years, none of the directors of Parent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Merger Sub</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Merger Sub has three directors as set forth in the following table and does not have any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0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 of the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w:t>
            </w: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15/F, Prosperity Millennia ​ ​</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Co-Founder</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Hong Kong S.A.R. ​</w:t>
            </w:r>
          </w:p>
        </w:tc>
        <w:tc>
          <w:tcPr>
            <w:tcW w:w="0" w:type="dxa"/>
            <w:vAlign w:val="bottom"/>
          </w:tcPr>
          <w:p>
            <w:pPr>
              <w:spacing w:after="0"/>
              <w:rPr>
                <w:sz w:val="1"/>
                <w:szCs w:val="1"/>
                <w:color w:val="auto"/>
              </w:rPr>
            </w:pPr>
          </w:p>
        </w:tc>
      </w:tr>
      <w:tr>
        <w:trPr>
          <w:trHeight w:val="219"/>
        </w:trPr>
        <w:tc>
          <w:tcPr>
            <w:tcW w:w="2020" w:type="dxa"/>
            <w:vAlign w:val="bottom"/>
          </w:tcPr>
          <w:p>
            <w:pPr>
              <w:spacing w:after="0" w:line="220" w:lineRule="exact"/>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Kin Ho Philip Chan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Unit 5D, 5/F, Hang</w:t>
            </w:r>
          </w:p>
        </w:tc>
        <w:tc>
          <w:tcPr>
            <w:tcW w:w="3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Chief Executive Officer of​ ​ Hong Kong S.A.R. ​</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Cheong Factory Building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Worldgate Global Logistic</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 1 Wing Ming Street</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19" w:hanging="360"/>
        <w:spacing w:after="0" w:line="266" w:lineRule="auto"/>
        <w:tabs>
          <w:tab w:leader="none" w:pos="16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Chan’s material occupations, positions, offices or employment during the past five years, please also see “Annex E — Directors and Executive Officers of Each Filing Person — 2. Directors and Executive Officers of Parent.”</w:t>
      </w:r>
    </w:p>
    <w:p>
      <w:pPr>
        <w:spacing w:after="0" w:line="10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none of the directors of Merger Sub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88" w:lineRule="exact"/>
        <w:rPr>
          <w:sz w:val="20"/>
          <w:szCs w:val="20"/>
          <w:color w:val="auto"/>
        </w:rPr>
      </w:pPr>
    </w:p>
    <w:p>
      <w:pPr>
        <w:ind w:left="1620" w:right="2899" w:hanging="360"/>
        <w:spacing w:after="0" w:line="456" w:lineRule="auto"/>
        <w:tabs>
          <w:tab w:leader="none" w:pos="162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of Other Filing Persons of Buyer Group </w:t>
      </w:r>
      <w:r>
        <w:rPr>
          <w:rFonts w:ascii="Times New Roman" w:cs="Times New Roman" w:eastAsia="Times New Roman" w:hAnsi="Times New Roman"/>
          <w:sz w:val="18"/>
          <w:szCs w:val="18"/>
          <w:i w:val="1"/>
          <w:iCs w:val="1"/>
          <w:color w:val="auto"/>
        </w:rPr>
        <w:t>Bubinga Holdings Limited</w:t>
      </w: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Bubinga Holdings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5"/>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Wing Hong Sammy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Co-Founder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20" w:type="dxa"/>
            <w:vAlign w:val="bottom"/>
          </w:tcPr>
          <w:p>
            <w:pPr>
              <w:spacing w:after="0" w:line="220" w:lineRule="exact"/>
              <w:rPr>
                <w:sz w:val="20"/>
                <w:szCs w:val="20"/>
                <w:color w:val="auto"/>
              </w:rPr>
            </w:pPr>
            <w:r>
              <w:rPr>
                <w:rFonts w:ascii="Times New Roman" w:cs="Times New Roman" w:eastAsia="Times New Roman" w:hAnsi="Times New Roman"/>
                <w:sz w:val="18"/>
                <w:szCs w:val="18"/>
                <w:color w:val="auto"/>
              </w:rPr>
              <w:t xml:space="preserve">Hsieh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19" w:hanging="360"/>
        <w:spacing w:after="0" w:line="261" w:lineRule="auto"/>
        <w:tabs>
          <w:tab w:leader="none" w:pos="16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Hsieh is the sole director of Lignum Vitae Holdings Limited, which in turn is the sole corporate director of Buginga Holdings Limited. For Mr. Hsieh’s material occupations, positions, offices or employment during the past five years, please also see “Annex E — Directors and Executive Officers of Each Filing Person — 1. Directors and Executive Officers of the Company.”</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Bubinga Holdings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Capable Excel Limited</w:t>
      </w:r>
    </w:p>
    <w:p>
      <w:pPr>
        <w:spacing w:after="0" w:line="16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Capable Excel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Wong Siu Wa</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A, 8th Floor,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Winbase Centre,</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208 Queen’s Road</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Central,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Wong has been in his present occupation for the past five or more years.</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Capable Excel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Cheer Lead Limited</w:t>
      </w:r>
    </w:p>
    <w:p>
      <w:pPr>
        <w:spacing w:after="0" w:line="146"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Cheer Lead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4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   </w:t>
            </w:r>
            <w:r>
              <w:rPr>
                <w:rFonts w:ascii="Times New Roman" w:cs="Times New Roman" w:eastAsia="Times New Roman" w:hAnsi="Times New Roman"/>
                <w:sz w:val="24"/>
                <w:szCs w:val="24"/>
                <w:b w:val="1"/>
                <w:bCs w:val="1"/>
                <w:color w:val="auto"/>
                <w:vertAlign w:val="subscript"/>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Hui Tung Wai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3605, 36/F, Cheung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of Infinity Global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079" w:hanging="360"/>
        <w:spacing w:after="0" w:line="282" w:lineRule="auto"/>
        <w:tabs>
          <w:tab w:leader="none" w:pos="16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Hui has served in his present positions for the past five or more years. Both Infinity Global Fund SPC and Infinity Capital (Cayman Islands) Limited are investment holding companies.</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Cheer Lead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Creative Big Limited</w:t>
      </w:r>
    </w:p>
    <w:p>
      <w:pPr>
        <w:spacing w:after="0" w:line="160"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Creative Big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Chiu Sin Nang Kenny</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Flat 23B, Block 6, Hanley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Independent Non-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Villa, 22 Yau Lai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of</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Yau Kom Tau, Tsuen Wan,</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Coolpad Group 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419" w:hanging="360"/>
        <w:spacing w:after="0" w:line="282" w:lineRule="auto"/>
        <w:tabs>
          <w:tab w:leader="none" w:pos="1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Chiu is an Independent Non-executive Director (“INED”) of Coolpad Group Limited, a Hong Kong listed Chinese telecommunications equipment company, since December 2021. During the past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five years, he also served on the boards of other Hong Kong listed companies as an INED, including</w:t>
      </w:r>
    </w:p>
    <w:p>
      <w:pPr>
        <w:spacing w:after="0" w:line="27" w:lineRule="exact"/>
        <w:rPr>
          <w:sz w:val="20"/>
          <w:szCs w:val="20"/>
          <w:color w:val="auto"/>
        </w:rPr>
      </w:pPr>
    </w:p>
    <w:p>
      <w:pPr>
        <w:ind w:left="1620" w:right="459"/>
        <w:spacing w:after="0"/>
        <w:tabs>
          <w:tab w:leader="none" w:pos="184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Keyne Limited, a Chinese property and hotel developer, from June 2015 to July 2022, (ii) Sincere Watch (Hong Kong) Limited, which sells luxury third-party-branded watches, timepieces and accessories, from December 2016 to May 2023, (iii) Kingston Financial Group Limited, which provides financial services including securities and futures trading, corporate finance and asset management, from August 2019 to February 2023, and (iv) Affluent Partners Holdings Limited, a wholesale distributor of pearls and jewelry products, from September 2020 to May 2023. Mr. Chiu also served as the Executive Director of Kin Shing Holdings Limited, a Hong Kong listed company that provides residential and commercial construction related engineering services, from May 2020 to May 2023.</w:t>
      </w:r>
    </w:p>
    <w:p>
      <w:pPr>
        <w:spacing w:after="0" w:line="32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Creative Big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Huge Superpower Limited</w:t>
      </w:r>
    </w:p>
    <w:p>
      <w:pPr>
        <w:spacing w:after="0" w:line="16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Huge Superpower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Deng Yazhi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33B, 24/F, Block 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Mai Luen Ind. Building, 23-</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31 King Yip Street, Kwai</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Chung,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Deng has been in his present occupation for the past five or more years.</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During the last five years, the sole director of Huge Superpower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Igomax Inc.</w:t>
      </w:r>
    </w:p>
    <w:p>
      <w:pPr>
        <w:spacing w:after="0" w:line="16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Igomax Inc. has one director as set forth in the following table and does not have any executive officers.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 Chief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Co-</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Founder of the Company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419" w:hanging="360"/>
        <w:spacing w:after="0" w:line="266" w:lineRule="auto"/>
        <w:tabs>
          <w:tab w:leader="none" w:pos="16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9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the last five years, the sole director of Igomax Inc. has not been (a) convicted in a criminal proceeding (excluding traffic violations and similar misdemeanors) or (b) a party to any judicial or administrative proceeding (except for matters that were dismissed without sanction or settlement) that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1" w:lineRule="auto"/>
        <w:rPr>
          <w:sz w:val="20"/>
          <w:szCs w:val="20"/>
          <w:color w:val="auto"/>
        </w:rPr>
      </w:pPr>
      <w:r>
        <w:rPr>
          <w:rFonts w:ascii="Times New Roman" w:cs="Times New Roman" w:eastAsia="Times New Roman" w:hAnsi="Times New Roman"/>
          <w:sz w:val="18"/>
          <w:szCs w:val="18"/>
          <w:color w:val="auto"/>
        </w:rPr>
        <w:t>resulted in a judgment or decree or final order enjoining the person from future violations of, or prohibiting activities subject to, federal or state securities laws, or a finding of any violation of federal or state securities laws.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Infinity Global Fund SPC</w:t>
      </w:r>
    </w:p>
    <w:p>
      <w:pPr>
        <w:spacing w:after="0" w:line="160"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As of the date of this Proxy Statement, Infinity Global Fund SPC has three directors as set forth in the following table and does not have any executive officers.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5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    </w:t>
            </w:r>
            <w:r>
              <w:rPr>
                <w:rFonts w:ascii="Times New Roman" w:cs="Times New Roman" w:eastAsia="Times New Roman" w:hAnsi="Times New Roman"/>
                <w:sz w:val="24"/>
                <w:szCs w:val="24"/>
                <w:b w:val="1"/>
                <w:bCs w:val="1"/>
                <w:color w:val="auto"/>
                <w:vertAlign w:val="subscript"/>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6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Hui Tung Wai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3605, 36/F, Cheung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of Infinity Global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Ye Ning</w:t>
            </w:r>
            <w:r>
              <w:rPr>
                <w:rFonts w:ascii="Times New Roman" w:cs="Times New Roman" w:eastAsia="Times New Roman" w:hAnsi="Times New Roman"/>
                <w:sz w:val="23"/>
                <w:szCs w:val="23"/>
                <w:color w:val="auto"/>
                <w:vertAlign w:val="superscript"/>
              </w:rPr>
              <w:t>(2)</w:t>
            </w:r>
          </w:p>
        </w:tc>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Room 3605, 36/F, Cheung ​ ​ Director of Infinity Global ​ ​ 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Zhao Xuemin</w:t>
            </w:r>
            <w:r>
              <w:rPr>
                <w:rFonts w:ascii="Times New Roman" w:cs="Times New Roman" w:eastAsia="Times New Roman" w:hAnsi="Times New Roman"/>
                <w:sz w:val="23"/>
                <w:szCs w:val="23"/>
                <w:color w:val="auto"/>
                <w:vertAlign w:val="superscript"/>
              </w:rPr>
              <w:t>(3)</w:t>
            </w:r>
          </w:p>
        </w:tc>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Room 3605, 36/F, Cheung ​ ​ Director of Infinity Global ​ ​ 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519" w:hanging="360"/>
        <w:spacing w:after="0" w:line="266" w:lineRule="auto"/>
        <w:tabs>
          <w:tab w:leader="none" w:pos="1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Hui’s material occupations, positions, offices or employment during the past five years, please also see “Annex E — Directors and Executive Officers of Each Filing Person — 4. Directors and Executive Officers of Other Filing Persons of Buyer Group — Cheer Lead Limited.”</w:t>
      </w:r>
    </w:p>
    <w:p>
      <w:pPr>
        <w:spacing w:after="0" w:line="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Ye has served in his present positions for the past five or more years.</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Zhao has served in his present position for the past five or more years.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During the last five years, none of the directors of Infinity Global Fund SPC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Integrated Asset Management (Asia) Ltd.</w:t>
      </w:r>
    </w:p>
    <w:p>
      <w:pPr>
        <w:spacing w:after="0" w:line="16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Integrated Asset Management (Asia) Ltd. has one director as set forth in the following table and does not have any executive officers.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Yam Tak Cheung</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21/F, 88 Gloucester Road,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China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Wan Chai,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Yam has been in his present occupation for the past five or more years.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last five years, the sole director of Integrated Asset Management (Asia) Ltd. has not been</w:t>
      </w:r>
    </w:p>
    <w:p>
      <w:pPr>
        <w:spacing w:after="0" w:line="27" w:lineRule="exact"/>
        <w:rPr>
          <w:sz w:val="20"/>
          <w:szCs w:val="20"/>
          <w:color w:val="auto"/>
        </w:rPr>
      </w:pPr>
    </w:p>
    <w:p>
      <w:pPr>
        <w:ind w:left="1260" w:right="419"/>
        <w:spacing w:after="0" w:line="264" w:lineRule="auto"/>
        <w:tabs>
          <w:tab w:leader="none" w:pos="15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Marine Central Limited</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Marine Central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2B, 17/F., Chung Kiu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Co-founder of Success Jumbo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Bldg., No. 47-51</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Group Limited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Shantung Street, Mongkok,</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939" w:hanging="360"/>
        <w:spacing w:after="0" w:line="282" w:lineRule="auto"/>
        <w:tabs>
          <w:tab w:leader="none" w:pos="16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has been in his present position for the past five or more years. Success Jumbo Group Limited provides IT-related consulting and services.</w:t>
      </w:r>
    </w:p>
    <w:p>
      <w:pPr>
        <w:spacing w:after="0" w:line="9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Marine Central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Likeable Limited</w:t>
      </w:r>
    </w:p>
    <w:p>
      <w:pPr>
        <w:spacing w:after="0" w:line="14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Likeable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6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Hin Wah Desmond Chu</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10/F, Guangdong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Director of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Tower,</w:t>
            </w: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Smartgo International Ltd.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148 Connaught Road</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Central, Hong Kong</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jc w:val="center"/>
        <w:ind w:right="-120"/>
        <w:spacing w:after="0"/>
        <w:tabs>
          <w:tab w:leader="none" w:pos="120" w:val="left"/>
        </w:tabs>
        <w:rPr>
          <w:sz w:val="20"/>
          <w:szCs w:val="20"/>
          <w:color w:val="auto"/>
        </w:rPr>
      </w:pPr>
      <w:r>
        <w:rPr>
          <w:rFonts w:ascii="Times New Roman" w:cs="Times New Roman" w:eastAsia="Times New Roman" w:hAnsi="Times New Roman"/>
          <w:sz w:val="18"/>
          <w:szCs w:val="18"/>
          <w:color w:val="auto"/>
        </w:rPr>
        <w:t>(1)</w:t>
        <w:tab/>
        <w:t>Mr. Hin Wah Desmond Chu has been in his present occupation for the past five or more years.</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Rise Chain Investment Limited</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Rise Chain Investment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2B, 17/F., Chung Kiu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Co-founder of Success Jumbo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Bldg., No. 47-51</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Group Limited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Shantung Street, Mongkok,</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939" w:hanging="360"/>
        <w:spacing w:after="0" w:line="282" w:lineRule="auto"/>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has been in his present position for the past five or more years. Success Jumbo Group Limited provides IT-related consulting and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last five years, the sole director of Rise Chain Investment Limited has not been</w:t>
      </w:r>
    </w:p>
    <w:p>
      <w:pPr>
        <w:spacing w:after="0" w:line="27" w:lineRule="exact"/>
        <w:rPr>
          <w:sz w:val="20"/>
          <w:szCs w:val="20"/>
          <w:color w:val="auto"/>
        </w:rPr>
      </w:pPr>
    </w:p>
    <w:p>
      <w:pPr>
        <w:ind w:left="1260" w:right="419"/>
        <w:spacing w:after="0" w:line="253" w:lineRule="auto"/>
        <w:tabs>
          <w:tab w:leader="none" w:pos="151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6537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6831965" cy="86537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FORM OF ADS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6112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6831965" cy="86112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13E-3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the Issuer and Name of Person Filing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 Transaction Value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2240" w:type="dxa"/>
            <w:vAlign w:val="bottom"/>
            <w:tcBorders>
              <w:top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Fee</w:t>
            </w:r>
          </w:p>
        </w:tc>
        <w:tc>
          <w:tcPr>
            <w:tcW w:w="224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40" w:type="dxa"/>
            <w:vAlign w:val="bottom"/>
            <w:tcBorders>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Rate</w:t>
            </w:r>
          </w:p>
        </w:tc>
        <w:tc>
          <w:tcPr>
            <w:tcW w:w="224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Filing Fee</w:t>
            </w:r>
          </w:p>
        </w:tc>
      </w:tr>
      <w:tr>
        <w:trPr>
          <w:trHeight w:val="210"/>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$0.00014760 (2)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$21,389,734 (1)</w:t>
            </w:r>
          </w:p>
        </w:tc>
        <w:tc>
          <w:tcPr>
            <w:tcW w:w="22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$0.00014760 (2)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$3157.12 (2)</w:t>
            </w:r>
          </w:p>
        </w:tc>
      </w:tr>
      <w:tr>
        <w:trPr>
          <w:trHeight w:val="20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$21,389,734 </w:t>
            </w:r>
            <w:r>
              <w:rPr>
                <w:rFonts w:ascii="Times New Roman" w:cs="Times New Roman" w:eastAsia="Times New Roman" w:hAnsi="Times New Roman"/>
                <w:sz w:val="18"/>
                <w:szCs w:val="18"/>
                <w:color w:val="auto"/>
              </w:rPr>
              <w:t>(1)</w:t>
            </w:r>
          </w:p>
        </w:tc>
        <w:tc>
          <w:tcPr>
            <w:tcW w:w="22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$0.00014760 (2)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$3157.12 (2)</w:t>
            </w:r>
          </w:p>
        </w:tc>
      </w:tr>
      <w:tr>
        <w:trPr>
          <w:trHeight w:val="210"/>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$3157.12</w:t>
            </w:r>
          </w:p>
        </w:tc>
      </w:tr>
      <w:tr>
        <w:trPr>
          <w:trHeight w:val="210"/>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340" w:right="120" w:hanging="332"/>
        <w:spacing w:after="0" w:line="253" w:lineRule="auto"/>
        <w:tabs>
          <w:tab w:leader="none" w:pos="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the purpose of determining the filing fee in accordance with Rule 0-11(b)(1) under the Securities Exchange Act of 1934, as amended (the “Exchange Act”). The filing fee is calculated based on the sum of (a) the product of 26,077,932 issued and outstanding Shares (including Shares represented by ADSs) subject to the transaction multiplied by the proposed per share merger consideration of US$0.816 (the “Per Share Merger Consideration”), (b) the product of 7,165 ADSs underlying the outstanding Vested Company Options subject to the transaction (and when the exercise price of any such Vested Company Option is lower than the US$4.08 Per ADS Merger Consideration) multiplied by US$2.535 per outstanding Vested Company Option (which is the difference between the US$4.08 Per ADS Merger Consideration and the weighted average exercise price of US$1.545 per ADS of such Vested Company Options), and (c) the product of 47,645 ADSs underlying the outstanding Vested Company Options subject to the transaction (and when the exercise price of any such Vested Company Option is equal to or greater than the Per ADS Merger Consideration) multiplied by US$1.9305 (which is the cash amount entitled to such Vested Company Options) ( (a), (b), and (c) together, the “Transaction Valuation”).</w:t>
      </w:r>
    </w:p>
    <w:p>
      <w:pPr>
        <w:spacing w:after="0" w:line="194"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calculated in accordance with Rule 0-11 under the Exchange Act , was calculated by multiplying the Transaction Valuation by 0.00014760.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8B867D3"/>
    <w:multiLevelType w:val="hybridMultilevel"/>
    <w:lvl w:ilvl="0">
      <w:lvlJc w:val="left"/>
      <w:lvlText w:val="*"/>
      <w:numFmt w:val="bullet"/>
      <w:start w:val="1"/>
    </w:lvl>
  </w:abstractNum>
  <w:abstractNum w:abstractNumId="1">
    <w:nsid w:val="3F7F5DD9"/>
    <w:multiLevelType w:val="hybridMultilevel"/>
    <w:lvl w:ilvl="0">
      <w:lvlJc w:val="left"/>
      <w:lvlText w:val="(%1)"/>
      <w:numFmt w:val="lowerLetter"/>
      <w:start w:val="1"/>
    </w:lvl>
    <w:lvl w:ilvl="1">
      <w:lvlJc w:val="left"/>
      <w:lvlText w:val="(%2)"/>
      <w:numFmt w:val="lowerRoman"/>
      <w:start w:val="4"/>
    </w:lvl>
  </w:abstractNum>
  <w:abstractNum w:abstractNumId="2">
    <w:nsid w:val="2AE05A34"/>
    <w:multiLevelType w:val="hybridMultilevel"/>
    <w:lvl w:ilvl="0">
      <w:lvlJc w:val="left"/>
      <w:lvlText w:val="%1"/>
      <w:numFmt w:val="lowerLetter"/>
      <w:start w:val="1"/>
    </w:lvl>
    <w:lvl w:ilvl="1">
      <w:lvlJc w:val="left"/>
      <w:lvlText w:val="(%2)"/>
      <w:numFmt w:val="lowerRoman"/>
      <w:start w:val="10"/>
    </w:lvl>
  </w:abstractNum>
  <w:abstractNum w:abstractNumId="3">
    <w:nsid w:val="32794FF7"/>
    <w:multiLevelType w:val="hybridMultilevel"/>
    <w:lvl w:ilvl="0">
      <w:lvlJc w:val="left"/>
      <w:lvlText w:val="%1"/>
      <w:numFmt w:val="lowerLetter"/>
      <w:start w:val="1"/>
    </w:lvl>
    <w:lvl w:ilvl="1">
      <w:lvlJc w:val="left"/>
      <w:lvlText w:val="(%2)"/>
      <w:numFmt w:val="lowerRoman"/>
      <w:start w:val="12"/>
    </w:lvl>
  </w:abstractNum>
  <w:abstractNum w:abstractNumId="4">
    <w:nsid w:val="5454945E"/>
    <w:multiLevelType w:val="hybridMultilevel"/>
    <w:lvl w:ilvl="0">
      <w:lvlJc w:val="left"/>
      <w:lvlText w:val="(%1)"/>
      <w:numFmt w:val="lowerLetter"/>
      <w:start w:val="61"/>
    </w:lvl>
  </w:abstractNum>
  <w:abstractNum w:abstractNumId="5">
    <w:nsid w:val="4DEFDFA0"/>
    <w:multiLevelType w:val="hybridMultilevel"/>
    <w:lvl w:ilvl="0">
      <w:lvlJc w:val="left"/>
      <w:lvlText w:val="(%1)"/>
      <w:numFmt w:val="lowerLetter"/>
      <w:start w:val="3"/>
    </w:lvl>
  </w:abstractNum>
  <w:abstractNum w:abstractNumId="6">
    <w:nsid w:val="2123D5F2"/>
    <w:multiLevelType w:val="hybridMultilevel"/>
    <w:lvl w:ilvl="0">
      <w:lvlJc w:val="left"/>
      <w:lvlText w:val="•"/>
      <w:numFmt w:val="bullet"/>
      <w:start w:val="1"/>
    </w:lvl>
  </w:abstractNum>
  <w:abstractNum w:abstractNumId="7">
    <w:nsid w:val="135B8110"/>
    <w:multiLevelType w:val="hybridMultilevel"/>
    <w:lvl w:ilvl="0">
      <w:lvlJc w:val="left"/>
      <w:lvlText w:val="(%1)"/>
      <w:numFmt w:val="lowerLetter"/>
      <w:start w:val="1"/>
    </w:lvl>
    <w:lvl w:ilvl="1">
      <w:lvlJc w:val="left"/>
      <w:lvlText w:val="•"/>
      <w:numFmt w:val="bullet"/>
      <w:start w:val="1"/>
    </w:lvl>
  </w:abstractNum>
  <w:abstractNum w:abstractNumId="8">
    <w:nsid w:val="94927A8"/>
    <w:multiLevelType w:val="hybridMultilevel"/>
    <w:lvl w:ilvl="0">
      <w:lvlJc w:val="left"/>
      <w:lvlText w:val="(%1)"/>
      <w:numFmt w:val="lowerLetter"/>
      <w:start w:val="1"/>
    </w:lvl>
    <w:lvl w:ilvl="1">
      <w:lvlJc w:val="left"/>
      <w:lvlText w:val="•"/>
      <w:numFmt w:val="bullet"/>
      <w:start w:val="1"/>
    </w:lvl>
  </w:abstractNum>
  <w:abstractNum w:abstractNumId="9">
    <w:nsid w:val="DCDF8F6"/>
    <w:multiLevelType w:val="hybridMultilevel"/>
    <w:lvl w:ilvl="0">
      <w:lvlJc w:val="left"/>
      <w:lvlText w:val="(%1)"/>
      <w:numFmt w:val="lowerLetter"/>
      <w:start w:val="1"/>
    </w:lvl>
    <w:lvl w:ilvl="1">
      <w:lvlJc w:val="left"/>
      <w:lvlText w:val="•"/>
      <w:numFmt w:val="bullet"/>
      <w:start w:val="1"/>
    </w:lvl>
  </w:abstractNum>
  <w:abstractNum w:abstractNumId="10">
    <w:nsid w:val="52D7B105"/>
    <w:multiLevelType w:val="hybridMultilevel"/>
    <w:lvl w:ilvl="0">
      <w:lvlJc w:val="left"/>
      <w:lvlText w:val="(%1)"/>
      <w:numFmt w:val="lowerLetter"/>
      <w:start w:val="3"/>
    </w:lvl>
    <w:lvl w:ilvl="1">
      <w:lvlJc w:val="left"/>
      <w:lvlText w:val="•"/>
      <w:numFmt w:val="bullet"/>
      <w:start w:val="1"/>
    </w:lvl>
  </w:abstractNum>
  <w:abstractNum w:abstractNumId="11">
    <w:nsid w:val="2E8A6394"/>
    <w:multiLevelType w:val="hybridMultilevel"/>
    <w:lvl w:ilvl="0">
      <w:lvlJc w:val="left"/>
      <w:lvlText w:val="(%1)"/>
      <w:numFmt w:val="lowerLetter"/>
      <w:start w:val="1"/>
    </w:lvl>
    <w:lvl w:ilvl="1">
      <w:lvlJc w:val="left"/>
      <w:lvlText w:val="•"/>
      <w:numFmt w:val="bullet"/>
      <w:start w:val="1"/>
    </w:lvl>
  </w:abstractNum>
  <w:abstractNum w:abstractNumId="12">
    <w:nsid w:val="24E60401"/>
    <w:multiLevelType w:val="hybridMultilevel"/>
    <w:lvl w:ilvl="0">
      <w:lvlJc w:val="left"/>
      <w:lvlText w:val="(%1)"/>
      <w:numFmt w:val="lowerLetter"/>
      <w:start w:val="2"/>
    </w:lvl>
    <w:lvl w:ilvl="1">
      <w:lvlJc w:val="left"/>
      <w:lvlText w:val="•"/>
      <w:numFmt w:val="bullet"/>
      <w:start w:val="1"/>
    </w:lvl>
  </w:abstractNum>
  <w:abstractNum w:abstractNumId="13">
    <w:nsid w:val="2A6AD9BE"/>
    <w:multiLevelType w:val="hybridMultilevel"/>
    <w:lvl w:ilvl="0">
      <w:lvlJc w:val="left"/>
      <w:lvlText w:val="(%1)"/>
      <w:numFmt w:val="lowerLetter"/>
      <w:start w:val="5"/>
    </w:lvl>
    <w:lvl w:ilvl="1">
      <w:lvlJc w:val="left"/>
      <w:lvlText w:val="•"/>
      <w:numFmt w:val="bullet"/>
      <w:start w:val="1"/>
    </w:lvl>
  </w:abstractNum>
  <w:abstractNum w:abstractNumId="14">
    <w:nsid w:val="BAAC1B4"/>
    <w:multiLevelType w:val="hybridMultilevel"/>
    <w:lvl w:ilvl="0">
      <w:lvlJc w:val="left"/>
      <w:lvlText w:val="(%1)"/>
      <w:numFmt w:val="lowerLetter"/>
      <w:start w:val="2"/>
    </w:lvl>
    <w:lvl w:ilvl="1">
      <w:lvlJc w:val="left"/>
      <w:lvlText w:val="•"/>
      <w:numFmt w:val="bullet"/>
      <w:start w:val="1"/>
    </w:lvl>
  </w:abstractNum>
  <w:abstractNum w:abstractNumId="15">
    <w:nsid w:val="36B2ACBC"/>
    <w:multiLevelType w:val="hybridMultilevel"/>
    <w:lvl w:ilvl="0">
      <w:lvlJc w:val="left"/>
      <w:lvlText w:val="•"/>
      <w:numFmt w:val="bullet"/>
      <w:start w:val="1"/>
    </w:lvl>
  </w:abstractNum>
  <w:abstractNum w:abstractNumId="16">
    <w:nsid w:val="779D8544"/>
    <w:multiLevelType w:val="hybridMultilevel"/>
    <w:lvl w:ilvl="0">
      <w:lvlJc w:val="left"/>
      <w:lvlText w:val="(%1)"/>
      <w:numFmt w:val="lowerLetter"/>
      <w:start w:val="1"/>
    </w:lvl>
    <w:lvl w:ilvl="1">
      <w:lvlJc w:val="left"/>
      <w:lvlText w:val="•"/>
      <w:numFmt w:val="bullet"/>
      <w:start w:val="1"/>
    </w:lvl>
  </w:abstractNum>
  <w:abstractNum w:abstractNumId="17">
    <w:nsid w:val="4AB26E78"/>
    <w:multiLevelType w:val="hybridMultilevel"/>
    <w:lvl w:ilvl="0">
      <w:lvlJc w:val="left"/>
      <w:lvlText w:val="(%1)"/>
      <w:numFmt w:val="lowerLetter"/>
      <w:start w:val="3"/>
    </w:lvl>
    <w:lvl w:ilvl="1">
      <w:lvlJc w:val="left"/>
      <w:lvlText w:val="•"/>
      <w:numFmt w:val="bullet"/>
      <w:start w:val="1"/>
    </w:lvl>
  </w:abstractNum>
  <w:abstractNum w:abstractNumId="18">
    <w:nsid w:val="21FAA2FA"/>
    <w:multiLevelType w:val="hybridMultilevel"/>
    <w:lvl w:ilvl="0">
      <w:lvlJc w:val="left"/>
      <w:lvlText w:val="(%1)"/>
      <w:numFmt w:val="lowerLetter"/>
      <w:start w:val="2"/>
    </w:lvl>
    <w:lvl w:ilvl="1">
      <w:lvlJc w:val="left"/>
      <w:lvlText w:val="•"/>
      <w:numFmt w:val="bullet"/>
      <w:start w:val="1"/>
    </w:lvl>
  </w:abstractNum>
  <w:abstractNum w:abstractNumId="19">
    <w:nsid w:val="5451CF49"/>
    <w:multiLevelType w:val="hybridMultilevel"/>
    <w:lvl w:ilvl="0">
      <w:lvlJc w:val="left"/>
      <w:lvlText w:val="(%1)"/>
      <w:numFmt w:val="lowerLetter"/>
      <w:start w:val="4"/>
    </w:lvl>
    <w:lvl w:ilvl="1">
      <w:lvlJc w:val="left"/>
      <w:lvlText w:val="•"/>
      <w:numFmt w:val="bullet"/>
      <w:start w:val="1"/>
    </w:lvl>
  </w:abstractNum>
  <w:abstractNum w:abstractNumId="20">
    <w:nsid w:val="6181EF69"/>
    <w:multiLevelType w:val="hybridMultilevel"/>
    <w:lvl w:ilvl="0">
      <w:lvlJc w:val="left"/>
      <w:lvlText w:val="(%1)"/>
      <w:numFmt w:val="lowerLetter"/>
      <w:start w:val="1"/>
    </w:lvl>
    <w:lvl w:ilvl="1">
      <w:lvlJc w:val="left"/>
      <w:lvlText w:val="•"/>
      <w:numFmt w:val="bullet"/>
      <w:start w:val="1"/>
    </w:lvl>
  </w:abstractNum>
  <w:abstractNum w:abstractNumId="21">
    <w:nsid w:val="3E6400E6"/>
    <w:multiLevelType w:val="hybridMultilevel"/>
    <w:lvl w:ilvl="0">
      <w:lvlJc w:val="left"/>
      <w:lvlText w:val="(%1)"/>
      <w:numFmt w:val="lowerLetter"/>
      <w:start w:val="1"/>
    </w:lvl>
    <w:lvl w:ilvl="1">
      <w:lvlJc w:val="left"/>
      <w:lvlText w:val="•"/>
      <w:numFmt w:val="bullet"/>
      <w:start w:val="1"/>
    </w:lvl>
  </w:abstractNum>
  <w:abstractNum w:abstractNumId="22">
    <w:nsid w:val="14217E23"/>
    <w:multiLevelType w:val="hybridMultilevel"/>
    <w:lvl w:ilvl="0">
      <w:lvlJc w:val="left"/>
      <w:lvlText w:val="(%1)"/>
      <w:numFmt w:val="lowerLetter"/>
      <w:start w:val="2"/>
    </w:lvl>
    <w:lvl w:ilvl="1">
      <w:lvlJc w:val="left"/>
      <w:lvlText w:val="•"/>
      <w:numFmt w:val="bullet"/>
      <w:start w:val="1"/>
    </w:lvl>
  </w:abstractNum>
  <w:abstractNum w:abstractNumId="23">
    <w:nsid w:val="710757D0"/>
    <w:multiLevelType w:val="hybridMultilevel"/>
    <w:lvl w:ilvl="0">
      <w:lvlJc w:val="left"/>
      <w:lvlText w:val="(%1)"/>
      <w:numFmt w:val="lowerLetter"/>
      <w:start w:val="1"/>
    </w:lvl>
    <w:lvl w:ilvl="1">
      <w:lvlJc w:val="left"/>
      <w:lvlText w:val="•"/>
      <w:numFmt w:val="bullet"/>
      <w:start w:val="1"/>
    </w:lvl>
  </w:abstractNum>
  <w:abstractNum w:abstractNumId="24">
    <w:nsid w:val="5015CD1A"/>
    <w:multiLevelType w:val="hybridMultilevel"/>
    <w:lvl w:ilvl="0">
      <w:lvlJc w:val="left"/>
      <w:lvlText w:val="(%1)"/>
      <w:numFmt w:val="lowerLetter"/>
      <w:start w:val="4"/>
    </w:lvl>
    <w:lvl w:ilvl="1">
      <w:lvlJc w:val="left"/>
      <w:lvlText w:val="•"/>
      <w:numFmt w:val="bullet"/>
      <w:start w:val="1"/>
    </w:lvl>
  </w:abstractNum>
  <w:abstractNum w:abstractNumId="25">
    <w:nsid w:val="424479DA"/>
    <w:multiLevelType w:val="hybridMultilevel"/>
    <w:lvl w:ilvl="0">
      <w:lvlJc w:val="left"/>
      <w:lvlText w:val="•"/>
      <w:numFmt w:val="bullet"/>
      <w:start w:val="1"/>
    </w:lvl>
  </w:abstractNum>
  <w:abstractNum w:abstractNumId="26">
    <w:nsid w:val="1A9A9E69"/>
    <w:multiLevelType w:val="hybridMultilevel"/>
    <w:lvl w:ilvl="0">
      <w:lvlJc w:val="left"/>
      <w:lvlText w:val="(%1)"/>
      <w:numFmt w:val="lowerLetter"/>
      <w:start w:val="1"/>
    </w:lvl>
    <w:lvl w:ilvl="1">
      <w:lvlJc w:val="left"/>
      <w:lvlText w:val="•"/>
      <w:numFmt w:val="bullet"/>
      <w:start w:val="1"/>
    </w:lvl>
  </w:abstractNum>
  <w:abstractNum w:abstractNumId="27">
    <w:nsid w:val="475E256A"/>
    <w:multiLevelType w:val="hybridMultilevel"/>
    <w:lvl w:ilvl="0">
      <w:lvlJc w:val="left"/>
      <w:lvlText w:val="(%1)"/>
      <w:numFmt w:val="lowerLetter"/>
      <w:start w:val="1"/>
    </w:lvl>
    <w:lvl w:ilvl="1">
      <w:lvlJc w:val="left"/>
      <w:lvlText w:val="•"/>
      <w:numFmt w:val="bullet"/>
      <w:start w:val="1"/>
    </w:lvl>
  </w:abstractNum>
  <w:abstractNum w:abstractNumId="28">
    <w:nsid w:val="368DB37E"/>
    <w:multiLevelType w:val="hybridMultilevel"/>
    <w:lvl w:ilvl="0">
      <w:lvlJc w:val="left"/>
      <w:lvlText w:val="(%1)"/>
      <w:numFmt w:val="lowerLetter"/>
      <w:start w:val="3"/>
    </w:lvl>
  </w:abstractNum>
  <w:abstractNum w:abstractNumId="29">
    <w:nsid w:val="6A3B714C"/>
    <w:multiLevelType w:val="hybridMultilevel"/>
    <w:lvl w:ilvl="0">
      <w:lvlJc w:val="left"/>
      <w:lvlText w:val="*"/>
      <w:numFmt w:val="bullet"/>
      <w:start w:val="1"/>
    </w:lvl>
  </w:abstractNum>
  <w:abstractNum w:abstractNumId="30">
    <w:nsid w:val="327B517E"/>
    <w:multiLevelType w:val="hybridMultilevel"/>
    <w:lvl w:ilvl="0">
      <w:lvlJc w:val="left"/>
      <w:lvlText w:val=" "/>
      <w:numFmt w:val="bullet"/>
      <w:start w:val="1"/>
    </w:lvl>
  </w:abstractNum>
  <w:abstractNum w:abstractNumId="31">
    <w:nsid w:val="1F461B51"/>
    <w:multiLevelType w:val="hybridMultilevel"/>
    <w:lvl w:ilvl="0">
      <w:lvlJc w:val="left"/>
      <w:lvlText w:val="(%1)"/>
      <w:numFmt w:val="lowerRoman"/>
      <w:start w:val="1"/>
    </w:lvl>
  </w:abstractNum>
  <w:abstractNum w:abstractNumId="32">
    <w:nsid w:val="29BACF25"/>
    <w:multiLevelType w:val="hybridMultilevel"/>
    <w:lvl w:ilvl="0">
      <w:lvlJc w:val="left"/>
      <w:lvlText w:val="(%1)"/>
      <w:numFmt w:val="lowerRoman"/>
      <w:start w:val="6"/>
    </w:lvl>
  </w:abstractNum>
  <w:abstractNum w:abstractNumId="33">
    <w:nsid w:val="5D5BABB3"/>
    <w:multiLevelType w:val="hybridMultilevel"/>
    <w:lvl w:ilvl="0">
      <w:lvlJc w:val="left"/>
      <w:lvlText w:val="(%1)"/>
      <w:numFmt w:val="lowerRoman"/>
      <w:start w:val="9"/>
    </w:lvl>
  </w:abstractNum>
  <w:abstractNum w:abstractNumId="34">
    <w:nsid w:val="51BF6B48"/>
    <w:multiLevelType w:val="hybridMultilevel"/>
    <w:lvl w:ilvl="0">
      <w:lvlJc w:val="left"/>
      <w:lvlText w:val="(%1)"/>
      <w:numFmt w:val="lowerRoman"/>
      <w:start w:val="20"/>
    </w:lvl>
  </w:abstractNum>
  <w:abstractNum w:abstractNumId="35">
    <w:nsid w:val="7E0F6384"/>
    <w:multiLevelType w:val="hybridMultilevel"/>
    <w:lvl w:ilvl="0">
      <w:lvlJc w:val="left"/>
      <w:lvlText w:val="(%1)"/>
      <w:numFmt w:val="lowerLetter"/>
      <w:start w:val="1"/>
    </w:lvl>
  </w:abstractNum>
  <w:abstractNum w:abstractNumId="36">
    <w:nsid w:val="2B4B8B53"/>
    <w:multiLevelType w:val="hybridMultilevel"/>
    <w:lvl w:ilvl="0">
      <w:lvlJc w:val="left"/>
      <w:lvlText w:val=" "/>
      <w:numFmt w:val="bullet"/>
      <w:start w:val="1"/>
    </w:lvl>
  </w:abstractNum>
  <w:abstractNum w:abstractNumId="37">
    <w:nsid w:val="72E3413A"/>
    <w:multiLevelType w:val="hybridMultilevel"/>
    <w:lvl w:ilvl="0">
      <w:lvlJc w:val="left"/>
      <w:lvlText w:val=" "/>
      <w:numFmt w:val="bullet"/>
      <w:start w:val="1"/>
    </w:lvl>
  </w:abstractNum>
  <w:abstractNum w:abstractNumId="38">
    <w:nsid w:val="116AE494"/>
    <w:multiLevelType w:val="hybridMultilevel"/>
    <w:lvl w:ilvl="0">
      <w:lvlJc w:val="left"/>
      <w:lvlText w:val=" "/>
      <w:numFmt w:val="bullet"/>
      <w:start w:val="1"/>
    </w:lvl>
  </w:abstractNum>
  <w:abstractNum w:abstractNumId="39">
    <w:nsid w:val="3494B2FB"/>
    <w:multiLevelType w:val="hybridMultilevel"/>
    <w:lvl w:ilvl="0">
      <w:lvlJc w:val="left"/>
      <w:lvlText w:val="%1."/>
      <w:numFmt w:val="decimal"/>
      <w:start w:val="1"/>
    </w:lvl>
  </w:abstractNum>
  <w:abstractNum w:abstractNumId="40">
    <w:nsid w:val="B13A31"/>
    <w:multiLevelType w:val="hybridMultilevel"/>
    <w:lvl w:ilvl="0">
      <w:lvlJc w:val="left"/>
      <w:lvlText w:val="%1."/>
      <w:numFmt w:val="decimal"/>
      <w:start w:val="6"/>
    </w:lvl>
  </w:abstractNum>
  <w:abstractNum w:abstractNumId="41">
    <w:nsid w:val="64429599"/>
    <w:multiLevelType w:val="hybridMultilevel"/>
    <w:lvl w:ilvl="0">
      <w:lvlJc w:val="left"/>
      <w:lvlText w:val=" "/>
      <w:numFmt w:val="bullet"/>
      <w:start w:val="1"/>
    </w:lvl>
  </w:abstractNum>
  <w:abstractNum w:abstractNumId="42">
    <w:nsid w:val="631F1690"/>
    <w:multiLevelType w:val="hybridMultilevel"/>
    <w:lvl w:ilvl="0">
      <w:lvlJc w:val="left"/>
      <w:lvlText w:val=" "/>
      <w:numFmt w:val="bullet"/>
      <w:start w:val="1"/>
    </w:lvl>
  </w:abstractNum>
  <w:abstractNum w:abstractNumId="43">
    <w:nsid w:val="25973E32"/>
    <w:multiLevelType w:val="hybridMultilevel"/>
    <w:lvl w:ilvl="0">
      <w:lvlJc w:val="left"/>
      <w:lvlText w:val="%1."/>
      <w:numFmt w:val="decimal"/>
      <w:start w:val="1"/>
    </w:lvl>
  </w:abstractNum>
  <w:abstractNum w:abstractNumId="44">
    <w:nsid w:val="EAD6F57"/>
    <w:multiLevelType w:val="hybridMultilevel"/>
    <w:lvl w:ilvl="0">
      <w:lvlJc w:val="left"/>
      <w:lvlText w:val="(%1)"/>
      <w:numFmt w:val="lowerLetter"/>
      <w:start w:val="1"/>
    </w:lvl>
  </w:abstractNum>
  <w:abstractNum w:abstractNumId="45">
    <w:nsid w:val="6EC9D844"/>
    <w:multiLevelType w:val="hybridMultilevel"/>
    <w:lvl w:ilvl="0">
      <w:lvlJc w:val="left"/>
      <w:lvlText w:val="(%1)"/>
      <w:numFmt w:val="lowerRoman"/>
      <w:start w:val="4"/>
    </w:lvl>
  </w:abstractNum>
  <w:abstractNum w:abstractNumId="46">
    <w:nsid w:val="5C49EAEE"/>
    <w:multiLevelType w:val="hybridMultilevel"/>
    <w:lvl w:ilvl="0">
      <w:lvlJc w:val="left"/>
      <w:lvlText w:val="(%1)"/>
      <w:numFmt w:val="lowerLetter"/>
      <w:start w:val="2"/>
    </w:lvl>
  </w:abstractNum>
  <w:abstractNum w:abstractNumId="47">
    <w:nsid w:val="64AF49B"/>
    <w:multiLevelType w:val="hybridMultilevel"/>
    <w:lvl w:ilvl="0">
      <w:lvlJc w:val="left"/>
      <w:lvlText w:val="•"/>
      <w:numFmt w:val="bullet"/>
      <w:start w:val="1"/>
    </w:lvl>
  </w:abstractNum>
  <w:abstractNum w:abstractNumId="48">
    <w:nsid w:val="397C46BC"/>
    <w:multiLevelType w:val="hybridMultilevel"/>
    <w:lvl w:ilvl="0">
      <w:lvlJc w:val="left"/>
      <w:lvlText w:val="•"/>
      <w:numFmt w:val="bullet"/>
      <w:start w:val="1"/>
    </w:lvl>
  </w:abstractNum>
  <w:abstractNum w:abstractNumId="49">
    <w:nsid w:val="7E448DE9"/>
    <w:multiLevelType w:val="hybridMultilevel"/>
    <w:lvl w:ilvl="0">
      <w:lvlJc w:val="left"/>
      <w:lvlText w:val="•"/>
      <w:numFmt w:val="bullet"/>
      <w:start w:val="1"/>
    </w:lvl>
  </w:abstractNum>
  <w:abstractNum w:abstractNumId="50">
    <w:nsid w:val="5A9CC3E5"/>
    <w:multiLevelType w:val="hybridMultilevel"/>
    <w:lvl w:ilvl="0">
      <w:lvlJc w:val="left"/>
      <w:lvlText w:val="•"/>
      <w:numFmt w:val="bullet"/>
      <w:start w:val="1"/>
    </w:lvl>
  </w:abstractNum>
  <w:abstractNum w:abstractNumId="51">
    <w:nsid w:val="1AFE3625"/>
    <w:multiLevelType w:val="hybridMultilevel"/>
    <w:lvl w:ilvl="0">
      <w:lvlJc w:val="left"/>
      <w:lvlText w:val="•"/>
      <w:numFmt w:val="bullet"/>
      <w:start w:val="1"/>
    </w:lvl>
  </w:abstractNum>
  <w:abstractNum w:abstractNumId="52">
    <w:nsid w:val="3CA88ECF"/>
    <w:multiLevelType w:val="hybridMultilevel"/>
    <w:lvl w:ilvl="0">
      <w:lvlJc w:val="left"/>
      <w:lvlText w:val="(%1)"/>
      <w:numFmt w:val="lowerLetter"/>
      <w:start w:val="1"/>
    </w:lvl>
    <w:lvl w:ilvl="1">
      <w:lvlJc w:val="left"/>
      <w:lvlText w:val="•"/>
      <w:numFmt w:val="bullet"/>
      <w:start w:val="1"/>
    </w:lvl>
  </w:abstractNum>
  <w:abstractNum w:abstractNumId="53">
    <w:nsid w:val="6EBE4208"/>
    <w:multiLevelType w:val="hybridMultilevel"/>
    <w:lvl w:ilvl="0">
      <w:lvlJc w:val="left"/>
      <w:lvlText w:val="(%1)"/>
      <w:numFmt w:val="lowerLetter"/>
      <w:start w:val="3"/>
    </w:lvl>
    <w:lvl w:ilvl="1">
      <w:lvlJc w:val="left"/>
      <w:lvlText w:val="•"/>
      <w:numFmt w:val="bullet"/>
      <w:start w:val="1"/>
    </w:lvl>
  </w:abstractNum>
  <w:abstractNum w:abstractNumId="54">
    <w:nsid w:val="C058DF5"/>
    <w:multiLevelType w:val="hybridMultilevel"/>
    <w:lvl w:ilvl="0">
      <w:lvlJc w:val="left"/>
      <w:lvlText w:val="(%1)"/>
      <w:numFmt w:val="lowerLetter"/>
      <w:start w:val="3"/>
    </w:lvl>
    <w:lvl w:ilvl="1">
      <w:lvlJc w:val="left"/>
      <w:lvlText w:val="•"/>
      <w:numFmt w:val="bullet"/>
      <w:start w:val="1"/>
    </w:lvl>
  </w:abstractNum>
  <w:abstractNum w:abstractNumId="55">
    <w:nsid w:val="CBE5BE9"/>
    <w:multiLevelType w:val="hybridMultilevel"/>
    <w:lvl w:ilvl="0">
      <w:lvlJc w:val="left"/>
      <w:lvlText w:val="•"/>
      <w:numFmt w:val="bullet"/>
      <w:start w:val="1"/>
    </w:lvl>
  </w:abstractNum>
  <w:abstractNum w:abstractNumId="56">
    <w:nsid w:val="3102BBE2"/>
    <w:multiLevelType w:val="hybridMultilevel"/>
    <w:lvl w:ilvl="0">
      <w:lvlJc w:val="left"/>
      <w:lvlText w:val="(%1)"/>
      <w:numFmt w:val="lowerLetter"/>
      <w:start w:val="2"/>
    </w:lvl>
  </w:abstractNum>
  <w:abstractNum w:abstractNumId="57">
    <w:nsid w:val="26A02C5E"/>
    <w:multiLevelType w:val="hybridMultilevel"/>
    <w:lvl w:ilvl="0">
      <w:lvlJc w:val="left"/>
      <w:lvlText w:val="%1:"/>
      <w:numFmt w:val="upperLetter"/>
      <w:start w:val="1"/>
    </w:lvl>
  </w:abstractNum>
  <w:abstractNum w:abstractNumId="58">
    <w:nsid w:val="541C8153"/>
    <w:multiLevelType w:val="hybridMultilevel"/>
    <w:lvl w:ilvl="0">
      <w:lvlJc w:val="left"/>
      <w:lvlText w:val="%1:"/>
      <w:numFmt w:val="upperLetter"/>
      <w:start w:val="1"/>
    </w:lvl>
  </w:abstractNum>
  <w:abstractNum w:abstractNumId="59">
    <w:nsid w:val="67906F60"/>
    <w:multiLevelType w:val="hybridMultilevel"/>
    <w:lvl w:ilvl="0">
      <w:lvlJc w:val="left"/>
      <w:lvlText w:val="%1:"/>
      <w:numFmt w:val="upperLetter"/>
      <w:start w:val="1"/>
    </w:lvl>
    <w:lvl w:ilvl="1">
      <w:lvlJc w:val="left"/>
      <w:lvlText w:val="•"/>
      <w:numFmt w:val="bullet"/>
      <w:start w:val="1"/>
    </w:lvl>
  </w:abstractNum>
  <w:abstractNum w:abstractNumId="60">
    <w:nsid w:val="10DB9DAA"/>
    <w:multiLevelType w:val="hybridMultilevel"/>
    <w:lvl w:ilvl="0">
      <w:lvlJc w:val="left"/>
      <w:lvlText w:val="%1:"/>
      <w:numFmt w:val="upperLetter"/>
      <w:start w:val="1"/>
    </w:lvl>
  </w:abstractNum>
  <w:abstractNum w:abstractNumId="61">
    <w:nsid w:val="697D2D2"/>
    <w:multiLevelType w:val="hybridMultilevel"/>
    <w:lvl w:ilvl="0">
      <w:lvlJc w:val="left"/>
      <w:lvlText w:val="%1:"/>
      <w:numFmt w:val="upperLetter"/>
      <w:start w:val="1"/>
    </w:lvl>
  </w:abstractNum>
  <w:abstractNum w:abstractNumId="62">
    <w:nsid w:val="6D68AB2"/>
    <w:multiLevelType w:val="hybridMultilevel"/>
    <w:lvl w:ilvl="0">
      <w:lvlJc w:val="left"/>
      <w:lvlText w:val="%1:"/>
      <w:numFmt w:val="upperLetter"/>
      <w:start w:val="1"/>
    </w:lvl>
  </w:abstractNum>
  <w:abstractNum w:abstractNumId="63">
    <w:nsid w:val="3A966CD0"/>
    <w:multiLevelType w:val="hybridMultilevel"/>
    <w:lvl w:ilvl="0">
      <w:lvlJc w:val="left"/>
      <w:lvlText w:val="%1:"/>
      <w:numFmt w:val="upperLetter"/>
      <w:start w:val="1"/>
    </w:lvl>
  </w:abstractNum>
  <w:abstractNum w:abstractNumId="64">
    <w:nsid w:val="63F37E85"/>
    <w:multiLevelType w:val="hybridMultilevel"/>
    <w:lvl w:ilvl="0">
      <w:lvlJc w:val="left"/>
      <w:lvlText w:val="%1:"/>
      <w:numFmt w:val="upperLetter"/>
      <w:start w:val="1"/>
    </w:lvl>
  </w:abstractNum>
  <w:abstractNum w:abstractNumId="65">
    <w:nsid w:val="5895F5FA"/>
    <w:multiLevelType w:val="hybridMultilevel"/>
    <w:lvl w:ilvl="0">
      <w:lvlJc w:val="left"/>
      <w:lvlText w:val="%1:"/>
      <w:numFmt w:val="upperLetter"/>
      <w:start w:val="1"/>
    </w:lvl>
  </w:abstractNum>
  <w:abstractNum w:abstractNumId="66">
    <w:nsid w:val="38A5D054"/>
    <w:multiLevelType w:val="hybridMultilevel"/>
    <w:lvl w:ilvl="0">
      <w:lvlJc w:val="left"/>
      <w:lvlText w:val="%1:"/>
      <w:numFmt w:val="upperLetter"/>
      <w:start w:val="1"/>
    </w:lvl>
  </w:abstractNum>
  <w:abstractNum w:abstractNumId="67">
    <w:nsid w:val="F3F09D8"/>
    <w:multiLevelType w:val="hybridMultilevel"/>
    <w:lvl w:ilvl="0">
      <w:lvlJc w:val="left"/>
      <w:lvlText w:val="%1:"/>
      <w:numFmt w:val="upperLetter"/>
      <w:start w:val="1"/>
    </w:lvl>
  </w:abstractNum>
  <w:abstractNum w:abstractNumId="68">
    <w:nsid w:val="4B793735"/>
    <w:multiLevelType w:val="hybridMultilevel"/>
    <w:lvl w:ilvl="0">
      <w:lvlJc w:val="left"/>
      <w:lvlText w:val="%1:"/>
      <w:numFmt w:val="upperLetter"/>
      <w:start w:val="1"/>
    </w:lvl>
  </w:abstractNum>
  <w:abstractNum w:abstractNumId="69">
    <w:nsid w:val="4A10B4E8"/>
    <w:multiLevelType w:val="hybridMultilevel"/>
    <w:lvl w:ilvl="0">
      <w:lvlJc w:val="left"/>
      <w:lvlText w:val="%1:"/>
      <w:numFmt w:val="upperLetter"/>
      <w:start w:val="17"/>
    </w:lvl>
  </w:abstractNum>
  <w:abstractNum w:abstractNumId="70">
    <w:nsid w:val="43D3BCD4"/>
    <w:multiLevelType w:val="hybridMultilevel"/>
    <w:lvl w:ilvl="0">
      <w:lvlJc w:val="left"/>
      <w:lvlText w:val="%1:"/>
      <w:numFmt w:val="upperLetter"/>
      <w:start w:val="1"/>
    </w:lvl>
  </w:abstractNum>
  <w:abstractNum w:abstractNumId="71">
    <w:nsid w:val="4C2A7166"/>
    <w:multiLevelType w:val="hybridMultilevel"/>
    <w:lvl w:ilvl="0">
      <w:lvlJc w:val="left"/>
      <w:lvlText w:val="%1:"/>
      <w:numFmt w:val="upperLetter"/>
      <w:start w:val="17"/>
    </w:lvl>
  </w:abstractNum>
  <w:abstractNum w:abstractNumId="72">
    <w:nsid w:val="2E534A82"/>
    <w:multiLevelType w:val="hybridMultilevel"/>
    <w:lvl w:ilvl="0">
      <w:lvlJc w:val="left"/>
      <w:lvlText w:val="%1:"/>
      <w:numFmt w:val="upperLetter"/>
      <w:start w:val="1"/>
    </w:lvl>
  </w:abstractNum>
  <w:abstractNum w:abstractNumId="73">
    <w:nsid w:val="26F2D364"/>
    <w:multiLevelType w:val="hybridMultilevel"/>
    <w:lvl w:ilvl="0">
      <w:lvlJc w:val="left"/>
      <w:lvlText w:val="%1:"/>
      <w:numFmt w:val="upperLetter"/>
      <w:start w:val="1"/>
    </w:lvl>
    <w:lvl w:ilvl="1">
      <w:lvlJc w:val="left"/>
      <w:lvlText w:val="•"/>
      <w:numFmt w:val="bullet"/>
      <w:start w:val="1"/>
    </w:lvl>
  </w:abstractNum>
  <w:abstractNum w:abstractNumId="74">
    <w:nsid w:val="71C1AF98"/>
    <w:multiLevelType w:val="hybridMultilevel"/>
    <w:lvl w:ilvl="0">
      <w:lvlJc w:val="left"/>
      <w:lvlText w:val="%1:"/>
      <w:numFmt w:val="upperLetter"/>
      <w:start w:val="1"/>
    </w:lvl>
  </w:abstractNum>
  <w:abstractNum w:abstractNumId="75">
    <w:nsid w:val="3D00B9D9"/>
    <w:multiLevelType w:val="hybridMultilevel"/>
    <w:lvl w:ilvl="0">
      <w:lvlJc w:val="left"/>
      <w:lvlText w:val="%1:"/>
      <w:numFmt w:val="upperLetter"/>
      <w:start w:val="1"/>
    </w:lvl>
  </w:abstractNum>
  <w:abstractNum w:abstractNumId="76">
    <w:nsid w:val="15BCABA8"/>
    <w:multiLevelType w:val="hybridMultilevel"/>
    <w:lvl w:ilvl="0">
      <w:lvlJc w:val="left"/>
      <w:lvlText w:val="%1:"/>
      <w:numFmt w:val="upperLetter"/>
      <w:start w:val="17"/>
    </w:lvl>
  </w:abstractNum>
  <w:abstractNum w:abstractNumId="77">
    <w:nsid w:val="4E0B9A87"/>
    <w:multiLevelType w:val="hybridMultilevel"/>
    <w:lvl w:ilvl="0">
      <w:lvlJc w:val="left"/>
      <w:lvlText w:val="%1:"/>
      <w:numFmt w:val="upperLetter"/>
      <w:start w:val="1"/>
    </w:lvl>
  </w:abstractNum>
  <w:abstractNum w:abstractNumId="78">
    <w:nsid w:val="434BAE75"/>
    <w:multiLevelType w:val="hybridMultilevel"/>
    <w:lvl w:ilvl="0">
      <w:lvlJc w:val="left"/>
      <w:lvlText w:val="%1:"/>
      <w:numFmt w:val="upperLetter"/>
      <w:start w:val="17"/>
    </w:lvl>
  </w:abstractNum>
  <w:abstractNum w:abstractNumId="79">
    <w:nsid w:val="4F38F265"/>
    <w:multiLevelType w:val="hybridMultilevel"/>
    <w:lvl w:ilvl="0">
      <w:lvlJc w:val="left"/>
      <w:lvlText w:val="%1:"/>
      <w:numFmt w:val="upperLetter"/>
      <w:start w:val="1"/>
    </w:lvl>
  </w:abstractNum>
  <w:abstractNum w:abstractNumId="80">
    <w:nsid w:val="4C502870"/>
    <w:multiLevelType w:val="hybridMultilevel"/>
    <w:lvl w:ilvl="0">
      <w:lvlJc w:val="left"/>
      <w:lvlText w:val="%1:"/>
      <w:numFmt w:val="upperLetter"/>
      <w:start w:val="1"/>
    </w:lvl>
  </w:abstractNum>
  <w:abstractNum w:abstractNumId="81">
    <w:nsid w:val="1DE8725A"/>
    <w:multiLevelType w:val="hybridMultilevel"/>
    <w:lvl w:ilvl="0">
      <w:lvlJc w:val="left"/>
      <w:lvlText w:val="%1:"/>
      <w:numFmt w:val="upperLetter"/>
      <w:start w:val="1"/>
    </w:lvl>
  </w:abstractNum>
  <w:abstractNum w:abstractNumId="82">
    <w:nsid w:val="6A37288A"/>
    <w:multiLevelType w:val="hybridMultilevel"/>
    <w:lvl w:ilvl="0">
      <w:lvlJc w:val="left"/>
      <w:lvlText w:val="%1:"/>
      <w:numFmt w:val="upperLetter"/>
      <w:start w:val="17"/>
    </w:lvl>
  </w:abstractNum>
  <w:abstractNum w:abstractNumId="83">
    <w:nsid w:val="8F8B73F"/>
    <w:multiLevelType w:val="hybridMultilevel"/>
    <w:lvl w:ilvl="0">
      <w:lvlJc w:val="left"/>
      <w:lvlText w:val="%1:"/>
      <w:numFmt w:val="upperLetter"/>
      <w:start w:val="1"/>
    </w:lvl>
  </w:abstractNum>
  <w:abstractNum w:abstractNumId="84">
    <w:nsid w:val="CA6B462"/>
    <w:multiLevelType w:val="hybridMultilevel"/>
    <w:lvl w:ilvl="0">
      <w:lvlJc w:val="left"/>
      <w:lvlText w:val="%1:"/>
      <w:numFmt w:val="upperLetter"/>
      <w:start w:val="17"/>
    </w:lvl>
  </w:abstractNum>
  <w:abstractNum w:abstractNumId="85">
    <w:nsid w:val="763CB680"/>
    <w:multiLevelType w:val="hybridMultilevel"/>
    <w:lvl w:ilvl="0">
      <w:lvlJc w:val="left"/>
      <w:lvlText w:val="%1:"/>
      <w:numFmt w:val="upperLetter"/>
      <w:start w:val="1"/>
    </w:lvl>
  </w:abstractNum>
  <w:abstractNum w:abstractNumId="86">
    <w:nsid w:val="15B71329"/>
    <w:multiLevelType w:val="hybridMultilevel"/>
    <w:lvl w:ilvl="0">
      <w:lvlJc w:val="left"/>
      <w:lvlText w:val="%1:"/>
      <w:numFmt w:val="upperLetter"/>
      <w:start w:val="1"/>
    </w:lvl>
    <w:lvl w:ilvl="1">
      <w:lvlJc w:val="left"/>
      <w:lvlText w:val="•"/>
      <w:numFmt w:val="bullet"/>
      <w:start w:val="1"/>
    </w:lvl>
  </w:abstractNum>
  <w:abstractNum w:abstractNumId="87">
    <w:nsid w:val="3DA97044"/>
    <w:multiLevelType w:val="hybridMultilevel"/>
    <w:lvl w:ilvl="0">
      <w:lvlJc w:val="left"/>
      <w:lvlText w:val="%1:"/>
      <w:numFmt w:val="upperLetter"/>
      <w:start w:val="1"/>
    </w:lvl>
  </w:abstractNum>
  <w:abstractNum w:abstractNumId="88">
    <w:nsid w:val="1CDCE2DE"/>
    <w:multiLevelType w:val="hybridMultilevel"/>
    <w:lvl w:ilvl="0">
      <w:lvlJc w:val="left"/>
      <w:lvlText w:val="%1:"/>
      <w:numFmt w:val="upperLetter"/>
      <w:start w:val="17"/>
    </w:lvl>
  </w:abstractNum>
  <w:abstractNum w:abstractNumId="89">
    <w:nsid w:val="69D3947C"/>
    <w:multiLevelType w:val="hybridMultilevel"/>
    <w:lvl w:ilvl="0">
      <w:lvlJc w:val="left"/>
      <w:lvlText w:val="%1:"/>
      <w:numFmt w:val="upperLetter"/>
      <w:start w:val="1"/>
    </w:lvl>
  </w:abstractNum>
  <w:abstractNum w:abstractNumId="90">
    <w:nsid w:val="2539DFA5"/>
    <w:multiLevelType w:val="hybridMultilevel"/>
    <w:lvl w:ilvl="0">
      <w:lvlJc w:val="left"/>
      <w:lvlText w:val="%1:"/>
      <w:numFmt w:val="upperLetter"/>
      <w:start w:val="1"/>
    </w:lvl>
  </w:abstractNum>
  <w:abstractNum w:abstractNumId="91">
    <w:nsid w:val="2DB88089"/>
    <w:multiLevelType w:val="hybridMultilevel"/>
    <w:lvl w:ilvl="0">
      <w:lvlJc w:val="left"/>
      <w:lvlText w:val="%1:"/>
      <w:numFmt w:val="upperLetter"/>
      <w:start w:val="1"/>
    </w:lvl>
  </w:abstractNum>
  <w:abstractNum w:abstractNumId="92">
    <w:nsid w:val="706B674E"/>
    <w:multiLevelType w:val="hybridMultilevel"/>
    <w:lvl w:ilvl="0">
      <w:lvlJc w:val="left"/>
      <w:lvlText w:val="%1:"/>
      <w:numFmt w:val="upperLetter"/>
      <w:start w:val="1"/>
    </w:lvl>
  </w:abstractNum>
  <w:abstractNum w:abstractNumId="93">
    <w:nsid w:val="2C106A57"/>
    <w:multiLevelType w:val="hybridMultilevel"/>
    <w:lvl w:ilvl="0">
      <w:lvlJc w:val="left"/>
      <w:lvlText w:val="%1:"/>
      <w:numFmt w:val="upperLetter"/>
      <w:start w:val="1"/>
    </w:lvl>
  </w:abstractNum>
  <w:abstractNum w:abstractNumId="94">
    <w:nsid w:val="684EED59"/>
    <w:multiLevelType w:val="hybridMultilevel"/>
    <w:lvl w:ilvl="0">
      <w:lvlJc w:val="left"/>
      <w:lvlText w:val="%1:"/>
      <w:numFmt w:val="upperLetter"/>
      <w:start w:val="1"/>
    </w:lvl>
  </w:abstractNum>
  <w:abstractNum w:abstractNumId="95">
    <w:nsid w:val="545EE5D3"/>
    <w:multiLevelType w:val="hybridMultilevel"/>
    <w:lvl w:ilvl="0">
      <w:lvlJc w:val="left"/>
      <w:lvlText w:val="(%1)"/>
      <w:numFmt w:val="lowerRoman"/>
      <w:start w:val="5"/>
    </w:lvl>
  </w:abstractNum>
  <w:abstractNum w:abstractNumId="96">
    <w:nsid w:val="4A66051"/>
    <w:multiLevelType w:val="hybridMultilevel"/>
    <w:lvl w:ilvl="0">
      <w:lvlJc w:val="left"/>
      <w:lvlText w:val="(%1)"/>
      <w:numFmt w:val="lowerRoman"/>
      <w:start w:val="3"/>
    </w:lvl>
  </w:abstractNum>
  <w:abstractNum w:abstractNumId="97">
    <w:nsid w:val="20F4BDAD"/>
    <w:multiLevelType w:val="hybridMultilevel"/>
    <w:lvl w:ilvl="0">
      <w:lvlJc w:val="left"/>
      <w:lvlText w:val="(%1)"/>
      <w:numFmt w:val="lowerRoman"/>
      <w:start w:val="3"/>
    </w:lvl>
  </w:abstractNum>
  <w:abstractNum w:abstractNumId="98">
    <w:nsid w:val="639DEFAC"/>
    <w:multiLevelType w:val="hybridMultilevel"/>
    <w:lvl w:ilvl="0">
      <w:lvlJc w:val="left"/>
      <w:lvlText w:val="(%1)"/>
      <w:numFmt w:val="lowerRoman"/>
      <w:start w:val="2"/>
    </w:lvl>
  </w:abstractNum>
  <w:abstractNum w:abstractNumId="99">
    <w:nsid w:val="501F9786"/>
    <w:multiLevelType w:val="hybridMultilevel"/>
    <w:lvl w:ilvl="0">
      <w:lvlJc w:val="left"/>
      <w:lvlText w:val="(%1)"/>
      <w:numFmt w:val="lowerLetter"/>
      <w:start w:val="2"/>
    </w:lvl>
  </w:abstractNum>
  <w:abstractNum w:abstractNumId="100">
    <w:nsid w:val="6B057295"/>
    <w:multiLevelType w:val="hybridMultilevel"/>
    <w:lvl w:ilvl="0">
      <w:lvlJc w:val="left"/>
      <w:lvlText w:val="•"/>
      <w:numFmt w:val="bullet"/>
      <w:start w:val="1"/>
    </w:lvl>
    <w:lvl w:ilvl="1">
      <w:lvlJc w:val="left"/>
      <w:lvlText w:val="•"/>
      <w:numFmt w:val="bullet"/>
      <w:start w:val="1"/>
    </w:lvl>
  </w:abstractNum>
  <w:abstractNum w:abstractNumId="101">
    <w:nsid w:val="2771AC80"/>
    <w:multiLevelType w:val="hybridMultilevel"/>
    <w:lvl w:ilvl="0">
      <w:lvlJc w:val="left"/>
      <w:lvlText w:val="•"/>
      <w:numFmt w:val="bullet"/>
      <w:start w:val="1"/>
    </w:lvl>
    <w:lvl w:ilvl="1">
      <w:lvlJc w:val="left"/>
      <w:lvlText w:val="•"/>
      <w:numFmt w:val="bullet"/>
      <w:start w:val="1"/>
    </w:lvl>
  </w:abstractNum>
  <w:abstractNum w:abstractNumId="102">
    <w:nsid w:val="1C4A08EC"/>
    <w:multiLevelType w:val="hybridMultilevel"/>
    <w:lvl w:ilvl="0">
      <w:lvlJc w:val="left"/>
      <w:lvlText w:val="•"/>
      <w:numFmt w:val="bullet"/>
      <w:start w:val="1"/>
    </w:lvl>
    <w:lvl w:ilvl="1">
      <w:lvlJc w:val="left"/>
      <w:lvlText w:val="•"/>
      <w:numFmt w:val="bullet"/>
      <w:start w:val="1"/>
    </w:lvl>
  </w:abstractNum>
  <w:abstractNum w:abstractNumId="103">
    <w:nsid w:val="1958BD17"/>
    <w:multiLevelType w:val="hybridMultilevel"/>
    <w:lvl w:ilvl="0">
      <w:lvlJc w:val="left"/>
      <w:lvlText w:val="•"/>
      <w:numFmt w:val="bullet"/>
      <w:start w:val="1"/>
    </w:lvl>
  </w:abstractNum>
  <w:abstractNum w:abstractNumId="104">
    <w:nsid w:val="4E647FE4"/>
    <w:multiLevelType w:val="hybridMultilevel"/>
    <w:lvl w:ilvl="0">
      <w:lvlJc w:val="left"/>
      <w:lvlText w:val="•"/>
      <w:numFmt w:val="bullet"/>
      <w:start w:val="1"/>
    </w:lvl>
  </w:abstractNum>
  <w:abstractNum w:abstractNumId="105">
    <w:nsid w:val="E0BB885"/>
    <w:multiLevelType w:val="hybridMultilevel"/>
    <w:lvl w:ilvl="0">
      <w:lvlJc w:val="left"/>
      <w:lvlText w:val="•"/>
      <w:numFmt w:val="bullet"/>
      <w:start w:val="1"/>
    </w:lvl>
  </w:abstractNum>
  <w:abstractNum w:abstractNumId="106">
    <w:nsid w:val="565976F1"/>
    <w:multiLevelType w:val="hybridMultilevel"/>
    <w:lvl w:ilvl="0">
      <w:lvlJc w:val="left"/>
      <w:lvlText w:val="•"/>
      <w:numFmt w:val="bullet"/>
      <w:start w:val="1"/>
    </w:lvl>
  </w:abstractNum>
  <w:abstractNum w:abstractNumId="107">
    <w:nsid w:val="64212B8C"/>
    <w:multiLevelType w:val="hybridMultilevel"/>
    <w:lvl w:ilvl="0">
      <w:lvlJc w:val="left"/>
      <w:lvlText w:val="•"/>
      <w:numFmt w:val="bullet"/>
      <w:start w:val="1"/>
    </w:lvl>
  </w:abstractNum>
  <w:abstractNum w:abstractNumId="108">
    <w:nsid w:val="5C17530C"/>
    <w:multiLevelType w:val="hybridMultilevel"/>
    <w:lvl w:ilvl="0">
      <w:lvlJc w:val="left"/>
      <w:lvlText w:val="•"/>
      <w:numFmt w:val="bullet"/>
      <w:start w:val="1"/>
    </w:lvl>
  </w:abstractNum>
  <w:abstractNum w:abstractNumId="109">
    <w:nsid w:val="19A52566"/>
    <w:multiLevelType w:val="hybridMultilevel"/>
    <w:lvl w:ilvl="0">
      <w:lvlJc w:val="left"/>
      <w:lvlText w:val="•"/>
      <w:numFmt w:val="bullet"/>
      <w:start w:val="1"/>
    </w:lvl>
  </w:abstractNum>
  <w:abstractNum w:abstractNumId="110">
    <w:nsid w:val="335A1DF1"/>
    <w:multiLevelType w:val="hybridMultilevel"/>
    <w:lvl w:ilvl="0">
      <w:lvlJc w:val="left"/>
      <w:lvlText w:val="•"/>
      <w:numFmt w:val="bullet"/>
      <w:start w:val="1"/>
    </w:lvl>
  </w:abstractNum>
  <w:abstractNum w:abstractNumId="111">
    <w:nsid w:val="28677B7C"/>
    <w:multiLevelType w:val="hybridMultilevel"/>
    <w:lvl w:ilvl="0">
      <w:lvlJc w:val="left"/>
      <w:lvlText w:val="(%1)"/>
      <w:numFmt w:val="decimal"/>
      <w:start w:val="1"/>
    </w:lvl>
  </w:abstractNum>
  <w:abstractNum w:abstractNumId="112">
    <w:nsid w:val="378D97C0"/>
    <w:multiLevelType w:val="hybridMultilevel"/>
    <w:lvl w:ilvl="0">
      <w:lvlJc w:val="left"/>
      <w:lvlText w:val="%1."/>
      <w:numFmt w:val="decimal"/>
      <w:start w:val="105"/>
    </w:lvl>
  </w:abstractNum>
  <w:abstractNum w:abstractNumId="113">
    <w:nsid w:val="1D91467C"/>
    <w:multiLevelType w:val="hybridMultilevel"/>
    <w:lvl w:ilvl="0">
      <w:lvlJc w:val="left"/>
      <w:lvlText w:val="•"/>
      <w:numFmt w:val="bullet"/>
      <w:start w:val="1"/>
    </w:lvl>
  </w:abstractNum>
  <w:abstractNum w:abstractNumId="114">
    <w:nsid w:val="316032BB"/>
    <w:multiLevelType w:val="hybridMultilevel"/>
    <w:lvl w:ilvl="0">
      <w:lvlJc w:val="left"/>
      <w:lvlText w:val="•"/>
      <w:numFmt w:val="bullet"/>
      <w:start w:val="1"/>
    </w:lvl>
  </w:abstractNum>
  <w:abstractNum w:abstractNumId="115">
    <w:nsid w:val="44344C22"/>
    <w:multiLevelType w:val="hybridMultilevel"/>
    <w:lvl w:ilvl="0">
      <w:lvlJc w:val="left"/>
      <w:lvlText w:val="•"/>
      <w:numFmt w:val="bullet"/>
      <w:start w:val="1"/>
    </w:lvl>
  </w:abstractNum>
  <w:abstractNum w:abstractNumId="116">
    <w:nsid w:val="13CDFCFC"/>
    <w:multiLevelType w:val="hybridMultilevel"/>
    <w:lvl w:ilvl="0">
      <w:lvlJc w:val="left"/>
      <w:lvlText w:val="(%1)"/>
      <w:numFmt w:val="lowerRoman"/>
      <w:start w:val="7"/>
    </w:lvl>
  </w:abstractNum>
  <w:abstractNum w:abstractNumId="117">
    <w:nsid w:val="471745E4"/>
    <w:multiLevelType w:val="hybridMultilevel"/>
    <w:lvl w:ilvl="0">
      <w:lvlJc w:val="left"/>
      <w:lvlText w:val="•"/>
      <w:numFmt w:val="bullet"/>
      <w:start w:val="1"/>
    </w:lvl>
  </w:abstractNum>
  <w:abstractNum w:abstractNumId="118">
    <w:nsid w:val="1DDBC66"/>
    <w:multiLevelType w:val="hybridMultilevel"/>
    <w:lvl w:ilvl="0">
      <w:lvlJc w:val="left"/>
      <w:lvlText w:val="•"/>
      <w:numFmt w:val="bullet"/>
      <w:start w:val="1"/>
    </w:lvl>
  </w:abstractNum>
  <w:abstractNum w:abstractNumId="119">
    <w:nsid w:val="30AADFDA"/>
    <w:multiLevelType w:val="hybridMultilevel"/>
    <w:lvl w:ilvl="0">
      <w:lvlJc w:val="left"/>
      <w:lvlText w:val="•"/>
      <w:numFmt w:val="bullet"/>
      <w:start w:val="1"/>
    </w:lvl>
  </w:abstractNum>
  <w:abstractNum w:abstractNumId="120">
    <w:nsid w:val="30EADA61"/>
    <w:multiLevelType w:val="hybridMultilevel"/>
    <w:lvl w:ilvl="0">
      <w:lvlJc w:val="left"/>
      <w:lvlText w:val="•"/>
      <w:numFmt w:val="bullet"/>
      <w:start w:val="1"/>
    </w:lvl>
  </w:abstractNum>
  <w:abstractNum w:abstractNumId="121">
    <w:nsid w:val="27179C0B"/>
    <w:multiLevelType w:val="hybridMultilevel"/>
    <w:lvl w:ilvl="0">
      <w:lvlJc w:val="left"/>
      <w:lvlText w:val="•"/>
      <w:numFmt w:val="bullet"/>
      <w:start w:val="1"/>
    </w:lvl>
  </w:abstractNum>
  <w:abstractNum w:abstractNumId="122">
    <w:nsid w:val="5E636063"/>
    <w:multiLevelType w:val="hybridMultilevel"/>
    <w:lvl w:ilvl="0">
      <w:lvlJc w:val="left"/>
      <w:lvlText w:val="•"/>
      <w:numFmt w:val="bullet"/>
      <w:start w:val="1"/>
    </w:lvl>
  </w:abstractNum>
  <w:abstractNum w:abstractNumId="123">
    <w:nsid w:val="215641AF"/>
    <w:multiLevelType w:val="hybridMultilevel"/>
    <w:lvl w:ilvl="0">
      <w:lvlJc w:val="left"/>
      <w:lvlText w:val="•"/>
      <w:numFmt w:val="bullet"/>
      <w:start w:val="1"/>
    </w:lvl>
  </w:abstractNum>
  <w:abstractNum w:abstractNumId="124">
    <w:nsid w:val="53280662"/>
    <w:multiLevelType w:val="hybridMultilevel"/>
    <w:lvl w:ilvl="0">
      <w:lvlJc w:val="left"/>
      <w:lvlText w:val="(%1)"/>
      <w:numFmt w:val="decimal"/>
      <w:start w:val="1"/>
    </w:lvl>
  </w:abstractNum>
  <w:abstractNum w:abstractNumId="125">
    <w:nsid w:val="46B24DBC"/>
    <w:multiLevelType w:val="hybridMultilevel"/>
    <w:lvl w:ilvl="0">
      <w:lvlJc w:val="left"/>
      <w:lvlText w:val="(%1)"/>
      <w:numFmt w:val="lowerRoman"/>
      <w:start w:val="2"/>
    </w:lvl>
  </w:abstractNum>
  <w:abstractNum w:abstractNumId="126">
    <w:nsid w:val="75B52783"/>
    <w:multiLevelType w:val="hybridMultilevel"/>
    <w:lvl w:ilvl="0">
      <w:lvlJc w:val="left"/>
      <w:lvlText w:val="•"/>
      <w:numFmt w:val="bullet"/>
      <w:start w:val="1"/>
    </w:lvl>
  </w:abstractNum>
  <w:abstractNum w:abstractNumId="127">
    <w:nsid w:val="57CE66B4"/>
    <w:multiLevelType w:val="hybridMultilevel"/>
    <w:lvl w:ilvl="0">
      <w:lvlJc w:val="left"/>
      <w:lvlText w:val="•"/>
      <w:numFmt w:val="bullet"/>
      <w:start w:val="1"/>
    </w:lvl>
  </w:abstractNum>
  <w:abstractNum w:abstractNumId="128">
    <w:nsid w:val="67A70B69"/>
    <w:multiLevelType w:val="hybridMultilevel"/>
    <w:lvl w:ilvl="0">
      <w:lvlJc w:val="left"/>
      <w:lvlText w:val="•"/>
      <w:numFmt w:val="bullet"/>
      <w:start w:val="1"/>
    </w:lvl>
  </w:abstractNum>
  <w:abstractNum w:abstractNumId="129">
    <w:nsid w:val="5953172F"/>
    <w:multiLevelType w:val="hybridMultilevel"/>
    <w:lvl w:ilvl="0">
      <w:lvlJc w:val="left"/>
      <w:lvlText w:val="(%1)"/>
      <w:numFmt w:val="lowerRoman"/>
      <w:start w:val="6"/>
    </w:lvl>
  </w:abstractNum>
  <w:abstractNum w:abstractNumId="130">
    <w:nsid w:val="27EDFE3A"/>
    <w:multiLevelType w:val="hybridMultilevel"/>
    <w:lvl w:ilvl="0">
      <w:lvlJc w:val="left"/>
      <w:lvlText w:val="•"/>
      <w:numFmt w:val="bullet"/>
      <w:start w:val="1"/>
    </w:lvl>
  </w:abstractNum>
  <w:abstractNum w:abstractNumId="131">
    <w:nsid w:val="52AC7DFF"/>
    <w:multiLevelType w:val="hybridMultilevel"/>
    <w:lvl w:ilvl="0">
      <w:lvlJc w:val="left"/>
      <w:lvlText w:val="•"/>
      <w:numFmt w:val="bullet"/>
      <w:start w:val="1"/>
    </w:lvl>
  </w:abstractNum>
  <w:abstractNum w:abstractNumId="132">
    <w:nsid w:val="C4C3AF"/>
    <w:multiLevelType w:val="hybridMultilevel"/>
    <w:lvl w:ilvl="0">
      <w:lvlJc w:val="left"/>
      <w:lvlText w:val="(%1)"/>
      <w:numFmt w:val="lowerLetter"/>
      <w:start w:val="3"/>
    </w:lvl>
  </w:abstractNum>
  <w:abstractNum w:abstractNumId="133">
    <w:nsid w:val="44380727"/>
    <w:multiLevelType w:val="hybridMultilevel"/>
    <w:lvl w:ilvl="0">
      <w:lvlJc w:val="left"/>
      <w:lvlText w:val="•"/>
      <w:numFmt w:val="bullet"/>
      <w:start w:val="1"/>
    </w:lvl>
  </w:abstractNum>
  <w:abstractNum w:abstractNumId="134">
    <w:nsid w:val="6C053B16"/>
    <w:multiLevelType w:val="hybridMultilevel"/>
    <w:lvl w:ilvl="0">
      <w:lvlJc w:val="left"/>
      <w:lvlText w:val="A"/>
      <w:numFmt w:val="bullet"/>
      <w:start w:val="1"/>
    </w:lvl>
  </w:abstractNum>
  <w:abstractNum w:abstractNumId="135">
    <w:nsid w:val="4F294393"/>
    <w:multiLevelType w:val="hybridMultilevel"/>
    <w:lvl w:ilvl="0">
      <w:lvlJc w:val="left"/>
      <w:lvlText w:val="(%1)"/>
      <w:numFmt w:val="lowerLetter"/>
      <w:start w:val="1"/>
    </w:lvl>
  </w:abstractNum>
  <w:abstractNum w:abstractNumId="136">
    <w:nsid w:val="5243BFAC"/>
    <w:multiLevelType w:val="hybridMultilevel"/>
    <w:lvl w:ilvl="0">
      <w:lvlJc w:val="left"/>
      <w:lvlText w:val="(%1)"/>
      <w:numFmt w:val="decimal"/>
      <w:start w:val="1"/>
    </w:lvl>
  </w:abstractNum>
  <w:abstractNum w:abstractNumId="137">
    <w:nsid w:val="425EB207"/>
    <w:multiLevelType w:val="hybridMultilevel"/>
    <w:lvl w:ilvl="0">
      <w:lvlJc w:val="left"/>
      <w:lvlText w:val="%1."/>
      <w:numFmt w:val="decimal"/>
      <w:start w:val="1"/>
    </w:lvl>
  </w:abstractNum>
  <w:abstractNum w:abstractNumId="138">
    <w:nsid w:val="334A6F1F"/>
    <w:multiLevelType w:val="hybridMultilevel"/>
    <w:lvl w:ilvl="0">
      <w:lvlJc w:val="left"/>
      <w:lvlText w:val="•"/>
      <w:numFmt w:val="bullet"/>
      <w:start w:val="1"/>
    </w:lvl>
  </w:abstractNum>
  <w:abstractNum w:abstractNumId="139">
    <w:nsid w:val="2E5B12B8"/>
    <w:multiLevelType w:val="hybridMultilevel"/>
    <w:lvl w:ilvl="0">
      <w:lvlJc w:val="left"/>
      <w:lvlText w:val=" "/>
      <w:numFmt w:val="bullet"/>
      <w:start w:val="1"/>
    </w:lvl>
  </w:abstractNum>
  <w:abstractNum w:abstractNumId="140">
    <w:nsid w:val="5C03D76D"/>
    <w:multiLevelType w:val="hybridMultilevel"/>
    <w:lvl w:ilvl="0">
      <w:lvlJc w:val="left"/>
      <w:lvlText w:val=" "/>
      <w:numFmt w:val="bullet"/>
      <w:start w:val="1"/>
    </w:lvl>
  </w:abstractNum>
  <w:abstractNum w:abstractNumId="141">
    <w:nsid w:val="66A48D11"/>
    <w:multiLevelType w:val="hybridMultilevel"/>
    <w:lvl w:ilvl="0">
      <w:lvlJc w:val="left"/>
      <w:lvlText w:val=" "/>
      <w:numFmt w:val="bullet"/>
      <w:start w:val="1"/>
    </w:lvl>
  </w:abstractNum>
  <w:abstractNum w:abstractNumId="142">
    <w:nsid w:val="56C28E34"/>
    <w:multiLevelType w:val="hybridMultilevel"/>
    <w:lvl w:ilvl="0">
      <w:lvlJc w:val="left"/>
      <w:lvlText w:val=" "/>
      <w:numFmt w:val="bullet"/>
      <w:start w:val="1"/>
    </w:lvl>
  </w:abstractNum>
  <w:abstractNum w:abstractNumId="143">
    <w:nsid w:val="13916F2D"/>
    <w:multiLevelType w:val="hybridMultilevel"/>
    <w:lvl w:ilvl="0">
      <w:lvlJc w:val="left"/>
      <w:lvlText w:val="%1."/>
      <w:numFmt w:val="decimal"/>
      <w:start w:val="1"/>
    </w:lvl>
  </w:abstractNum>
  <w:abstractNum w:abstractNumId="144">
    <w:nsid w:val="435D38D"/>
    <w:multiLevelType w:val="hybridMultilevel"/>
    <w:lvl w:ilvl="0">
      <w:lvlJc w:val="left"/>
      <w:lvlText w:val="(%1)"/>
      <w:numFmt w:val="lowerRoman"/>
      <w:start w:val="10"/>
    </w:lvl>
  </w:abstractNum>
  <w:abstractNum w:abstractNumId="145">
    <w:nsid w:val="822C0EF"/>
    <w:multiLevelType w:val="hybridMultilevel"/>
    <w:lvl w:ilvl="0">
      <w:lvlJc w:val="left"/>
      <w:lvlText w:val="•"/>
      <w:numFmt w:val="bullet"/>
      <w:start w:val="1"/>
    </w:lvl>
  </w:abstractNum>
  <w:abstractNum w:abstractNumId="146">
    <w:nsid w:val="57C5BB4F"/>
    <w:multiLevelType w:val="hybridMultilevel"/>
    <w:lvl w:ilvl="0">
      <w:lvlJc w:val="left"/>
      <w:lvlText w:val="•"/>
      <w:numFmt w:val="bullet"/>
      <w:start w:val="1"/>
    </w:lvl>
  </w:abstractNum>
  <w:abstractNum w:abstractNumId="147">
    <w:nsid w:val="1803D089"/>
    <w:multiLevelType w:val="hybridMultilevel"/>
    <w:lvl w:ilvl="0">
      <w:lvlJc w:val="left"/>
      <w:lvlText w:val="(%1)"/>
      <w:numFmt w:val="lowerLetter"/>
      <w:start w:val="1"/>
    </w:lvl>
    <w:lvl w:ilvl="1">
      <w:lvlJc w:val="left"/>
      <w:lvlText w:val="(%2)"/>
      <w:numFmt w:val="lowerRoman"/>
      <w:start w:val="1"/>
    </w:lvl>
  </w:abstractNum>
  <w:abstractNum w:abstractNumId="148">
    <w:nsid w:val="4F3A06D4"/>
    <w:multiLevelType w:val="hybridMultilevel"/>
    <w:lvl w:ilvl="0">
      <w:lvlJc w:val="left"/>
      <w:lvlText w:val="(%1)"/>
      <w:numFmt w:val="lowerLetter"/>
      <w:start w:val="2"/>
    </w:lvl>
  </w:abstractNum>
  <w:abstractNum w:abstractNumId="149">
    <w:nsid w:val="59A377B6"/>
    <w:multiLevelType w:val="hybridMultilevel"/>
    <w:lvl w:ilvl="0">
      <w:lvlJc w:val="left"/>
      <w:lvlText w:val="•"/>
      <w:numFmt w:val="bullet"/>
      <w:start w:val="1"/>
    </w:lvl>
  </w:abstractNum>
  <w:abstractNum w:abstractNumId="150">
    <w:nsid w:val="48AEB063"/>
    <w:multiLevelType w:val="hybridMultilevel"/>
    <w:lvl w:ilvl="0">
      <w:lvlJc w:val="left"/>
      <w:lvlText w:val="•"/>
      <w:numFmt w:val="bullet"/>
      <w:start w:val="1"/>
    </w:lvl>
  </w:abstractNum>
  <w:abstractNum w:abstractNumId="151">
    <w:nsid w:val="24E135"/>
    <w:multiLevelType w:val="hybridMultilevel"/>
    <w:lvl w:ilvl="0">
      <w:lvlJc w:val="left"/>
      <w:lvlText w:val="•"/>
      <w:numFmt w:val="bullet"/>
      <w:start w:val="1"/>
    </w:lvl>
  </w:abstractNum>
  <w:abstractNum w:abstractNumId="152">
    <w:nsid w:val="BB13C1"/>
    <w:multiLevelType w:val="hybridMultilevel"/>
    <w:lvl w:ilvl="0">
      <w:lvlJc w:val="left"/>
      <w:lvlText w:val="•"/>
      <w:numFmt w:val="bullet"/>
      <w:start w:val="1"/>
    </w:lvl>
  </w:abstractNum>
  <w:abstractNum w:abstractNumId="153">
    <w:nsid w:val="271210C7"/>
    <w:multiLevelType w:val="hybridMultilevel"/>
    <w:lvl w:ilvl="0">
      <w:lvlJc w:val="left"/>
      <w:lvlText w:val="•"/>
      <w:numFmt w:val="bullet"/>
      <w:start w:val="1"/>
    </w:lvl>
  </w:abstractNum>
  <w:abstractNum w:abstractNumId="154">
    <w:nsid w:val="217B22E4"/>
    <w:multiLevelType w:val="hybridMultilevel"/>
    <w:lvl w:ilvl="0">
      <w:lvlJc w:val="left"/>
      <w:lvlText w:val="(%1)"/>
      <w:numFmt w:val="upperLetter"/>
      <w:start w:val="2"/>
    </w:lvl>
  </w:abstractNum>
  <w:abstractNum w:abstractNumId="155">
    <w:nsid w:val="53E31A24"/>
    <w:multiLevelType w:val="hybridMultilevel"/>
    <w:lvl w:ilvl="0">
      <w:lvlJc w:val="left"/>
      <w:lvlText w:val="(%1)"/>
      <w:numFmt w:val="lowerRoman"/>
      <w:start w:val="1"/>
    </w:lvl>
  </w:abstractNum>
  <w:abstractNum w:abstractNumId="156">
    <w:nsid w:val="6DC45E83"/>
    <w:multiLevelType w:val="hybridMultilevel"/>
    <w:lvl w:ilvl="0">
      <w:lvlJc w:val="left"/>
      <w:lvlText w:val="(%1)"/>
      <w:numFmt w:val="lowerRoman"/>
      <w:start w:val="3"/>
    </w:lvl>
  </w:abstractNum>
  <w:abstractNum w:abstractNumId="157">
    <w:nsid w:val="17304A67"/>
    <w:multiLevelType w:val="hybridMultilevel"/>
    <w:lvl w:ilvl="0">
      <w:lvlJc w:val="left"/>
      <w:lvlText w:val="(%1)"/>
      <w:numFmt w:val="lowerRoman"/>
      <w:start w:val="10"/>
    </w:lvl>
  </w:abstractNum>
  <w:abstractNum w:abstractNumId="158">
    <w:nsid w:val="2BB180D8"/>
    <w:multiLevelType w:val="hybridMultilevel"/>
    <w:lvl w:ilvl="0">
      <w:lvlJc w:val="left"/>
      <w:lvlText w:val="(%1)"/>
      <w:numFmt w:val="upperLetter"/>
      <w:start w:val="2"/>
    </w:lvl>
  </w:abstractNum>
  <w:abstractNum w:abstractNumId="159">
    <w:nsid w:val="556B69ED"/>
    <w:multiLevelType w:val="hybridMultilevel"/>
    <w:lvl w:ilvl="0">
      <w:lvlJc w:val="left"/>
      <w:lvlText w:val="•"/>
      <w:numFmt w:val="bullet"/>
      <w:start w:val="1"/>
    </w:lvl>
  </w:abstractNum>
  <w:abstractNum w:abstractNumId="160">
    <w:nsid w:val="70836196"/>
    <w:multiLevelType w:val="hybridMultilevel"/>
    <w:lvl w:ilvl="0">
      <w:lvlJc w:val="left"/>
      <w:lvlText w:val="(%1)"/>
      <w:numFmt w:val="upperLetter"/>
      <w:start w:val="2"/>
    </w:lvl>
  </w:abstractNum>
  <w:abstractNum w:abstractNumId="161">
    <w:nsid w:val="539F7F12"/>
    <w:multiLevelType w:val="hybridMultilevel"/>
    <w:lvl w:ilvl="0">
      <w:lvlJc w:val="left"/>
      <w:lvlText w:val="•"/>
      <w:numFmt w:val="bullet"/>
      <w:start w:val="1"/>
    </w:lvl>
  </w:abstractNum>
  <w:abstractNum w:abstractNumId="162">
    <w:nsid w:val="2817E7EC"/>
    <w:multiLevelType w:val="hybridMultilevel"/>
    <w:lvl w:ilvl="0">
      <w:lvlJc w:val="left"/>
      <w:lvlText w:val="•"/>
      <w:numFmt w:val="bullet"/>
      <w:start w:val="1"/>
    </w:lvl>
  </w:abstractNum>
  <w:abstractNum w:abstractNumId="163">
    <w:nsid w:val="71482545"/>
    <w:multiLevelType w:val="hybridMultilevel"/>
    <w:lvl w:ilvl="0">
      <w:lvlJc w:val="left"/>
      <w:lvlText w:val="•"/>
      <w:numFmt w:val="bullet"/>
      <w:start w:val="1"/>
    </w:lvl>
  </w:abstractNum>
  <w:abstractNum w:abstractNumId="164">
    <w:nsid w:val="17D78639"/>
    <w:multiLevelType w:val="hybridMultilevel"/>
    <w:lvl w:ilvl="0">
      <w:lvlJc w:val="left"/>
      <w:lvlText w:val="•"/>
      <w:numFmt w:val="bullet"/>
      <w:start w:val="1"/>
    </w:lvl>
    <w:lvl w:ilvl="1">
      <w:lvlJc w:val="left"/>
      <w:lvlText w:val="(%2)"/>
      <w:numFmt w:val="upperLetter"/>
      <w:start w:val="2"/>
    </w:lvl>
  </w:abstractNum>
  <w:abstractNum w:abstractNumId="165">
    <w:nsid w:val="141D2302"/>
    <w:multiLevelType w:val="hybridMultilevel"/>
    <w:lvl w:ilvl="0">
      <w:lvlJc w:val="left"/>
      <w:lvlText w:val="•"/>
      <w:numFmt w:val="bullet"/>
      <w:start w:val="1"/>
    </w:lvl>
    <w:lvl w:ilvl="1">
      <w:lvlJc w:val="left"/>
      <w:lvlText w:val="(%2)"/>
      <w:numFmt w:val="upperLetter"/>
      <w:start w:val="1"/>
    </w:lvl>
  </w:abstractNum>
  <w:abstractNum w:abstractNumId="166">
    <w:nsid w:val="407168D8"/>
    <w:multiLevelType w:val="hybridMultilevel"/>
    <w:lvl w:ilvl="0">
      <w:lvlJc w:val="left"/>
      <w:lvlText w:val="•"/>
      <w:numFmt w:val="bullet"/>
      <w:start w:val="1"/>
    </w:lvl>
  </w:abstractNum>
  <w:abstractNum w:abstractNumId="167">
    <w:nsid w:val="6A1B45E5"/>
    <w:multiLevelType w:val="hybridMultilevel"/>
    <w:lvl w:ilvl="0">
      <w:lvlJc w:val="left"/>
      <w:lvlText w:val="(%1)"/>
      <w:numFmt w:val="lowerLetter"/>
      <w:start w:val="1"/>
    </w:lvl>
    <w:lvl w:ilvl="1">
      <w:lvlJc w:val="left"/>
      <w:lvlText w:val="•"/>
      <w:numFmt w:val="bullet"/>
      <w:start w:val="1"/>
    </w:lvl>
  </w:abstractNum>
  <w:abstractNum w:abstractNumId="168">
    <w:nsid w:val="567BD50A"/>
    <w:multiLevelType w:val="hybridMultilevel"/>
    <w:lvl w:ilvl="0">
      <w:lvlJc w:val="left"/>
      <w:lvlText w:val="(%1)"/>
      <w:numFmt w:val="lowerLetter"/>
      <w:start w:val="3"/>
    </w:lvl>
    <w:lvl w:ilvl="1">
      <w:lvlJc w:val="left"/>
      <w:lvlText w:val="•"/>
      <w:numFmt w:val="bullet"/>
      <w:start w:val="1"/>
    </w:lvl>
  </w:abstractNum>
  <w:abstractNum w:abstractNumId="169">
    <w:nsid w:val="73BBD7F8"/>
    <w:multiLevelType w:val="hybridMultilevel"/>
    <w:lvl w:ilvl="0">
      <w:lvlJc w:val="left"/>
      <w:lvlText w:val="(%1)"/>
      <w:numFmt w:val="lowerLetter"/>
      <w:start w:val="4"/>
    </w:lvl>
    <w:lvl w:ilvl="1">
      <w:lvlJc w:val="left"/>
      <w:lvlText w:val="•"/>
      <w:numFmt w:val="bullet"/>
      <w:start w:val="1"/>
    </w:lvl>
  </w:abstractNum>
  <w:abstractNum w:abstractNumId="170">
    <w:nsid w:val="1876589D"/>
    <w:multiLevelType w:val="hybridMultilevel"/>
    <w:lvl w:ilvl="0">
      <w:lvlJc w:val="left"/>
      <w:lvlText w:val="•"/>
      <w:numFmt w:val="bullet"/>
      <w:start w:val="1"/>
    </w:lvl>
  </w:abstractNum>
  <w:abstractNum w:abstractNumId="171">
    <w:nsid w:val="327FAC77"/>
    <w:multiLevelType w:val="hybridMultilevel"/>
    <w:lvl w:ilvl="0">
      <w:lvlJc w:val="left"/>
      <w:lvlText w:val="(%1)"/>
      <w:numFmt w:val="lowerLetter"/>
      <w:start w:val="2"/>
    </w:lvl>
  </w:abstractNum>
  <w:abstractNum w:abstractNumId="172">
    <w:nsid w:val="5A606509"/>
    <w:multiLevelType w:val="hybridMultilevel"/>
    <w:lvl w:ilvl="0">
      <w:lvlJc w:val="left"/>
      <w:lvlText w:val="(%1)"/>
      <w:numFmt w:val="lowerRoman"/>
      <w:start w:val="1"/>
    </w:lvl>
  </w:abstractNum>
  <w:abstractNum w:abstractNumId="173">
    <w:nsid w:val="6F38E6D1"/>
    <w:multiLevelType w:val="hybridMultilevel"/>
    <w:lvl w:ilvl="0">
      <w:lvlJc w:val="left"/>
      <w:lvlText w:val="%1."/>
      <w:numFmt w:val="decimal"/>
      <w:start w:val="1"/>
    </w:lvl>
  </w:abstractNum>
  <w:abstractNum w:abstractNumId="174">
    <w:nsid w:val="46111BA5"/>
    <w:multiLevelType w:val="hybridMultilevel"/>
    <w:lvl w:ilvl="0">
      <w:lvlJc w:val="left"/>
      <w:lvlText w:val="%1."/>
      <w:numFmt w:val="decimal"/>
      <w:start w:val="6"/>
    </w:lvl>
  </w:abstractNum>
  <w:abstractNum w:abstractNumId="175">
    <w:nsid w:val="5E963896"/>
    <w:multiLevelType w:val="hybridMultilevel"/>
    <w:lvl w:ilvl="0">
      <w:lvlJc w:val="left"/>
      <w:lvlText w:val="•"/>
      <w:numFmt w:val="bullet"/>
      <w:start w:val="1"/>
    </w:lvl>
  </w:abstractNum>
  <w:abstractNum w:abstractNumId="176">
    <w:nsid w:val="775BA7C1"/>
    <w:multiLevelType w:val="hybridMultilevel"/>
    <w:lvl w:ilvl="0">
      <w:lvlJc w:val="left"/>
      <w:lvlText w:val="(%1)"/>
      <w:numFmt w:val="lowerRoman"/>
      <w:start w:val="1"/>
    </w:lvl>
  </w:abstractNum>
  <w:abstractNum w:abstractNumId="177">
    <w:nsid w:val="1DD6D6F4"/>
    <w:multiLevelType w:val="hybridMultilevel"/>
    <w:lvl w:ilvl="0">
      <w:lvlJc w:val="left"/>
      <w:lvlText w:val="††"/>
      <w:numFmt w:val="bullet"/>
      <w:start w:val="1"/>
    </w:lvl>
    <w:lvl w:ilvl="1">
      <w:lvlJc w:val="left"/>
      <w:lvlText w:val="(%2)"/>
      <w:numFmt w:val="decimal"/>
      <w:start w:val="1"/>
    </w:lvl>
  </w:abstractNum>
  <w:abstractNum w:abstractNumId="178">
    <w:nsid w:val="769A091F"/>
    <w:multiLevelType w:val="hybridMultilevel"/>
    <w:lvl w:ilvl="0">
      <w:lvlJc w:val="left"/>
      <w:lvlText w:val="(%1)"/>
      <w:numFmt w:val="decimal"/>
      <w:start w:val="4"/>
    </w:lvl>
  </w:abstractNum>
  <w:abstractNum w:abstractNumId="179">
    <w:nsid w:val="4695AE95"/>
    <w:multiLevelType w:val="hybridMultilevel"/>
    <w:lvl w:ilvl="0">
      <w:lvlJc w:val="left"/>
      <w:lvlText w:val="•"/>
      <w:numFmt w:val="bullet"/>
      <w:start w:val="1"/>
    </w:lvl>
  </w:abstractNum>
  <w:abstractNum w:abstractNumId="180">
    <w:nsid w:val="777A4EAA"/>
    <w:multiLevelType w:val="hybridMultilevel"/>
    <w:lvl w:ilvl="0">
      <w:lvlJc w:val="left"/>
      <w:lvlText w:val="(%1)"/>
      <w:numFmt w:val="upperLetter"/>
      <w:start w:val="1"/>
    </w:lvl>
  </w:abstractNum>
  <w:abstractNum w:abstractNumId="181">
    <w:nsid w:val="3F48B982"/>
    <w:multiLevelType w:val="hybridMultilevel"/>
    <w:lvl w:ilvl="0">
      <w:lvlJc w:val="left"/>
      <w:lvlText w:val="(%1)"/>
      <w:numFmt w:val="lowerLetter"/>
      <w:start w:val="1"/>
    </w:lvl>
  </w:abstractNum>
  <w:abstractNum w:abstractNumId="182">
    <w:nsid w:val="46BA8FCA"/>
    <w:multiLevelType w:val="hybridMultilevel"/>
    <w:lvl w:ilvl="0">
      <w:lvlJc w:val="left"/>
      <w:lvlText w:val="(%1)"/>
      <w:numFmt w:val="lowerLetter"/>
      <w:start w:val="6"/>
    </w:lvl>
  </w:abstractNum>
  <w:abstractNum w:abstractNumId="183">
    <w:nsid w:val="7835626C"/>
    <w:multiLevelType w:val="hybridMultilevel"/>
    <w:lvl w:ilvl="0">
      <w:lvlJc w:val="left"/>
      <w:lvlText w:val="(%1)"/>
      <w:numFmt w:val="lowerLetter"/>
      <w:start w:val="1"/>
    </w:lvl>
  </w:abstractNum>
  <w:abstractNum w:abstractNumId="184">
    <w:nsid w:val="665ACA49"/>
    <w:multiLevelType w:val="hybridMultilevel"/>
    <w:lvl w:ilvl="0">
      <w:lvlJc w:val="left"/>
      <w:lvlText w:val="(%1)"/>
      <w:numFmt w:val="lowerLetter"/>
      <w:start w:val="1"/>
    </w:lvl>
  </w:abstractNum>
  <w:abstractNum w:abstractNumId="185">
    <w:nsid w:val="6835B2AE"/>
    <w:multiLevelType w:val="hybridMultilevel"/>
    <w:lvl w:ilvl="0">
      <w:lvlJc w:val="left"/>
      <w:lvlText w:val="%1"/>
      <w:numFmt w:val="decimal"/>
      <w:start w:val="1"/>
    </w:lvl>
    <w:lvl w:ilvl="1">
      <w:lvlJc w:val="left"/>
      <w:lvlText w:val="(%2)"/>
      <w:numFmt w:val="lowerLetter"/>
      <w:start w:val="2"/>
    </w:lvl>
  </w:abstractNum>
  <w:abstractNum w:abstractNumId="186">
    <w:nsid w:val="4C187C90"/>
    <w:multiLevelType w:val="hybridMultilevel"/>
    <w:lvl w:ilvl="0">
      <w:lvlJc w:val="left"/>
      <w:lvlText w:val="(%1)"/>
      <w:numFmt w:val="decimal"/>
      <w:start w:val="20"/>
    </w:lvl>
    <w:lvl w:ilvl="1">
      <w:lvlJc w:val="left"/>
      <w:lvlText w:val="%2"/>
      <w:numFmt w:val="lowerLetter"/>
      <w:start w:val="1"/>
    </w:lvl>
  </w:abstractNum>
  <w:abstractNum w:abstractNumId="187">
    <w:nsid w:val="541F28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8">
    <w:nsid w:val="7F65FD16"/>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2"/>
    </w:lvl>
  </w:abstractNum>
  <w:abstractNum w:abstractNumId="189">
    <w:nsid w:val="77C9FD68"/>
    <w:multiLevelType w:val="hybridMultilevel"/>
    <w:lvl w:ilvl="0">
      <w:lvlJc w:val="left"/>
      <w:lvlText w:val="%1"/>
      <w:numFmt w:val="lowerLetter"/>
      <w:start w:val="1"/>
    </w:lvl>
    <w:lvl w:ilvl="1">
      <w:lvlJc w:val="left"/>
      <w:lvlText w:val="(%2)"/>
      <w:numFmt w:val="lowerLetter"/>
      <w:start w:val="4"/>
    </w:lvl>
  </w:abstractNum>
  <w:abstractNum w:abstractNumId="190">
    <w:nsid w:val="298A92BA"/>
    <w:multiLevelType w:val="hybridMultilevel"/>
    <w:lvl w:ilvl="0">
      <w:lvlJc w:val="left"/>
      <w:lvlText w:val="(%1)"/>
      <w:numFmt w:val="lowerLetter"/>
      <w:start w:val="24"/>
    </w:lvl>
    <w:lvl w:ilvl="1">
      <w:lvlJc w:val="left"/>
      <w:lvlText w:val="%2"/>
      <w:numFmt w:val="lowerLetter"/>
      <w:start w:val="1"/>
    </w:lvl>
  </w:abstractNum>
  <w:abstractNum w:abstractNumId="191">
    <w:nsid w:val="6FE95EAC"/>
    <w:multiLevelType w:val="hybridMultilevel"/>
    <w:lvl w:ilvl="0">
      <w:lvlJc w:val="left"/>
      <w:lvlText w:val="(%1)"/>
      <w:numFmt w:val="lowerLetter"/>
      <w:start w:val="5"/>
    </w:lvl>
  </w:abstractNum>
  <w:abstractNum w:abstractNumId="192">
    <w:nsid w:val="4B697C7A"/>
    <w:multiLevelType w:val="hybridMultilevel"/>
    <w:lvl w:ilvl="0">
      <w:lvlJc w:val="left"/>
      <w:lvlText w:val="(%1)"/>
      <w:numFmt w:val="lowerLetter"/>
      <w:start w:val="7"/>
    </w:lvl>
  </w:abstractNum>
  <w:abstractNum w:abstractNumId="193">
    <w:nsid w:val="51A27AA6"/>
    <w:multiLevelType w:val="hybridMultilevel"/>
    <w:lvl w:ilvl="0">
      <w:lvlJc w:val="left"/>
      <w:lvlText w:val="%1"/>
      <w:numFmt w:val="lowerLetter"/>
      <w:start w:val="1"/>
    </w:lvl>
    <w:lvl w:ilvl="1">
      <w:lvlJc w:val="left"/>
      <w:lvlText w:val="(%2)"/>
      <w:numFmt w:val="lowerLetter"/>
      <w:start w:val="1"/>
    </w:lvl>
  </w:abstractNum>
  <w:abstractNum w:abstractNumId="194">
    <w:nsid w:val="613183F2"/>
    <w:multiLevelType w:val="hybridMultilevel"/>
    <w:lvl w:ilvl="0">
      <w:lvlJc w:val="left"/>
      <w:lvlText w:val="(%1)"/>
      <w:numFmt w:val="lowerLetter"/>
      <w:start w:val="35"/>
    </w:lvl>
    <w:lvl w:ilvl="1">
      <w:lvlJc w:val="left"/>
      <w:lvlText w:val="%2"/>
      <w:numFmt w:val="lowerLetter"/>
      <w:start w:val="1"/>
    </w:lvl>
  </w:abstractNum>
  <w:abstractNum w:abstractNumId="195">
    <w:nsid w:val="634102B4"/>
    <w:multiLevelType w:val="hybridMultilevel"/>
    <w:lvl w:ilvl="0">
      <w:lvlJc w:val="left"/>
      <w:lvlText w:val="(%1)"/>
      <w:numFmt w:val="lowerLetter"/>
      <w:start w:val="1"/>
    </w:lvl>
  </w:abstractNum>
  <w:abstractNum w:abstractNumId="196">
    <w:nsid w:val="65BF9DA8"/>
    <w:multiLevelType w:val="hybridMultilevel"/>
    <w:lvl w:ilvl="0">
      <w:lvlJc w:val="left"/>
      <w:lvlText w:val="(%1)"/>
      <w:numFmt w:val="lowerLetter"/>
      <w:start w:val="2"/>
    </w:lvl>
  </w:abstractNum>
  <w:abstractNum w:abstractNumId="197">
    <w:nsid w:val="21A2ECCA"/>
    <w:multiLevelType w:val="hybridMultilevel"/>
    <w:lvl w:ilvl="0">
      <w:lvlJc w:val="left"/>
      <w:lvlText w:val="%1"/>
      <w:numFmt w:val="lowerLetter"/>
      <w:start w:val="1"/>
    </w:lvl>
    <w:lvl w:ilvl="1">
      <w:lvlJc w:val="left"/>
      <w:lvlText w:val="(%2)"/>
      <w:numFmt w:val="lowerLetter"/>
      <w:start w:val="1"/>
    </w:lvl>
  </w:abstractNum>
  <w:abstractNum w:abstractNumId="198">
    <w:nsid w:val="4D5C4899"/>
    <w:multiLevelType w:val="hybridMultilevel"/>
    <w:lvl w:ilvl="0">
      <w:lvlJc w:val="left"/>
      <w:lvlText w:val="(%1)"/>
      <w:numFmt w:val="lowerLetter"/>
      <w:start w:val="35"/>
    </w:lvl>
    <w:lvl w:ilvl="1">
      <w:lvlJc w:val="left"/>
      <w:lvlText w:val="(%2)"/>
      <w:numFmt w:val="lowerLetter"/>
      <w:start w:val="4"/>
    </w:lvl>
  </w:abstractNum>
  <w:abstractNum w:abstractNumId="199">
    <w:nsid w:val="3C3B72B2"/>
    <w:multiLevelType w:val="hybridMultilevel"/>
    <w:lvl w:ilvl="0">
      <w:lvlJc w:val="left"/>
      <w:lvlText w:val="(%1)"/>
      <w:numFmt w:val="lowerLetter"/>
      <w:start w:val="1"/>
    </w:lvl>
  </w:abstractNum>
  <w:abstractNum w:abstractNumId="200">
    <w:nsid w:val="155EC4C2"/>
    <w:multiLevelType w:val="hybridMultilevel"/>
    <w:lvl w:ilvl="0">
      <w:lvlJc w:val="left"/>
      <w:lvlText w:val="(%1)"/>
      <w:numFmt w:val="lowerLetter"/>
      <w:start w:val="2"/>
    </w:lvl>
  </w:abstractNum>
  <w:abstractNum w:abstractNumId="201">
    <w:nsid w:val="65D2A137"/>
    <w:multiLevelType w:val="hybridMultilevel"/>
    <w:lvl w:ilvl="0">
      <w:lvlJc w:val="left"/>
      <w:lvlText w:val="(%1)"/>
      <w:numFmt w:val="lowerLetter"/>
      <w:start w:val="1"/>
    </w:lvl>
  </w:abstractNum>
  <w:abstractNum w:abstractNumId="202">
    <w:nsid w:val="6EBB1F2A"/>
    <w:multiLevelType w:val="hybridMultilevel"/>
    <w:lvl w:ilvl="0">
      <w:lvlJc w:val="left"/>
      <w:lvlText w:val="(%1)"/>
      <w:numFmt w:val="lowerRoman"/>
      <w:start w:val="2"/>
    </w:lvl>
  </w:abstractNum>
  <w:abstractNum w:abstractNumId="203">
    <w:nsid w:val="6FBF29CB"/>
    <w:multiLevelType w:val="hybridMultilevel"/>
    <w:lvl w:ilvl="0">
      <w:lvlJc w:val="left"/>
      <w:lvlText w:val="(%1)"/>
      <w:numFmt w:val="lowerLetter"/>
      <w:start w:val="1"/>
    </w:lvl>
  </w:abstractNum>
  <w:abstractNum w:abstractNumId="204">
    <w:nsid w:val="550B8808"/>
    <w:multiLevelType w:val="hybridMultilevel"/>
    <w:lvl w:ilvl="0">
      <w:lvlJc w:val="left"/>
      <w:lvlText w:val="(%1)"/>
      <w:numFmt w:val="upperLetter"/>
      <w:start w:val="3"/>
    </w:lvl>
    <w:lvl w:ilvl="1">
      <w:lvlJc w:val="left"/>
      <w:lvlText w:val="(%2)"/>
      <w:numFmt w:val="lowerLetter"/>
      <w:start w:val="4"/>
    </w:lvl>
  </w:abstractNum>
  <w:abstractNum w:abstractNumId="205">
    <w:nsid w:val="34CC3ACF"/>
    <w:multiLevelType w:val="hybridMultilevel"/>
    <w:lvl w:ilvl="0">
      <w:lvlJc w:val="left"/>
      <w:lvlText w:val="(%1)"/>
      <w:numFmt w:val="lowerLetter"/>
      <w:start w:val="5"/>
    </w:lvl>
  </w:abstractNum>
  <w:abstractNum w:abstractNumId="206">
    <w:nsid w:val="4E556261"/>
    <w:multiLevelType w:val="hybridMultilevel"/>
    <w:lvl w:ilvl="0">
      <w:lvlJc w:val="left"/>
      <w:lvlText w:val="(%1)"/>
      <w:numFmt w:val="lowerLetter"/>
      <w:start w:val="1"/>
    </w:lvl>
  </w:abstractNum>
  <w:abstractNum w:abstractNumId="207">
    <w:nsid w:val="4C672FC9"/>
    <w:multiLevelType w:val="hybridMultilevel"/>
    <w:lvl w:ilvl="0">
      <w:lvlJc w:val="left"/>
      <w:lvlText w:val="(%1)"/>
      <w:numFmt w:val="lowerLetter"/>
      <w:start w:val="1"/>
    </w:lvl>
  </w:abstractNum>
  <w:abstractNum w:abstractNumId="208">
    <w:nsid w:val="52A311C3"/>
    <w:multiLevelType w:val="hybridMultilevel"/>
    <w:lvl w:ilvl="0">
      <w:lvlJc w:val="left"/>
      <w:lvlText w:val="%1"/>
      <w:numFmt w:val="lowerLetter"/>
      <w:start w:val="1"/>
    </w:lvl>
    <w:lvl w:ilvl="1">
      <w:lvlJc w:val="left"/>
      <w:lvlText w:val="(%2)"/>
      <w:numFmt w:val="lowerLetter"/>
      <w:start w:val="1"/>
    </w:lvl>
  </w:abstractNum>
  <w:abstractNum w:abstractNumId="209">
    <w:nsid w:val="44EF6B80"/>
    <w:multiLevelType w:val="hybridMultilevel"/>
    <w:lvl w:ilvl="0">
      <w:lvlJc w:val="left"/>
      <w:lvlText w:val="(%1)"/>
      <w:numFmt w:val="lowerLetter"/>
      <w:start w:val="35"/>
    </w:lvl>
    <w:lvl w:ilvl="1">
      <w:lvlJc w:val="left"/>
      <w:lvlText w:val="%2"/>
      <w:numFmt w:val="lowerLetter"/>
      <w:start w:val="1"/>
    </w:lvl>
  </w:abstractNum>
  <w:abstractNum w:abstractNumId="210">
    <w:nsid w:val="12FCDE5E"/>
    <w:multiLevelType w:val="hybridMultilevel"/>
    <w:lvl w:ilvl="0">
      <w:lvlJc w:val="left"/>
      <w:lvlText w:val="(%1)"/>
      <w:numFmt w:val="lowerLetter"/>
      <w:start w:val="2"/>
    </w:lvl>
  </w:abstractNum>
  <w:abstractNum w:abstractNumId="211">
    <w:nsid w:val="4A1D606E"/>
    <w:multiLevelType w:val="hybridMultilevel"/>
    <w:lvl w:ilvl="0">
      <w:lvlJc w:val="left"/>
      <w:lvlText w:val="(%1)"/>
      <w:numFmt w:val="lowerLetter"/>
      <w:start w:val="1"/>
    </w:lvl>
  </w:abstractNum>
  <w:abstractNum w:abstractNumId="212">
    <w:nsid w:val="4382503"/>
    <w:multiLevelType w:val="hybridMultilevel"/>
    <w:lvl w:ilvl="0">
      <w:lvlJc w:val="left"/>
      <w:lvlText w:val="(%1)"/>
      <w:numFmt w:val="lowerLetter"/>
      <w:start w:val="1"/>
    </w:lvl>
  </w:abstractNum>
  <w:abstractNum w:abstractNumId="213">
    <w:nsid w:val="59B76E28"/>
    <w:multiLevelType w:val="hybridMultilevel"/>
    <w:lvl w:ilvl="0">
      <w:lvlJc w:val="left"/>
      <w:lvlText w:val="(%1)"/>
      <w:numFmt w:val="lowerLetter"/>
      <w:start w:val="4"/>
    </w:lvl>
  </w:abstractNum>
  <w:abstractNum w:abstractNumId="214">
    <w:nsid w:val="4252C2DA"/>
    <w:multiLevelType w:val="hybridMultilevel"/>
    <w:lvl w:ilvl="0">
      <w:lvlJc w:val="left"/>
      <w:lvlText w:val="%1"/>
      <w:numFmt w:val="lowerLetter"/>
      <w:start w:val="1"/>
    </w:lvl>
    <w:lvl w:ilvl="1">
      <w:lvlJc w:val="left"/>
      <w:lvlText w:val="(%2)"/>
      <w:numFmt w:val="lowerLetter"/>
      <w:start w:val="1"/>
    </w:lvl>
  </w:abstractNum>
  <w:abstractNum w:abstractNumId="215">
    <w:nsid w:val="6A92EF4C"/>
    <w:multiLevelType w:val="hybridMultilevel"/>
    <w:lvl w:ilvl="0">
      <w:lvlJc w:val="left"/>
      <w:lvlText w:val="(%1)"/>
      <w:numFmt w:val="lowerLetter"/>
      <w:start w:val="9"/>
    </w:lvl>
    <w:lvl w:ilvl="1">
      <w:lvlJc w:val="left"/>
      <w:lvlText w:val="(%2)"/>
      <w:numFmt w:val="lowerLetter"/>
      <w:start w:val="2"/>
    </w:lvl>
  </w:abstractNum>
  <w:abstractNum w:abstractNumId="216">
    <w:nsid w:val="41ED20D7"/>
    <w:multiLevelType w:val="hybridMultilevel"/>
    <w:lvl w:ilvl="0">
      <w:lvlJc w:val="left"/>
      <w:lvlText w:val="(%1)"/>
      <w:numFmt w:val="lowerLetter"/>
      <w:start w:val="9"/>
    </w:lvl>
    <w:lvl w:ilvl="1">
      <w:lvlJc w:val="left"/>
      <w:lvlText w:val="(%2)"/>
      <w:numFmt w:val="lowerLetter"/>
      <w:start w:val="3"/>
    </w:lvl>
  </w:abstractNum>
  <w:abstractNum w:abstractNumId="217">
    <w:nsid w:val="E6B3F6A"/>
    <w:multiLevelType w:val="hybridMultilevel"/>
    <w:lvl w:ilvl="0">
      <w:lvlJc w:val="left"/>
      <w:lvlText w:val="(%1)"/>
      <w:numFmt w:val="lowerLetter"/>
      <w:start w:val="1"/>
    </w:lvl>
    <w:lvl w:ilvl="1">
      <w:lvlJc w:val="left"/>
      <w:lvlText w:val="(%2)"/>
      <w:numFmt w:val="lowerRoman"/>
      <w:start w:val="1"/>
    </w:lvl>
  </w:abstractNum>
  <w:abstractNum w:abstractNumId="218">
    <w:nsid w:val="3EB21819"/>
    <w:multiLevelType w:val="hybridMultilevel"/>
    <w:lvl w:ilvl="0">
      <w:lvlJc w:val="left"/>
      <w:lvlText w:val="%1"/>
      <w:numFmt w:val="lowerLetter"/>
      <w:start w:val="1"/>
    </w:lvl>
    <w:lvl w:ilvl="1">
      <w:lvlJc w:val="left"/>
      <w:lvlText w:val="(%2)"/>
      <w:numFmt w:val="lowerRoman"/>
      <w:start w:val="4"/>
    </w:lvl>
  </w:abstractNum>
  <w:abstractNum w:abstractNumId="219">
    <w:nsid w:val="41531DED"/>
    <w:multiLevelType w:val="hybridMultilevel"/>
    <w:lvl w:ilvl="0">
      <w:lvlJc w:val="left"/>
      <w:lvlText w:val="(%1)"/>
      <w:numFmt w:val="lowerLetter"/>
      <w:start w:val="2"/>
    </w:lvl>
    <w:lvl w:ilvl="1">
      <w:lvlJc w:val="left"/>
      <w:lvlText w:val="%2"/>
      <w:numFmt w:val="lowerRoman"/>
      <w:start w:val="1"/>
    </w:lvl>
  </w:abstractNum>
  <w:abstractNum w:abstractNumId="220">
    <w:nsid w:val="6353CD2"/>
    <w:multiLevelType w:val="hybridMultilevel"/>
    <w:lvl w:ilvl="0">
      <w:lvlJc w:val="left"/>
      <w:lvlText w:val="(%1)"/>
      <w:numFmt w:val="lowerLetter"/>
      <w:start w:val="1"/>
    </w:lvl>
  </w:abstractNum>
  <w:abstractNum w:abstractNumId="221">
    <w:nsid w:val="683CAAD3"/>
    <w:multiLevelType w:val="hybridMultilevel"/>
    <w:lvl w:ilvl="0">
      <w:lvlJc w:val="left"/>
      <w:lvlText w:val="(%1)"/>
      <w:numFmt w:val="lowerLetter"/>
      <w:start w:val="1"/>
    </w:lvl>
  </w:abstractNum>
  <w:abstractNum w:abstractNumId="222">
    <w:nsid w:val="313C7C99"/>
    <w:multiLevelType w:val="hybridMultilevel"/>
    <w:lvl w:ilvl="0">
      <w:lvlJc w:val="left"/>
      <w:lvlText w:val="(%1)"/>
      <w:numFmt w:val="lowerLetter"/>
      <w:start w:val="1"/>
    </w:lvl>
  </w:abstractNum>
  <w:abstractNum w:abstractNumId="223">
    <w:nsid w:val="519EB94C"/>
    <w:multiLevelType w:val="hybridMultilevel"/>
    <w:lvl w:ilvl="0">
      <w:lvlJc w:val="left"/>
      <w:lvlText w:val="(%1)"/>
      <w:numFmt w:val="lowerLetter"/>
      <w:start w:val="2"/>
    </w:lvl>
  </w:abstractNum>
  <w:abstractNum w:abstractNumId="224">
    <w:nsid w:val="39DF2579"/>
    <w:multiLevelType w:val="hybridMultilevel"/>
    <w:lvl w:ilvl="0">
      <w:lvlJc w:val="left"/>
      <w:lvlText w:val="(%1)"/>
      <w:numFmt w:val="lowerLetter"/>
      <w:start w:val="1"/>
    </w:lvl>
  </w:abstractNum>
  <w:abstractNum w:abstractNumId="225">
    <w:nsid w:val="126E008B"/>
    <w:multiLevelType w:val="hybridMultilevel"/>
    <w:lvl w:ilvl="0">
      <w:lvlJc w:val="left"/>
      <w:lvlText w:val="(%1)"/>
      <w:numFmt w:val="decimal"/>
      <w:start w:val="1"/>
    </w:lvl>
    <w:lvl w:ilvl="1">
      <w:lvlJc w:val="left"/>
      <w:lvlText w:val="(%2)"/>
      <w:numFmt w:val="lowerLetter"/>
      <w:start w:val="3"/>
    </w:lvl>
  </w:abstractNum>
  <w:abstractNum w:abstractNumId="226">
    <w:nsid w:val="34DFBC00"/>
    <w:multiLevelType w:val="hybridMultilevel"/>
    <w:lvl w:ilvl="0">
      <w:lvlJc w:val="left"/>
      <w:lvlText w:val="(%1)"/>
      <w:numFmt w:val="lowerRoman"/>
      <w:start w:val="4"/>
    </w:lvl>
  </w:abstractNum>
  <w:abstractNum w:abstractNumId="227">
    <w:nsid w:val="1F9EC322"/>
    <w:multiLevelType w:val="hybridMultilevel"/>
    <w:lvl w:ilvl="0">
      <w:lvlJc w:val="left"/>
      <w:lvlText w:val="(%1)"/>
      <w:numFmt w:val="upperLetter"/>
      <w:start w:val="1"/>
    </w:lvl>
    <w:lvl w:ilvl="1">
      <w:lvlJc w:val="left"/>
      <w:lvlText w:val="%2"/>
      <w:numFmt w:val="lowerLetter"/>
      <w:start w:val="1"/>
    </w:lvl>
  </w:abstractNum>
  <w:abstractNum w:abstractNumId="228">
    <w:nsid w:val="3410ED56"/>
    <w:multiLevelType w:val="hybridMultilevel"/>
    <w:lvl w:ilvl="0">
      <w:lvlJc w:val="left"/>
      <w:lvlText w:val="(%1)"/>
      <w:numFmt w:val="upperLetter"/>
      <w:start w:val="3"/>
    </w:lvl>
    <w:lvl w:ilvl="1">
      <w:lvlJc w:val="left"/>
      <w:lvlText w:val="(%2)"/>
      <w:numFmt w:val="lowerLetter"/>
      <w:start w:val="1"/>
    </w:lvl>
  </w:abstractNum>
  <w:abstractNum w:abstractNumId="229">
    <w:nsid w:val="23C049A"/>
    <w:multiLevelType w:val="hybridMultilevel"/>
    <w:lvl w:ilvl="0">
      <w:lvlJc w:val="left"/>
      <w:lvlText w:val="(%1)"/>
      <w:numFmt w:val="lowerLetter"/>
      <w:start w:val="3"/>
    </w:lvl>
  </w:abstractNum>
  <w:abstractNum w:abstractNumId="230">
    <w:nsid w:val="5BDA35D4"/>
    <w:multiLevelType w:val="hybridMultilevel"/>
    <w:lvl w:ilvl="0">
      <w:lvlJc w:val="left"/>
      <w:lvlText w:val="(%1)"/>
      <w:numFmt w:val="lowerLetter"/>
      <w:start w:val="11"/>
    </w:lvl>
  </w:abstractNum>
  <w:abstractNum w:abstractNumId="231">
    <w:nsid w:val="496FB218"/>
    <w:multiLevelType w:val="hybridMultilevel"/>
    <w:lvl w:ilvl="0">
      <w:lvlJc w:val="left"/>
      <w:lvlText w:val="%1"/>
      <w:numFmt w:val="upperLetter"/>
      <w:start w:val="1"/>
    </w:lvl>
    <w:lvl w:ilvl="1">
      <w:lvlJc w:val="left"/>
      <w:lvlText w:val="(%2)"/>
      <w:numFmt w:val="lowerLetter"/>
      <w:start w:val="13"/>
    </w:lvl>
  </w:abstractNum>
  <w:abstractNum w:abstractNumId="232">
    <w:nsid w:val="680EA5D1"/>
    <w:multiLevelType w:val="hybridMultilevel"/>
    <w:lvl w:ilvl="0">
      <w:lvlJc w:val="left"/>
      <w:lvlText w:val="(%1)"/>
      <w:numFmt w:val="upperLetter"/>
      <w:start w:val="6"/>
    </w:lvl>
    <w:lvl w:ilvl="1">
      <w:lvlJc w:val="left"/>
      <w:lvlText w:val="(%2)"/>
      <w:numFmt w:val="lowerLetter"/>
      <w:start w:val="15"/>
    </w:lvl>
  </w:abstractNum>
  <w:abstractNum w:abstractNumId="233">
    <w:nsid w:val="4A9554FE"/>
    <w:multiLevelType w:val="hybridMultilevel"/>
    <w:lvl w:ilvl="0">
      <w:lvlJc w:val="left"/>
      <w:lvlText w:val="(%1)"/>
      <w:numFmt w:val="lowerLetter"/>
      <w:start w:val="1"/>
    </w:lvl>
  </w:abstractNum>
  <w:abstractNum w:abstractNumId="234">
    <w:nsid w:val="392EDBE4"/>
    <w:multiLevelType w:val="hybridMultilevel"/>
    <w:lvl w:ilvl="0">
      <w:lvlJc w:val="left"/>
      <w:lvlText w:val="(%1)"/>
      <w:numFmt w:val="lowerLetter"/>
      <w:start w:val="2"/>
    </w:lvl>
  </w:abstractNum>
  <w:abstractNum w:abstractNumId="235">
    <w:nsid w:val="3D1A2DD9"/>
    <w:multiLevelType w:val="hybridMultilevel"/>
    <w:lvl w:ilvl="0">
      <w:lvlJc w:val="left"/>
      <w:lvlText w:val="(%1)"/>
      <w:numFmt w:val="lowerLetter"/>
      <w:start w:val="1"/>
    </w:lvl>
  </w:abstractNum>
  <w:abstractNum w:abstractNumId="236">
    <w:nsid w:val="7F618FCD"/>
    <w:multiLevelType w:val="hybridMultilevel"/>
    <w:lvl w:ilvl="0">
      <w:lvlJc w:val="left"/>
      <w:lvlText w:val="%1"/>
      <w:numFmt w:val="lowerLetter"/>
      <w:start w:val="1"/>
    </w:lvl>
    <w:lvl w:ilvl="1">
      <w:lvlJc w:val="left"/>
      <w:lvlText w:val="(%2)"/>
      <w:numFmt w:val="lowerLetter"/>
      <w:start w:val="2"/>
    </w:lvl>
  </w:abstractNum>
  <w:abstractNum w:abstractNumId="237">
    <w:nsid w:val="7843E45"/>
    <w:multiLevelType w:val="hybridMultilevel"/>
    <w:lvl w:ilvl="0">
      <w:lvlJc w:val="left"/>
      <w:lvlText w:val="(%1)"/>
      <w:numFmt w:val="lowerLetter"/>
      <w:start w:val="24"/>
    </w:lvl>
    <w:lvl w:ilvl="1">
      <w:lvlJc w:val="left"/>
      <w:lvlText w:val="(%2)"/>
      <w:numFmt w:val="lowerLetter"/>
      <w:start w:val="3"/>
    </w:lvl>
  </w:abstractNum>
  <w:abstractNum w:abstractNumId="238">
    <w:nsid w:val="9815DA3"/>
    <w:multiLevelType w:val="hybridMultilevel"/>
    <w:lvl w:ilvl="0">
      <w:lvlJc w:val="left"/>
      <w:lvlText w:val="(%1)"/>
      <w:numFmt w:val="lowerLetter"/>
      <w:start w:val="4"/>
    </w:lvl>
  </w:abstractNum>
  <w:abstractNum w:abstractNumId="239">
    <w:nsid w:val="5204A191"/>
    <w:multiLevelType w:val="hybridMultilevel"/>
    <w:lvl w:ilvl="0">
      <w:lvlJc w:val="left"/>
      <w:lvlText w:val="(%1)"/>
      <w:numFmt w:val="lowerLetter"/>
      <w:start w:val="1"/>
    </w:lvl>
  </w:abstractNum>
  <w:abstractNum w:abstractNumId="240">
    <w:nsid w:val="4C73A9C6"/>
    <w:multiLevelType w:val="hybridMultilevel"/>
    <w:lvl w:ilvl="0">
      <w:lvlJc w:val="left"/>
      <w:lvlText w:val="(%1)"/>
      <w:numFmt w:val="lowerLetter"/>
      <w:start w:val="1"/>
    </w:lvl>
  </w:abstractNum>
  <w:abstractNum w:abstractNumId="241">
    <w:nsid w:val="1C7E3C01"/>
    <w:multiLevelType w:val="hybridMultilevel"/>
    <w:lvl w:ilvl="0">
      <w:lvlJc w:val="left"/>
      <w:lvlText w:val="(%1)"/>
      <w:numFmt w:val="decimal"/>
      <w:start w:val="48"/>
    </w:lvl>
    <w:lvl w:ilvl="1">
      <w:lvlJc w:val="left"/>
      <w:lvlText w:val="(%2)"/>
      <w:numFmt w:val="lowerLetter"/>
      <w:start w:val="2"/>
    </w:lvl>
  </w:abstractNum>
  <w:abstractNum w:abstractNumId="242">
    <w:nsid w:val="1C2201FF"/>
    <w:multiLevelType w:val="hybridMultilevel"/>
    <w:lvl w:ilvl="0">
      <w:lvlJc w:val="left"/>
      <w:lvlText w:val="%1"/>
      <w:numFmt w:val="lowerLetter"/>
      <w:start w:val="1"/>
    </w:lvl>
    <w:lvl w:ilvl="1">
      <w:lvlJc w:val="left"/>
      <w:lvlText w:val="(%2)"/>
      <w:numFmt w:val="lowerLetter"/>
      <w:start w:val="4"/>
    </w:lvl>
  </w:abstractNum>
  <w:abstractNum w:abstractNumId="243">
    <w:nsid w:val="50ABCEC9"/>
    <w:multiLevelType w:val="hybridMultilevel"/>
    <w:lvl w:ilvl="0">
      <w:lvlJc w:val="left"/>
      <w:lvlText w:val="(%1)"/>
      <w:numFmt w:val="lowerLetter"/>
      <w:start w:val="25"/>
    </w:lvl>
    <w:lvl w:ilvl="1">
      <w:lvlJc w:val="left"/>
      <w:lvlText w:val="%2"/>
      <w:numFmt w:val="lowerLetter"/>
      <w:start w:val="1"/>
    </w:lvl>
  </w:abstractNum>
  <w:abstractNum w:abstractNumId="244">
    <w:nsid w:val="7635AA2A"/>
    <w:multiLevelType w:val="hybridMultilevel"/>
    <w:lvl w:ilvl="0">
      <w:lvlJc w:val="left"/>
      <w:lvlText w:val="(%1)"/>
      <w:numFmt w:val="lowerLetter"/>
      <w:start w:val="9"/>
    </w:lvl>
    <w:lvl w:ilvl="1">
      <w:lvlJc w:val="left"/>
      <w:lvlText w:val="(%2)"/>
      <w:numFmt w:val="lowerLetter"/>
      <w:start w:val="5"/>
    </w:lvl>
  </w:abstractNum>
  <w:abstractNum w:abstractNumId="245">
    <w:nsid w:val="5E74C4D9"/>
    <w:multiLevelType w:val="hybridMultilevel"/>
    <w:lvl w:ilvl="0">
      <w:lvlJc w:val="left"/>
      <w:lvlText w:val="(%1)"/>
      <w:numFmt w:val="lowerLetter"/>
      <w:start w:val="6"/>
    </w:lvl>
  </w:abstractNum>
  <w:abstractNum w:abstractNumId="246">
    <w:nsid w:val="3B3EBE15"/>
    <w:multiLevelType w:val="hybridMultilevel"/>
    <w:lvl w:ilvl="0">
      <w:lvlJc w:val="left"/>
      <w:lvlText w:val="(%1)"/>
      <w:numFmt w:val="lowerLetter"/>
      <w:start w:val="1"/>
    </w:lvl>
  </w:abstractNum>
  <w:abstractNum w:abstractNumId="247">
    <w:nsid w:val="3822CB01"/>
    <w:multiLevelType w:val="hybridMultilevel"/>
    <w:lvl w:ilvl="0">
      <w:lvlJc w:val="left"/>
      <w:lvlText w:val="(%1)"/>
      <w:numFmt w:val="lowerLetter"/>
      <w:start w:val="3"/>
    </w:lvl>
  </w:abstractNum>
  <w:abstractNum w:abstractNumId="248">
    <w:nsid w:val="6CE00443"/>
    <w:multiLevelType w:val="hybridMultilevel"/>
    <w:lvl w:ilvl="0">
      <w:lvlJc w:val="left"/>
      <w:lvlText w:val="(%1)"/>
      <w:numFmt w:val="lowerLetter"/>
      <w:start w:val="6"/>
    </w:lvl>
  </w:abstractNum>
  <w:abstractNum w:abstractNumId="249">
    <w:nsid w:val="79F0D62F"/>
    <w:multiLevelType w:val="hybridMultilevel"/>
    <w:lvl w:ilvl="0">
      <w:lvlJc w:val="left"/>
      <w:lvlText w:val="(%1)"/>
      <w:numFmt w:val="lowerLetter"/>
      <w:start w:val="1"/>
    </w:lvl>
  </w:abstractNum>
  <w:abstractNum w:abstractNumId="250">
    <w:nsid w:val="7975E8EE"/>
    <w:multiLevelType w:val="hybridMultilevel"/>
    <w:lvl w:ilvl="0">
      <w:lvlJc w:val="left"/>
      <w:lvlText w:val="(%1)"/>
      <w:numFmt w:val="lowerLetter"/>
      <w:start w:val="1"/>
    </w:lvl>
  </w:abstractNum>
  <w:abstractNum w:abstractNumId="251">
    <w:nsid w:val="73154115"/>
    <w:multiLevelType w:val="hybridMultilevel"/>
    <w:lvl w:ilvl="0">
      <w:lvlJc w:val="left"/>
      <w:lvlText w:val="(%1)"/>
      <w:numFmt w:val="lowerLetter"/>
      <w:start w:val="25"/>
    </w:lvl>
    <w:lvl w:ilvl="1">
      <w:lvlJc w:val="left"/>
      <w:lvlText w:val="(%2)"/>
      <w:numFmt w:val="lowerLetter"/>
      <w:start w:val="3"/>
    </w:lvl>
  </w:abstractNum>
  <w:abstractNum w:abstractNumId="252">
    <w:nsid w:val="622D8102"/>
    <w:multiLevelType w:val="hybridMultilevel"/>
    <w:lvl w:ilvl="0">
      <w:lvlJc w:val="left"/>
      <w:lvlText w:val="(%1)"/>
      <w:numFmt w:val="lowerLetter"/>
      <w:start w:val="35"/>
    </w:lvl>
    <w:lvl w:ilvl="1">
      <w:lvlJc w:val="left"/>
      <w:lvlText w:val="(%2)"/>
      <w:numFmt w:val="lowerLetter"/>
      <w:start w:val="4"/>
    </w:lvl>
  </w:abstractNum>
  <w:abstractNum w:abstractNumId="253">
    <w:nsid w:val="2AB26587"/>
    <w:multiLevelType w:val="hybridMultilevel"/>
    <w:lvl w:ilvl="0">
      <w:lvlJc w:val="left"/>
      <w:lvlText w:val="(%1)"/>
      <w:numFmt w:val="lowerLetter"/>
      <w:start w:val="35"/>
    </w:lvl>
    <w:lvl w:ilvl="1">
      <w:lvlJc w:val="left"/>
      <w:lvlText w:val="(%2)"/>
      <w:numFmt w:val="lowerLetter"/>
      <w:start w:val="5"/>
    </w:lvl>
  </w:abstractNum>
  <w:abstractNum w:abstractNumId="254">
    <w:nsid w:val="44B3FA61"/>
    <w:multiLevelType w:val="hybridMultilevel"/>
    <w:lvl w:ilvl="0">
      <w:lvlJc w:val="left"/>
      <w:lvlText w:val="(%1)"/>
      <w:numFmt w:val="lowerLetter"/>
      <w:start w:val="6"/>
    </w:lvl>
  </w:abstractNum>
  <w:abstractNum w:abstractNumId="255">
    <w:nsid w:val="1C0CA67C"/>
    <w:multiLevelType w:val="hybridMultilevel"/>
    <w:lvl w:ilvl="0">
      <w:lvlJc w:val="left"/>
      <w:lvlText w:val="%1"/>
      <w:numFmt w:val="lowerLetter"/>
      <w:start w:val="1"/>
    </w:lvl>
    <w:lvl w:ilvl="1">
      <w:lvlJc w:val="left"/>
      <w:lvlText w:val="(%2)"/>
      <w:numFmt w:val="lowerLetter"/>
      <w:start w:val="7"/>
    </w:lvl>
  </w:abstractNum>
  <w:abstractNum w:abstractNumId="256">
    <w:nsid w:val="3D206613"/>
    <w:multiLevelType w:val="hybridMultilevel"/>
    <w:lvl w:ilvl="0">
      <w:lvlJc w:val="left"/>
      <w:lvlText w:val="(%1)"/>
      <w:numFmt w:val="lowerLetter"/>
      <w:start w:val="24"/>
    </w:lvl>
    <w:lvl w:ilvl="1">
      <w:lvlJc w:val="left"/>
      <w:lvlText w:val="%2"/>
      <w:numFmt w:val="lowerLetter"/>
      <w:start w:val="1"/>
    </w:lvl>
  </w:abstractNum>
  <w:abstractNum w:abstractNumId="257">
    <w:nsid w:val="7993B662"/>
    <w:multiLevelType w:val="hybridMultilevel"/>
    <w:lvl w:ilvl="0">
      <w:lvlJc w:val="left"/>
      <w:lvlText w:val="(%1)"/>
      <w:numFmt w:val="lowerLetter"/>
      <w:start w:val="1"/>
    </w:lvl>
  </w:abstractNum>
  <w:abstractNum w:abstractNumId="258">
    <w:nsid w:val="3BAB699E"/>
    <w:multiLevelType w:val="hybridMultilevel"/>
    <w:lvl w:ilvl="0">
      <w:lvlJc w:val="left"/>
      <w:lvlText w:val="(%1)"/>
      <w:numFmt w:val="lowerLetter"/>
      <w:start w:val="2"/>
    </w:lvl>
  </w:abstractNum>
  <w:abstractNum w:abstractNumId="259">
    <w:nsid w:val="71315369"/>
    <w:multiLevelType w:val="hybridMultilevel"/>
    <w:lvl w:ilvl="0">
      <w:lvlJc w:val="left"/>
      <w:lvlText w:val="(%1)"/>
      <w:numFmt w:val="lowerLetter"/>
      <w:start w:val="1"/>
    </w:lvl>
  </w:abstractNum>
  <w:abstractNum w:abstractNumId="260">
    <w:nsid w:val="7BCFBAFC"/>
    <w:multiLevelType w:val="hybridMultilevel"/>
    <w:lvl w:ilvl="0">
      <w:lvlJc w:val="left"/>
      <w:lvlText w:val="(%1)"/>
      <w:numFmt w:val="lowerLetter"/>
      <w:start w:val="35"/>
    </w:lvl>
  </w:abstractNum>
  <w:abstractNum w:abstractNumId="261">
    <w:nsid w:val="17859F72"/>
    <w:multiLevelType w:val="hybridMultilevel"/>
    <w:lvl w:ilvl="0">
      <w:lvlJc w:val="left"/>
      <w:lvlText w:val="(%1)"/>
      <w:numFmt w:val="lowerLetter"/>
      <w:start w:val="24"/>
    </w:lvl>
  </w:abstractNum>
  <w:abstractNum w:abstractNumId="262">
    <w:nsid w:val="3AA10581"/>
    <w:multiLevelType w:val="hybridMultilevel"/>
    <w:lvl w:ilvl="0">
      <w:lvlJc w:val="left"/>
      <w:lvlText w:val="(%1)"/>
      <w:numFmt w:val="lowerLetter"/>
      <w:start w:val="1"/>
    </w:lvl>
  </w:abstractNum>
  <w:abstractNum w:abstractNumId="263">
    <w:nsid w:val="63DE60CD"/>
    <w:multiLevelType w:val="hybridMultilevel"/>
    <w:lvl w:ilvl="0">
      <w:lvlJc w:val="left"/>
      <w:lvlText w:val="(%1)"/>
      <w:numFmt w:val="lowerLetter"/>
      <w:start w:val="1"/>
    </w:lvl>
  </w:abstractNum>
  <w:abstractNum w:abstractNumId="264">
    <w:nsid w:val="621AF471"/>
    <w:multiLevelType w:val="hybridMultilevel"/>
    <w:lvl w:ilvl="0">
      <w:lvlJc w:val="left"/>
      <w:lvlText w:val="(%1)"/>
      <w:numFmt w:val="lowerLetter"/>
      <w:start w:val="2"/>
    </w:lvl>
  </w:abstractNum>
  <w:abstractNum w:abstractNumId="265">
    <w:nsid w:val="73CFE165"/>
    <w:multiLevelType w:val="hybridMultilevel"/>
    <w:lvl w:ilvl="0">
      <w:lvlJc w:val="left"/>
      <w:lvlText w:val="(%1)"/>
      <w:numFmt w:val="lowerLetter"/>
      <w:start w:val="1"/>
    </w:lvl>
  </w:abstractNum>
  <w:abstractNum w:abstractNumId="266">
    <w:nsid w:val="20F88EA6"/>
    <w:multiLevelType w:val="hybridMultilevel"/>
    <w:lvl w:ilvl="0">
      <w:lvlJc w:val="left"/>
      <w:lvlText w:val="(%1)"/>
      <w:numFmt w:val="lowerLetter"/>
      <w:start w:val="1"/>
    </w:lvl>
  </w:abstractNum>
  <w:abstractNum w:abstractNumId="267">
    <w:nsid w:val="617C843E"/>
    <w:multiLevelType w:val="hybridMultilevel"/>
    <w:lvl w:ilvl="0">
      <w:lvlJc w:val="left"/>
      <w:lvlText w:val="(%1)"/>
      <w:numFmt w:val="lowerLetter"/>
      <w:start w:val="1"/>
    </w:lvl>
  </w:abstractNum>
  <w:abstractNum w:abstractNumId="268">
    <w:nsid w:val="7B541FAB"/>
    <w:multiLevelType w:val="hybridMultilevel"/>
    <w:lvl w:ilvl="0">
      <w:lvlJc w:val="left"/>
      <w:lvlText w:val="(%1)"/>
      <w:numFmt w:val="lowerLetter"/>
      <w:start w:val="1"/>
    </w:lvl>
  </w:abstractNum>
  <w:abstractNum w:abstractNumId="269">
    <w:nsid w:val="2A79EC49"/>
    <w:multiLevelType w:val="hybridMultilevel"/>
    <w:lvl w:ilvl="0">
      <w:lvlJc w:val="left"/>
      <w:lvlText w:val="(%1)"/>
      <w:numFmt w:val="lowerLetter"/>
      <w:start w:val="1"/>
    </w:lvl>
    <w:lvl w:ilvl="1">
      <w:lvlJc w:val="left"/>
      <w:lvlText w:val="(%2)"/>
      <w:numFmt w:val="lowerRoman"/>
      <w:start w:val="1"/>
    </w:lvl>
  </w:abstractNum>
  <w:abstractNum w:abstractNumId="270">
    <w:nsid w:val="338125CF"/>
    <w:multiLevelType w:val="hybridMultilevel"/>
    <w:lvl w:ilvl="0">
      <w:lvlJc w:val="left"/>
      <w:lvlText w:val="(%1)"/>
      <w:numFmt w:val="lowerLetter"/>
      <w:start w:val="2"/>
    </w:lvl>
  </w:abstractNum>
  <w:abstractNum w:abstractNumId="271">
    <w:nsid w:val="47C7C971"/>
    <w:multiLevelType w:val="hybridMultilevel"/>
    <w:lvl w:ilvl="0">
      <w:lvlJc w:val="left"/>
      <w:lvlText w:val="(%1)"/>
      <w:numFmt w:val="lowerRoman"/>
      <w:start w:val="1"/>
    </w:lvl>
  </w:abstractNum>
  <w:abstractNum w:abstractNumId="272">
    <w:nsid w:val="46F8284B"/>
    <w:multiLevelType w:val="hybridMultilevel"/>
    <w:lvl w:ilvl="0">
      <w:lvlJc w:val="left"/>
      <w:lvlText w:val="(%1)"/>
      <w:numFmt w:val="upperLetter"/>
      <w:start w:val="2"/>
    </w:lvl>
    <w:lvl w:ilvl="1">
      <w:lvlJc w:val="left"/>
      <w:lvlText w:val="(%2)"/>
      <w:numFmt w:val="lowerRoman"/>
      <w:start w:val="2"/>
    </w:lvl>
  </w:abstractNum>
  <w:abstractNum w:abstractNumId="273">
    <w:nsid w:val="4FA327CE"/>
    <w:multiLevelType w:val="hybridMultilevel"/>
    <w:lvl w:ilvl="0">
      <w:lvlJc w:val="left"/>
      <w:lvlText w:val="(%1)"/>
      <w:numFmt w:val="lowerRoman"/>
      <w:start w:val="4"/>
    </w:lvl>
  </w:abstractNum>
  <w:abstractNum w:abstractNumId="274">
    <w:nsid w:val="1873983A"/>
    <w:multiLevelType w:val="hybridMultilevel"/>
    <w:lvl w:ilvl="0">
      <w:lvlJc w:val="left"/>
      <w:lvlText w:val="(%1)"/>
      <w:numFmt w:val="lowerLetter"/>
      <w:start w:val="1"/>
    </w:lvl>
  </w:abstractNum>
  <w:abstractNum w:abstractNumId="275">
    <w:nsid w:val="3D2DD275"/>
    <w:multiLevelType w:val="hybridMultilevel"/>
    <w:lvl w:ilvl="0">
      <w:lvlJc w:val="left"/>
      <w:lvlText w:val="(%1)"/>
      <w:numFmt w:val="lowerLetter"/>
      <w:start w:val="2"/>
    </w:lvl>
  </w:abstractNum>
  <w:abstractNum w:abstractNumId="276">
    <w:nsid w:val="2E17ECA7"/>
    <w:multiLevelType w:val="hybridMultilevel"/>
    <w:lvl w:ilvl="0">
      <w:lvlJc w:val="left"/>
      <w:lvlText w:val="(%1)"/>
      <w:numFmt w:val="lowerLetter"/>
      <w:start w:val="2"/>
    </w:lvl>
  </w:abstractNum>
  <w:abstractNum w:abstractNumId="277">
    <w:nsid w:val="53B2564F"/>
    <w:multiLevelType w:val="hybridMultilevel"/>
    <w:lvl w:ilvl="0">
      <w:lvlJc w:val="left"/>
      <w:lvlText w:val="(%1)"/>
      <w:numFmt w:val="lowerLetter"/>
      <w:start w:val="35"/>
    </w:lvl>
  </w:abstractNum>
  <w:abstractNum w:abstractNumId="278">
    <w:nsid w:val="75509D76"/>
    <w:multiLevelType w:val="hybridMultilevel"/>
    <w:lvl w:ilvl="0">
      <w:lvlJc w:val="left"/>
      <w:lvlText w:val="(%1)"/>
      <w:numFmt w:val="lowerRoman"/>
      <w:start w:val="2"/>
    </w:lvl>
  </w:abstractNum>
  <w:abstractNum w:abstractNumId="279">
    <w:nsid w:val="1AF7F0EA"/>
    <w:multiLevelType w:val="hybridMultilevel"/>
    <w:lvl w:ilvl="0">
      <w:lvlJc w:val="left"/>
      <w:lvlText w:val="(%1)"/>
      <w:numFmt w:val="lowerLetter"/>
      <w:start w:val="4"/>
    </w:lvl>
  </w:abstractNum>
  <w:abstractNum w:abstractNumId="280">
    <w:nsid w:val="4DA32C7E"/>
    <w:multiLevelType w:val="hybridMultilevel"/>
    <w:lvl w:ilvl="0">
      <w:lvlJc w:val="left"/>
      <w:lvlText w:val="(%1)"/>
      <w:numFmt w:val="lowerLetter"/>
      <w:start w:val="3"/>
    </w:lvl>
  </w:abstractNum>
  <w:abstractNum w:abstractNumId="281">
    <w:nsid w:val="6EC68664"/>
    <w:multiLevelType w:val="hybridMultilevel"/>
    <w:lvl w:ilvl="0">
      <w:lvlJc w:val="left"/>
      <w:lvlText w:val="(%1)"/>
      <w:numFmt w:val="lowerLetter"/>
      <w:start w:val="5"/>
    </w:lvl>
  </w:abstractNum>
  <w:abstractNum w:abstractNumId="282">
    <w:nsid w:val="E0D31FF"/>
    <w:multiLevelType w:val="hybridMultilevel"/>
    <w:lvl w:ilvl="0">
      <w:lvlJc w:val="left"/>
      <w:lvlText w:val="(%1)"/>
      <w:numFmt w:val="lowerLetter"/>
      <w:start w:val="1"/>
    </w:lvl>
  </w:abstractNum>
  <w:abstractNum w:abstractNumId="283">
    <w:nsid w:val="2FD0AD81"/>
    <w:multiLevelType w:val="hybridMultilevel"/>
    <w:lvl w:ilvl="0">
      <w:lvlJc w:val="left"/>
      <w:lvlText w:val="(%1)"/>
      <w:numFmt w:val="lowerLetter"/>
      <w:start w:val="1"/>
    </w:lvl>
  </w:abstractNum>
  <w:abstractNum w:abstractNumId="284">
    <w:nsid w:val="1978EBEB"/>
    <w:multiLevelType w:val="hybridMultilevel"/>
    <w:lvl w:ilvl="0">
      <w:lvlJc w:val="left"/>
      <w:lvlText w:val="(%1)"/>
      <w:numFmt w:val="lowerLetter"/>
      <w:start w:val="2"/>
    </w:lvl>
  </w:abstractNum>
  <w:abstractNum w:abstractNumId="285">
    <w:nsid w:val="52C12C61"/>
    <w:multiLevelType w:val="hybridMultilevel"/>
    <w:lvl w:ilvl="0">
      <w:lvlJc w:val="left"/>
      <w:lvlText w:val="(%1)"/>
      <w:numFmt w:val="lowerRoman"/>
      <w:start w:val="2"/>
    </w:lvl>
  </w:abstractNum>
  <w:abstractNum w:abstractNumId="286">
    <w:nsid w:val="4BDD53FD"/>
    <w:multiLevelType w:val="hybridMultilevel"/>
    <w:lvl w:ilvl="0">
      <w:lvlJc w:val="left"/>
      <w:lvlText w:val="(%1)"/>
      <w:numFmt w:val="lowerRoman"/>
      <w:start w:val="1"/>
    </w:lvl>
  </w:abstractNum>
  <w:abstractNum w:abstractNumId="287">
    <w:nsid w:val="569951FE"/>
    <w:multiLevelType w:val="hybridMultilevel"/>
    <w:lvl w:ilvl="0">
      <w:lvlJc w:val="left"/>
      <w:lvlText w:val="(%1)"/>
      <w:numFmt w:val="decimal"/>
      <w:start w:val="1"/>
    </w:lvl>
  </w:abstractNum>
  <w:abstractNum w:abstractNumId="288">
    <w:nsid w:val="4C54E2C3"/>
    <w:multiLevelType w:val="hybridMultilevel"/>
    <w:lvl w:ilvl="0">
      <w:lvlJc w:val="left"/>
      <w:lvlText w:val="(%1)"/>
      <w:numFmt w:val="lowerLetter"/>
      <w:start w:val="1"/>
    </w:lvl>
  </w:abstractNum>
  <w:abstractNum w:abstractNumId="289">
    <w:nsid w:val="788BD9B"/>
    <w:multiLevelType w:val="hybridMultilevel"/>
    <w:lvl w:ilvl="0">
      <w:lvlJc w:val="left"/>
      <w:lvlText w:val="1"/>
      <w:numFmt w:val="bullet"/>
      <w:start w:val="1"/>
    </w:lvl>
  </w:abstractNum>
  <w:abstractNum w:abstractNumId="290">
    <w:nsid w:val="47CAA567"/>
    <w:multiLevelType w:val="hybridMultilevel"/>
    <w:lvl w:ilvl="0">
      <w:lvlJc w:val="left"/>
      <w:lvlText w:val="2"/>
      <w:numFmt w:val="bullet"/>
      <w:start w:val="1"/>
    </w:lvl>
  </w:abstractNum>
  <w:abstractNum w:abstractNumId="291">
    <w:nsid w:val="48249DBF"/>
    <w:multiLevelType w:val="hybridMultilevel"/>
    <w:lvl w:ilvl="0">
      <w:lvlJc w:val="left"/>
      <w:lvlText w:val="3"/>
      <w:numFmt w:val="bullet"/>
      <w:start w:val="1"/>
    </w:lvl>
  </w:abstractNum>
  <w:abstractNum w:abstractNumId="292">
    <w:nsid w:val="1F0E5D0D"/>
    <w:multiLevelType w:val="hybridMultilevel"/>
    <w:lvl w:ilvl="0">
      <w:lvlJc w:val="left"/>
      <w:lvlText w:val="4"/>
      <w:numFmt w:val="bullet"/>
      <w:start w:val="1"/>
    </w:lvl>
  </w:abstractNum>
  <w:abstractNum w:abstractNumId="293">
    <w:nsid w:val="26BAAE9"/>
    <w:multiLevelType w:val="hybridMultilevel"/>
    <w:lvl w:ilvl="0">
      <w:lvlJc w:val="left"/>
      <w:lvlText w:val="5"/>
      <w:numFmt w:val="bullet"/>
      <w:start w:val="1"/>
    </w:lvl>
  </w:abstractNum>
  <w:abstractNum w:abstractNumId="294">
    <w:nsid w:val="2C02FE8C"/>
    <w:multiLevelType w:val="hybridMultilevel"/>
    <w:lvl w:ilvl="0">
      <w:lvlJc w:val="left"/>
      <w:lvlText w:val="6"/>
      <w:numFmt w:val="bullet"/>
      <w:start w:val="1"/>
    </w:lvl>
  </w:abstractNum>
  <w:abstractNum w:abstractNumId="295">
    <w:nsid w:val="129517E"/>
    <w:multiLevelType w:val="hybridMultilevel"/>
    <w:lvl w:ilvl="0">
      <w:lvlJc w:val="left"/>
      <w:lvlText w:val="7"/>
      <w:numFmt w:val="bullet"/>
      <w:start w:val="1"/>
    </w:lvl>
    <w:lvl w:ilvl="1">
      <w:lvlJc w:val="left"/>
      <w:lvlText w:val="(%2)"/>
      <w:numFmt w:val="lowerLetter"/>
      <w:start w:val="1"/>
    </w:lvl>
  </w:abstractNum>
  <w:abstractNum w:abstractNumId="296">
    <w:nsid w:val="763B8C4E"/>
    <w:multiLevelType w:val="hybridMultilevel"/>
    <w:lvl w:ilvl="0">
      <w:lvlJc w:val="left"/>
      <w:lvlText w:val="8"/>
      <w:numFmt w:val="bullet"/>
      <w:start w:val="1"/>
    </w:lvl>
  </w:abstractNum>
  <w:abstractNum w:abstractNumId="297">
    <w:nsid w:val="4CFB8D32"/>
    <w:multiLevelType w:val="hybridMultilevel"/>
    <w:lvl w:ilvl="0">
      <w:lvlJc w:val="left"/>
      <w:lvlText w:val="9"/>
      <w:numFmt w:val="bullet"/>
      <w:start w:val="1"/>
    </w:lvl>
  </w:abstractNum>
  <w:abstractNum w:abstractNumId="298">
    <w:nsid w:val="62A5D5BD"/>
    <w:multiLevelType w:val="hybridMultilevel"/>
    <w:lvl w:ilvl="0">
      <w:lvlJc w:val="left"/>
      <w:lvlText w:val="%1"/>
      <w:numFmt w:val="decimal"/>
      <w:start w:val="10"/>
    </w:lvl>
  </w:abstractNum>
  <w:abstractNum w:abstractNumId="299">
    <w:nsid w:val="718FABF9"/>
    <w:multiLevelType w:val="hybridMultilevel"/>
    <w:lvl w:ilvl="0">
      <w:lvlJc w:val="left"/>
      <w:lvlText w:val="%1"/>
      <w:numFmt w:val="decimal"/>
      <w:start w:val="11"/>
    </w:lvl>
  </w:abstractNum>
  <w:abstractNum w:abstractNumId="300">
    <w:nsid w:val="7775797C"/>
    <w:multiLevelType w:val="hybridMultilevel"/>
    <w:lvl w:ilvl="0">
      <w:lvlJc w:val="left"/>
      <w:lvlText w:val="%1"/>
      <w:numFmt w:val="decimal"/>
      <w:start w:val="12"/>
    </w:lvl>
  </w:abstractNum>
  <w:abstractNum w:abstractNumId="301">
    <w:nsid w:val="1626FB8C"/>
    <w:multiLevelType w:val="hybridMultilevel"/>
    <w:lvl w:ilvl="0">
      <w:lvlJc w:val="left"/>
      <w:lvlText w:val="%1"/>
      <w:numFmt w:val="decimal"/>
      <w:start w:val="14"/>
    </w:lvl>
    <w:lvl w:ilvl="1">
      <w:lvlJc w:val="left"/>
      <w:lvlText w:val="(%2)"/>
      <w:numFmt w:val="lowerLetter"/>
      <w:start w:val="2"/>
    </w:lvl>
  </w:abstractNum>
  <w:abstractNum w:abstractNumId="302">
    <w:nsid w:val="3957756A"/>
    <w:multiLevelType w:val="hybridMultilevel"/>
    <w:lvl w:ilvl="0">
      <w:lvlJc w:val="left"/>
      <w:lvlText w:val="%1"/>
      <w:numFmt w:val="decimal"/>
      <w:start w:val="15"/>
    </w:lvl>
  </w:abstractNum>
  <w:abstractNum w:abstractNumId="303">
    <w:nsid w:val="3E6DA1C7"/>
    <w:multiLevelType w:val="hybridMultilevel"/>
    <w:lvl w:ilvl="0">
      <w:lvlJc w:val="left"/>
      <w:lvlText w:val="%1"/>
      <w:numFmt w:val="decimal"/>
      <w:start w:val="16"/>
    </w:lvl>
  </w:abstractNum>
  <w:abstractNum w:abstractNumId="304">
    <w:nsid w:val="65CA235B"/>
    <w:multiLevelType w:val="hybridMultilevel"/>
    <w:lvl w:ilvl="0">
      <w:lvlJc w:val="left"/>
      <w:lvlText w:val="%1"/>
      <w:numFmt w:val="decimal"/>
      <w:start w:val="17"/>
    </w:lvl>
  </w:abstractNum>
  <w:abstractNum w:abstractNumId="305">
    <w:nsid w:val="51CB0DA4"/>
    <w:multiLevelType w:val="hybridMultilevel"/>
    <w:lvl w:ilvl="0">
      <w:lvlJc w:val="left"/>
      <w:lvlText w:val="%1"/>
      <w:numFmt w:val="decimal"/>
      <w:start w:val="19"/>
    </w:lvl>
  </w:abstractNum>
  <w:abstractNum w:abstractNumId="306">
    <w:nsid w:val="7B9B743C"/>
    <w:multiLevelType w:val="hybridMultilevel"/>
    <w:lvl w:ilvl="0">
      <w:lvlJc w:val="left"/>
      <w:lvlText w:val="%1"/>
      <w:numFmt w:val="decimal"/>
      <w:start w:val="20"/>
    </w:lvl>
  </w:abstractNum>
  <w:abstractNum w:abstractNumId="307">
    <w:nsid w:val="13E21002"/>
    <w:multiLevelType w:val="hybridMultilevel"/>
    <w:lvl w:ilvl="0">
      <w:lvlJc w:val="left"/>
      <w:lvlText w:val="(%1)"/>
      <w:numFmt w:val="lowerRoman"/>
      <w:start w:val="1"/>
    </w:lvl>
  </w:abstractNum>
  <w:abstractNum w:abstractNumId="308">
    <w:nsid w:val="257D63F4"/>
    <w:multiLevelType w:val="hybridMultilevel"/>
    <w:lvl w:ilvl="0">
      <w:lvlJc w:val="left"/>
      <w:lvlText w:val="%1."/>
      <w:numFmt w:val="decimal"/>
      <w:start w:val="1"/>
    </w:lvl>
  </w:abstractNum>
  <w:abstractNum w:abstractNumId="309">
    <w:nsid w:val="70EC11B2"/>
    <w:multiLevelType w:val="hybridMultilevel"/>
    <w:lvl w:ilvl="0">
      <w:lvlJc w:val="left"/>
      <w:lvlText w:val="%1."/>
      <w:numFmt w:val="decimal"/>
      <w:start w:val="3"/>
    </w:lvl>
  </w:abstractNum>
  <w:abstractNum w:abstractNumId="310">
    <w:nsid w:val="2EDA00ED"/>
    <w:multiLevelType w:val="hybridMultilevel"/>
    <w:lvl w:ilvl="0">
      <w:lvlJc w:val="left"/>
      <w:lvlText w:val="(%1)"/>
      <w:numFmt w:val="decimal"/>
      <w:start w:val="1"/>
    </w:lvl>
    <w:lvl w:ilvl="1">
      <w:lvlJc w:val="left"/>
      <w:lvlText w:val="(%2)"/>
      <w:numFmt w:val="lowerLetter"/>
      <w:start w:val="1"/>
    </w:lvl>
  </w:abstractNum>
  <w:abstractNum w:abstractNumId="311">
    <w:nsid w:val="73209072"/>
    <w:multiLevelType w:val="hybridMultilevel"/>
    <w:lvl w:ilvl="0">
      <w:lvlJc w:val="left"/>
      <w:lvlText w:val="(%1)"/>
      <w:numFmt w:val="decimal"/>
      <w:start w:val="12"/>
    </w:lvl>
  </w:abstractNum>
  <w:abstractNum w:abstractNumId="312">
    <w:nsid w:val="5FB29816"/>
    <w:multiLevelType w:val="hybridMultilevel"/>
    <w:lvl w:ilvl="0">
      <w:lvlJc w:val="left"/>
      <w:lvlText w:val="%1."/>
      <w:numFmt w:val="decimal"/>
      <w:start w:val="1"/>
    </w:lvl>
  </w:abstractNum>
  <w:abstractNum w:abstractNumId="313">
    <w:nsid w:val="3CE732EC"/>
    <w:multiLevelType w:val="hybridMultilevel"/>
    <w:lvl w:ilvl="0">
      <w:lvlJc w:val="left"/>
      <w:lvlText w:val="​"/>
      <w:numFmt w:val="bullet"/>
      <w:start w:val="1"/>
    </w:lvl>
  </w:abstractNum>
  <w:abstractNum w:abstractNumId="314">
    <w:nsid w:val="22F13DF3"/>
    <w:multiLevelType w:val="hybridMultilevel"/>
    <w:lvl w:ilvl="0">
      <w:lvlJc w:val="left"/>
      <w:lvlText w:val="​"/>
      <w:numFmt w:val="bullet"/>
      <w:start w:val="1"/>
    </w:lvl>
  </w:abstractNum>
  <w:abstractNum w:abstractNumId="315">
    <w:nsid w:val="792B8401"/>
    <w:multiLevelType w:val="hybridMultilevel"/>
    <w:lvl w:ilvl="0">
      <w:lvlJc w:val="left"/>
      <w:lvlText w:val="(%1)"/>
      <w:numFmt w:val="decimal"/>
      <w:start w:val="1"/>
    </w:lvl>
  </w:abstractNum>
  <w:abstractNum w:abstractNumId="316">
    <w:nsid w:val="FA85F4D"/>
    <w:multiLevelType w:val="hybridMultilevel"/>
    <w:lvl w:ilvl="0">
      <w:lvlJc w:val="left"/>
      <w:lvlText w:val="(%1)"/>
      <w:numFmt w:val="decimal"/>
      <w:start w:val="3"/>
    </w:lvl>
  </w:abstractNum>
  <w:abstractNum w:abstractNumId="317">
    <w:nsid w:val="6ECE91F0"/>
    <w:multiLevelType w:val="hybridMultilevel"/>
    <w:lvl w:ilvl="0">
      <w:lvlJc w:val="left"/>
      <w:lvlText w:val="%1."/>
      <w:numFmt w:val="decimal"/>
      <w:start w:val="2"/>
    </w:lvl>
  </w:abstractNum>
  <w:abstractNum w:abstractNumId="318">
    <w:nsid w:val="4FC4D600"/>
    <w:multiLevelType w:val="hybridMultilevel"/>
    <w:lvl w:ilvl="0">
      <w:lvlJc w:val="left"/>
      <w:lvlText w:val="(%1)"/>
      <w:numFmt w:val="decimal"/>
      <w:start w:val="1"/>
    </w:lvl>
  </w:abstractNum>
  <w:abstractNum w:abstractNumId="319">
    <w:nsid w:val="5BFD4210"/>
    <w:multiLevelType w:val="hybridMultilevel"/>
    <w:lvl w:ilvl="0">
      <w:lvlJc w:val="left"/>
      <w:lvlText w:val="%1."/>
      <w:numFmt w:val="decimal"/>
      <w:start w:val="3"/>
    </w:lvl>
  </w:abstractNum>
  <w:abstractNum w:abstractNumId="320">
    <w:nsid w:val="76574F8B"/>
    <w:multiLevelType w:val="hybridMultilevel"/>
    <w:lvl w:ilvl="0">
      <w:lvlJc w:val="left"/>
      <w:lvlText w:val="(%1)"/>
      <w:numFmt w:val="decimal"/>
      <w:start w:val="1"/>
    </w:lvl>
  </w:abstractNum>
  <w:abstractNum w:abstractNumId="321">
    <w:nsid w:val="178F7B67"/>
    <w:multiLevelType w:val="hybridMultilevel"/>
    <w:lvl w:ilvl="0">
      <w:lvlJc w:val="left"/>
      <w:lvlText w:val="%1."/>
      <w:numFmt w:val="decimal"/>
      <w:start w:val="4"/>
    </w:lvl>
  </w:abstractNum>
  <w:abstractNum w:abstractNumId="322">
    <w:nsid w:val="2421DFCF"/>
    <w:multiLevelType w:val="hybridMultilevel"/>
    <w:lvl w:ilvl="0">
      <w:lvlJc w:val="left"/>
      <w:lvlText w:val="(%1)"/>
      <w:numFmt w:val="decimal"/>
      <w:start w:val="1"/>
    </w:lvl>
  </w:abstractNum>
  <w:abstractNum w:abstractNumId="323">
    <w:nsid w:val="1565AC99"/>
    <w:multiLevelType w:val="hybridMultilevel"/>
    <w:lvl w:ilvl="0">
      <w:lvlJc w:val="left"/>
      <w:lvlText w:val="(%1)"/>
      <w:numFmt w:val="decimal"/>
      <w:start w:val="1"/>
    </w:lvl>
  </w:abstractNum>
  <w:abstractNum w:abstractNumId="324">
    <w:nsid w:val="19FB2650"/>
    <w:multiLevelType w:val="hybridMultilevel"/>
    <w:lvl w:ilvl="0">
      <w:lvlJc w:val="left"/>
      <w:lvlText w:val="(%1)"/>
      <w:numFmt w:val="decimal"/>
      <w:start w:val="1"/>
    </w:lvl>
  </w:abstractNum>
  <w:abstractNum w:abstractNumId="325">
    <w:nsid w:val="5024DE5B"/>
    <w:multiLevelType w:val="hybridMultilevel"/>
    <w:lvl w:ilvl="0">
      <w:lvlJc w:val="left"/>
      <w:lvlText w:val="(%1)"/>
      <w:numFmt w:val="lowerRoman"/>
      <w:start w:val="1"/>
    </w:lvl>
  </w:abstractNum>
  <w:abstractNum w:abstractNumId="326">
    <w:nsid w:val="168EFE17"/>
    <w:multiLevelType w:val="hybridMultilevel"/>
    <w:lvl w:ilvl="0">
      <w:lvlJc w:val="left"/>
      <w:lvlText w:val="(%1)"/>
      <w:numFmt w:val="decimal"/>
      <w:start w:val="1"/>
    </w:lvl>
  </w:abstractNum>
  <w:abstractNum w:abstractNumId="327">
    <w:nsid w:val="1036B29F"/>
    <w:multiLevelType w:val="hybridMultilevel"/>
    <w:lvl w:ilvl="0">
      <w:lvlJc w:val="left"/>
      <w:lvlText w:val="(%1)"/>
      <w:numFmt w:val="decimal"/>
      <w:start w:val="1"/>
    </w:lvl>
  </w:abstractNum>
  <w:abstractNum w:abstractNumId="328">
    <w:nsid w:val="1D206B8E"/>
    <w:multiLevelType w:val="hybridMultilevel"/>
    <w:lvl w:ilvl="0">
      <w:lvlJc w:val="left"/>
      <w:lvlText w:val="(%1)"/>
      <w:numFmt w:val="lowerLetter"/>
      <w:start w:val="1"/>
    </w:lvl>
  </w:abstractNum>
  <w:abstractNum w:abstractNumId="329">
    <w:nsid w:val="7934D3D4"/>
    <w:multiLevelType w:val="hybridMultilevel"/>
    <w:lvl w:ilvl="0">
      <w:lvlJc w:val="left"/>
      <w:lvlText w:val="(%1)"/>
      <w:numFmt w:val="decimal"/>
      <w:start w:val="1"/>
    </w:lvl>
  </w:abstractNum>
  <w:abstractNum w:abstractNumId="330">
    <w:nsid w:val="1C65E98"/>
    <w:multiLevelType w:val="hybridMultilevel"/>
    <w:lvl w:ilvl="0">
      <w:lvlJc w:val="left"/>
      <w:lvlText w:val="(%1)"/>
      <w:numFmt w:val="decimal"/>
      <w:start w:val="1"/>
    </w:lvl>
  </w:abstractNum>
  <w:abstractNum w:abstractNumId="331">
    <w:nsid w:val="1495E50A"/>
    <w:multiLevelType w:val="hybridMultilevel"/>
    <w:lvl w:ilvl="0">
      <w:lvlJc w:val="left"/>
      <w:lvlText w:val="(%1)"/>
      <w:numFmt w:val="lowerLetter"/>
      <w:start w:val="1"/>
    </w:lvl>
  </w:abstractNum>
  <w:abstractNum w:abstractNumId="332">
    <w:nsid w:val="F5BCF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3"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jpe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jpe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38" Type="http://schemas.openxmlformats.org/officeDocument/2006/relationships/hyperlink" Target="http://www.sec.gov/ix?doc=/Archives/edgar/data/1697818/000110465923059102/iclk-20221231x20f.htm" TargetMode="External"/><Relationship Id="rId40" Type="http://schemas.openxmlformats.org/officeDocument/2006/relationships/hyperlink" Target="https://www.sec.gov/Archives/edgar/data/1697818/000110465923120926/tm2331491d1_ex99-1.htm" TargetMode="External"/><Relationship Id="rId41" Type="http://schemas.openxmlformats.org/officeDocument/2006/relationships/hyperlink" Target="https://www.sec.gov/Archives/edgar/data/1697818/000121390023089945/ea189015ex99-9_iclick.htm" TargetMode="External"/><Relationship Id="rId42" Type="http://schemas.openxmlformats.org/officeDocument/2006/relationships/hyperlink" Target="https://www.sec.gov/Archives/edgar/data/1697818/000121390023089945/ea189015ex99-6_iclick.htm" TargetMode="External"/><Relationship Id="rId44" Type="http://schemas.openxmlformats.org/officeDocument/2006/relationships/hyperlink" Target="https://www.sec.gov/Archives/edgar/data/1697818/000110465923127138/tm2332480d1_ex99-a1.htm#tACOH" TargetMode="External"/><Relationship Id="rId45" Type="http://schemas.openxmlformats.org/officeDocument/2006/relationships/hyperlink" Target="https://www.sec.gov/Archives/edgar/data/1697818/000110465923127138/tm2332480d2_ex99-c2.htm" TargetMode="External"/><Relationship Id="rId46" Type="http://schemas.openxmlformats.org/officeDocument/2006/relationships/hyperlink" Target="https://www.sec.gov/Archives/edgar/data/1697818/000121390023089945/ea189015ex99-5_iclick.htm" TargetMode="External"/><Relationship Id="rId47" Type="http://schemas.openxmlformats.org/officeDocument/2006/relationships/hyperlink" Target="https://www.sec.gov/Archives/edgar/data/1697818/000121390023089945/ea189015ex99-7_iclick.htm" TargetMode="External"/><Relationship Id="rId48" Type="http://schemas.openxmlformats.org/officeDocument/2006/relationships/hyperlink" Target="https://www.sec.gov/Archives/edgar/data/1697818/000121390023089945/ea189015ex99-8_iclick.htm" TargetMode="External"/><Relationship Id="rId49" Type="http://schemas.openxmlformats.org/officeDocument/2006/relationships/hyperlink" Target="https://www.sec.gov/Archives/edgar/data/1697818/000110465923127138/tm2332480d1_ex99-a1.htm#tADI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2024-01-23T06:54:46Z</dcterms:created>
  <dcterms:modified xsi:type="dcterms:W3CDTF">2024-01-23T06:54:46Z</dcterms:modified>
</cp:coreProperties>
</file>