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320040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of $0.001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G47048 106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ind w:left="380" w:hanging="375"/>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-130175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Sunee Chiraseivinupraphand</w:t>
      </w:r>
    </w:p>
    <w:p>
      <w:pPr>
        <w:spacing w:after="0" w:line="24" w:lineRule="exact"/>
        <w:rPr>
          <w:sz w:val="20"/>
          <w:szCs w:val="20"/>
          <w:color w:val="auto"/>
        </w:rPr>
      </w:pPr>
    </w:p>
    <w:p>
      <w:pPr>
        <w:ind w:left="380" w:hanging="375"/>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41" w:lineRule="exact"/>
        <w:rPr>
          <w:sz w:val="20"/>
          <w:szCs w:val="20"/>
          <w:color w:val="auto"/>
        </w:rPr>
      </w:pPr>
    </w:p>
    <w:p>
      <w:pPr>
        <w:ind w:left="380"/>
        <w:spacing w:after="0" w:line="207" w:lineRule="exact"/>
        <w:tabs>
          <w:tab w:leader="none" w:pos="11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80" w:hanging="375"/>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380" w:hanging="375"/>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Thailand</w:t>
      </w:r>
    </w:p>
    <w:p>
      <w:pPr>
        <w:sectPr>
          <w:pgSz w:w="11900" w:h="16838" w:orient="portrait"/>
          <w:cols w:equalWidth="0" w:num="1">
            <w:col w:w="10059"/>
          </w:cols>
          <w:pgMar w:left="40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6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89" w:hanging="389"/>
        <w:spacing w:after="0"/>
        <w:tabs>
          <w:tab w:leader="none" w:pos="389"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89"/>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89" w:hanging="389"/>
        <w:spacing w:after="0"/>
        <w:tabs>
          <w:tab w:leader="none" w:pos="389"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jc w:val="right"/>
        <w:ind w:right="5239"/>
        <w:spacing w:after="0"/>
        <w:rPr>
          <w:sz w:val="20"/>
          <w:szCs w:val="20"/>
          <w:color w:val="auto"/>
        </w:rPr>
      </w:pPr>
      <w:r>
        <w:rPr>
          <w:rFonts w:ascii="Arial" w:cs="Arial" w:eastAsia="Arial" w:hAnsi="Arial"/>
          <w:sz w:val="19"/>
          <w:szCs w:val="19"/>
          <w:color w:val="auto"/>
        </w:rPr>
        <w:t>1,532,955 ordinary shares. See Item 4.</w:t>
      </w:r>
    </w:p>
    <w:p>
      <w:pPr>
        <w:spacing w:after="0" w:line="59" w:lineRule="exact"/>
        <w:rPr>
          <w:sz w:val="20"/>
          <w:szCs w:val="20"/>
          <w:color w:val="auto"/>
        </w:rPr>
      </w:pPr>
    </w:p>
    <w:p>
      <w:pPr>
        <w:ind w:left="389" w:hanging="389"/>
        <w:spacing w:after="0"/>
        <w:tabs>
          <w:tab w:leader="none" w:pos="389"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89"/>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89" w:hanging="389"/>
        <w:spacing w:after="0"/>
        <w:tabs>
          <w:tab w:leader="none" w:pos="3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45" w:lineRule="exact"/>
        <w:rPr>
          <w:sz w:val="20"/>
          <w:szCs w:val="20"/>
          <w:color w:val="auto"/>
        </w:rPr>
      </w:pPr>
    </w:p>
    <w:p>
      <w:pPr>
        <w:jc w:val="right"/>
        <w:ind w:right="5239"/>
        <w:spacing w:after="0"/>
        <w:rPr>
          <w:sz w:val="20"/>
          <w:szCs w:val="20"/>
          <w:color w:val="auto"/>
        </w:rPr>
      </w:pPr>
      <w:r>
        <w:rPr>
          <w:rFonts w:ascii="Arial" w:cs="Arial" w:eastAsia="Arial" w:hAnsi="Arial"/>
          <w:sz w:val="19"/>
          <w:szCs w:val="19"/>
          <w:color w:val="auto"/>
        </w:rPr>
        <w:t>1,532,955 ordinary shares. See Item 4.</w:t>
      </w:r>
    </w:p>
    <w:p>
      <w:pPr>
        <w:spacing w:after="0" w:line="59" w:lineRule="exact"/>
        <w:rPr>
          <w:sz w:val="20"/>
          <w:szCs w:val="20"/>
          <w:color w:val="auto"/>
        </w:rPr>
      </w:pPr>
    </w:p>
    <w:p>
      <w:pPr>
        <w:sectPr>
          <w:pgSz w:w="11900" w:h="16838" w:orient="portrait"/>
          <w:cols w:equalWidth="0" w:num="2">
            <w:col w:w="940" w:space="151"/>
            <w:col w:w="8969"/>
          </w:cols>
          <w:pgMar w:left="400" w:top="287" w:right="1440" w:bottom="1440" w:gutter="0" w:footer="0" w:header="0"/>
          <w:type w:val="continuous"/>
        </w:sectPr>
      </w:pPr>
    </w:p>
    <w:p>
      <w:pPr>
        <w:ind w:left="380" w:hanging="375"/>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w:t>
      </w:r>
    </w:p>
    <w:p>
      <w:pPr>
        <w:spacing w:after="0" w:line="25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1,532,955 ordinary shares. See Item 4.</w:t>
      </w:r>
    </w:p>
    <w:p>
      <w:pPr>
        <w:spacing w:after="0" w:line="22" w:lineRule="exact"/>
        <w:rPr>
          <w:sz w:val="20"/>
          <w:szCs w:val="20"/>
          <w:color w:val="auto"/>
        </w:rPr>
      </w:pPr>
    </w:p>
    <w:p>
      <w:pPr>
        <w:ind w:left="380" w:hanging="375"/>
        <w:spacing w:after="0" w:line="184" w:lineRule="exact"/>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304" w:lineRule="exact"/>
        <w:rPr>
          <w:rFonts w:ascii="Arial" w:cs="Arial" w:eastAsia="Arial" w:hAnsi="Arial"/>
          <w:sz w:val="16"/>
          <w:szCs w:val="16"/>
          <w:color w:val="auto"/>
        </w:rPr>
      </w:pPr>
    </w:p>
    <w:p>
      <w:pPr>
        <w:ind w:left="380" w:hanging="375"/>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5.9%. See Item 4.</w:t>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tab/>
        <w:t>Type of Reporting Person</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IN</w:t>
      </w:r>
    </w:p>
    <w:p>
      <w:pPr>
        <w:spacing w:after="0" w:line="200" w:lineRule="exact"/>
        <w:rPr>
          <w:sz w:val="20"/>
          <w:szCs w:val="20"/>
          <w:color w:val="auto"/>
        </w:rPr>
      </w:pPr>
    </w:p>
    <w:p>
      <w:pPr>
        <w:spacing w:after="0" w:line="21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59"/>
          </w:cols>
          <w:pgMar w:left="400" w:top="287" w:right="1440" w:bottom="1440" w:gutter="0" w:footer="0" w:header="0"/>
          <w:type w:val="continuous"/>
        </w:sectPr>
      </w:pPr>
    </w:p>
    <w:bookmarkStart w:id="2" w:name="page3"/>
    <w:bookmarkEnd w:id="2"/>
    <w:p>
      <w:pPr>
        <w:ind w:left="380" w:hanging="375"/>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-130175</wp:posOffset>
            </wp:positionV>
            <wp:extent cx="7254875"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O &amp; K Investment Limited</w:t>
      </w:r>
    </w:p>
    <w:p>
      <w:pPr>
        <w:spacing w:after="0" w:line="24" w:lineRule="exact"/>
        <w:rPr>
          <w:sz w:val="20"/>
          <w:szCs w:val="20"/>
          <w:color w:val="auto"/>
        </w:rPr>
      </w:pPr>
    </w:p>
    <w:p>
      <w:pPr>
        <w:ind w:left="380" w:hanging="375"/>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41" w:lineRule="exact"/>
        <w:rPr>
          <w:sz w:val="20"/>
          <w:szCs w:val="20"/>
          <w:color w:val="auto"/>
        </w:rPr>
      </w:pPr>
    </w:p>
    <w:p>
      <w:pPr>
        <w:ind w:left="380"/>
        <w:spacing w:after="0" w:line="207" w:lineRule="exact"/>
        <w:tabs>
          <w:tab w:leader="none" w:pos="11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80" w:hanging="375"/>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380" w:hanging="375"/>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Hong Kong S.A.R.</w:t>
      </w:r>
    </w:p>
    <w:p>
      <w:pPr>
        <w:sectPr>
          <w:pgSz w:w="11900" w:h="16838" w:orient="portrait"/>
          <w:cols w:equalWidth="0" w:num="1">
            <w:col w:w="10059"/>
          </w:cols>
          <w:pgMar w:left="40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6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89" w:hanging="389"/>
        <w:spacing w:after="0"/>
        <w:tabs>
          <w:tab w:leader="none" w:pos="3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89"/>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89" w:hanging="389"/>
        <w:spacing w:after="0"/>
        <w:tabs>
          <w:tab w:leader="none" w:pos="3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jc w:val="right"/>
        <w:ind w:right="5239"/>
        <w:spacing w:after="0"/>
        <w:rPr>
          <w:sz w:val="20"/>
          <w:szCs w:val="20"/>
          <w:color w:val="auto"/>
        </w:rPr>
      </w:pPr>
      <w:r>
        <w:rPr>
          <w:rFonts w:ascii="Arial" w:cs="Arial" w:eastAsia="Arial" w:hAnsi="Arial"/>
          <w:sz w:val="19"/>
          <w:szCs w:val="19"/>
          <w:color w:val="auto"/>
        </w:rPr>
        <w:t>1,532,955 ordinary shares. See Item 4.</w:t>
      </w:r>
    </w:p>
    <w:p>
      <w:pPr>
        <w:spacing w:after="0" w:line="59" w:lineRule="exact"/>
        <w:rPr>
          <w:sz w:val="20"/>
          <w:szCs w:val="20"/>
          <w:color w:val="auto"/>
        </w:rPr>
      </w:pPr>
    </w:p>
    <w:p>
      <w:pPr>
        <w:ind w:left="389" w:hanging="389"/>
        <w:spacing w:after="0"/>
        <w:tabs>
          <w:tab w:leader="none" w:pos="3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89"/>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89" w:hanging="389"/>
        <w:spacing w:after="0"/>
        <w:tabs>
          <w:tab w:leader="none" w:pos="3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45" w:lineRule="exact"/>
        <w:rPr>
          <w:sz w:val="20"/>
          <w:szCs w:val="20"/>
          <w:color w:val="auto"/>
        </w:rPr>
      </w:pPr>
    </w:p>
    <w:p>
      <w:pPr>
        <w:jc w:val="right"/>
        <w:ind w:right="5239"/>
        <w:spacing w:after="0"/>
        <w:rPr>
          <w:sz w:val="20"/>
          <w:szCs w:val="20"/>
          <w:color w:val="auto"/>
        </w:rPr>
      </w:pPr>
      <w:r>
        <w:rPr>
          <w:rFonts w:ascii="Arial" w:cs="Arial" w:eastAsia="Arial" w:hAnsi="Arial"/>
          <w:sz w:val="19"/>
          <w:szCs w:val="19"/>
          <w:color w:val="auto"/>
        </w:rPr>
        <w:t>1,532,955 ordinary shares. See Item 4.</w:t>
      </w:r>
    </w:p>
    <w:p>
      <w:pPr>
        <w:spacing w:after="0" w:line="59" w:lineRule="exact"/>
        <w:rPr>
          <w:sz w:val="20"/>
          <w:szCs w:val="20"/>
          <w:color w:val="auto"/>
        </w:rPr>
      </w:pPr>
    </w:p>
    <w:p>
      <w:pPr>
        <w:sectPr>
          <w:pgSz w:w="11900" w:h="16838" w:orient="portrait"/>
          <w:cols w:equalWidth="0" w:num="2">
            <w:col w:w="940" w:space="151"/>
            <w:col w:w="8969"/>
          </w:cols>
          <w:pgMar w:left="400" w:top="287" w:right="1440" w:bottom="1440" w:gutter="0" w:footer="0" w:header="0"/>
          <w:type w:val="continuous"/>
        </w:sectPr>
      </w:pPr>
    </w:p>
    <w:p>
      <w:pPr>
        <w:ind w:left="380" w:hanging="375"/>
        <w:spacing w:after="0"/>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w:t>
      </w:r>
    </w:p>
    <w:p>
      <w:pPr>
        <w:spacing w:after="0" w:line="25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1,532,955 ordinary shares. See Item 4.</w:t>
      </w:r>
    </w:p>
    <w:p>
      <w:pPr>
        <w:spacing w:after="0" w:line="22" w:lineRule="exact"/>
        <w:rPr>
          <w:sz w:val="20"/>
          <w:szCs w:val="20"/>
          <w:color w:val="auto"/>
        </w:rPr>
      </w:pPr>
    </w:p>
    <w:p>
      <w:pPr>
        <w:ind w:left="380" w:hanging="375"/>
        <w:spacing w:after="0" w:line="184" w:lineRule="exact"/>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304" w:lineRule="exact"/>
        <w:rPr>
          <w:rFonts w:ascii="Arial" w:cs="Arial" w:eastAsia="Arial" w:hAnsi="Arial"/>
          <w:sz w:val="16"/>
          <w:szCs w:val="16"/>
          <w:color w:val="auto"/>
        </w:rPr>
      </w:pPr>
    </w:p>
    <w:p>
      <w:pPr>
        <w:ind w:left="380" w:hanging="375"/>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5.9%. See Item 4.</w:t>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tab/>
        <w:t>Type of Reporting Person</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CO</w:t>
      </w:r>
    </w:p>
    <w:p>
      <w:pPr>
        <w:spacing w:after="0" w:line="200" w:lineRule="exact"/>
        <w:rPr>
          <w:sz w:val="20"/>
          <w:szCs w:val="20"/>
          <w:color w:val="auto"/>
        </w:rPr>
      </w:pPr>
    </w:p>
    <w:p>
      <w:pPr>
        <w:spacing w:after="0" w:line="21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59"/>
          </w:cols>
          <w:pgMar w:left="400" w:top="28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000" w:type="dxa"/>
            <w:vAlign w:val="bottom"/>
            <w:gridSpan w:val="8"/>
          </w:tcPr>
          <w:p>
            <w:pPr>
              <w:ind w:left="320"/>
              <w:spacing w:after="0"/>
              <w:rPr>
                <w:sz w:val="20"/>
                <w:szCs w:val="20"/>
                <w:color w:val="auto"/>
              </w:rPr>
            </w:pPr>
            <w:r>
              <w:rPr>
                <w:rFonts w:ascii="Arial" w:cs="Arial" w:eastAsia="Arial" w:hAnsi="Arial"/>
                <w:sz w:val="18"/>
                <w:szCs w:val="18"/>
                <w:b w:val="1"/>
                <w:bCs w:val="1"/>
                <w:color w:val="auto"/>
              </w:rPr>
              <w:t>Name of Issuer:</w:t>
            </w:r>
          </w:p>
        </w:tc>
      </w:tr>
      <w:tr>
        <w:trPr>
          <w:trHeight w:val="20"/>
        </w:trPr>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45"/>
        </w:trPr>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iClick Interactive Asia Group Limited (the “Issuer”)</w:t>
            </w:r>
          </w:p>
        </w:tc>
      </w:tr>
      <w:tr>
        <w:trPr>
          <w:trHeight w:val="540"/>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9000" w:type="dxa"/>
            <w:vAlign w:val="bottom"/>
            <w:gridSpan w:val="8"/>
          </w:tcPr>
          <w:p>
            <w:pPr>
              <w:ind w:left="32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330"/>
        </w:trPr>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15/F, Prosperity Millennia Plaza</w:t>
            </w:r>
          </w:p>
        </w:tc>
        <w:tc>
          <w:tcPr>
            <w:tcW w:w="5100" w:type="dxa"/>
            <w:vAlign w:val="bottom"/>
            <w:gridSpan w:val="2"/>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663 King’s Road, Quarry Bay</w:t>
            </w:r>
          </w:p>
        </w:tc>
      </w:tr>
      <w:tr>
        <w:trPr>
          <w:trHeight w:val="230"/>
        </w:trPr>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Hong Kong S.A.R.</w:t>
            </w:r>
          </w:p>
        </w:tc>
      </w:tr>
      <w:tr>
        <w:trPr>
          <w:trHeight w:val="540"/>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9000" w:type="dxa"/>
            <w:vAlign w:val="bottom"/>
            <w:gridSpan w:val="8"/>
          </w:tcPr>
          <w:p>
            <w:pPr>
              <w:ind w:left="320"/>
              <w:spacing w:after="0"/>
              <w:rPr>
                <w:sz w:val="20"/>
                <w:szCs w:val="20"/>
                <w:color w:val="auto"/>
              </w:rPr>
            </w:pPr>
            <w:r>
              <w:rPr>
                <w:rFonts w:ascii="Arial" w:cs="Arial" w:eastAsia="Arial" w:hAnsi="Arial"/>
                <w:sz w:val="18"/>
                <w:szCs w:val="18"/>
                <w:b w:val="1"/>
                <w:bCs w:val="1"/>
                <w:color w:val="auto"/>
              </w:rPr>
              <w:t>Name of Person Filing:</w:t>
            </w:r>
          </w:p>
        </w:tc>
      </w:tr>
      <w:tr>
        <w:trPr>
          <w:trHeight w:val="20"/>
        </w:trPr>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45"/>
        </w:trPr>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Sunee Chiraseivinupraphand</w:t>
            </w:r>
          </w:p>
        </w:tc>
      </w:tr>
      <w:tr>
        <w:trPr>
          <w:trHeight w:val="324"/>
        </w:trPr>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O &amp; K Investment Limited</w:t>
            </w:r>
          </w:p>
        </w:tc>
      </w:tr>
      <w:tr>
        <w:trPr>
          <w:trHeight w:val="540"/>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9000" w:type="dxa"/>
            <w:vAlign w:val="bottom"/>
            <w:gridSpan w:val="8"/>
          </w:tcPr>
          <w:p>
            <w:pPr>
              <w:ind w:left="32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330"/>
        </w:trPr>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Sunee Chiraseivinupraphand</w:t>
            </w:r>
          </w:p>
        </w:tc>
        <w:tc>
          <w:tcPr>
            <w:tcW w:w="418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Flat 23, 16th Floor, Block A</w:t>
            </w: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Fontana Gardens</w:t>
            </w: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Ka Ning Path</w:t>
            </w: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Causeway Bay</w:t>
            </w:r>
          </w:p>
        </w:tc>
      </w:tr>
      <w:tr>
        <w:trPr>
          <w:trHeight w:val="230"/>
        </w:trPr>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Hong Kong</w:t>
            </w:r>
          </w:p>
        </w:tc>
      </w:tr>
      <w:tr>
        <w:trPr>
          <w:trHeight w:val="310"/>
        </w:trPr>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O &amp; K Investment Limited</w:t>
            </w: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Flat 23, 16th Floor, Block A</w:t>
            </w: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Fontana Gardens</w:t>
            </w: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Ka Ning Path</w:t>
            </w: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Causeway Bay</w:t>
            </w:r>
          </w:p>
        </w:tc>
      </w:tr>
      <w:tr>
        <w:trPr>
          <w:trHeight w:val="230"/>
        </w:trPr>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Hong Kong</w:t>
            </w:r>
          </w:p>
        </w:tc>
      </w:tr>
      <w:tr>
        <w:trPr>
          <w:trHeight w:val="540"/>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9000" w:type="dxa"/>
            <w:vAlign w:val="bottom"/>
            <w:gridSpan w:val="8"/>
          </w:tcPr>
          <w:p>
            <w:pPr>
              <w:ind w:left="320"/>
              <w:spacing w:after="0"/>
              <w:rPr>
                <w:sz w:val="20"/>
                <w:szCs w:val="20"/>
                <w:color w:val="auto"/>
              </w:rPr>
            </w:pPr>
            <w:r>
              <w:rPr>
                <w:rFonts w:ascii="Arial" w:cs="Arial" w:eastAsia="Arial" w:hAnsi="Arial"/>
                <w:sz w:val="18"/>
                <w:szCs w:val="18"/>
                <w:b w:val="1"/>
                <w:bCs w:val="1"/>
                <w:color w:val="auto"/>
              </w:rPr>
              <w:t>Citizenship:</w:t>
            </w:r>
          </w:p>
        </w:tc>
      </w:tr>
      <w:tr>
        <w:trPr>
          <w:trHeight w:val="20"/>
        </w:trPr>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40" w:type="dxa"/>
            <w:vAlign w:val="bottom"/>
            <w:tcBorders>
              <w:left w:val="single" w:sz="8" w:color="auto"/>
            </w:tcBorders>
            <w:gridSpan w:val="3"/>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r>
      <w:tr>
        <w:trPr>
          <w:trHeight w:val="345"/>
        </w:trPr>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Sunee Chiraseivinupraphand — Thailand</w:t>
            </w:r>
          </w:p>
        </w:tc>
      </w:tr>
      <w:tr>
        <w:trPr>
          <w:trHeight w:val="324"/>
        </w:trPr>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O &amp; K Investment Limited — Hong Kong S.A.R.</w:t>
            </w:r>
          </w:p>
        </w:tc>
      </w:tr>
      <w:tr>
        <w:trPr>
          <w:trHeight w:val="540"/>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9000" w:type="dxa"/>
            <w:vAlign w:val="bottom"/>
            <w:gridSpan w:val="8"/>
          </w:tcPr>
          <w:p>
            <w:pPr>
              <w:ind w:left="320"/>
              <w:spacing w:after="0"/>
              <w:rPr>
                <w:sz w:val="20"/>
                <w:szCs w:val="20"/>
                <w:color w:val="auto"/>
              </w:rPr>
            </w:pPr>
            <w:r>
              <w:rPr>
                <w:rFonts w:ascii="Arial" w:cs="Arial" w:eastAsia="Arial" w:hAnsi="Arial"/>
                <w:sz w:val="18"/>
                <w:szCs w:val="18"/>
                <w:b w:val="1"/>
                <w:bCs w:val="1"/>
                <w:color w:val="auto"/>
              </w:rPr>
              <w:t>Title of Class of Securities:</w:t>
            </w:r>
          </w:p>
        </w:tc>
      </w:tr>
      <w:tr>
        <w:trPr>
          <w:trHeight w:val="20"/>
        </w:trPr>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40" w:type="dxa"/>
            <w:vAlign w:val="bottom"/>
            <w:tcBorders>
              <w:left w:val="single" w:sz="8" w:color="auto"/>
            </w:tcBorders>
            <w:gridSpan w:val="3"/>
            <w:shd w:val="clear" w:color="auto" w:fill="000000"/>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r>
      <w:tr>
        <w:trPr>
          <w:trHeight w:val="345"/>
        </w:trPr>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Class A ordinary shares, par value of $0.001 per share (the “Class A Ordinary Shares”)</w:t>
            </w:r>
          </w:p>
        </w:tc>
      </w:tr>
      <w:tr>
        <w:trPr>
          <w:trHeight w:val="540"/>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9000" w:type="dxa"/>
            <w:vAlign w:val="bottom"/>
            <w:gridSpan w:val="8"/>
          </w:tcPr>
          <w:p>
            <w:pPr>
              <w:ind w:left="320"/>
              <w:spacing w:after="0"/>
              <w:rPr>
                <w:sz w:val="20"/>
                <w:szCs w:val="20"/>
                <w:color w:val="auto"/>
              </w:rPr>
            </w:pPr>
            <w:r>
              <w:rPr>
                <w:rFonts w:ascii="Arial" w:cs="Arial" w:eastAsia="Arial" w:hAnsi="Arial"/>
                <w:sz w:val="18"/>
                <w:szCs w:val="18"/>
                <w:b w:val="1"/>
                <w:bCs w:val="1"/>
                <w:color w:val="auto"/>
              </w:rPr>
              <w:t>CUSIP No.:</w:t>
            </w:r>
          </w:p>
        </w:tc>
      </w:tr>
      <w:tr>
        <w:trPr>
          <w:trHeight w:val="20"/>
        </w:trPr>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40" w:type="dxa"/>
            <w:vAlign w:val="bottom"/>
            <w:gridSpan w:val="6"/>
          </w:tcPr>
          <w:p>
            <w:pPr>
              <w:spacing w:after="0" w:line="20" w:lineRule="exact"/>
              <w:rPr>
                <w:sz w:val="1"/>
                <w:szCs w:val="1"/>
                <w:color w:val="auto"/>
              </w:rPr>
            </w:pPr>
          </w:p>
        </w:tc>
      </w:tr>
      <w:tr>
        <w:trPr>
          <w:trHeight w:val="345"/>
        </w:trPr>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G47048 106</w:t>
            </w:r>
          </w:p>
        </w:tc>
      </w:tr>
      <w:tr>
        <w:trPr>
          <w:trHeight w:val="540"/>
        </w:trPr>
        <w:tc>
          <w:tcPr>
            <w:tcW w:w="10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000" w:type="dxa"/>
            <w:vAlign w:val="bottom"/>
            <w:gridSpan w:val="8"/>
          </w:tcPr>
          <w:p>
            <w:pPr>
              <w:ind w:left="320"/>
              <w:spacing w:after="0"/>
              <w:rPr>
                <w:sz w:val="20"/>
                <w:szCs w:val="20"/>
                <w:color w:val="auto"/>
              </w:rPr>
            </w:pPr>
            <w:r>
              <w:rPr>
                <w:rFonts w:ascii="Arial" w:cs="Arial" w:eastAsia="Arial" w:hAnsi="Arial"/>
                <w:sz w:val="18"/>
                <w:szCs w:val="18"/>
                <w:b w:val="1"/>
                <w:bCs w:val="1"/>
                <w:color w:val="auto"/>
                <w:w w:val="89"/>
              </w:rPr>
              <w:t>If this statement is filed pursuant to §§ 240.13d-1(b), or 240.13d -2(b) or (c), check whether the persons filing is a:</w:t>
            </w:r>
          </w:p>
        </w:tc>
      </w:tr>
      <w:tr>
        <w:trPr>
          <w:trHeight w:val="345"/>
        </w:trPr>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8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Not applicable</w:t>
            </w:r>
          </w:p>
        </w:tc>
      </w:tr>
      <w:tr>
        <w:trPr>
          <w:trHeight w:val="365"/>
        </w:trPr>
        <w:tc>
          <w:tcPr>
            <w:tcW w:w="1060" w:type="dxa"/>
            <w:vAlign w:val="bottom"/>
          </w:tcPr>
          <w:p>
            <w:pPr>
              <w:spacing w:after="0"/>
              <w:rPr>
                <w:sz w:val="24"/>
                <w:szCs w:val="24"/>
                <w:color w:val="auto"/>
              </w:rPr>
            </w:pPr>
          </w:p>
        </w:tc>
        <w:tc>
          <w:tcPr>
            <w:tcW w:w="4820" w:type="dxa"/>
            <w:vAlign w:val="bottom"/>
            <w:gridSpan w:val="7"/>
          </w:tcPr>
          <w:p>
            <w:pPr>
              <w:ind w:left="4600"/>
              <w:spacing w:after="0"/>
              <w:rPr>
                <w:sz w:val="20"/>
                <w:szCs w:val="20"/>
                <w:color w:val="auto"/>
              </w:rPr>
            </w:pPr>
            <w:r>
              <w:rPr>
                <w:rFonts w:ascii="Arial" w:cs="Arial" w:eastAsia="Arial" w:hAnsi="Arial"/>
                <w:sz w:val="18"/>
                <w:szCs w:val="18"/>
                <w:color w:val="auto"/>
              </w:rPr>
              <w:t>4</w:t>
            </w:r>
          </w:p>
        </w:tc>
        <w:tc>
          <w:tcPr>
            <w:tcW w:w="4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u w:val="single" w:color="auto"/>
          <w:color w:val="auto"/>
        </w:rPr>
        <w:t>Ownership</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The following information with respect to the ownership of the Class A Ordinary Shares by each of the reporting persons is provided as of</w:t>
      </w:r>
    </w:p>
    <w:p>
      <w:pPr>
        <w:spacing w:after="0" w:line="4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20" w:type="dxa"/>
            <w:vAlign w:val="bottom"/>
            <w:gridSpan w:val="2"/>
            <w:vMerge w:val="restart"/>
          </w:tcPr>
          <w:p>
            <w:pPr>
              <w:jc w:val="center"/>
              <w:ind w:right="463"/>
              <w:spacing w:after="0"/>
              <w:rPr>
                <w:sz w:val="20"/>
                <w:szCs w:val="20"/>
                <w:color w:val="auto"/>
              </w:rPr>
            </w:pPr>
            <w:r>
              <w:rPr>
                <w:rFonts w:ascii="Arial" w:cs="Arial" w:eastAsia="Arial" w:hAnsi="Arial"/>
                <w:sz w:val="14"/>
                <w:szCs w:val="14"/>
                <w:b w:val="1"/>
                <w:bCs w:val="1"/>
                <w:color w:val="auto"/>
                <w:w w:val="94"/>
              </w:rPr>
              <w:t>Amount</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Sole Power to</w:t>
            </w:r>
          </w:p>
        </w:tc>
        <w:tc>
          <w:tcPr>
            <w:tcW w:w="1560" w:type="dxa"/>
            <w:vAlign w:val="bottom"/>
            <w:gridSpan w:val="2"/>
            <w:vMerge w:val="restart"/>
          </w:tcPr>
          <w:p>
            <w:pPr>
              <w:jc w:val="center"/>
              <w:ind w:right="503"/>
              <w:spacing w:after="0"/>
              <w:rPr>
                <w:sz w:val="20"/>
                <w:szCs w:val="20"/>
                <w:color w:val="auto"/>
              </w:rPr>
            </w:pPr>
            <w:r>
              <w:rPr>
                <w:rFonts w:ascii="Arial" w:cs="Arial" w:eastAsia="Arial" w:hAnsi="Arial"/>
                <w:sz w:val="14"/>
                <w:szCs w:val="14"/>
                <w:b w:val="1"/>
                <w:bCs w:val="1"/>
                <w:color w:val="auto"/>
                <w:w w:val="92"/>
              </w:rPr>
              <w:t>Shared Power</w:t>
            </w: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Sole Power to</w:t>
            </w:r>
          </w:p>
        </w:tc>
        <w:tc>
          <w:tcPr>
            <w:tcW w:w="1220" w:type="dxa"/>
            <w:vAlign w:val="bottom"/>
            <w:gridSpan w:val="2"/>
          </w:tcPr>
          <w:p>
            <w:pPr>
              <w:jc w:val="center"/>
              <w:ind w:right="203"/>
              <w:spacing w:after="0"/>
              <w:rPr>
                <w:sz w:val="20"/>
                <w:szCs w:val="20"/>
                <w:color w:val="auto"/>
              </w:rPr>
            </w:pPr>
            <w:r>
              <w:rPr>
                <w:rFonts w:ascii="Arial" w:cs="Arial" w:eastAsia="Arial" w:hAnsi="Arial"/>
                <w:sz w:val="14"/>
                <w:szCs w:val="14"/>
                <w:b w:val="1"/>
                <w:bCs w:val="1"/>
                <w:color w:val="auto"/>
                <w:w w:val="92"/>
              </w:rPr>
              <w:t>Shared Power</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Percent of</w:t>
            </w:r>
          </w:p>
        </w:tc>
        <w:tc>
          <w:tcPr>
            <w:tcW w:w="126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1220" w:type="dxa"/>
            <w:vAlign w:val="bottom"/>
            <w:gridSpan w:val="2"/>
          </w:tcPr>
          <w:p>
            <w:pPr>
              <w:jc w:val="center"/>
              <w:ind w:right="203"/>
              <w:spacing w:after="0" w:line="149" w:lineRule="exact"/>
              <w:rPr>
                <w:sz w:val="20"/>
                <w:szCs w:val="20"/>
                <w:color w:val="auto"/>
              </w:rPr>
            </w:pPr>
            <w:r>
              <w:rPr>
                <w:rFonts w:ascii="Arial" w:cs="Arial" w:eastAsia="Arial" w:hAnsi="Arial"/>
                <w:sz w:val="14"/>
                <w:szCs w:val="14"/>
                <w:b w:val="1"/>
                <w:bCs w:val="1"/>
                <w:color w:val="auto"/>
                <w:w w:val="88"/>
              </w:rPr>
              <w:t>to Dispose or to</w:t>
            </w: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1"/>
              </w:rPr>
              <w:t>Reporting Person:</w:t>
            </w:r>
          </w:p>
        </w:tc>
        <w:tc>
          <w:tcPr>
            <w:tcW w:w="2480" w:type="dxa"/>
            <w:vAlign w:val="bottom"/>
            <w:vMerge w:val="restart"/>
          </w:tcPr>
          <w:p>
            <w:pPr>
              <w:spacing w:after="0"/>
              <w:rPr>
                <w:sz w:val="12"/>
                <w:szCs w:val="12"/>
                <w:color w:val="auto"/>
              </w:rPr>
            </w:pPr>
          </w:p>
        </w:tc>
        <w:tc>
          <w:tcPr>
            <w:tcW w:w="1320" w:type="dxa"/>
            <w:vAlign w:val="bottom"/>
            <w:gridSpan w:val="2"/>
          </w:tcPr>
          <w:p>
            <w:pPr>
              <w:jc w:val="center"/>
              <w:ind w:right="483"/>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40" w:type="dxa"/>
            <w:vAlign w:val="bottom"/>
            <w:gridSpan w:val="2"/>
            <w:vMerge w:val="continue"/>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Vote or Direct</w:t>
            </w:r>
          </w:p>
        </w:tc>
        <w:tc>
          <w:tcPr>
            <w:tcW w:w="1560" w:type="dxa"/>
            <w:vAlign w:val="bottom"/>
            <w:gridSpan w:val="2"/>
          </w:tcPr>
          <w:p>
            <w:pPr>
              <w:jc w:val="center"/>
              <w:ind w:right="523"/>
              <w:spacing w:after="0" w:line="149" w:lineRule="exact"/>
              <w:rPr>
                <w:sz w:val="20"/>
                <w:szCs w:val="20"/>
                <w:color w:val="auto"/>
              </w:rPr>
            </w:pPr>
            <w:r>
              <w:rPr>
                <w:rFonts w:ascii="Arial" w:cs="Arial" w:eastAsia="Arial" w:hAnsi="Arial"/>
                <w:sz w:val="14"/>
                <w:szCs w:val="14"/>
                <w:b w:val="1"/>
                <w:bCs w:val="1"/>
                <w:color w:val="auto"/>
                <w:w w:val="92"/>
              </w:rPr>
              <w:t>to Vote or to</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Direct the</w:t>
            </w:r>
          </w:p>
        </w:tc>
        <w:tc>
          <w:tcPr>
            <w:tcW w:w="1220" w:type="dxa"/>
            <w:vAlign w:val="bottom"/>
            <w:gridSpan w:val="2"/>
          </w:tcPr>
          <w:p>
            <w:pPr>
              <w:jc w:val="center"/>
              <w:ind w:right="203"/>
              <w:spacing w:after="0" w:line="149" w:lineRule="exact"/>
              <w:rPr>
                <w:sz w:val="20"/>
                <w:szCs w:val="20"/>
                <w:color w:val="auto"/>
              </w:rPr>
            </w:pPr>
            <w:r>
              <w:rPr>
                <w:rFonts w:ascii="Arial" w:cs="Arial" w:eastAsia="Arial" w:hAnsi="Arial"/>
                <w:sz w:val="14"/>
                <w:szCs w:val="14"/>
                <w:b w:val="1"/>
                <w:bCs w:val="1"/>
                <w:color w:val="auto"/>
                <w:w w:val="95"/>
              </w:rPr>
              <w:t>Direct the</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vMerge w:val="continue"/>
          </w:tcPr>
          <w:p>
            <w:pPr>
              <w:spacing w:after="0"/>
              <w:rPr>
                <w:sz w:val="14"/>
                <w:szCs w:val="14"/>
                <w:color w:val="auto"/>
              </w:rPr>
            </w:pPr>
          </w:p>
        </w:tc>
        <w:tc>
          <w:tcPr>
            <w:tcW w:w="248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Owned:</w:t>
            </w:r>
          </w:p>
        </w:tc>
        <w:tc>
          <w:tcPr>
            <w:tcW w:w="5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Class:</w:t>
            </w:r>
            <w:r>
              <w:rPr>
                <w:rFonts w:ascii="Arial" w:cs="Arial" w:eastAsia="Arial" w:hAnsi="Arial"/>
                <w:sz w:val="12"/>
                <w:szCs w:val="12"/>
                <w:b w:val="1"/>
                <w:bCs w:val="1"/>
                <w:color w:val="auto"/>
                <w:w w:val="91"/>
              </w:rPr>
              <w:t>(1)</w:t>
            </w:r>
          </w:p>
        </w:tc>
        <w:tc>
          <w:tcPr>
            <w:tcW w:w="5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Vote:</w:t>
            </w:r>
          </w:p>
        </w:tc>
        <w:tc>
          <w:tcPr>
            <w:tcW w:w="4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 the Vote:</w:t>
            </w:r>
          </w:p>
        </w:tc>
        <w:tc>
          <w:tcPr>
            <w:tcW w:w="5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Disposition of:</w:t>
            </w:r>
          </w:p>
        </w:tc>
        <w:tc>
          <w:tcPr>
            <w:tcW w:w="4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Disposition of:</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Sunee Chiraseivinupraphand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1,532,955</w:t>
            </w:r>
          </w:p>
        </w:tc>
        <w:tc>
          <w:tcPr>
            <w:tcW w:w="5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87"/>
              </w:rPr>
              <w:t>(2)</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860" w:type="dxa"/>
            <w:vAlign w:val="bottom"/>
            <w:shd w:val="clear" w:color="auto" w:fill="CCEEFF"/>
          </w:tcPr>
          <w:p>
            <w:pPr>
              <w:ind w:left="780"/>
              <w:spacing w:after="0"/>
              <w:rPr>
                <w:sz w:val="20"/>
                <w:szCs w:val="20"/>
                <w:color w:val="auto"/>
              </w:rPr>
            </w:pPr>
            <w:r>
              <w:rPr>
                <w:rFonts w:ascii="Arial" w:cs="Arial" w:eastAsia="Arial" w:hAnsi="Arial"/>
                <w:sz w:val="15"/>
                <w:szCs w:val="15"/>
                <w:color w:val="auto"/>
                <w:w w:val="71"/>
              </w:rPr>
              <w:t>0</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1,532,955</w:t>
            </w:r>
          </w:p>
        </w:tc>
        <w:tc>
          <w:tcPr>
            <w:tcW w:w="58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1,532,955</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O &amp; K Investment Limited</w:t>
            </w:r>
          </w:p>
        </w:tc>
        <w:tc>
          <w:tcPr>
            <w:tcW w:w="1320" w:type="dxa"/>
            <w:vAlign w:val="bottom"/>
            <w:gridSpan w:val="2"/>
          </w:tcPr>
          <w:p>
            <w:pPr>
              <w:jc w:val="right"/>
              <w:ind w:right="283"/>
              <w:spacing w:after="0"/>
              <w:rPr>
                <w:sz w:val="20"/>
                <w:szCs w:val="20"/>
                <w:color w:val="auto"/>
              </w:rPr>
            </w:pPr>
            <w:r>
              <w:rPr>
                <w:rFonts w:ascii="Arial" w:cs="Arial" w:eastAsia="Arial" w:hAnsi="Arial"/>
                <w:sz w:val="18"/>
                <w:szCs w:val="18"/>
                <w:color w:val="auto"/>
                <w:w w:val="95"/>
              </w:rPr>
              <w:t>1,532,955</w:t>
            </w:r>
            <w:r>
              <w:rPr>
                <w:rFonts w:ascii="Arial" w:cs="Arial" w:eastAsia="Arial" w:hAnsi="Arial"/>
                <w:sz w:val="15"/>
                <w:szCs w:val="15"/>
                <w:color w:val="auto"/>
                <w:w w:val="95"/>
              </w:rPr>
              <w:t>(3)</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5.9%</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ind w:right="283"/>
              <w:spacing w:after="0"/>
              <w:rPr>
                <w:sz w:val="20"/>
                <w:szCs w:val="20"/>
                <w:color w:val="auto"/>
              </w:rPr>
            </w:pPr>
            <w:r>
              <w:rPr>
                <w:rFonts w:ascii="Arial" w:cs="Arial" w:eastAsia="Arial" w:hAnsi="Arial"/>
                <w:sz w:val="18"/>
                <w:szCs w:val="18"/>
                <w:color w:val="auto"/>
              </w:rPr>
              <w:t xml:space="preserve">1,532,955 </w:t>
            </w:r>
            <w:r>
              <w:rPr>
                <w:rFonts w:ascii="Arial" w:cs="Arial" w:eastAsia="Arial" w:hAnsi="Arial"/>
                <w:sz w:val="15"/>
                <w:szCs w:val="15"/>
                <w:color w:val="auto"/>
              </w:rPr>
              <w:t>(3)</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xml:space="preserve">1,532,955 </w:t>
            </w: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2" w:lineRule="exact"/>
        <w:rPr>
          <w:sz w:val="20"/>
          <w:szCs w:val="20"/>
          <w:color w:val="auto"/>
        </w:rPr>
      </w:pPr>
    </w:p>
    <w:p>
      <w:pPr>
        <w:jc w:val="both"/>
        <w:ind w:left="460" w:right="340" w:hanging="452"/>
        <w:spacing w:after="0" w:line="288"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percentage of the class of securities beneficially owned by each reporting person is based on 26,059,433 outstanding ordinary shares (being the sum of 21,238,825 Class A Ordinary Shares and 4,820,608 Class B ordinary shares, par value of $0.001 per share, of the Issuer (“Class B Ordinary Shares”) outstanding as of December 31, 2017, assuming conversion of all Class B Ordinary Shares into Class A Ordinary Shares).</w:t>
      </w:r>
    </w:p>
    <w:p>
      <w:pPr>
        <w:ind w:left="460" w:right="420" w:hanging="452"/>
        <w:spacing w:after="0" w:line="265"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1,532,955 Class A Ordinary Shares held by O &amp; K Investment Limited. Ms. Sunee Chiraseivinupraphand is the sole director of O &amp; K Investment Limited and spouse of Wing Hong Sammy Hsieh, who is the co-founder, chief executive officer and director of the Issuer.</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1,532,955 Class A Ordinary Shares held by O &amp; K Investment Limited.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340" w:type="dxa"/>
            <w:vAlign w:val="bottom"/>
            <w:gridSpan w:val="7"/>
          </w:tcPr>
          <w:p>
            <w:pPr>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45"/>
        </w:trPr>
        <w:tc>
          <w:tcPr>
            <w:tcW w:w="1380" w:type="dxa"/>
            <w:vAlign w:val="bottom"/>
          </w:tcPr>
          <w:p>
            <w:pPr>
              <w:spacing w:after="0"/>
              <w:rPr>
                <w:sz w:val="24"/>
                <w:szCs w:val="24"/>
                <w:color w:val="auto"/>
              </w:rPr>
            </w:pPr>
          </w:p>
        </w:tc>
        <w:tc>
          <w:tcPr>
            <w:tcW w:w="34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Not applicable</w:t>
            </w:r>
          </w:p>
        </w:tc>
        <w:tc>
          <w:tcPr>
            <w:tcW w:w="5920" w:type="dxa"/>
            <w:vAlign w:val="bottom"/>
            <w:gridSpan w:val="3"/>
          </w:tcPr>
          <w:p>
            <w:pPr>
              <w:spacing w:after="0"/>
              <w:rPr>
                <w:sz w:val="24"/>
                <w:szCs w:val="24"/>
                <w:color w:val="auto"/>
              </w:rPr>
            </w:pPr>
          </w:p>
        </w:tc>
      </w:tr>
      <w:tr>
        <w:trPr>
          <w:trHeight w:val="540"/>
        </w:trPr>
        <w:tc>
          <w:tcPr>
            <w:tcW w:w="13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1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Ownership of More than Five Percent on Behalf of Another Person</w:t>
            </w:r>
          </w:p>
        </w:tc>
        <w:tc>
          <w:tcPr>
            <w:tcW w:w="4200" w:type="dxa"/>
            <w:vAlign w:val="bottom"/>
          </w:tcPr>
          <w:p>
            <w:pPr>
              <w:spacing w:after="0"/>
              <w:rPr>
                <w:sz w:val="24"/>
                <w:szCs w:val="24"/>
                <w:color w:val="auto"/>
              </w:rPr>
            </w:pPr>
          </w:p>
        </w:tc>
      </w:tr>
      <w:tr>
        <w:trPr>
          <w:trHeight w:val="345"/>
        </w:trPr>
        <w:tc>
          <w:tcPr>
            <w:tcW w:w="1380" w:type="dxa"/>
            <w:vAlign w:val="bottom"/>
          </w:tcPr>
          <w:p>
            <w:pPr>
              <w:spacing w:after="0"/>
              <w:rPr>
                <w:sz w:val="24"/>
                <w:szCs w:val="24"/>
                <w:color w:val="auto"/>
              </w:rPr>
            </w:pPr>
          </w:p>
        </w:tc>
        <w:tc>
          <w:tcPr>
            <w:tcW w:w="9340" w:type="dxa"/>
            <w:vAlign w:val="bottom"/>
            <w:gridSpan w:val="7"/>
          </w:tcPr>
          <w:p>
            <w:pPr>
              <w:spacing w:after="0"/>
              <w:rPr>
                <w:sz w:val="20"/>
                <w:szCs w:val="20"/>
                <w:color w:val="auto"/>
              </w:rPr>
            </w:pPr>
            <w:r>
              <w:rPr>
                <w:rFonts w:ascii="Arial" w:cs="Arial" w:eastAsia="Arial" w:hAnsi="Arial"/>
                <w:sz w:val="18"/>
                <w:szCs w:val="18"/>
                <w:color w:val="auto"/>
              </w:rPr>
              <w:t>Not applicable</w:t>
            </w:r>
          </w:p>
        </w:tc>
      </w:tr>
      <w:tr>
        <w:trPr>
          <w:trHeight w:val="540"/>
        </w:trPr>
        <w:tc>
          <w:tcPr>
            <w:tcW w:w="13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3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Identification and Classification of the Subsidiary Which Acquired the Security Being Reported on By the Parent Holding</w:t>
            </w:r>
          </w:p>
        </w:tc>
      </w:tr>
      <w:tr>
        <w:trPr>
          <w:trHeight w:val="196"/>
        </w:trPr>
        <w:tc>
          <w:tcPr>
            <w:tcW w:w="1380" w:type="dxa"/>
            <w:vAlign w:val="bottom"/>
          </w:tcPr>
          <w:p>
            <w:pPr>
              <w:spacing w:after="0"/>
              <w:rPr>
                <w:sz w:val="17"/>
                <w:szCs w:val="17"/>
                <w:color w:val="auto"/>
              </w:rPr>
            </w:pPr>
          </w:p>
        </w:tc>
        <w:tc>
          <w:tcPr>
            <w:tcW w:w="21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89"/>
              </w:rPr>
              <w:t>Company or Control Person</w:t>
            </w:r>
          </w:p>
        </w:tc>
        <w:tc>
          <w:tcPr>
            <w:tcW w:w="7160" w:type="dxa"/>
            <w:vAlign w:val="bottom"/>
            <w:gridSpan w:val="5"/>
          </w:tcPr>
          <w:p>
            <w:pPr>
              <w:spacing w:after="0"/>
              <w:rPr>
                <w:sz w:val="17"/>
                <w:szCs w:val="17"/>
                <w:color w:val="auto"/>
              </w:rPr>
            </w:pPr>
          </w:p>
        </w:tc>
      </w:tr>
      <w:tr>
        <w:trPr>
          <w:trHeight w:val="345"/>
        </w:trPr>
        <w:tc>
          <w:tcPr>
            <w:tcW w:w="1380" w:type="dxa"/>
            <w:vAlign w:val="bottom"/>
          </w:tcPr>
          <w:p>
            <w:pPr>
              <w:spacing w:after="0"/>
              <w:rPr>
                <w:sz w:val="24"/>
                <w:szCs w:val="24"/>
                <w:color w:val="auto"/>
              </w:rPr>
            </w:pPr>
          </w:p>
        </w:tc>
        <w:tc>
          <w:tcPr>
            <w:tcW w:w="9340" w:type="dxa"/>
            <w:vAlign w:val="bottom"/>
            <w:gridSpan w:val="7"/>
          </w:tcPr>
          <w:p>
            <w:pPr>
              <w:spacing w:after="0"/>
              <w:rPr>
                <w:sz w:val="20"/>
                <w:szCs w:val="20"/>
                <w:color w:val="auto"/>
              </w:rPr>
            </w:pPr>
            <w:r>
              <w:rPr>
                <w:rFonts w:ascii="Arial" w:cs="Arial" w:eastAsia="Arial" w:hAnsi="Arial"/>
                <w:sz w:val="18"/>
                <w:szCs w:val="18"/>
                <w:color w:val="auto"/>
              </w:rPr>
              <w:t>Not applicable</w:t>
            </w:r>
          </w:p>
        </w:tc>
      </w:tr>
      <w:tr>
        <w:trPr>
          <w:trHeight w:val="540"/>
        </w:trPr>
        <w:tc>
          <w:tcPr>
            <w:tcW w:w="13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4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Identification and Classification of Members of the Group</w:t>
            </w:r>
          </w:p>
        </w:tc>
        <w:tc>
          <w:tcPr>
            <w:tcW w:w="4880" w:type="dxa"/>
            <w:vAlign w:val="bottom"/>
            <w:gridSpan w:val="2"/>
          </w:tcPr>
          <w:p>
            <w:pPr>
              <w:spacing w:after="0"/>
              <w:rPr>
                <w:sz w:val="24"/>
                <w:szCs w:val="24"/>
                <w:color w:val="auto"/>
              </w:rPr>
            </w:pPr>
          </w:p>
        </w:tc>
      </w:tr>
      <w:tr>
        <w:trPr>
          <w:trHeight w:val="345"/>
        </w:trPr>
        <w:tc>
          <w:tcPr>
            <w:tcW w:w="1380" w:type="dxa"/>
            <w:vAlign w:val="bottom"/>
          </w:tcPr>
          <w:p>
            <w:pPr>
              <w:spacing w:after="0"/>
              <w:rPr>
                <w:sz w:val="24"/>
                <w:szCs w:val="24"/>
                <w:color w:val="auto"/>
              </w:rPr>
            </w:pPr>
          </w:p>
        </w:tc>
        <w:tc>
          <w:tcPr>
            <w:tcW w:w="9340" w:type="dxa"/>
            <w:vAlign w:val="bottom"/>
            <w:gridSpan w:val="7"/>
          </w:tcPr>
          <w:p>
            <w:pPr>
              <w:spacing w:after="0"/>
              <w:rPr>
                <w:sz w:val="20"/>
                <w:szCs w:val="20"/>
                <w:color w:val="auto"/>
              </w:rPr>
            </w:pPr>
            <w:r>
              <w:rPr>
                <w:rFonts w:ascii="Arial" w:cs="Arial" w:eastAsia="Arial" w:hAnsi="Arial"/>
                <w:sz w:val="18"/>
                <w:szCs w:val="18"/>
                <w:color w:val="auto"/>
              </w:rPr>
              <w:t>Not applicable</w:t>
            </w:r>
          </w:p>
        </w:tc>
      </w:tr>
      <w:tr>
        <w:trPr>
          <w:trHeight w:val="540"/>
        </w:trPr>
        <w:tc>
          <w:tcPr>
            <w:tcW w:w="13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9340" w:type="dxa"/>
            <w:vAlign w:val="bottom"/>
            <w:gridSpan w:val="7"/>
          </w:tcPr>
          <w:p>
            <w:pPr>
              <w:spacing w:after="0"/>
              <w:rPr>
                <w:sz w:val="20"/>
                <w:szCs w:val="20"/>
                <w:color w:val="auto"/>
              </w:rPr>
            </w:pPr>
            <w:r>
              <w:rPr>
                <w:rFonts w:ascii="Arial" w:cs="Arial" w:eastAsia="Arial" w:hAnsi="Arial"/>
                <w:sz w:val="18"/>
                <w:szCs w:val="18"/>
                <w:b w:val="1"/>
                <w:bCs w:val="1"/>
                <w:color w:val="auto"/>
              </w:rPr>
              <w:t>Notice of Dissolution of Group</w:t>
            </w:r>
          </w:p>
        </w:tc>
      </w:tr>
      <w:tr>
        <w:trPr>
          <w:trHeight w:val="345"/>
        </w:trPr>
        <w:tc>
          <w:tcPr>
            <w:tcW w:w="1380" w:type="dxa"/>
            <w:vAlign w:val="bottom"/>
          </w:tcPr>
          <w:p>
            <w:pPr>
              <w:spacing w:after="0"/>
              <w:rPr>
                <w:sz w:val="24"/>
                <w:szCs w:val="24"/>
                <w:color w:val="auto"/>
              </w:rPr>
            </w:pPr>
          </w:p>
        </w:tc>
        <w:tc>
          <w:tcPr>
            <w:tcW w:w="23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Not applicable</w:t>
            </w:r>
          </w:p>
        </w:tc>
        <w:tc>
          <w:tcPr>
            <w:tcW w:w="7020" w:type="dxa"/>
            <w:vAlign w:val="bottom"/>
            <w:gridSpan w:val="4"/>
          </w:tcPr>
          <w:p>
            <w:pPr>
              <w:spacing w:after="0"/>
              <w:rPr>
                <w:sz w:val="24"/>
                <w:szCs w:val="24"/>
                <w:color w:val="auto"/>
              </w:rPr>
            </w:pPr>
          </w:p>
        </w:tc>
      </w:tr>
      <w:tr>
        <w:trPr>
          <w:trHeight w:val="540"/>
        </w:trPr>
        <w:tc>
          <w:tcPr>
            <w:tcW w:w="13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9340" w:type="dxa"/>
            <w:vAlign w:val="bottom"/>
            <w:gridSpan w:val="7"/>
          </w:tcPr>
          <w:p>
            <w:pPr>
              <w:spacing w:after="0"/>
              <w:rPr>
                <w:sz w:val="20"/>
                <w:szCs w:val="20"/>
                <w:color w:val="auto"/>
              </w:rPr>
            </w:pPr>
            <w:r>
              <w:rPr>
                <w:rFonts w:ascii="Arial" w:cs="Arial" w:eastAsia="Arial" w:hAnsi="Arial"/>
                <w:sz w:val="18"/>
                <w:szCs w:val="18"/>
                <w:b w:val="1"/>
                <w:bCs w:val="1"/>
                <w:color w:val="auto"/>
              </w:rPr>
              <w:t>Certifications</w:t>
            </w:r>
          </w:p>
        </w:tc>
      </w:tr>
      <w:tr>
        <w:trPr>
          <w:trHeight w:val="20"/>
        </w:trPr>
        <w:tc>
          <w:tcPr>
            <w:tcW w:w="1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300" w:type="dxa"/>
            <w:vAlign w:val="bottom"/>
            <w:gridSpan w:val="6"/>
          </w:tcPr>
          <w:p>
            <w:pPr>
              <w:spacing w:after="0" w:line="20" w:lineRule="exact"/>
              <w:rPr>
                <w:sz w:val="1"/>
                <w:szCs w:val="1"/>
                <w:color w:val="auto"/>
              </w:rPr>
            </w:pPr>
          </w:p>
        </w:tc>
      </w:tr>
      <w:tr>
        <w:trPr>
          <w:trHeight w:val="345"/>
        </w:trPr>
        <w:tc>
          <w:tcPr>
            <w:tcW w:w="1380" w:type="dxa"/>
            <w:vAlign w:val="bottom"/>
          </w:tcPr>
          <w:p>
            <w:pPr>
              <w:spacing w:after="0"/>
              <w:rPr>
                <w:sz w:val="24"/>
                <w:szCs w:val="24"/>
                <w:color w:val="auto"/>
              </w:rPr>
            </w:pPr>
          </w:p>
        </w:tc>
        <w:tc>
          <w:tcPr>
            <w:tcW w:w="9340" w:type="dxa"/>
            <w:vAlign w:val="bottom"/>
            <w:gridSpan w:val="7"/>
          </w:tcPr>
          <w:p>
            <w:pPr>
              <w:spacing w:after="0"/>
              <w:rPr>
                <w:sz w:val="20"/>
                <w:szCs w:val="20"/>
                <w:color w:val="auto"/>
              </w:rPr>
            </w:pPr>
            <w:r>
              <w:rPr>
                <w:rFonts w:ascii="Arial" w:cs="Arial" w:eastAsia="Arial" w:hAnsi="Arial"/>
                <w:sz w:val="18"/>
                <w:szCs w:val="18"/>
                <w:color w:val="auto"/>
              </w:rPr>
              <w:t>Not applicable</w:t>
            </w:r>
          </w:p>
        </w:tc>
      </w:tr>
      <w:tr>
        <w:trPr>
          <w:trHeight w:val="365"/>
        </w:trPr>
        <w:tc>
          <w:tcPr>
            <w:tcW w:w="1380" w:type="dxa"/>
            <w:vAlign w:val="bottom"/>
          </w:tcPr>
          <w:p>
            <w:pPr>
              <w:spacing w:after="0"/>
              <w:rPr>
                <w:sz w:val="24"/>
                <w:szCs w:val="24"/>
                <w:color w:val="auto"/>
              </w:rPr>
            </w:pPr>
          </w:p>
        </w:tc>
        <w:tc>
          <w:tcPr>
            <w:tcW w:w="4460" w:type="dxa"/>
            <w:vAlign w:val="bottom"/>
            <w:gridSpan w:val="5"/>
          </w:tcPr>
          <w:p>
            <w:pPr>
              <w:ind w:left="428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4"/>
                <w:szCs w:val="24"/>
                <w:color w:val="auto"/>
              </w:rPr>
            </w:pPr>
          </w:p>
        </w:tc>
        <w:tc>
          <w:tcPr>
            <w:tcW w:w="42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Dated: February 13, 2018</w:t>
            </w: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459"/>
        </w:trPr>
        <w:tc>
          <w:tcPr>
            <w:tcW w:w="3880" w:type="dxa"/>
            <w:vAlign w:val="bottom"/>
          </w:tcPr>
          <w:p>
            <w:pPr>
              <w:spacing w:after="0"/>
              <w:rPr>
                <w:sz w:val="20"/>
                <w:szCs w:val="20"/>
                <w:color w:val="auto"/>
              </w:rPr>
            </w:pPr>
            <w:r>
              <w:rPr>
                <w:rFonts w:ascii="Arial" w:cs="Arial" w:eastAsia="Arial" w:hAnsi="Arial"/>
                <w:sz w:val="18"/>
                <w:szCs w:val="18"/>
                <w:color w:val="auto"/>
              </w:rPr>
              <w:t>Sunee Chiraseivinupraphand</w:t>
            </w:r>
          </w:p>
        </w:tc>
        <w:tc>
          <w:tcPr>
            <w:tcW w:w="1940" w:type="dxa"/>
            <w:vAlign w:val="bottom"/>
          </w:tcPr>
          <w:p>
            <w:pPr>
              <w:spacing w:after="0"/>
              <w:rPr>
                <w:sz w:val="24"/>
                <w:szCs w:val="24"/>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Sunee Chiraseivinupraphand</w:t>
            </w:r>
          </w:p>
        </w:tc>
      </w:tr>
      <w:tr>
        <w:trPr>
          <w:trHeight w:val="439"/>
        </w:trPr>
        <w:tc>
          <w:tcPr>
            <w:tcW w:w="3880" w:type="dxa"/>
            <w:vAlign w:val="bottom"/>
          </w:tcPr>
          <w:p>
            <w:pPr>
              <w:spacing w:after="0"/>
              <w:rPr>
                <w:sz w:val="20"/>
                <w:szCs w:val="20"/>
                <w:color w:val="auto"/>
              </w:rPr>
            </w:pPr>
            <w:r>
              <w:rPr>
                <w:rFonts w:ascii="Arial" w:cs="Arial" w:eastAsia="Arial" w:hAnsi="Arial"/>
                <w:sz w:val="18"/>
                <w:szCs w:val="18"/>
                <w:color w:val="auto"/>
              </w:rPr>
              <w:t>O &amp; K Investment Limited</w:t>
            </w:r>
          </w:p>
        </w:tc>
        <w:tc>
          <w:tcPr>
            <w:tcW w:w="19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Sunee Chiraseivinupraphand</w:t>
            </w:r>
          </w:p>
        </w:tc>
      </w:tr>
      <w:tr>
        <w:trPr>
          <w:trHeight w:val="209"/>
        </w:trPr>
        <w:tc>
          <w:tcPr>
            <w:tcW w:w="3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Sunee Chiraseivinupraphand</w:t>
            </w:r>
          </w:p>
        </w:tc>
      </w:tr>
      <w:tr>
        <w:trPr>
          <w:trHeight w:val="230"/>
        </w:trPr>
        <w:tc>
          <w:tcPr>
            <w:tcW w:w="38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365"/>
        </w:trPr>
        <w:tc>
          <w:tcPr>
            <w:tcW w:w="388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jc w:val="right"/>
        <w:ind w:right="3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LIST OF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99.1 — Joint Filing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70"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undersigned hereby execute this Agreement as of February 13,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Sunee Chiraseivinupraphand</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Sunee Chiraseivinupraphand</w:t>
            </w:r>
          </w:p>
        </w:tc>
      </w:tr>
      <w:tr>
        <w:trPr>
          <w:trHeight w:val="439"/>
        </w:trPr>
        <w:tc>
          <w:tcPr>
            <w:tcW w:w="5820" w:type="dxa"/>
            <w:vAlign w:val="bottom"/>
          </w:tcPr>
          <w:p>
            <w:pPr>
              <w:spacing w:after="0"/>
              <w:rPr>
                <w:sz w:val="20"/>
                <w:szCs w:val="20"/>
                <w:color w:val="auto"/>
              </w:rPr>
            </w:pPr>
            <w:r>
              <w:rPr>
                <w:rFonts w:ascii="Arial" w:cs="Arial" w:eastAsia="Arial" w:hAnsi="Arial"/>
                <w:sz w:val="18"/>
                <w:szCs w:val="18"/>
                <w:color w:val="auto"/>
              </w:rPr>
              <w:t>O &amp; K Investment Limited</w:t>
            </w:r>
          </w:p>
        </w:tc>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Sunee hiraseivinupraphand</w:t>
            </w:r>
          </w:p>
        </w:tc>
      </w:tr>
      <w:tr>
        <w:trPr>
          <w:trHeight w:val="209"/>
        </w:trPr>
        <w:tc>
          <w:tcPr>
            <w:tcW w:w="58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Sunee Chiraseivinupraphand</w:t>
            </w:r>
          </w:p>
        </w:tc>
      </w:tr>
      <w:tr>
        <w:trPr>
          <w:trHeight w:val="230"/>
        </w:trPr>
        <w:tc>
          <w:tcPr>
            <w:tcW w:w="58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lvl w:ilvl="1">
      <w:lvlJc w:val="left"/>
      <w:lvlText w:val="☒"/>
      <w:numFmt w:val="bullet"/>
      <w:start w:val="1"/>
    </w:lvl>
  </w:abstractNum>
  <w:abstractNum w:abstractNumId="2">
    <w:nsid w:val="3352255A"/>
    <w:multiLevelType w:val="hybridMultilevel"/>
    <w:lvl w:ilvl="0">
      <w:lvlJc w:val="left"/>
      <w:lvlText w:val="1"/>
      <w:numFmt w:val="bullet"/>
      <w:start w:val="1"/>
    </w:lvl>
  </w:abstractNum>
  <w:abstractNum w:abstractNumId="3">
    <w:nsid w:val="109CF92E"/>
    <w:multiLevelType w:val="hybridMultilevel"/>
    <w:lvl w:ilvl="0">
      <w:lvlJc w:val="left"/>
      <w:lvlText w:val="2"/>
      <w:numFmt w:val="bullet"/>
      <w:start w:val="1"/>
    </w:lvl>
  </w:abstractNum>
  <w:abstractNum w:abstractNumId="4">
    <w:nsid w:val="DED7263"/>
    <w:multiLevelType w:val="hybridMultilevel"/>
    <w:lvl w:ilvl="0">
      <w:lvlJc w:val="left"/>
      <w:lvlText w:val="3"/>
      <w:numFmt w:val="bullet"/>
      <w:start w:val="1"/>
    </w:lvl>
  </w:abstractNum>
  <w:abstractNum w:abstractNumId="5">
    <w:nsid w:val="7FDCC233"/>
    <w:multiLevelType w:val="hybridMultilevel"/>
    <w:lvl w:ilvl="0">
      <w:lvlJc w:val="left"/>
      <w:lvlText w:val="4"/>
      <w:numFmt w:val="bullet"/>
      <w:start w:val="1"/>
    </w:lvl>
  </w:abstractNum>
  <w:abstractNum w:abstractNumId="6">
    <w:nsid w:val="1BEFD79F"/>
    <w:multiLevelType w:val="hybridMultilevel"/>
    <w:lvl w:ilvl="0">
      <w:lvlJc w:val="left"/>
      <w:lvlText w:val="5"/>
      <w:numFmt w:val="bullet"/>
      <w:start w:val="1"/>
    </w:lvl>
  </w:abstractNum>
  <w:abstractNum w:abstractNumId="7">
    <w:nsid w:val="41A7C4C9"/>
    <w:multiLevelType w:val="hybridMultilevel"/>
    <w:lvl w:ilvl="0">
      <w:lvlJc w:val="left"/>
      <w:lvlText w:val="6"/>
      <w:numFmt w:val="bullet"/>
      <w:start w:val="1"/>
    </w:lvl>
  </w:abstractNum>
  <w:abstractNum w:abstractNumId="8">
    <w:nsid w:val="6B68079A"/>
    <w:multiLevelType w:val="hybridMultilevel"/>
    <w:lvl w:ilvl="0">
      <w:lvlJc w:val="left"/>
      <w:lvlText w:val="7"/>
      <w:numFmt w:val="bullet"/>
      <w:start w:val="1"/>
    </w:lvl>
  </w:abstractNum>
  <w:abstractNum w:abstractNumId="9">
    <w:nsid w:val="4E6AFB66"/>
    <w:multiLevelType w:val="hybridMultilevel"/>
    <w:lvl w:ilvl="0">
      <w:lvlJc w:val="left"/>
      <w:lvlText w:val="8"/>
      <w:numFmt w:val="bullet"/>
      <w:start w:val="1"/>
    </w:lvl>
  </w:abstractNum>
  <w:abstractNum w:abstractNumId="10">
    <w:nsid w:val="25E45D32"/>
    <w:multiLevelType w:val="hybridMultilevel"/>
    <w:lvl w:ilvl="0">
      <w:lvlJc w:val="left"/>
      <w:lvlText w:val="9"/>
      <w:numFmt w:val="bullet"/>
      <w:start w:val="1"/>
    </w:lvl>
  </w:abstractNum>
  <w:abstractNum w:abstractNumId="11">
    <w:nsid w:val="519B500D"/>
    <w:multiLevelType w:val="hybridMultilevel"/>
    <w:lvl w:ilvl="0">
      <w:lvlJc w:val="left"/>
      <w:lvlText w:val="%1"/>
      <w:numFmt w:val="decimal"/>
      <w:start w:val="10"/>
    </w:lvl>
  </w:abstractNum>
  <w:abstractNum w:abstractNumId="12">
    <w:nsid w:val="431BD7B7"/>
    <w:multiLevelType w:val="hybridMultilevel"/>
    <w:lvl w:ilvl="0">
      <w:lvlJc w:val="left"/>
      <w:lvlText w:val="1"/>
      <w:numFmt w:val="bullet"/>
      <w:start w:val="1"/>
    </w:lvl>
  </w:abstractNum>
  <w:abstractNum w:abstractNumId="13">
    <w:nsid w:val="3F2DBA31"/>
    <w:multiLevelType w:val="hybridMultilevel"/>
    <w:lvl w:ilvl="0">
      <w:lvlJc w:val="left"/>
      <w:lvlText w:val="2"/>
      <w:numFmt w:val="bullet"/>
      <w:start w:val="1"/>
    </w:lvl>
  </w:abstractNum>
  <w:abstractNum w:abstractNumId="14">
    <w:nsid w:val="7C83E458"/>
    <w:multiLevelType w:val="hybridMultilevel"/>
    <w:lvl w:ilvl="0">
      <w:lvlJc w:val="left"/>
      <w:lvlText w:val="3"/>
      <w:numFmt w:val="bullet"/>
      <w:start w:val="1"/>
    </w:lvl>
  </w:abstractNum>
  <w:abstractNum w:abstractNumId="15">
    <w:nsid w:val="257130A3"/>
    <w:multiLevelType w:val="hybridMultilevel"/>
    <w:lvl w:ilvl="0">
      <w:lvlJc w:val="left"/>
      <w:lvlText w:val="4"/>
      <w:numFmt w:val="bullet"/>
      <w:start w:val="1"/>
    </w:lvl>
  </w:abstractNum>
  <w:abstractNum w:abstractNumId="16">
    <w:nsid w:val="62BBD95A"/>
    <w:multiLevelType w:val="hybridMultilevel"/>
    <w:lvl w:ilvl="0">
      <w:lvlJc w:val="left"/>
      <w:lvlText w:val="5"/>
      <w:numFmt w:val="bullet"/>
      <w:start w:val="1"/>
    </w:lvl>
  </w:abstractNum>
  <w:abstractNum w:abstractNumId="17">
    <w:nsid w:val="436C6125"/>
    <w:multiLevelType w:val="hybridMultilevel"/>
    <w:lvl w:ilvl="0">
      <w:lvlJc w:val="left"/>
      <w:lvlText w:val="6"/>
      <w:numFmt w:val="bullet"/>
      <w:start w:val="1"/>
    </w:lvl>
  </w:abstractNum>
  <w:abstractNum w:abstractNumId="18">
    <w:nsid w:val="628C895D"/>
    <w:multiLevelType w:val="hybridMultilevel"/>
    <w:lvl w:ilvl="0">
      <w:lvlJc w:val="left"/>
      <w:lvlText w:val="7"/>
      <w:numFmt w:val="bullet"/>
      <w:start w:val="1"/>
    </w:lvl>
  </w:abstractNum>
  <w:abstractNum w:abstractNumId="19">
    <w:nsid w:val="333AB105"/>
    <w:multiLevelType w:val="hybridMultilevel"/>
    <w:lvl w:ilvl="0">
      <w:lvlJc w:val="left"/>
      <w:lvlText w:val="8"/>
      <w:numFmt w:val="bullet"/>
      <w:start w:val="1"/>
    </w:lvl>
  </w:abstractNum>
  <w:abstractNum w:abstractNumId="20">
    <w:nsid w:val="721DA317"/>
    <w:multiLevelType w:val="hybridMultilevel"/>
    <w:lvl w:ilvl="0">
      <w:lvlJc w:val="left"/>
      <w:lvlText w:val="9"/>
      <w:numFmt w:val="bullet"/>
      <w:start w:val="1"/>
    </w:lvl>
  </w:abstractNum>
  <w:abstractNum w:abstractNumId="21">
    <w:nsid w:val="2443A858"/>
    <w:multiLevelType w:val="hybridMultilevel"/>
    <w:lvl w:ilvl="0">
      <w:lvlJc w:val="left"/>
      <w:lvlText w:val="%1"/>
      <w:numFmt w:val="decimal"/>
      <w:start w:val="10"/>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2019-12-08T16:20:54Z</dcterms:created>
  <dcterms:modified xsi:type="dcterms:W3CDTF">2019-12-08T16:20:54Z</dcterms:modified>
</cp:coreProperties>
</file>