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Ordinary Shares, par value US$0.001 per share</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G47048 106</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12, 2018</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720" w:type="dxa"/>
            <w:vAlign w:val="bottom"/>
          </w:tcPr>
          <w:p>
            <w:pPr>
              <w:ind w:left="60"/>
              <w:spacing w:after="0"/>
              <w:rPr>
                <w:sz w:val="20"/>
                <w:szCs w:val="20"/>
                <w:color w:val="auto"/>
              </w:rPr>
            </w:pPr>
            <w:r>
              <w:rPr>
                <w:rFonts w:ascii="Arial" w:cs="Arial" w:eastAsia="Arial" w:hAnsi="Arial"/>
                <w:sz w:val="18"/>
                <w:szCs w:val="18"/>
                <w:color w:val="auto"/>
              </w:rPr>
              <w:t>CUSIP No.: G47048 106</w:t>
            </w:r>
          </w:p>
        </w:tc>
        <w:tc>
          <w:tcPr>
            <w:tcW w:w="7700" w:type="dxa"/>
            <w:vAlign w:val="bottom"/>
          </w:tcPr>
          <w:p>
            <w:pPr>
              <w:ind w:left="1860"/>
              <w:spacing w:after="0"/>
              <w:rPr>
                <w:sz w:val="20"/>
                <w:szCs w:val="20"/>
                <w:color w:val="auto"/>
              </w:rPr>
            </w:pPr>
            <w:r>
              <w:rPr>
                <w:rFonts w:ascii="Arial" w:cs="Arial" w:eastAsia="Arial" w:hAnsi="Arial"/>
                <w:sz w:val="18"/>
                <w:szCs w:val="18"/>
                <w:color w:val="auto"/>
              </w:rPr>
              <w:t>13G</w:t>
            </w:r>
          </w:p>
        </w:tc>
      </w:tr>
      <w:tr>
        <w:trPr>
          <w:trHeight w:val="54"/>
        </w:trPr>
        <w:tc>
          <w:tcPr>
            <w:tcW w:w="3720" w:type="dxa"/>
            <w:vAlign w:val="bottom"/>
            <w:tcBorders>
              <w:bottom w:val="single" w:sz="8" w:color="auto"/>
            </w:tcBorders>
          </w:tcPr>
          <w:p>
            <w:pPr>
              <w:spacing w:after="0"/>
              <w:rPr>
                <w:sz w:val="4"/>
                <w:szCs w:val="4"/>
                <w:color w:val="auto"/>
              </w:rPr>
            </w:pPr>
          </w:p>
        </w:tc>
        <w:tc>
          <w:tcPr>
            <w:tcW w:w="770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440" w:right="7880" w:hanging="608"/>
        <w:spacing w:after="0" w:line="342" w:lineRule="auto"/>
        <w:tabs>
          <w:tab w:leader="none" w:pos="1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LIM Advisors Limited</w:t>
      </w:r>
    </w:p>
    <w:p>
      <w:pPr>
        <w:spacing w:after="0" w:line="339" w:lineRule="exact"/>
        <w:rPr>
          <w:rFonts w:ascii="Arial" w:cs="Arial" w:eastAsia="Arial" w:hAnsi="Arial"/>
          <w:sz w:val="16"/>
          <w:szCs w:val="16"/>
          <w:color w:val="auto"/>
        </w:rPr>
      </w:pPr>
    </w:p>
    <w:p>
      <w:pPr>
        <w:ind w:left="1440" w:hanging="608"/>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040" w:hanging="600"/>
        <w:spacing w:after="0"/>
        <w:tabs>
          <w:tab w:leader="none" w:pos="2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040" w:hanging="600"/>
        <w:spacing w:after="0"/>
        <w:tabs>
          <w:tab w:leader="none" w:pos="2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40" w:hanging="608"/>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40" w:right="7360" w:hanging="608"/>
        <w:spacing w:after="0" w:line="277" w:lineRule="auto"/>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14605</wp:posOffset>
            </wp:positionV>
            <wp:extent cx="6371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-534035</wp:posOffset>
            </wp:positionV>
            <wp:extent cx="6371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-945515</wp:posOffset>
            </wp:positionV>
            <wp:extent cx="5986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-1159510</wp:posOffset>
            </wp:positionV>
            <wp:extent cx="5986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-1777365</wp:posOffset>
            </wp:positionV>
            <wp:extent cx="63715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89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9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02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440" w:type="dxa"/>
            <w:vAlign w:val="bottom"/>
            <w:vMerge w:val="continue"/>
          </w:tcPr>
          <w:p>
            <w:pPr>
              <w:spacing w:after="0"/>
              <w:rPr>
                <w:sz w:val="24"/>
                <w:szCs w:val="24"/>
                <w:color w:val="auto"/>
              </w:rPr>
            </w:pPr>
          </w:p>
        </w:tc>
        <w:tc>
          <w:tcPr>
            <w:tcW w:w="1020" w:type="dxa"/>
            <w:vAlign w:val="bottom"/>
            <w:vMerge w:val="restart"/>
          </w:tcPr>
          <w:p>
            <w:pPr>
              <w:jc w:val="right"/>
              <w:ind w:right="270"/>
              <w:spacing w:after="0"/>
              <w:rPr>
                <w:sz w:val="20"/>
                <w:szCs w:val="20"/>
                <w:color w:val="auto"/>
              </w:rPr>
            </w:pPr>
            <w:r>
              <w:rPr>
                <w:rFonts w:ascii="Arial" w:cs="Arial" w:eastAsia="Arial" w:hAnsi="Arial"/>
                <w:sz w:val="18"/>
                <w:szCs w:val="18"/>
                <w:color w:val="auto"/>
              </w:rPr>
              <w:t>6.</w:t>
            </w: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4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020" w:type="dxa"/>
            <w:vAlign w:val="bottom"/>
            <w:vMerge w:val="continue"/>
          </w:tcPr>
          <w:p>
            <w:pPr>
              <w:spacing w:after="0"/>
              <w:rPr>
                <w:sz w:val="9"/>
                <w:szCs w:val="9"/>
                <w:color w:val="auto"/>
              </w:rPr>
            </w:pPr>
          </w:p>
        </w:tc>
        <w:tc>
          <w:tcPr>
            <w:tcW w:w="8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4,591,869</w:t>
            </w:r>
          </w:p>
        </w:tc>
        <w:tc>
          <w:tcPr>
            <w:tcW w:w="0" w:type="dxa"/>
            <w:vAlign w:val="bottom"/>
          </w:tcPr>
          <w:p>
            <w:pPr>
              <w:spacing w:after="0"/>
              <w:rPr>
                <w:sz w:val="1"/>
                <w:szCs w:val="1"/>
                <w:color w:val="auto"/>
              </w:rPr>
            </w:pPr>
          </w:p>
        </w:tc>
      </w:tr>
      <w:tr>
        <w:trPr>
          <w:trHeight w:val="122"/>
        </w:trPr>
        <w:tc>
          <w:tcPr>
            <w:tcW w:w="14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02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44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440" w:type="dxa"/>
            <w:vAlign w:val="bottom"/>
          </w:tcPr>
          <w:p>
            <w:pPr>
              <w:spacing w:after="0"/>
              <w:rPr>
                <w:sz w:val="20"/>
                <w:szCs w:val="20"/>
                <w:color w:val="auto"/>
              </w:rPr>
            </w:pPr>
            <w:r>
              <w:rPr>
                <w:rFonts w:ascii="Arial" w:cs="Arial" w:eastAsia="Arial" w:hAnsi="Arial"/>
                <w:sz w:val="18"/>
                <w:szCs w:val="18"/>
                <w:color w:val="auto"/>
              </w:rPr>
              <w:t>Owned by</w:t>
            </w:r>
          </w:p>
        </w:tc>
        <w:tc>
          <w:tcPr>
            <w:tcW w:w="10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Each</w:t>
            </w:r>
          </w:p>
        </w:tc>
        <w:tc>
          <w:tcPr>
            <w:tcW w:w="1020" w:type="dxa"/>
            <w:vAlign w:val="bottom"/>
            <w:vMerge w:val="restart"/>
          </w:tcPr>
          <w:p>
            <w:pPr>
              <w:jc w:val="right"/>
              <w:ind w:right="270"/>
              <w:spacing w:after="0"/>
              <w:rPr>
                <w:sz w:val="20"/>
                <w:szCs w:val="20"/>
                <w:color w:val="auto"/>
              </w:rPr>
            </w:pPr>
            <w:r>
              <w:rPr>
                <w:rFonts w:ascii="Arial" w:cs="Arial" w:eastAsia="Arial" w:hAnsi="Arial"/>
                <w:sz w:val="18"/>
                <w:szCs w:val="18"/>
                <w:color w:val="auto"/>
              </w:rPr>
              <w:t>7.</w:t>
            </w: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4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020" w:type="dxa"/>
            <w:vAlign w:val="bottom"/>
            <w:vMerge w:val="continue"/>
          </w:tcPr>
          <w:p>
            <w:pPr>
              <w:spacing w:after="0"/>
              <w:rPr>
                <w:sz w:val="9"/>
                <w:szCs w:val="9"/>
                <w:color w:val="auto"/>
              </w:rPr>
            </w:pPr>
          </w:p>
        </w:tc>
        <w:tc>
          <w:tcPr>
            <w:tcW w:w="8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4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02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44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580" w:right="6980" w:hanging="560"/>
        <w:spacing w:after="0" w:line="277" w:lineRule="auto"/>
        <w:tabs>
          <w:tab w:leader="none" w:pos="2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 4,591,869</w:t>
      </w:r>
    </w:p>
    <w:p>
      <w:pPr>
        <w:spacing w:after="0" w:line="386" w:lineRule="exact"/>
        <w:rPr>
          <w:rFonts w:ascii="Arial" w:cs="Arial" w:eastAsia="Arial" w:hAnsi="Arial"/>
          <w:sz w:val="18"/>
          <w:szCs w:val="18"/>
          <w:color w:val="auto"/>
        </w:rPr>
      </w:pPr>
    </w:p>
    <w:p>
      <w:pPr>
        <w:ind w:left="1440" w:right="5180" w:hanging="608"/>
        <w:spacing w:after="0" w:line="277" w:lineRule="auto"/>
        <w:tabs>
          <w:tab w:leader="none" w:pos="1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4,591,869</w:t>
      </w:r>
    </w:p>
    <w:p>
      <w:pPr>
        <w:spacing w:after="0" w:line="386" w:lineRule="exact"/>
        <w:rPr>
          <w:rFonts w:ascii="Arial" w:cs="Arial" w:eastAsia="Arial" w:hAnsi="Arial"/>
          <w:sz w:val="18"/>
          <w:szCs w:val="18"/>
          <w:color w:val="auto"/>
        </w:rPr>
      </w:pPr>
    </w:p>
    <w:p>
      <w:pPr>
        <w:ind w:left="1440" w:hanging="608"/>
        <w:spacing w:after="0"/>
        <w:tabs>
          <w:tab w:leader="none" w:pos="1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40" w:hanging="608"/>
        <w:spacing w:after="0"/>
        <w:tabs>
          <w:tab w:leader="none" w:pos="1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14.9% (1)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440" w:hanging="608"/>
        <w:spacing w:after="0"/>
        <w:tabs>
          <w:tab w:leader="none" w:pos="1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FI</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right="300" w:firstLine="8"/>
        <w:spacing w:after="0" w:line="264" w:lineRule="auto"/>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percentage is calculated based on 30,740,105 Ordinary Shares, comprised of 26,148,236 Class A and Class B Ordinary Shares, reported as outstanding by iClick Interactive Asia Group Limited (the “</w:t>
      </w:r>
      <w:r>
        <w:rPr>
          <w:rFonts w:ascii="Arial" w:cs="Arial" w:eastAsia="Arial" w:hAnsi="Arial"/>
          <w:sz w:val="18"/>
          <w:szCs w:val="18"/>
          <w:u w:val="single" w:color="auto"/>
          <w:color w:val="auto"/>
        </w:rPr>
        <w:t>Issuer</w:t>
      </w:r>
      <w:r>
        <w:rPr>
          <w:rFonts w:ascii="Arial" w:cs="Arial" w:eastAsia="Arial" w:hAnsi="Arial"/>
          <w:sz w:val="18"/>
          <w:szCs w:val="18"/>
          <w:color w:val="auto"/>
        </w:rPr>
        <w:t>”) on a Form 6-K dated August 28, 2018, and 4,591,869 issuable upon the conversion of certain Mandatory Convertible Notes due 2023 held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-715645</wp:posOffset>
            </wp:positionV>
            <wp:extent cx="6371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-1264285</wp:posOffset>
            </wp:positionV>
            <wp:extent cx="63715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-1813560</wp:posOffset>
            </wp:positionV>
            <wp:extent cx="6371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-2225040</wp:posOffset>
            </wp:positionV>
            <wp:extent cx="63715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-2773680</wp:posOffset>
            </wp:positionV>
            <wp:extent cx="5651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1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-501015</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3720" w:type="dxa"/>
            <w:vAlign w:val="bottom"/>
          </w:tcPr>
          <w:p>
            <w:pPr>
              <w:ind w:left="60"/>
              <w:spacing w:after="0"/>
              <w:rPr>
                <w:sz w:val="20"/>
                <w:szCs w:val="20"/>
                <w:color w:val="auto"/>
              </w:rPr>
            </w:pPr>
            <w:r>
              <w:rPr>
                <w:rFonts w:ascii="Arial" w:cs="Arial" w:eastAsia="Arial" w:hAnsi="Arial"/>
                <w:sz w:val="18"/>
                <w:szCs w:val="18"/>
                <w:color w:val="auto"/>
              </w:rPr>
              <w:t>CUSIP No.: G47048 106</w:t>
            </w:r>
          </w:p>
        </w:tc>
        <w:tc>
          <w:tcPr>
            <w:tcW w:w="7700" w:type="dxa"/>
            <w:vAlign w:val="bottom"/>
          </w:tcPr>
          <w:p>
            <w:pPr>
              <w:ind w:left="1860"/>
              <w:spacing w:after="0"/>
              <w:rPr>
                <w:sz w:val="20"/>
                <w:szCs w:val="20"/>
                <w:color w:val="auto"/>
              </w:rPr>
            </w:pPr>
            <w:r>
              <w:rPr>
                <w:rFonts w:ascii="Arial" w:cs="Arial" w:eastAsia="Arial" w:hAnsi="Arial"/>
                <w:sz w:val="18"/>
                <w:szCs w:val="18"/>
                <w:color w:val="auto"/>
              </w:rPr>
              <w:t>13G</w:t>
            </w:r>
          </w:p>
        </w:tc>
      </w:tr>
      <w:tr>
        <w:trPr>
          <w:trHeight w:val="54"/>
        </w:trPr>
        <w:tc>
          <w:tcPr>
            <w:tcW w:w="3720" w:type="dxa"/>
            <w:vAlign w:val="bottom"/>
            <w:tcBorders>
              <w:bottom w:val="single" w:sz="8" w:color="auto"/>
            </w:tcBorders>
          </w:tcPr>
          <w:p>
            <w:pPr>
              <w:spacing w:after="0"/>
              <w:rPr>
                <w:sz w:val="4"/>
                <w:szCs w:val="4"/>
                <w:color w:val="auto"/>
              </w:rPr>
            </w:pPr>
          </w:p>
        </w:tc>
        <w:tc>
          <w:tcPr>
            <w:tcW w:w="770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440" w:hanging="608"/>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LIM Asia Multi-Strategy Fund Inc.</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440" w:hanging="608"/>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040" w:hanging="600"/>
        <w:spacing w:after="0"/>
        <w:tabs>
          <w:tab w:leader="none" w:pos="2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040" w:hanging="600"/>
        <w:spacing w:after="0"/>
        <w:tabs>
          <w:tab w:leader="none" w:pos="2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40" w:hanging="608"/>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40" w:right="7360" w:hanging="608"/>
        <w:spacing w:after="0" w:line="308" w:lineRule="auto"/>
        <w:tabs>
          <w:tab w:leader="none" w:pos="1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Citizenship or Place of Organization 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63715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-549275</wp:posOffset>
            </wp:positionV>
            <wp:extent cx="63715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-960755</wp:posOffset>
            </wp:positionV>
            <wp:extent cx="5986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-1174750</wp:posOffset>
            </wp:positionV>
            <wp:extent cx="5986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-1792605</wp:posOffset>
            </wp:positionV>
            <wp:extent cx="63715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35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89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9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04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420" w:type="dxa"/>
            <w:vAlign w:val="bottom"/>
            <w:vMerge w:val="continue"/>
          </w:tcPr>
          <w:p>
            <w:pPr>
              <w:spacing w:after="0"/>
              <w:rPr>
                <w:sz w:val="24"/>
                <w:szCs w:val="24"/>
                <w:color w:val="auto"/>
              </w:rPr>
            </w:pPr>
          </w:p>
        </w:tc>
        <w:tc>
          <w:tcPr>
            <w:tcW w:w="1040" w:type="dxa"/>
            <w:vAlign w:val="bottom"/>
            <w:vMerge w:val="restart"/>
          </w:tcPr>
          <w:p>
            <w:pPr>
              <w:jc w:val="right"/>
              <w:ind w:right="270"/>
              <w:spacing w:after="0"/>
              <w:rPr>
                <w:sz w:val="20"/>
                <w:szCs w:val="20"/>
                <w:color w:val="auto"/>
              </w:rPr>
            </w:pPr>
            <w:r>
              <w:rPr>
                <w:rFonts w:ascii="Arial" w:cs="Arial" w:eastAsia="Arial" w:hAnsi="Arial"/>
                <w:sz w:val="18"/>
                <w:szCs w:val="18"/>
                <w:color w:val="auto"/>
              </w:rPr>
              <w:t>6.</w:t>
            </w: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4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040" w:type="dxa"/>
            <w:vAlign w:val="bottom"/>
            <w:vMerge w:val="continue"/>
          </w:tcPr>
          <w:p>
            <w:pPr>
              <w:spacing w:after="0"/>
              <w:rPr>
                <w:sz w:val="9"/>
                <w:szCs w:val="9"/>
                <w:color w:val="auto"/>
              </w:rPr>
            </w:pPr>
          </w:p>
        </w:tc>
        <w:tc>
          <w:tcPr>
            <w:tcW w:w="8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4,591,869</w:t>
            </w: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04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42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420" w:type="dxa"/>
            <w:vAlign w:val="bottom"/>
          </w:tcPr>
          <w:p>
            <w:pPr>
              <w:spacing w:after="0"/>
              <w:rPr>
                <w:sz w:val="20"/>
                <w:szCs w:val="20"/>
                <w:color w:val="auto"/>
              </w:rPr>
            </w:pPr>
            <w:r>
              <w:rPr>
                <w:rFonts w:ascii="Arial" w:cs="Arial" w:eastAsia="Arial" w:hAnsi="Arial"/>
                <w:sz w:val="18"/>
                <w:szCs w:val="18"/>
                <w:color w:val="auto"/>
              </w:rPr>
              <w:t>Owned by</w:t>
            </w:r>
          </w:p>
        </w:tc>
        <w:tc>
          <w:tcPr>
            <w:tcW w:w="104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Each</w:t>
            </w:r>
          </w:p>
        </w:tc>
        <w:tc>
          <w:tcPr>
            <w:tcW w:w="1040" w:type="dxa"/>
            <w:vAlign w:val="bottom"/>
            <w:vMerge w:val="restart"/>
          </w:tcPr>
          <w:p>
            <w:pPr>
              <w:jc w:val="right"/>
              <w:ind w:right="270"/>
              <w:spacing w:after="0"/>
              <w:rPr>
                <w:sz w:val="20"/>
                <w:szCs w:val="20"/>
                <w:color w:val="auto"/>
              </w:rPr>
            </w:pPr>
            <w:r>
              <w:rPr>
                <w:rFonts w:ascii="Arial" w:cs="Arial" w:eastAsia="Arial" w:hAnsi="Arial"/>
                <w:sz w:val="18"/>
                <w:szCs w:val="18"/>
                <w:color w:val="auto"/>
              </w:rPr>
              <w:t>7.</w:t>
            </w: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4"/>
                <w:szCs w:val="14"/>
                <w:color w:val="auto"/>
              </w:rPr>
              <w:t>Reporting</w:t>
            </w:r>
          </w:p>
        </w:tc>
        <w:tc>
          <w:tcPr>
            <w:tcW w:w="1040" w:type="dxa"/>
            <w:vAlign w:val="bottom"/>
            <w:vMerge w:val="continue"/>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4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900" w:type="dxa"/>
            <w:vAlign w:val="bottom"/>
          </w:tcPr>
          <w:p>
            <w:pPr>
              <w:jc w:val="right"/>
              <w:ind w:right="86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
        </w:trPr>
        <w:tc>
          <w:tcPr>
            <w:tcW w:w="2460" w:type="dxa"/>
            <w:vAlign w:val="bottom"/>
            <w:vMerge w:val="continue"/>
          </w:tcPr>
          <w:p>
            <w:pPr>
              <w:spacing w:after="0"/>
              <w:rPr>
                <w:sz w:val="3"/>
                <w:szCs w:val="3"/>
                <w:color w:val="auto"/>
              </w:rPr>
            </w:pPr>
          </w:p>
        </w:tc>
        <w:tc>
          <w:tcPr>
            <w:tcW w:w="8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580" w:right="6980" w:hanging="560"/>
        <w:spacing w:after="0" w:line="277" w:lineRule="auto"/>
        <w:tabs>
          <w:tab w:leader="none" w:pos="25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Dispositive Power 4,591,869</w:t>
      </w:r>
    </w:p>
    <w:p>
      <w:pPr>
        <w:spacing w:after="0" w:line="386" w:lineRule="exact"/>
        <w:rPr>
          <w:rFonts w:ascii="Arial" w:cs="Arial" w:eastAsia="Arial" w:hAnsi="Arial"/>
          <w:sz w:val="18"/>
          <w:szCs w:val="18"/>
          <w:color w:val="auto"/>
        </w:rPr>
      </w:pPr>
    </w:p>
    <w:p>
      <w:pPr>
        <w:ind w:left="1440" w:right="5180" w:hanging="608"/>
        <w:spacing w:after="0" w:line="277" w:lineRule="auto"/>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4,591,869</w:t>
      </w:r>
    </w:p>
    <w:p>
      <w:pPr>
        <w:spacing w:after="0" w:line="386" w:lineRule="exact"/>
        <w:rPr>
          <w:rFonts w:ascii="Arial" w:cs="Arial" w:eastAsia="Arial" w:hAnsi="Arial"/>
          <w:sz w:val="18"/>
          <w:szCs w:val="18"/>
          <w:color w:val="auto"/>
        </w:rPr>
      </w:pPr>
    </w:p>
    <w:p>
      <w:pPr>
        <w:ind w:left="1440" w:hanging="608"/>
        <w:spacing w:after="0"/>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40" w:hanging="608"/>
        <w:spacing w:after="0"/>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14.9% (1)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440" w:hanging="608"/>
        <w:spacing w:after="0"/>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right="300" w:firstLine="8"/>
        <w:spacing w:after="0" w:line="264" w:lineRule="auto"/>
        <w:tabs>
          <w:tab w:leader="none" w:pos="2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percentage is calculated based on 30,740,105 Ordinary Shares, comprised of 26,148,236 Class A and Class B Ordinary Shares, reported as outstanding by iClick Interactive Asia Group Limited (the “</w:t>
      </w:r>
      <w:r>
        <w:rPr>
          <w:rFonts w:ascii="Arial" w:cs="Arial" w:eastAsia="Arial" w:hAnsi="Arial"/>
          <w:sz w:val="18"/>
          <w:szCs w:val="18"/>
          <w:u w:val="single" w:color="auto"/>
          <w:color w:val="auto"/>
        </w:rPr>
        <w:t>Issuer</w:t>
      </w:r>
      <w:r>
        <w:rPr>
          <w:rFonts w:ascii="Arial" w:cs="Arial" w:eastAsia="Arial" w:hAnsi="Arial"/>
          <w:sz w:val="18"/>
          <w:szCs w:val="18"/>
          <w:color w:val="auto"/>
        </w:rPr>
        <w:t>”) on a Form 6-K dated August 28, 2018, and 4,591,869 issuable upon the conversion of certain Mandatory Convertible Notes due 2023 held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-715645</wp:posOffset>
            </wp:positionV>
            <wp:extent cx="63715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-1264285</wp:posOffset>
            </wp:positionV>
            <wp:extent cx="63715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-1813560</wp:posOffset>
            </wp:positionV>
            <wp:extent cx="63715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-2225040</wp:posOffset>
            </wp:positionV>
            <wp:extent cx="63715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-2773680</wp:posOffset>
            </wp:positionV>
            <wp:extent cx="5651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1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-501015</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720" w:type="dxa"/>
            <w:vAlign w:val="bottom"/>
          </w:tcPr>
          <w:p>
            <w:pPr>
              <w:ind w:left="60"/>
              <w:spacing w:after="0"/>
              <w:rPr>
                <w:sz w:val="20"/>
                <w:szCs w:val="20"/>
                <w:color w:val="auto"/>
              </w:rPr>
            </w:pPr>
            <w:r>
              <w:rPr>
                <w:rFonts w:ascii="Arial" w:cs="Arial" w:eastAsia="Arial" w:hAnsi="Arial"/>
                <w:sz w:val="18"/>
                <w:szCs w:val="18"/>
                <w:color w:val="auto"/>
              </w:rPr>
              <w:t>CUSIP No.: G47048 106</w:t>
            </w:r>
          </w:p>
        </w:tc>
        <w:tc>
          <w:tcPr>
            <w:tcW w:w="7700" w:type="dxa"/>
            <w:vAlign w:val="bottom"/>
          </w:tcPr>
          <w:p>
            <w:pPr>
              <w:ind w:left="1860"/>
              <w:spacing w:after="0"/>
              <w:rPr>
                <w:sz w:val="20"/>
                <w:szCs w:val="20"/>
                <w:color w:val="auto"/>
              </w:rPr>
            </w:pPr>
            <w:r>
              <w:rPr>
                <w:rFonts w:ascii="Arial" w:cs="Arial" w:eastAsia="Arial" w:hAnsi="Arial"/>
                <w:sz w:val="18"/>
                <w:szCs w:val="18"/>
                <w:color w:val="auto"/>
              </w:rPr>
              <w:t>13G</w:t>
            </w:r>
          </w:p>
        </w:tc>
      </w:tr>
      <w:tr>
        <w:trPr>
          <w:trHeight w:val="54"/>
        </w:trPr>
        <w:tc>
          <w:tcPr>
            <w:tcW w:w="3720" w:type="dxa"/>
            <w:vAlign w:val="bottom"/>
            <w:tcBorders>
              <w:bottom w:val="single" w:sz="8" w:color="auto"/>
            </w:tcBorders>
          </w:tcPr>
          <w:p>
            <w:pPr>
              <w:spacing w:after="0"/>
              <w:rPr>
                <w:sz w:val="4"/>
                <w:szCs w:val="4"/>
                <w:color w:val="auto"/>
              </w:rPr>
            </w:pPr>
          </w:p>
        </w:tc>
        <w:tc>
          <w:tcPr>
            <w:tcW w:w="770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440" w:hanging="608"/>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Long Investment Management International Ltd.</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440" w:hanging="608"/>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040" w:hanging="600"/>
        <w:spacing w:after="0"/>
        <w:tabs>
          <w:tab w:leader="none" w:pos="2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040" w:hanging="600"/>
        <w:spacing w:after="0"/>
        <w:tabs>
          <w:tab w:leader="none" w:pos="2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40" w:hanging="608"/>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40" w:right="7360" w:hanging="608"/>
        <w:spacing w:after="0" w:line="308" w:lineRule="auto"/>
        <w:tabs>
          <w:tab w:leader="none" w:pos="1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Citizenship or Place of Organization 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63715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-549275</wp:posOffset>
            </wp:positionV>
            <wp:extent cx="63715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-960755</wp:posOffset>
            </wp:positionV>
            <wp:extent cx="5986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-1174750</wp:posOffset>
            </wp:positionV>
            <wp:extent cx="5986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-1792605</wp:posOffset>
            </wp:positionV>
            <wp:extent cx="63715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35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89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9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02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440" w:type="dxa"/>
            <w:vAlign w:val="bottom"/>
            <w:vMerge w:val="continue"/>
          </w:tcPr>
          <w:p>
            <w:pPr>
              <w:spacing w:after="0"/>
              <w:rPr>
                <w:sz w:val="24"/>
                <w:szCs w:val="24"/>
                <w:color w:val="auto"/>
              </w:rPr>
            </w:pPr>
          </w:p>
        </w:tc>
        <w:tc>
          <w:tcPr>
            <w:tcW w:w="1020" w:type="dxa"/>
            <w:vAlign w:val="bottom"/>
            <w:vMerge w:val="restart"/>
          </w:tcPr>
          <w:p>
            <w:pPr>
              <w:jc w:val="right"/>
              <w:ind w:right="270"/>
              <w:spacing w:after="0"/>
              <w:rPr>
                <w:sz w:val="20"/>
                <w:szCs w:val="20"/>
                <w:color w:val="auto"/>
              </w:rPr>
            </w:pPr>
            <w:r>
              <w:rPr>
                <w:rFonts w:ascii="Arial" w:cs="Arial" w:eastAsia="Arial" w:hAnsi="Arial"/>
                <w:sz w:val="18"/>
                <w:szCs w:val="18"/>
                <w:color w:val="auto"/>
              </w:rPr>
              <w:t>6.</w:t>
            </w: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4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020" w:type="dxa"/>
            <w:vAlign w:val="bottom"/>
            <w:vMerge w:val="continue"/>
          </w:tcPr>
          <w:p>
            <w:pPr>
              <w:spacing w:after="0"/>
              <w:rPr>
                <w:sz w:val="9"/>
                <w:szCs w:val="9"/>
                <w:color w:val="auto"/>
              </w:rPr>
            </w:pPr>
          </w:p>
        </w:tc>
        <w:tc>
          <w:tcPr>
            <w:tcW w:w="8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4,591,869</w:t>
            </w:r>
          </w:p>
        </w:tc>
        <w:tc>
          <w:tcPr>
            <w:tcW w:w="0" w:type="dxa"/>
            <w:vAlign w:val="bottom"/>
          </w:tcPr>
          <w:p>
            <w:pPr>
              <w:spacing w:after="0"/>
              <w:rPr>
                <w:sz w:val="1"/>
                <w:szCs w:val="1"/>
                <w:color w:val="auto"/>
              </w:rPr>
            </w:pPr>
          </w:p>
        </w:tc>
      </w:tr>
      <w:tr>
        <w:trPr>
          <w:trHeight w:val="122"/>
        </w:trPr>
        <w:tc>
          <w:tcPr>
            <w:tcW w:w="14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02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44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440" w:type="dxa"/>
            <w:vAlign w:val="bottom"/>
          </w:tcPr>
          <w:p>
            <w:pPr>
              <w:spacing w:after="0"/>
              <w:rPr>
                <w:sz w:val="20"/>
                <w:szCs w:val="20"/>
                <w:color w:val="auto"/>
              </w:rPr>
            </w:pPr>
            <w:r>
              <w:rPr>
                <w:rFonts w:ascii="Arial" w:cs="Arial" w:eastAsia="Arial" w:hAnsi="Arial"/>
                <w:sz w:val="18"/>
                <w:szCs w:val="18"/>
                <w:color w:val="auto"/>
              </w:rPr>
              <w:t>Owned by</w:t>
            </w:r>
          </w:p>
        </w:tc>
        <w:tc>
          <w:tcPr>
            <w:tcW w:w="10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Each</w:t>
            </w:r>
          </w:p>
        </w:tc>
        <w:tc>
          <w:tcPr>
            <w:tcW w:w="1020" w:type="dxa"/>
            <w:vAlign w:val="bottom"/>
            <w:vMerge w:val="restart"/>
          </w:tcPr>
          <w:p>
            <w:pPr>
              <w:jc w:val="right"/>
              <w:ind w:right="270"/>
              <w:spacing w:after="0"/>
              <w:rPr>
                <w:sz w:val="20"/>
                <w:szCs w:val="20"/>
                <w:color w:val="auto"/>
              </w:rPr>
            </w:pPr>
            <w:r>
              <w:rPr>
                <w:rFonts w:ascii="Arial" w:cs="Arial" w:eastAsia="Arial" w:hAnsi="Arial"/>
                <w:sz w:val="18"/>
                <w:szCs w:val="18"/>
                <w:color w:val="auto"/>
              </w:rPr>
              <w:t>7.</w:t>
            </w: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4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020" w:type="dxa"/>
            <w:vAlign w:val="bottom"/>
            <w:vMerge w:val="continue"/>
          </w:tcPr>
          <w:p>
            <w:pPr>
              <w:spacing w:after="0"/>
              <w:rPr>
                <w:sz w:val="9"/>
                <w:szCs w:val="9"/>
                <w:color w:val="auto"/>
              </w:rPr>
            </w:pPr>
          </w:p>
        </w:tc>
        <w:tc>
          <w:tcPr>
            <w:tcW w:w="8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4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02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44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580" w:right="6980" w:hanging="560"/>
        <w:spacing w:after="0" w:line="277" w:lineRule="auto"/>
        <w:tabs>
          <w:tab w:leader="none" w:pos="25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Dispositive Power 4,591,869</w:t>
      </w:r>
    </w:p>
    <w:p>
      <w:pPr>
        <w:spacing w:after="0" w:line="386" w:lineRule="exact"/>
        <w:rPr>
          <w:rFonts w:ascii="Arial" w:cs="Arial" w:eastAsia="Arial" w:hAnsi="Arial"/>
          <w:sz w:val="18"/>
          <w:szCs w:val="18"/>
          <w:color w:val="auto"/>
        </w:rPr>
      </w:pPr>
    </w:p>
    <w:p>
      <w:pPr>
        <w:ind w:left="1440" w:right="5180" w:hanging="608"/>
        <w:spacing w:after="0" w:line="277"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4,591,869</w:t>
      </w:r>
    </w:p>
    <w:p>
      <w:pPr>
        <w:spacing w:after="0" w:line="386" w:lineRule="exact"/>
        <w:rPr>
          <w:rFonts w:ascii="Arial" w:cs="Arial" w:eastAsia="Arial" w:hAnsi="Arial"/>
          <w:sz w:val="18"/>
          <w:szCs w:val="18"/>
          <w:color w:val="auto"/>
        </w:rPr>
      </w:pPr>
    </w:p>
    <w:p>
      <w:pPr>
        <w:ind w:left="1440" w:hanging="608"/>
        <w:spacing w:after="0"/>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40" w:hanging="608"/>
        <w:spacing w:after="0"/>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14.9% (1)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440" w:right="8080" w:hanging="608"/>
        <w:spacing w:after="0" w:line="277"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HC, OO</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300" w:firstLine="8"/>
        <w:spacing w:after="0" w:line="264" w:lineRule="auto"/>
        <w:tabs>
          <w:tab w:leader="none" w:pos="2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percentage is calculated based on 30,740,105 Ordinary Shares, comprised of 26,148,236 Class A and Class B Ordinary Shares, reported as outstanding by iClick Interactive Asia Group Limited (the “</w:t>
      </w:r>
      <w:r>
        <w:rPr>
          <w:rFonts w:ascii="Arial" w:cs="Arial" w:eastAsia="Arial" w:hAnsi="Arial"/>
          <w:sz w:val="18"/>
          <w:szCs w:val="18"/>
          <w:u w:val="single" w:color="auto"/>
          <w:color w:val="auto"/>
        </w:rPr>
        <w:t>Issuer</w:t>
      </w:r>
      <w:r>
        <w:rPr>
          <w:rFonts w:ascii="Arial" w:cs="Arial" w:eastAsia="Arial" w:hAnsi="Arial"/>
          <w:sz w:val="18"/>
          <w:szCs w:val="18"/>
          <w:color w:val="auto"/>
        </w:rPr>
        <w:t>”) on a Form 6-K dated August 28, 2018, and 4,591,869 issuable upon the conversion of certain Mandatory Convertible Notes due 2023 held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-715645</wp:posOffset>
            </wp:positionV>
            <wp:extent cx="63715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-1264285</wp:posOffset>
            </wp:positionV>
            <wp:extent cx="63715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-1813560</wp:posOffset>
            </wp:positionV>
            <wp:extent cx="63715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-2225040</wp:posOffset>
            </wp:positionV>
            <wp:extent cx="63715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-2773680</wp:posOffset>
            </wp:positionV>
            <wp:extent cx="5651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1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-501015</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3720" w:type="dxa"/>
            <w:vAlign w:val="bottom"/>
          </w:tcPr>
          <w:p>
            <w:pPr>
              <w:ind w:left="60"/>
              <w:spacing w:after="0"/>
              <w:rPr>
                <w:sz w:val="20"/>
                <w:szCs w:val="20"/>
                <w:color w:val="auto"/>
              </w:rPr>
            </w:pPr>
            <w:r>
              <w:rPr>
                <w:rFonts w:ascii="Arial" w:cs="Arial" w:eastAsia="Arial" w:hAnsi="Arial"/>
                <w:sz w:val="18"/>
                <w:szCs w:val="18"/>
                <w:color w:val="auto"/>
              </w:rPr>
              <w:t>CUSIP No.: G47048 106</w:t>
            </w:r>
          </w:p>
        </w:tc>
        <w:tc>
          <w:tcPr>
            <w:tcW w:w="7700" w:type="dxa"/>
            <w:vAlign w:val="bottom"/>
          </w:tcPr>
          <w:p>
            <w:pPr>
              <w:ind w:left="1860"/>
              <w:spacing w:after="0"/>
              <w:rPr>
                <w:sz w:val="20"/>
                <w:szCs w:val="20"/>
                <w:color w:val="auto"/>
              </w:rPr>
            </w:pPr>
            <w:r>
              <w:rPr>
                <w:rFonts w:ascii="Arial" w:cs="Arial" w:eastAsia="Arial" w:hAnsi="Arial"/>
                <w:sz w:val="18"/>
                <w:szCs w:val="18"/>
                <w:color w:val="auto"/>
              </w:rPr>
              <w:t>13G</w:t>
            </w:r>
          </w:p>
        </w:tc>
      </w:tr>
      <w:tr>
        <w:trPr>
          <w:trHeight w:val="54"/>
        </w:trPr>
        <w:tc>
          <w:tcPr>
            <w:tcW w:w="3720" w:type="dxa"/>
            <w:vAlign w:val="bottom"/>
            <w:tcBorders>
              <w:bottom w:val="single" w:sz="8" w:color="auto"/>
            </w:tcBorders>
          </w:tcPr>
          <w:p>
            <w:pPr>
              <w:spacing w:after="0"/>
              <w:rPr>
                <w:sz w:val="4"/>
                <w:szCs w:val="4"/>
                <w:color w:val="auto"/>
              </w:rPr>
            </w:pPr>
          </w:p>
        </w:tc>
        <w:tc>
          <w:tcPr>
            <w:tcW w:w="770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440" w:right="7880" w:hanging="608"/>
        <w:spacing w:after="0" w:line="277" w:lineRule="auto"/>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 George W. Long</w:t>
      </w:r>
    </w:p>
    <w:p>
      <w:pPr>
        <w:spacing w:after="0" w:line="386" w:lineRule="exact"/>
        <w:rPr>
          <w:rFonts w:ascii="Arial" w:cs="Arial" w:eastAsia="Arial" w:hAnsi="Arial"/>
          <w:sz w:val="18"/>
          <w:szCs w:val="18"/>
          <w:color w:val="auto"/>
        </w:rPr>
      </w:pPr>
    </w:p>
    <w:p>
      <w:pPr>
        <w:ind w:left="1440" w:hanging="608"/>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040" w:hanging="600"/>
        <w:spacing w:after="0"/>
        <w:tabs>
          <w:tab w:leader="none" w:pos="2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040" w:hanging="600"/>
        <w:spacing w:after="0"/>
        <w:tabs>
          <w:tab w:leader="none" w:pos="2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40" w:hanging="608"/>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40" w:right="7360" w:hanging="608"/>
        <w:spacing w:after="0" w:line="277" w:lineRule="auto"/>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14605</wp:posOffset>
            </wp:positionV>
            <wp:extent cx="63715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-534035</wp:posOffset>
            </wp:positionV>
            <wp:extent cx="63715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-945515</wp:posOffset>
            </wp:positionV>
            <wp:extent cx="5986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-1159510</wp:posOffset>
            </wp:positionV>
            <wp:extent cx="5986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-1777365</wp:posOffset>
            </wp:positionV>
            <wp:extent cx="63715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89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9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02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440" w:type="dxa"/>
            <w:vAlign w:val="bottom"/>
            <w:vMerge w:val="continue"/>
          </w:tcPr>
          <w:p>
            <w:pPr>
              <w:spacing w:after="0"/>
              <w:rPr>
                <w:sz w:val="24"/>
                <w:szCs w:val="24"/>
                <w:color w:val="auto"/>
              </w:rPr>
            </w:pPr>
          </w:p>
        </w:tc>
        <w:tc>
          <w:tcPr>
            <w:tcW w:w="1020" w:type="dxa"/>
            <w:vAlign w:val="bottom"/>
            <w:vMerge w:val="restart"/>
          </w:tcPr>
          <w:p>
            <w:pPr>
              <w:jc w:val="right"/>
              <w:ind w:right="270"/>
              <w:spacing w:after="0"/>
              <w:rPr>
                <w:sz w:val="20"/>
                <w:szCs w:val="20"/>
                <w:color w:val="auto"/>
              </w:rPr>
            </w:pPr>
            <w:r>
              <w:rPr>
                <w:rFonts w:ascii="Arial" w:cs="Arial" w:eastAsia="Arial" w:hAnsi="Arial"/>
                <w:sz w:val="18"/>
                <w:szCs w:val="18"/>
                <w:color w:val="auto"/>
              </w:rPr>
              <w:t>6.</w:t>
            </w: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4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020" w:type="dxa"/>
            <w:vAlign w:val="bottom"/>
            <w:vMerge w:val="continue"/>
          </w:tcPr>
          <w:p>
            <w:pPr>
              <w:spacing w:after="0"/>
              <w:rPr>
                <w:sz w:val="9"/>
                <w:szCs w:val="9"/>
                <w:color w:val="auto"/>
              </w:rPr>
            </w:pPr>
          </w:p>
        </w:tc>
        <w:tc>
          <w:tcPr>
            <w:tcW w:w="8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4,591,869</w:t>
            </w:r>
          </w:p>
        </w:tc>
        <w:tc>
          <w:tcPr>
            <w:tcW w:w="0" w:type="dxa"/>
            <w:vAlign w:val="bottom"/>
          </w:tcPr>
          <w:p>
            <w:pPr>
              <w:spacing w:after="0"/>
              <w:rPr>
                <w:sz w:val="1"/>
                <w:szCs w:val="1"/>
                <w:color w:val="auto"/>
              </w:rPr>
            </w:pPr>
          </w:p>
        </w:tc>
      </w:tr>
      <w:tr>
        <w:trPr>
          <w:trHeight w:val="122"/>
        </w:trPr>
        <w:tc>
          <w:tcPr>
            <w:tcW w:w="14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02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44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440" w:type="dxa"/>
            <w:vAlign w:val="bottom"/>
          </w:tcPr>
          <w:p>
            <w:pPr>
              <w:spacing w:after="0"/>
              <w:rPr>
                <w:sz w:val="20"/>
                <w:szCs w:val="20"/>
                <w:color w:val="auto"/>
              </w:rPr>
            </w:pPr>
            <w:r>
              <w:rPr>
                <w:rFonts w:ascii="Arial" w:cs="Arial" w:eastAsia="Arial" w:hAnsi="Arial"/>
                <w:sz w:val="18"/>
                <w:szCs w:val="18"/>
                <w:color w:val="auto"/>
              </w:rPr>
              <w:t>Owned by</w:t>
            </w:r>
          </w:p>
        </w:tc>
        <w:tc>
          <w:tcPr>
            <w:tcW w:w="10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Each</w:t>
            </w:r>
          </w:p>
        </w:tc>
        <w:tc>
          <w:tcPr>
            <w:tcW w:w="1020" w:type="dxa"/>
            <w:vAlign w:val="bottom"/>
            <w:vMerge w:val="restart"/>
          </w:tcPr>
          <w:p>
            <w:pPr>
              <w:jc w:val="right"/>
              <w:ind w:right="270"/>
              <w:spacing w:after="0"/>
              <w:rPr>
                <w:sz w:val="20"/>
                <w:szCs w:val="20"/>
                <w:color w:val="auto"/>
              </w:rPr>
            </w:pPr>
            <w:r>
              <w:rPr>
                <w:rFonts w:ascii="Arial" w:cs="Arial" w:eastAsia="Arial" w:hAnsi="Arial"/>
                <w:sz w:val="18"/>
                <w:szCs w:val="18"/>
                <w:color w:val="auto"/>
              </w:rPr>
              <w:t>7.</w:t>
            </w: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4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020" w:type="dxa"/>
            <w:vAlign w:val="bottom"/>
            <w:vMerge w:val="continue"/>
          </w:tcPr>
          <w:p>
            <w:pPr>
              <w:spacing w:after="0"/>
              <w:rPr>
                <w:sz w:val="9"/>
                <w:szCs w:val="9"/>
                <w:color w:val="auto"/>
              </w:rPr>
            </w:pPr>
          </w:p>
        </w:tc>
        <w:tc>
          <w:tcPr>
            <w:tcW w:w="8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4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02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44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580" w:right="6980" w:hanging="560"/>
        <w:spacing w:after="0" w:line="277" w:lineRule="auto"/>
        <w:tabs>
          <w:tab w:leader="none" w:pos="25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Dispositive Power 4,591,869</w:t>
      </w:r>
    </w:p>
    <w:p>
      <w:pPr>
        <w:spacing w:after="0" w:line="386" w:lineRule="exact"/>
        <w:rPr>
          <w:rFonts w:ascii="Arial" w:cs="Arial" w:eastAsia="Arial" w:hAnsi="Arial"/>
          <w:sz w:val="18"/>
          <w:szCs w:val="18"/>
          <w:color w:val="auto"/>
        </w:rPr>
      </w:pPr>
    </w:p>
    <w:p>
      <w:pPr>
        <w:ind w:left="1440" w:right="5180" w:hanging="608"/>
        <w:spacing w:after="0" w:line="277" w:lineRule="auto"/>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4,591,869</w:t>
      </w:r>
    </w:p>
    <w:p>
      <w:pPr>
        <w:spacing w:after="0" w:line="386" w:lineRule="exact"/>
        <w:rPr>
          <w:rFonts w:ascii="Arial" w:cs="Arial" w:eastAsia="Arial" w:hAnsi="Arial"/>
          <w:sz w:val="18"/>
          <w:szCs w:val="18"/>
          <w:color w:val="auto"/>
        </w:rPr>
      </w:pPr>
    </w:p>
    <w:p>
      <w:pPr>
        <w:ind w:left="1440" w:hanging="608"/>
        <w:spacing w:after="0"/>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40" w:hanging="608"/>
        <w:spacing w:after="0"/>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14.9% (1)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440" w:right="8080" w:hanging="608"/>
        <w:spacing w:after="0" w:line="277" w:lineRule="auto"/>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HC, IN</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300" w:firstLine="8"/>
        <w:spacing w:after="0" w:line="264"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percentage is calculated based on 30,740,105 Ordinary Shares, comprised of 26,148,236 Class A and Class B Ordinary Shares, reported as outstanding by iClick Interactive Asia Group Limited (the “Issuer”) on a Form 6-K dated August 28, 2018, and 4,591,869 issuable upon the conversion of certain Mandatory Convertible Notes due 2023 held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-715645</wp:posOffset>
            </wp:positionV>
            <wp:extent cx="63715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-1264285</wp:posOffset>
            </wp:positionV>
            <wp:extent cx="63715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-1813560</wp:posOffset>
            </wp:positionV>
            <wp:extent cx="63715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-2225040</wp:posOffset>
            </wp:positionV>
            <wp:extent cx="63715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-2773680</wp:posOffset>
            </wp:positionV>
            <wp:extent cx="5651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1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-501015</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5380" w:type="dxa"/>
            <w:vAlign w:val="bottom"/>
            <w:gridSpan w:val="3"/>
          </w:tcPr>
          <w:p>
            <w:pPr>
              <w:ind w:left="60"/>
              <w:spacing w:after="0"/>
              <w:rPr>
                <w:sz w:val="20"/>
                <w:szCs w:val="20"/>
                <w:color w:val="auto"/>
              </w:rPr>
            </w:pPr>
            <w:r>
              <w:rPr>
                <w:rFonts w:ascii="Arial" w:cs="Arial" w:eastAsia="Arial" w:hAnsi="Arial"/>
                <w:sz w:val="18"/>
                <w:szCs w:val="18"/>
                <w:color w:val="auto"/>
              </w:rPr>
              <w:t>CUSIP No.: G47048 106</w:t>
            </w:r>
          </w:p>
        </w:tc>
        <w:tc>
          <w:tcPr>
            <w:tcW w:w="6040" w:type="dxa"/>
            <w:vAlign w:val="bottom"/>
          </w:tcPr>
          <w:p>
            <w:pPr>
              <w:ind w:left="16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54"/>
        </w:trPr>
        <w:tc>
          <w:tcPr>
            <w:tcW w:w="9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73"/>
        </w:trPr>
        <w:tc>
          <w:tcPr>
            <w:tcW w:w="920" w:type="dxa"/>
            <w:vAlign w:val="bottom"/>
          </w:tcPr>
          <w:p>
            <w:pPr>
              <w:ind w:left="60"/>
              <w:spacing w:after="0"/>
              <w:rPr>
                <w:sz w:val="20"/>
                <w:szCs w:val="20"/>
                <w:color w:val="auto"/>
              </w:rPr>
            </w:pPr>
            <w:r>
              <w:rPr>
                <w:rFonts w:ascii="Arial" w:cs="Arial" w:eastAsia="Arial" w:hAnsi="Arial"/>
                <w:sz w:val="18"/>
                <w:szCs w:val="18"/>
                <w:b w:val="1"/>
                <w:bCs w:val="1"/>
                <w:color w:val="auto"/>
              </w:rPr>
              <w:t>Item 1</w:t>
            </w:r>
          </w:p>
        </w:tc>
        <w:tc>
          <w:tcPr>
            <w:tcW w:w="780" w:type="dxa"/>
            <w:vAlign w:val="bottom"/>
          </w:tcPr>
          <w:p>
            <w:pPr>
              <w:ind w:left="340"/>
              <w:spacing w:after="0"/>
              <w:rPr>
                <w:sz w:val="20"/>
                <w:szCs w:val="20"/>
                <w:color w:val="auto"/>
              </w:rPr>
            </w:pPr>
            <w:r>
              <w:rPr>
                <w:rFonts w:ascii="Arial" w:cs="Arial" w:eastAsia="Arial" w:hAnsi="Arial"/>
                <w:sz w:val="18"/>
                <w:szCs w:val="18"/>
                <w:color w:val="auto"/>
              </w:rPr>
              <w:t>(a).</w:t>
            </w:r>
          </w:p>
        </w:tc>
        <w:tc>
          <w:tcPr>
            <w:tcW w:w="3680" w:type="dxa"/>
            <w:vAlign w:val="bottom"/>
          </w:tcPr>
          <w:p>
            <w:pPr>
              <w:ind w:left="60"/>
              <w:spacing w:after="0"/>
              <w:rPr>
                <w:sz w:val="20"/>
                <w:szCs w:val="20"/>
                <w:color w:val="auto"/>
              </w:rPr>
            </w:pPr>
            <w:r>
              <w:rPr>
                <w:rFonts w:ascii="Arial" w:cs="Arial" w:eastAsia="Arial" w:hAnsi="Arial"/>
                <w:sz w:val="18"/>
                <w:szCs w:val="18"/>
                <w:color w:val="auto"/>
              </w:rPr>
              <w:t>Name of Issuer:</w:t>
            </w:r>
          </w:p>
        </w:tc>
        <w:tc>
          <w:tcPr>
            <w:tcW w:w="6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iClick Interactive Asia Group Limited</w:t>
            </w:r>
          </w:p>
        </w:tc>
        <w:tc>
          <w:tcPr>
            <w:tcW w:w="6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1</w:t>
            </w:r>
          </w:p>
        </w:tc>
        <w:tc>
          <w:tcPr>
            <w:tcW w:w="780" w:type="dxa"/>
            <w:vAlign w:val="bottom"/>
            <w:vMerge w:val="restart"/>
          </w:tcPr>
          <w:p>
            <w:pPr>
              <w:ind w:left="340"/>
              <w:spacing w:after="0"/>
              <w:rPr>
                <w:sz w:val="20"/>
                <w:szCs w:val="20"/>
                <w:color w:val="auto"/>
              </w:rPr>
            </w:pPr>
            <w:r>
              <w:rPr>
                <w:rFonts w:ascii="Arial" w:cs="Arial" w:eastAsia="Arial" w:hAnsi="Arial"/>
                <w:sz w:val="18"/>
                <w:szCs w:val="18"/>
                <w:color w:val="auto"/>
              </w:rPr>
              <w:t>(b).</w:t>
            </w:r>
          </w:p>
        </w:tc>
        <w:tc>
          <w:tcPr>
            <w:tcW w:w="368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92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w w:val="95"/>
              </w:rPr>
              <w:t>Address of Issuer’s Principal Executive Offices:</w:t>
            </w:r>
          </w:p>
        </w:tc>
        <w:tc>
          <w:tcPr>
            <w:tcW w:w="6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15/F, Prosperity Millennia Plaza</w:t>
            </w:r>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663 King’s Road, Quarry Bay</w:t>
            </w:r>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Hong Kong</w:t>
            </w:r>
          </w:p>
        </w:tc>
        <w:tc>
          <w:tcPr>
            <w:tcW w:w="6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2</w:t>
            </w:r>
          </w:p>
        </w:tc>
        <w:tc>
          <w:tcPr>
            <w:tcW w:w="78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74"/>
        </w:trPr>
        <w:tc>
          <w:tcPr>
            <w:tcW w:w="920" w:type="dxa"/>
            <w:vAlign w:val="bottom"/>
            <w:vMerge w:val="continue"/>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(a).</w:t>
            </w:r>
          </w:p>
        </w:tc>
        <w:tc>
          <w:tcPr>
            <w:tcW w:w="3680" w:type="dxa"/>
            <w:vAlign w:val="bottom"/>
          </w:tcPr>
          <w:p>
            <w:pPr>
              <w:ind w:left="60"/>
              <w:spacing w:after="0"/>
              <w:rPr>
                <w:sz w:val="20"/>
                <w:szCs w:val="20"/>
                <w:color w:val="auto"/>
              </w:rPr>
            </w:pPr>
            <w:r>
              <w:rPr>
                <w:rFonts w:ascii="Arial" w:cs="Arial" w:eastAsia="Arial" w:hAnsi="Arial"/>
                <w:sz w:val="18"/>
                <w:szCs w:val="18"/>
                <w:color w:val="auto"/>
              </w:rPr>
              <w:t>Name of Person Filing:</w:t>
            </w:r>
          </w:p>
        </w:tc>
        <w:tc>
          <w:tcPr>
            <w:tcW w:w="6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19" w:lineRule="exact"/>
        <w:rPr>
          <w:sz w:val="20"/>
          <w:szCs w:val="20"/>
          <w:color w:val="auto"/>
        </w:rPr>
      </w:pPr>
    </w:p>
    <w:p>
      <w:pPr>
        <w:ind w:left="2140" w:hanging="390"/>
        <w:spacing w:after="0"/>
        <w:tabs>
          <w:tab w:leader="none" w:pos="2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 Advisors Limited (“LIM”);</w:t>
      </w:r>
    </w:p>
    <w:p>
      <w:pPr>
        <w:spacing w:after="0" w:line="225" w:lineRule="exact"/>
        <w:rPr>
          <w:rFonts w:ascii="Arial" w:cs="Arial" w:eastAsia="Arial" w:hAnsi="Arial"/>
          <w:sz w:val="18"/>
          <w:szCs w:val="18"/>
          <w:color w:val="auto"/>
        </w:rPr>
      </w:pPr>
    </w:p>
    <w:p>
      <w:pPr>
        <w:ind w:left="2140" w:hanging="390"/>
        <w:spacing w:after="0"/>
        <w:tabs>
          <w:tab w:leader="none" w:pos="2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 Asia Multi-Strategy Fund Inc (“LAMSF”);</w:t>
      </w:r>
    </w:p>
    <w:p>
      <w:pPr>
        <w:spacing w:after="0" w:line="225" w:lineRule="exact"/>
        <w:rPr>
          <w:rFonts w:ascii="Arial" w:cs="Arial" w:eastAsia="Arial" w:hAnsi="Arial"/>
          <w:sz w:val="18"/>
          <w:szCs w:val="18"/>
          <w:color w:val="auto"/>
        </w:rPr>
      </w:pPr>
    </w:p>
    <w:p>
      <w:pPr>
        <w:ind w:left="2140" w:hanging="390"/>
        <w:spacing w:after="0"/>
        <w:tabs>
          <w:tab w:leader="none" w:pos="2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 Investment Management International Ltd. (“LIMIL”)</w:t>
      </w:r>
    </w:p>
    <w:p>
      <w:pPr>
        <w:spacing w:after="0" w:line="225" w:lineRule="exact"/>
        <w:rPr>
          <w:rFonts w:ascii="Arial" w:cs="Arial" w:eastAsia="Arial" w:hAnsi="Arial"/>
          <w:sz w:val="18"/>
          <w:szCs w:val="18"/>
          <w:color w:val="auto"/>
        </w:rPr>
      </w:pPr>
    </w:p>
    <w:p>
      <w:pPr>
        <w:ind w:left="2080" w:hanging="330"/>
        <w:spacing w:after="0"/>
        <w:tabs>
          <w:tab w:leader="none" w:pos="2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George W. Long (“Mr. Long”)</w:t>
      </w:r>
    </w:p>
    <w:p>
      <w:pPr>
        <w:spacing w:after="0" w:line="225" w:lineRule="exact"/>
        <w:rPr>
          <w:sz w:val="20"/>
          <w:szCs w:val="20"/>
          <w:color w:val="auto"/>
        </w:rPr>
      </w:pPr>
    </w:p>
    <w:p>
      <w:pPr>
        <w:ind w:left="1760" w:right="300"/>
        <w:spacing w:after="0" w:line="312" w:lineRule="auto"/>
        <w:rPr>
          <w:sz w:val="20"/>
          <w:szCs w:val="20"/>
          <w:color w:val="auto"/>
        </w:rPr>
      </w:pPr>
      <w:r>
        <w:rPr>
          <w:rFonts w:ascii="Arial" w:cs="Arial" w:eastAsia="Arial" w:hAnsi="Arial"/>
          <w:sz w:val="16"/>
          <w:szCs w:val="16"/>
          <w:color w:val="auto"/>
        </w:rPr>
        <w:t>This statement relates to Shares (as defined herein) held for the account of LAMSF. LIM is the investment adviser to LAMSF, LIMIL is the sole shareholder of LIM and Mr. Long is the controlling shareholder of LIMIL. In such capacities, LIM, LIMIL and Mr. Long may be deemed to have direct or indirect voting and dispositive power over the Shares held for the account of LAMSF.</w:t>
      </w:r>
    </w:p>
    <w:p>
      <w:pPr>
        <w:spacing w:after="0" w:line="147" w:lineRule="exact"/>
        <w:rPr>
          <w:sz w:val="20"/>
          <w:szCs w:val="20"/>
          <w:color w:val="auto"/>
        </w:rPr>
      </w:pPr>
    </w:p>
    <w:p>
      <w:pPr>
        <w:ind w:left="1760" w:right="100"/>
        <w:spacing w:after="0" w:line="259" w:lineRule="auto"/>
        <w:rPr>
          <w:sz w:val="20"/>
          <w:szCs w:val="20"/>
          <w:color w:val="auto"/>
        </w:rPr>
      </w:pPr>
      <w:r>
        <w:rPr>
          <w:rFonts w:ascii="Arial" w:cs="Arial" w:eastAsia="Arial" w:hAnsi="Arial"/>
          <w:sz w:val="18"/>
          <w:szCs w:val="18"/>
          <w:color w:val="auto"/>
        </w:rPr>
        <w:t>The filing of this Schedule 13G shall not be construed as an admission that the Reporting Person is, for the purposes of Section 13(d) or 13(g) of the Securities Exchange Act of 1934, as amended, the beneficial owner of any of the Shares reported herein. Each Reporting Person disclaims beneficial ownership of such Shares except to the extent of his, her or its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24765</wp:posOffset>
            </wp:positionV>
            <wp:extent cx="61747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55" w:lineRule="exact"/>
        <w:rPr>
          <w:sz w:val="20"/>
          <w:szCs w:val="20"/>
          <w:color w:val="auto"/>
        </w:rPr>
      </w:pPr>
    </w:p>
    <w:p>
      <w:pPr>
        <w:ind w:left="60"/>
        <w:spacing w:after="0"/>
        <w:tabs>
          <w:tab w:leader="none" w:pos="1240" w:val="left"/>
          <w:tab w:leader="none" w:pos="1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Address of Principal Business Office or, if none, Residence:</w:t>
      </w:r>
    </w:p>
    <w:p>
      <w:pPr>
        <w:spacing w:after="0" w:line="249" w:lineRule="exact"/>
        <w:rPr>
          <w:sz w:val="20"/>
          <w:szCs w:val="20"/>
          <w:color w:val="auto"/>
        </w:rPr>
      </w:pPr>
    </w:p>
    <w:p>
      <w:pPr>
        <w:ind w:left="1760" w:right="80"/>
        <w:spacing w:after="0" w:line="332" w:lineRule="auto"/>
        <w:rPr>
          <w:sz w:val="20"/>
          <w:szCs w:val="20"/>
          <w:color w:val="auto"/>
        </w:rPr>
      </w:pPr>
      <w:r>
        <w:rPr>
          <w:rFonts w:ascii="Arial" w:cs="Arial" w:eastAsia="Arial" w:hAnsi="Arial"/>
          <w:sz w:val="16"/>
          <w:szCs w:val="16"/>
          <w:color w:val="auto"/>
        </w:rPr>
        <w:t>The principal business address of each of LIM and Mr. Long is 19/F, Ruttonjee House, 11 Duddell Street, Central, Hong Kong. The principal business address of each of LAMSF and LIMIL is Ritter House, Wickhams Cay II, Road Town, Tortola, 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-8255</wp:posOffset>
            </wp:positionV>
            <wp:extent cx="61747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p>
      <w:pPr>
        <w:spacing w:after="0" w:line="21"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color w:val="auto"/>
        </w:rPr>
        <w: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color w:val="auto"/>
        </w:rPr>
        <w:t>(d).</w:t>
      </w:r>
    </w:p>
    <w:p>
      <w:pPr>
        <w:spacing w:after="0" w:line="347"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10"/>
        <w:spacing w:after="0"/>
        <w:rPr>
          <w:sz w:val="20"/>
          <w:szCs w:val="20"/>
          <w:color w:val="auto"/>
        </w:rPr>
      </w:pPr>
      <w:r>
        <w:rPr>
          <w:rFonts w:ascii="Arial" w:cs="Arial" w:eastAsia="Arial" w:hAnsi="Arial"/>
          <w:sz w:val="18"/>
          <w:szCs w:val="18"/>
          <w:color w:val="auto"/>
        </w:rPr>
        <w:t>Citizenship:</w:t>
      </w:r>
    </w:p>
    <w:p>
      <w:pPr>
        <w:spacing w:after="0" w:line="225" w:lineRule="exact"/>
        <w:rPr>
          <w:sz w:val="20"/>
          <w:szCs w:val="20"/>
          <w:color w:val="auto"/>
        </w:rPr>
      </w:pPr>
    </w:p>
    <w:p>
      <w:pPr>
        <w:ind w:left="390" w:hanging="390"/>
        <w:spacing w:after="0"/>
        <w:tabs>
          <w:tab w:leader="none" w:pos="3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 is a Hong Kong limited company</w:t>
      </w:r>
    </w:p>
    <w:p>
      <w:pPr>
        <w:spacing w:after="0" w:line="225" w:lineRule="exact"/>
        <w:rPr>
          <w:rFonts w:ascii="Arial" w:cs="Arial" w:eastAsia="Arial" w:hAnsi="Arial"/>
          <w:sz w:val="18"/>
          <w:szCs w:val="18"/>
          <w:color w:val="auto"/>
        </w:rPr>
      </w:pPr>
    </w:p>
    <w:p>
      <w:pPr>
        <w:ind w:left="390" w:hanging="390"/>
        <w:spacing w:after="0"/>
        <w:tabs>
          <w:tab w:leader="none" w:pos="3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LAMSF is a British Virgin Islands limited company</w:t>
      </w:r>
    </w:p>
    <w:p>
      <w:pPr>
        <w:spacing w:after="0" w:line="225" w:lineRule="exact"/>
        <w:rPr>
          <w:rFonts w:ascii="Arial" w:cs="Arial" w:eastAsia="Arial" w:hAnsi="Arial"/>
          <w:sz w:val="18"/>
          <w:szCs w:val="18"/>
          <w:color w:val="auto"/>
        </w:rPr>
      </w:pPr>
    </w:p>
    <w:p>
      <w:pPr>
        <w:ind w:left="390" w:hanging="390"/>
        <w:spacing w:after="0"/>
        <w:tabs>
          <w:tab w:leader="none" w:pos="3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LIMIL is a British Virgin Islands limited company</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Long is a citizen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48895</wp:posOffset>
            </wp:positionV>
            <wp:extent cx="61747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111" w:lineRule="exact"/>
        <w:rPr>
          <w:sz w:val="20"/>
          <w:szCs w:val="20"/>
          <w:color w:val="auto"/>
        </w:rPr>
      </w:pPr>
    </w:p>
    <w:p>
      <w:pPr>
        <w:ind w:left="10"/>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ind w:left="10"/>
        <w:spacing w:after="0"/>
        <w:rPr>
          <w:sz w:val="20"/>
          <w:szCs w:val="20"/>
          <w:color w:val="auto"/>
        </w:rPr>
      </w:pPr>
      <w:r>
        <w:rPr>
          <w:rFonts w:ascii="Arial" w:cs="Arial" w:eastAsia="Arial" w:hAnsi="Arial"/>
          <w:sz w:val="15"/>
          <w:szCs w:val="15"/>
          <w:color w:val="auto"/>
        </w:rPr>
        <w:t>Class A Ordinary Shares, par value US$0.001 per share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62230</wp:posOffset>
            </wp:positionV>
            <wp:extent cx="61747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131" w:lineRule="exact"/>
        <w:rPr>
          <w:sz w:val="20"/>
          <w:szCs w:val="20"/>
          <w:color w:val="auto"/>
        </w:rPr>
      </w:pPr>
    </w:p>
    <w:p>
      <w:pPr>
        <w:ind w:left="10"/>
        <w:spacing w:after="0"/>
        <w:rPr>
          <w:sz w:val="20"/>
          <w:szCs w:val="20"/>
          <w:color w:val="auto"/>
        </w:rPr>
      </w:pPr>
      <w:r>
        <w:rPr>
          <w:rFonts w:ascii="Arial" w:cs="Arial" w:eastAsia="Arial" w:hAnsi="Arial"/>
          <w:sz w:val="18"/>
          <w:szCs w:val="18"/>
          <w:color w:val="auto"/>
        </w:rPr>
        <w:t>CUSIP Number:</w:t>
      </w:r>
    </w:p>
    <w:p>
      <w:pPr>
        <w:spacing w:after="0" w:line="23" w:lineRule="exact"/>
        <w:rPr>
          <w:sz w:val="20"/>
          <w:szCs w:val="20"/>
          <w:color w:val="auto"/>
        </w:rPr>
      </w:pPr>
    </w:p>
    <w:p>
      <w:pPr>
        <w:ind w:left="10"/>
        <w:spacing w:after="0"/>
        <w:rPr>
          <w:sz w:val="20"/>
          <w:szCs w:val="20"/>
          <w:color w:val="auto"/>
        </w:rPr>
      </w:pPr>
      <w:r>
        <w:rPr>
          <w:rFonts w:ascii="Arial" w:cs="Arial" w:eastAsia="Arial" w:hAnsi="Arial"/>
          <w:sz w:val="18"/>
          <w:szCs w:val="18"/>
          <w:color w:val="auto"/>
        </w:rPr>
        <w:t>G47048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40005</wp:posOffset>
            </wp:positionV>
            <wp:extent cx="61747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20" w:space="230"/>
            <w:col w:w="9670"/>
          </w:cols>
          <w:pgMar w:left="240" w:top="395" w:right="239" w:bottom="1440" w:gutter="0" w:footer="0" w:header="0"/>
          <w:type w:val="continuous"/>
        </w:sectPr>
      </w:pPr>
    </w:p>
    <w:p>
      <w:pPr>
        <w:spacing w:after="0" w:line="223"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840" w:type="dxa"/>
            <w:vAlign w:val="bottom"/>
            <w:gridSpan w:val="2"/>
          </w:tcPr>
          <w:p>
            <w:pPr>
              <w:ind w:left="60"/>
              <w:spacing w:after="0"/>
              <w:rPr>
                <w:sz w:val="20"/>
                <w:szCs w:val="20"/>
                <w:color w:val="auto"/>
              </w:rPr>
            </w:pPr>
            <w:r>
              <w:rPr>
                <w:rFonts w:ascii="Arial" w:cs="Arial" w:eastAsia="Arial" w:hAnsi="Arial"/>
                <w:sz w:val="18"/>
                <w:szCs w:val="18"/>
                <w:color w:val="auto"/>
              </w:rPr>
              <w:t>CUSIP No.: G47048 106</w:t>
            </w:r>
          </w:p>
        </w:tc>
        <w:tc>
          <w:tcPr>
            <w:tcW w:w="7580" w:type="dxa"/>
            <w:vAlign w:val="bottom"/>
          </w:tcPr>
          <w:p>
            <w:pPr>
              <w:ind w:left="1740"/>
              <w:spacing w:after="0"/>
              <w:rPr>
                <w:sz w:val="20"/>
                <w:szCs w:val="20"/>
                <w:color w:val="auto"/>
              </w:rPr>
            </w:pPr>
            <w:r>
              <w:rPr>
                <w:rFonts w:ascii="Arial" w:cs="Arial" w:eastAsia="Arial" w:hAnsi="Arial"/>
                <w:sz w:val="18"/>
                <w:szCs w:val="18"/>
                <w:color w:val="auto"/>
              </w:rPr>
              <w:t>13G</w:t>
            </w:r>
          </w:p>
        </w:tc>
      </w:tr>
      <w:tr>
        <w:trPr>
          <w:trHeight w:val="54"/>
        </w:trPr>
        <w:tc>
          <w:tcPr>
            <w:tcW w:w="90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7580" w:type="dxa"/>
            <w:vAlign w:val="bottom"/>
            <w:tcBorders>
              <w:bottom w:val="single" w:sz="8" w:color="auto"/>
            </w:tcBorders>
          </w:tcPr>
          <w:p>
            <w:pPr>
              <w:spacing w:after="0"/>
              <w:rPr>
                <w:sz w:val="4"/>
                <w:szCs w:val="4"/>
                <w:color w:val="auto"/>
              </w:rPr>
            </w:pPr>
          </w:p>
        </w:tc>
      </w:tr>
      <w:tr>
        <w:trPr>
          <w:trHeight w:val="588"/>
        </w:trPr>
        <w:tc>
          <w:tcPr>
            <w:tcW w:w="900" w:type="dxa"/>
            <w:vAlign w:val="bottom"/>
          </w:tcPr>
          <w:p>
            <w:pPr>
              <w:ind w:left="60"/>
              <w:spacing w:after="0"/>
              <w:rPr>
                <w:sz w:val="20"/>
                <w:szCs w:val="20"/>
                <w:color w:val="auto"/>
              </w:rPr>
            </w:pPr>
            <w:r>
              <w:rPr>
                <w:rFonts w:ascii="Arial" w:cs="Arial" w:eastAsia="Arial" w:hAnsi="Arial"/>
                <w:sz w:val="18"/>
                <w:szCs w:val="18"/>
                <w:b w:val="1"/>
                <w:bCs w:val="1"/>
                <w:color w:val="auto"/>
              </w:rPr>
              <w:t>Item 4.</w:t>
            </w:r>
          </w:p>
        </w:tc>
        <w:tc>
          <w:tcPr>
            <w:tcW w:w="2940" w:type="dxa"/>
            <w:vAlign w:val="bottom"/>
          </w:tcPr>
          <w:p>
            <w:pPr>
              <w:ind w:left="280"/>
              <w:spacing w:after="0"/>
              <w:rPr>
                <w:sz w:val="20"/>
                <w:szCs w:val="20"/>
                <w:color w:val="auto"/>
              </w:rPr>
            </w:pPr>
            <w:r>
              <w:rPr>
                <w:rFonts w:ascii="Arial" w:cs="Arial" w:eastAsia="Arial" w:hAnsi="Arial"/>
                <w:sz w:val="18"/>
                <w:szCs w:val="18"/>
                <w:b w:val="1"/>
                <w:bCs w:val="1"/>
                <w:color w:val="auto"/>
              </w:rPr>
              <w:t>Ownership:</w:t>
            </w:r>
          </w:p>
        </w:tc>
        <w:tc>
          <w:tcPr>
            <w:tcW w:w="7580" w:type="dxa"/>
            <w:vAlign w:val="bottom"/>
          </w:tcPr>
          <w:p>
            <w:pPr>
              <w:spacing w:after="0"/>
              <w:rPr>
                <w:sz w:val="24"/>
                <w:szCs w:val="24"/>
                <w:color w:val="auto"/>
              </w:rPr>
            </w:pPr>
          </w:p>
        </w:tc>
      </w:tr>
    </w:tbl>
    <w:p>
      <w:pPr>
        <w:spacing w:after="0" w:line="148" w:lineRule="exact"/>
        <w:rPr>
          <w:sz w:val="20"/>
          <w:szCs w:val="20"/>
          <w:color w:val="auto"/>
        </w:rPr>
      </w:pPr>
    </w:p>
    <w:p>
      <w:pPr>
        <w:ind w:left="1660" w:hanging="394"/>
        <w:spacing w:after="0"/>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of October 19, 2018, each of LIM, LAMSF, LIMIL and Mr. Long may be deemed the beneficial owner of 4,591,869 Shares.</w:t>
      </w:r>
    </w:p>
    <w:p>
      <w:pPr>
        <w:spacing w:after="0" w:line="250" w:lineRule="exact"/>
        <w:rPr>
          <w:rFonts w:ascii="Arial" w:cs="Arial" w:eastAsia="Arial" w:hAnsi="Arial"/>
          <w:sz w:val="17"/>
          <w:szCs w:val="17"/>
          <w:color w:val="auto"/>
        </w:rPr>
      </w:pPr>
    </w:p>
    <w:p>
      <w:pPr>
        <w:ind w:left="1660" w:hanging="400"/>
        <w:spacing w:after="0"/>
        <w:tabs>
          <w:tab w:leader="none" w:pos="1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Percentage of class:</w:t>
      </w:r>
    </w:p>
    <w:p>
      <w:pPr>
        <w:spacing w:after="0" w:line="6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14.9%</w:t>
      </w:r>
    </w:p>
    <w:p>
      <w:pPr>
        <w:spacing w:after="0" w:line="238" w:lineRule="exact"/>
        <w:rPr>
          <w:rFonts w:ascii="Arial" w:cs="Arial" w:eastAsia="Arial" w:hAnsi="Arial"/>
          <w:sz w:val="18"/>
          <w:szCs w:val="18"/>
          <w:color w:val="auto"/>
        </w:rPr>
      </w:pPr>
    </w:p>
    <w:p>
      <w:pPr>
        <w:ind w:left="1660" w:hanging="394"/>
        <w:spacing w:after="0"/>
        <w:tabs>
          <w:tab w:leader="none" w:pos="1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Number of shares as to which </w:t>
      </w:r>
      <w:r>
        <w:rPr>
          <w:rFonts w:ascii="Arial" w:cs="Arial" w:eastAsia="Arial" w:hAnsi="Arial"/>
          <w:sz w:val="17"/>
          <w:szCs w:val="17"/>
          <w:color w:val="auto"/>
        </w:rPr>
        <w:t>each of</w:t>
      </w:r>
      <w:r>
        <w:rPr>
          <w:rFonts w:ascii="Arial" w:cs="Arial" w:eastAsia="Arial" w:hAnsi="Arial"/>
          <w:sz w:val="18"/>
          <w:szCs w:val="18"/>
          <w:color w:val="auto"/>
        </w:rPr>
        <w:t xml:space="preserve"> LIM, LAMSF, LIMIL and Mr. Long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255270</wp:posOffset>
            </wp:positionV>
            <wp:extent cx="62344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-198755</wp:posOffset>
            </wp:positionV>
            <wp:extent cx="62344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-653415</wp:posOffset>
            </wp:positionV>
            <wp:extent cx="62344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00" w:right="6460" w:hanging="466"/>
        <w:spacing w:after="0" w:line="340" w:lineRule="auto"/>
        <w:tabs>
          <w:tab w:leader="none" w:pos="2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13970</wp:posOffset>
            </wp:positionV>
            <wp:extent cx="58318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109" w:lineRule="exact"/>
        <w:rPr>
          <w:sz w:val="20"/>
          <w:szCs w:val="20"/>
          <w:color w:val="auto"/>
        </w:rPr>
      </w:pPr>
    </w:p>
    <w:p>
      <w:pPr>
        <w:ind w:left="2300" w:right="6200" w:hanging="491"/>
        <w:spacing w:after="0" w:line="340" w:lineRule="auto"/>
        <w:tabs>
          <w:tab w:leader="none" w:pos="2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Shared power to value or direct the vote: 4,591,869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13970</wp:posOffset>
            </wp:positionV>
            <wp:extent cx="58318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109" w:lineRule="exact"/>
        <w:rPr>
          <w:sz w:val="20"/>
          <w:szCs w:val="20"/>
          <w:color w:val="auto"/>
        </w:rPr>
      </w:pPr>
    </w:p>
    <w:p>
      <w:pPr>
        <w:ind w:left="2300" w:right="5360" w:hanging="516"/>
        <w:spacing w:after="0" w:line="340" w:lineRule="auto"/>
        <w:tabs>
          <w:tab w:leader="none" w:pos="2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29" w:lineRule="exact"/>
        <w:rPr>
          <w:rFonts w:ascii="Arial" w:cs="Arial" w:eastAsia="Arial" w:hAnsi="Arial"/>
          <w:sz w:val="18"/>
          <w:szCs w:val="18"/>
          <w:color w:val="auto"/>
        </w:rPr>
      </w:pPr>
    </w:p>
    <w:p>
      <w:pPr>
        <w:ind w:left="2300" w:right="5440" w:hanging="511"/>
        <w:spacing w:after="0" w:line="340" w:lineRule="auto"/>
        <w:tabs>
          <w:tab w:leader="none" w:pos="2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4,591,869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13970</wp:posOffset>
            </wp:positionV>
            <wp:extent cx="58318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31840" cy="889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-440055</wp:posOffset>
            </wp:positionV>
            <wp:extent cx="58318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62"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80" w:right="8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See disclosure in Item 2 hereof.</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3900" w:type="dxa"/>
            <w:vAlign w:val="bottom"/>
            <w:gridSpan w:val="2"/>
          </w:tcPr>
          <w:p>
            <w:pPr>
              <w:ind w:left="60"/>
              <w:spacing w:after="0"/>
              <w:rPr>
                <w:sz w:val="20"/>
                <w:szCs w:val="20"/>
                <w:color w:val="auto"/>
              </w:rPr>
            </w:pPr>
            <w:r>
              <w:rPr>
                <w:rFonts w:ascii="Arial" w:cs="Arial" w:eastAsia="Arial" w:hAnsi="Arial"/>
                <w:sz w:val="18"/>
                <w:szCs w:val="18"/>
                <w:color w:val="auto"/>
              </w:rPr>
              <w:t>CUSIP No.: G47048 106</w:t>
            </w:r>
          </w:p>
        </w:tc>
        <w:tc>
          <w:tcPr>
            <w:tcW w:w="7520" w:type="dxa"/>
            <w:vAlign w:val="bottom"/>
          </w:tcPr>
          <w:p>
            <w:pPr>
              <w:ind w:left="1680"/>
              <w:spacing w:after="0"/>
              <w:rPr>
                <w:sz w:val="20"/>
                <w:szCs w:val="20"/>
                <w:color w:val="auto"/>
              </w:rPr>
            </w:pPr>
            <w:r>
              <w:rPr>
                <w:rFonts w:ascii="Arial" w:cs="Arial" w:eastAsia="Arial" w:hAnsi="Arial"/>
                <w:sz w:val="18"/>
                <w:szCs w:val="18"/>
                <w:color w:val="auto"/>
              </w:rPr>
              <w:t>13G</w:t>
            </w:r>
          </w:p>
        </w:tc>
      </w:tr>
      <w:tr>
        <w:trPr>
          <w:trHeight w:val="54"/>
        </w:trPr>
        <w:tc>
          <w:tcPr>
            <w:tcW w:w="94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r>
      <w:tr>
        <w:trPr>
          <w:trHeight w:val="588"/>
        </w:trPr>
        <w:tc>
          <w:tcPr>
            <w:tcW w:w="940" w:type="dxa"/>
            <w:vAlign w:val="bottom"/>
          </w:tcPr>
          <w:p>
            <w:pPr>
              <w:ind w:left="60"/>
              <w:spacing w:after="0"/>
              <w:rPr>
                <w:sz w:val="20"/>
                <w:szCs w:val="20"/>
                <w:color w:val="auto"/>
              </w:rPr>
            </w:pPr>
            <w:r>
              <w:rPr>
                <w:rFonts w:ascii="Arial" w:cs="Arial" w:eastAsia="Arial" w:hAnsi="Arial"/>
                <w:sz w:val="18"/>
                <w:szCs w:val="18"/>
                <w:b w:val="1"/>
                <w:bCs w:val="1"/>
                <w:color w:val="auto"/>
              </w:rPr>
              <w:t>Item 10.</w:t>
            </w:r>
          </w:p>
        </w:tc>
        <w:tc>
          <w:tcPr>
            <w:tcW w:w="2960" w:type="dxa"/>
            <w:vAlign w:val="bottom"/>
          </w:tcPr>
          <w:p>
            <w:pPr>
              <w:ind w:left="240"/>
              <w:spacing w:after="0"/>
              <w:rPr>
                <w:sz w:val="20"/>
                <w:szCs w:val="20"/>
                <w:color w:val="auto"/>
              </w:rPr>
            </w:pPr>
            <w:r>
              <w:rPr>
                <w:rFonts w:ascii="Arial" w:cs="Arial" w:eastAsia="Arial" w:hAnsi="Arial"/>
                <w:sz w:val="18"/>
                <w:szCs w:val="18"/>
                <w:b w:val="1"/>
                <w:bCs w:val="1"/>
                <w:color w:val="auto"/>
              </w:rPr>
              <w:t>Certification:</w:t>
            </w:r>
          </w:p>
        </w:tc>
        <w:tc>
          <w:tcPr>
            <w:tcW w:w="7520" w:type="dxa"/>
            <w:vAlign w:val="bottom"/>
          </w:tcPr>
          <w:p>
            <w:pPr>
              <w:spacing w:after="0"/>
              <w:rPr>
                <w:sz w:val="24"/>
                <w:szCs w:val="24"/>
                <w:color w:val="auto"/>
              </w:rPr>
            </w:pPr>
          </w:p>
        </w:tc>
      </w:tr>
    </w:tbl>
    <w:p>
      <w:pPr>
        <w:spacing w:after="0" w:line="94" w:lineRule="exact"/>
        <w:rPr>
          <w:sz w:val="20"/>
          <w:szCs w:val="20"/>
          <w:color w:val="auto"/>
        </w:rPr>
      </w:pPr>
    </w:p>
    <w:p>
      <w:pPr>
        <w:jc w:val="both"/>
        <w:ind w:left="60" w:right="240"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October 19,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LIM Advisors Limited</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Benjamin Mak</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Benjamin Mak</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LIM Asia Multi-Strategy Fund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Benjamin Mak</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Benjamin Mak</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Long Investment Management International Ltd.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ind w:left="5720"/>
              <w:spacing w:after="0"/>
              <w:rPr>
                <w:sz w:val="20"/>
                <w:szCs w:val="20"/>
                <w:color w:val="auto"/>
              </w:rPr>
            </w:pPr>
            <w:r>
              <w:rPr>
                <w:rFonts w:ascii="Arial" w:cs="Arial" w:eastAsia="Arial" w:hAnsi="Arial"/>
                <w:sz w:val="18"/>
                <w:szCs w:val="18"/>
                <w:b w:val="1"/>
                <w:bCs w:val="1"/>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Benjamin Mak</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Benjamin Mak</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Representative</w:t>
            </w:r>
          </w:p>
        </w:tc>
        <w:tc>
          <w:tcPr>
            <w:tcW w:w="40" w:type="dxa"/>
            <w:vAlign w:val="bottom"/>
          </w:tcPr>
          <w:p>
            <w:pPr>
              <w:spacing w:after="0"/>
              <w:rPr>
                <w:sz w:val="20"/>
                <w:szCs w:val="20"/>
                <w:color w:val="auto"/>
              </w:rPr>
            </w:pPr>
          </w:p>
        </w:tc>
      </w:tr>
      <w:tr>
        <w:trPr>
          <w:trHeight w:val="648"/>
        </w:trPr>
        <w:tc>
          <w:tcPr>
            <w:tcW w:w="6480" w:type="dxa"/>
            <w:vAlign w:val="bottom"/>
          </w:tcPr>
          <w:p>
            <w:pPr>
              <w:ind w:left="5720"/>
              <w:spacing w:after="0"/>
              <w:rPr>
                <w:sz w:val="20"/>
                <w:szCs w:val="20"/>
                <w:color w:val="auto"/>
              </w:rPr>
            </w:pPr>
            <w:r>
              <w:rPr>
                <w:rFonts w:ascii="Arial" w:cs="Arial" w:eastAsia="Arial" w:hAnsi="Arial"/>
                <w:sz w:val="18"/>
                <w:szCs w:val="18"/>
                <w:b w:val="1"/>
                <w:bCs w:val="1"/>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George W. Long</w:t>
            </w:r>
          </w:p>
        </w:tc>
        <w:tc>
          <w:tcPr>
            <w:tcW w:w="40" w:type="dxa"/>
            <w:vAlign w:val="bottom"/>
          </w:tcPr>
          <w:p>
            <w:pPr>
              <w:spacing w:after="0"/>
              <w:rPr>
                <w:sz w:val="24"/>
                <w:szCs w:val="24"/>
                <w:color w:val="auto"/>
              </w:rPr>
            </w:pPr>
          </w:p>
        </w:tc>
      </w:tr>
      <w:tr>
        <w:trPr>
          <w:trHeight w:val="224"/>
        </w:trPr>
        <w:tc>
          <w:tcPr>
            <w:tcW w:w="6480" w:type="dxa"/>
            <w:vAlign w:val="bottom"/>
          </w:tcPr>
          <w:p>
            <w:pPr>
              <w:ind w:left="5720"/>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George W. Long</w:t>
            </w:r>
          </w:p>
        </w:tc>
        <w:tc>
          <w:tcPr>
            <w:tcW w:w="40" w:type="dxa"/>
            <w:vAlign w:val="bottom"/>
          </w:tcPr>
          <w:p>
            <w:pPr>
              <w:spacing w:after="0"/>
              <w:rPr>
                <w:sz w:val="19"/>
                <w:szCs w:val="19"/>
                <w:color w:val="auto"/>
              </w:rPr>
            </w:pPr>
          </w:p>
        </w:tc>
      </w:tr>
      <w:tr>
        <w:trPr>
          <w:trHeight w:val="418"/>
        </w:trPr>
        <w:tc>
          <w:tcPr>
            <w:tcW w:w="6480" w:type="dxa"/>
            <w:vAlign w:val="bottom"/>
          </w:tcPr>
          <w:p>
            <w:pPr>
              <w:ind w:left="5660"/>
              <w:spacing w:after="0"/>
              <w:rPr>
                <w:sz w:val="20"/>
                <w:szCs w:val="20"/>
                <w:color w:val="auto"/>
              </w:rPr>
            </w:pPr>
            <w:r>
              <w:rPr>
                <w:rFonts w:ascii="Arial" w:cs="Arial" w:eastAsia="Arial" w:hAnsi="Arial"/>
                <w:sz w:val="18"/>
                <w:szCs w:val="18"/>
                <w:color w:val="auto"/>
              </w:rPr>
              <w:t>8</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5" w:right="1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580" w:type="dxa"/>
            <w:vAlign w:val="bottom"/>
            <w:gridSpan w:val="3"/>
          </w:tcPr>
          <w:p>
            <w:pPr>
              <w:jc w:val="center"/>
              <w:ind w:right="39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w:t>
            </w:r>
          </w:p>
        </w:tc>
        <w:tc>
          <w:tcPr>
            <w:tcW w:w="31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Page No.</w:t>
            </w:r>
          </w:p>
        </w:tc>
        <w:tc>
          <w:tcPr>
            <w:tcW w:w="40" w:type="dxa"/>
            <w:vAlign w:val="bottom"/>
          </w:tcPr>
          <w:p>
            <w:pPr>
              <w:spacing w:after="0"/>
              <w:rPr>
                <w:sz w:val="24"/>
                <w:szCs w:val="24"/>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99.1</w:t>
            </w:r>
          </w:p>
        </w:tc>
        <w:tc>
          <w:tcPr>
            <w:tcW w:w="3100" w:type="dxa"/>
            <w:vAlign w:val="bottom"/>
          </w:tcPr>
          <w:p>
            <w:pPr>
              <w:ind w:left="300"/>
              <w:spacing w:after="0"/>
              <w:rPr>
                <w:sz w:val="20"/>
                <w:szCs w:val="20"/>
                <w:color w:val="auto"/>
              </w:rPr>
            </w:pPr>
            <w:r>
              <w:rPr>
                <w:rFonts w:ascii="Arial" w:cs="Arial" w:eastAsia="Arial" w:hAnsi="Arial"/>
                <w:sz w:val="18"/>
                <w:szCs w:val="18"/>
                <w:color w:val="auto"/>
              </w:rPr>
              <w:t>Joint Filing Agreement</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7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400" w:type="dxa"/>
            <w:vAlign w:val="bottom"/>
          </w:tcPr>
          <w:p>
            <w:pPr>
              <w:jc w:val="right"/>
              <w:ind w:right="443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80" w:type="dxa"/>
            <w:vAlign w:val="bottom"/>
            <w:tcBorders>
              <w:bottom w:val="single" w:sz="8" w:color="808080"/>
            </w:tcBorders>
          </w:tcPr>
          <w:p>
            <w:pPr>
              <w:spacing w:after="0"/>
              <w:rPr>
                <w:sz w:val="11"/>
                <w:szCs w:val="11"/>
                <w:color w:val="auto"/>
              </w:rPr>
            </w:pPr>
          </w:p>
        </w:tc>
        <w:tc>
          <w:tcPr>
            <w:tcW w:w="3100" w:type="dxa"/>
            <w:vAlign w:val="bottom"/>
            <w:tcBorders>
              <w:bottom w:val="single" w:sz="8" w:color="808080"/>
            </w:tcBorders>
          </w:tcPr>
          <w:p>
            <w:pPr>
              <w:spacing w:after="0"/>
              <w:rPr>
                <w:sz w:val="11"/>
                <w:szCs w:val="11"/>
                <w:color w:val="auto"/>
              </w:rPr>
            </w:pPr>
          </w:p>
        </w:tc>
        <w:tc>
          <w:tcPr>
            <w:tcW w:w="64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The undersigned hereby agree that the statement on Schedule 13G with respect to the Ordinary Shares of iClick Interactive Asia Group Limited, dated as of October 19, 2018,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October 19, 2018</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LIM Advisors Limited</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Benjamin Mak</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Benjamin Mak</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LIM Asia Multi-Strategy Fund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Benjamin Mak</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Benjamin Mak</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Long Investment Management International Ltd.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ind w:left="5720"/>
              <w:spacing w:after="0"/>
              <w:rPr>
                <w:sz w:val="20"/>
                <w:szCs w:val="20"/>
                <w:color w:val="auto"/>
              </w:rPr>
            </w:pPr>
            <w:r>
              <w:rPr>
                <w:rFonts w:ascii="Arial" w:cs="Arial" w:eastAsia="Arial" w:hAnsi="Arial"/>
                <w:sz w:val="18"/>
                <w:szCs w:val="18"/>
                <w:b w:val="1"/>
                <w:bCs w:val="1"/>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Benjamin Mak</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Benjamin Mak</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Representative</w:t>
            </w:r>
          </w:p>
        </w:tc>
        <w:tc>
          <w:tcPr>
            <w:tcW w:w="40" w:type="dxa"/>
            <w:vAlign w:val="bottom"/>
          </w:tcPr>
          <w:p>
            <w:pPr>
              <w:spacing w:after="0"/>
              <w:rPr>
                <w:sz w:val="20"/>
                <w:szCs w:val="20"/>
                <w:color w:val="auto"/>
              </w:rPr>
            </w:pPr>
          </w:p>
        </w:tc>
      </w:tr>
      <w:tr>
        <w:trPr>
          <w:trHeight w:val="648"/>
        </w:trPr>
        <w:tc>
          <w:tcPr>
            <w:tcW w:w="6480" w:type="dxa"/>
            <w:vAlign w:val="bottom"/>
          </w:tcPr>
          <w:p>
            <w:pPr>
              <w:ind w:left="5720"/>
              <w:spacing w:after="0"/>
              <w:rPr>
                <w:sz w:val="20"/>
                <w:szCs w:val="20"/>
                <w:color w:val="auto"/>
              </w:rPr>
            </w:pPr>
            <w:r>
              <w:rPr>
                <w:rFonts w:ascii="Arial" w:cs="Arial" w:eastAsia="Arial" w:hAnsi="Arial"/>
                <w:sz w:val="18"/>
                <w:szCs w:val="18"/>
                <w:b w:val="1"/>
                <w:bCs w:val="1"/>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George W. Long</w:t>
            </w:r>
          </w:p>
        </w:tc>
        <w:tc>
          <w:tcPr>
            <w:tcW w:w="40" w:type="dxa"/>
            <w:vAlign w:val="bottom"/>
          </w:tcPr>
          <w:p>
            <w:pPr>
              <w:spacing w:after="0"/>
              <w:rPr>
                <w:sz w:val="24"/>
                <w:szCs w:val="24"/>
                <w:color w:val="auto"/>
              </w:rPr>
            </w:pPr>
          </w:p>
        </w:tc>
      </w:tr>
      <w:tr>
        <w:trPr>
          <w:trHeight w:val="224"/>
        </w:trPr>
        <w:tc>
          <w:tcPr>
            <w:tcW w:w="6480" w:type="dxa"/>
            <w:vAlign w:val="bottom"/>
          </w:tcPr>
          <w:p>
            <w:pPr>
              <w:ind w:left="5720"/>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George W. Long</w:t>
            </w:r>
          </w:p>
        </w:tc>
        <w:tc>
          <w:tcPr>
            <w:tcW w:w="40" w:type="dxa"/>
            <w:vAlign w:val="bottom"/>
          </w:tcPr>
          <w:p>
            <w:pPr>
              <w:spacing w:after="0"/>
              <w:rPr>
                <w:sz w:val="19"/>
                <w:szCs w:val="19"/>
                <w:color w:val="auto"/>
              </w:rPr>
            </w:pPr>
          </w:p>
        </w:tc>
      </w:tr>
      <w:tr>
        <w:trPr>
          <w:trHeight w:val="418"/>
        </w:trPr>
        <w:tc>
          <w:tcPr>
            <w:tcW w:w="6480" w:type="dxa"/>
            <w:vAlign w:val="bottom"/>
          </w:tcPr>
          <w:p>
            <w:pPr>
              <w:ind w:left="5620"/>
              <w:spacing w:after="0"/>
              <w:rPr>
                <w:sz w:val="20"/>
                <w:szCs w:val="20"/>
                <w:color w:val="auto"/>
              </w:rPr>
            </w:pPr>
            <w:r>
              <w:rPr>
                <w:rFonts w:ascii="Arial" w:cs="Arial" w:eastAsia="Arial" w:hAnsi="Arial"/>
                <w:sz w:val="18"/>
                <w:szCs w:val="18"/>
                <w:color w:val="auto"/>
              </w:rPr>
              <w:t>10</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o"/>
      <w:numFmt w:val="bullet"/>
      <w:start w:val="1"/>
    </w:lvl>
  </w:abstractNum>
  <w:abstractNum w:abstractNumId="1">
    <w:nsid w:val="140E0F76"/>
    <w:multiLevelType w:val="hybridMultilevel"/>
    <w:lvl w:ilvl="0">
      <w:lvlJc w:val="left"/>
      <w:lvlText w:val="%1."/>
      <w:numFmt w:val="decimal"/>
      <w:start w:val="1"/>
    </w:lvl>
    <w:lvl w:ilvl="1">
      <w:lvlJc w:val="left"/>
      <w:lvlText w:val="(%2)"/>
      <w:numFmt w:val="lowerLetter"/>
      <w:start w:val="1"/>
    </w:lvl>
  </w:abstractNum>
  <w:abstractNum w:abstractNumId="2">
    <w:nsid w:val="3352255A"/>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3">
    <w:nsid w:val="109CF92E"/>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4">
    <w:nsid w:val="DED726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7FDCC233"/>
    <w:multiLevelType w:val="hybridMultilevel"/>
    <w:lvl w:ilvl="0">
      <w:lvlJc w:val="left"/>
      <w:lvlText w:val="%1."/>
      <w:numFmt w:val="decimal"/>
      <w:start w:val="1"/>
    </w:lvl>
    <w:lvl w:ilvl="1">
      <w:lvlJc w:val="left"/>
      <w:lvlText w:val="(%2)"/>
      <w:numFmt w:val="lowerLetter"/>
      <w:start w:val="1"/>
    </w:lvl>
  </w:abstractNum>
  <w:abstractNum w:abstractNumId="6">
    <w:nsid w:val="1BEFD79F"/>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7">
    <w:nsid w:val="41A7C4C9"/>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8">
    <w:nsid w:val="6B68079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
    <w:nsid w:val="4E6AFB66"/>
    <w:multiLevelType w:val="hybridMultilevel"/>
    <w:lvl w:ilvl="0">
      <w:lvlJc w:val="left"/>
      <w:lvlText w:val="%1."/>
      <w:numFmt w:val="decimal"/>
      <w:start w:val="1"/>
    </w:lvl>
    <w:lvl w:ilvl="1">
      <w:lvlJc w:val="left"/>
      <w:lvlText w:val="(%2)"/>
      <w:numFmt w:val="lowerLetter"/>
      <w:start w:val="1"/>
    </w:lvl>
  </w:abstractNum>
  <w:abstractNum w:abstractNumId="10">
    <w:nsid w:val="25E45D32"/>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1">
    <w:nsid w:val="519B500D"/>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2">
    <w:nsid w:val="431BD7B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3">
    <w:nsid w:val="3F2DBA31"/>
    <w:multiLevelType w:val="hybridMultilevel"/>
    <w:lvl w:ilvl="0">
      <w:lvlJc w:val="left"/>
      <w:lvlText w:val="%1."/>
      <w:numFmt w:val="decimal"/>
      <w:start w:val="1"/>
    </w:lvl>
    <w:lvl w:ilvl="1">
      <w:lvlJc w:val="left"/>
      <w:lvlText w:val="(%2)"/>
      <w:numFmt w:val="lowerLetter"/>
      <w:start w:val="1"/>
    </w:lvl>
  </w:abstractNum>
  <w:abstractNum w:abstractNumId="14">
    <w:nsid w:val="7C83E458"/>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5">
    <w:nsid w:val="257130A3"/>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6">
    <w:nsid w:val="62BBD95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7">
    <w:nsid w:val="436C6125"/>
    <w:multiLevelType w:val="hybridMultilevel"/>
    <w:lvl w:ilvl="0">
      <w:lvlJc w:val="left"/>
      <w:lvlText w:val="%1)"/>
      <w:numFmt w:val="lowerRoman"/>
      <w:start w:val="1"/>
    </w:lvl>
  </w:abstractNum>
  <w:abstractNum w:abstractNumId="18">
    <w:nsid w:val="628C895D"/>
    <w:multiLevelType w:val="hybridMultilevel"/>
    <w:lvl w:ilvl="0">
      <w:lvlJc w:val="left"/>
      <w:lvlText w:val="%1)"/>
      <w:numFmt w:val="lowerRoman"/>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Roman"/>
      <w:start w:val="1"/>
    </w:lvl>
  </w:abstractNum>
  <w:abstractNum w:abstractNumId="21">
    <w:nsid w:val="2443A858"/>
    <w:multiLevelType w:val="hybridMultilevel"/>
    <w:lvl w:ilvl="0">
      <w:lvlJc w:val="left"/>
      <w:lvlText w:val="(%1)"/>
      <w:numFmt w:val="lowerRoman"/>
      <w:start w:val="2"/>
    </w:lvl>
  </w:abstractNum>
  <w:abstractNum w:abstractNumId="22">
    <w:nsid w:val="2D1D5AE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2019-12-08T15:10:39Z</dcterms:created>
  <dcterms:modified xsi:type="dcterms:W3CDTF">2019-12-08T15:10:39Z</dcterms:modified>
</cp:coreProperties>
</file>