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of $0.001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Lau Ying Wai</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Room 1905, 19/F, Oi Chiu House</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Tin Oi Court, Tin Shui Wai,</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New Territories</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+852 3700 9000</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376"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266" w:lineRule="exact"/>
        <w:rPr>
          <w:sz w:val="20"/>
          <w:szCs w:val="20"/>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64" w:right="466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Lau Ying Wai</w:t>
      </w: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24903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right="6580" w:hanging="417"/>
        <w:spacing w:after="0" w:line="395" w:lineRule="auto"/>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Hong Kong S.A.R.</w:t>
      </w:r>
    </w:p>
    <w:p>
      <w:pPr>
        <w:spacing w:after="0" w:line="1" w:lineRule="exact"/>
        <w:rPr>
          <w:rFonts w:ascii="Times New Roman" w:cs="Times New Roman" w:eastAsia="Times New Roman" w:hAnsi="Times New Roman"/>
          <w:sz w:val="18"/>
          <w:szCs w:val="18"/>
          <w:color w:val="auto"/>
        </w:rPr>
      </w:pPr>
    </w:p>
    <w:p>
      <w:pPr>
        <w:ind w:left="2144" w:hanging="434"/>
        <w:spacing w:after="0"/>
        <w:tabs>
          <w:tab w:leader="none" w:pos="21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33"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24"/>
                <w:szCs w:val="24"/>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1,300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4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xml:space="preserve">1,300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7"/>
                <w:szCs w:val="17"/>
                <w:color w:val="auto"/>
              </w:rPr>
            </w:pPr>
          </w:p>
        </w:tc>
        <w:tc>
          <w:tcPr>
            <w:tcW w:w="8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44" w:right="6240" w:hanging="524"/>
        <w:spacing w:after="0" w:line="395" w:lineRule="auto"/>
        <w:tabs>
          <w:tab w:leader="none" w:pos="214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4" w:right="3700" w:hanging="507"/>
        <w:spacing w:after="0" w:line="406" w:lineRule="auto"/>
        <w:tabs>
          <w:tab w:leader="none" w:pos="6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1,300</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6"/>
          <w:szCs w:val="26"/>
          <w:color w:val="auto"/>
          <w:vertAlign w:val="superscript"/>
        </w:rPr>
        <w:t>(2)</w:t>
      </w:r>
    </w:p>
    <w:p>
      <w:pPr>
        <w:ind w:left="644" w:hanging="487"/>
        <w:spacing w:after="0"/>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1,300 Class A Ordinary Shares held by the Reporting Person. Does not include 1,300 Class A Ordinary Shares that are issuable upon vesting of restricted stock units held by the Reporting Person that cannot vest within 60 days.</w:t>
      </w:r>
    </w:p>
    <w:p>
      <w:pPr>
        <w:ind w:left="424" w:right="10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44,477,356 Class A Ordinary Shares outstanding as of November 24, 2023,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w:t>
      </w:r>
    </w:p>
    <w:p>
      <w:pPr>
        <w:sectPr>
          <w:pgSz w:w="11900" w:h="16838" w:orient="portrait"/>
          <w:cols w:equalWidth="0" w:num="1">
            <w:col w:w="10904"/>
          </w:cols>
          <w:pgMar w:left="436"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Security and Issuer.</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Schedule 13D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Class A Ordinary Shares, par value of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principal executive office is located at 15/F, Prosperity Millennia Plaza, 663 King’s Road, Quarry Bay, Hong Kong S.A.R.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(c), (f)</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Schedule 13D is being filed by Lau Ying Wai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is being filed because the Reporting Person may be deemed to have a formed a “group” with certain other persons, as described in Item 4 herein.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Reporting Person is a Group Partner for Beyond Digital Solutions Limited, a wholly owned subsidiary of the Issuer that provides online advertising, SaaS products and services and has a business address of Unit B, 18/F., MG Tower, 133 Hoi Bun Road, Kwun Tong, Kowloon Hong Kong. S.A.R. The Reporting Person is a citizen of Hong Kong S.A.R. and has a residential address of Room 1905, 19/F, Oi Chiu House Tin Oi Court, Tin Shui Wai, New Territories, Hong Kong S.A.R.</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Except as expressly otherwise stated herein, the Reporting Person expressly disclaims beneficial ownership for all purposes of the Ordinary Shares (including Ordinary Shares represented by ADSs) beneficially owned by any other person (including any other Rollover Shareholder, as defined in Item 4). Information with respect to the Reporting Person is given solely by such Reporting Person, and the Reporting Person does not assume responsibility for the accuracy or completeness of the information concerning any other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 (e)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last five years the Reporting Person has not: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of this Schedule 13D is incorporated herein by reference in its entirety.</w:t>
      </w:r>
    </w:p>
    <w:p>
      <w:pPr>
        <w:sectPr>
          <w:pgSz w:w="11900" w:h="16838" w:orient="portrait"/>
          <w:cols w:equalWidth="0" w:num="1">
            <w:col w:w="11000"/>
          </w:cols>
          <w:pgMar w:left="440" w:top="266"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Purpose of Transaction.</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the Reporting Person and the other shareholders party thereto (collectively with the Reporting Person,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executed a support agreement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shares held by such Rollover Shareholders for no cash consideration, (ii) subscribe for newly issued ordinary shares of Parent immediately prior to the closing of the Merger,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(iv) against any proposals or actions inconsistent or interfering with the Transactions.</w:t>
      </w:r>
    </w:p>
    <w:p>
      <w:pPr>
        <w:spacing w:after="0" w:line="18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purpose of the Transactions, including the Merger, is to acquire all of the shares of the Ordinary Shares held by shareholders of the Issuer other than the Rollover Shares. Following consummation of the Merger, the Issuer will become a wholly-owned subsidiary of the Parent. In addition, if the Merger is consummated, the Issuer will be privately-held by the other Rollover Shareholders and its ADSs will no longer be listed on the Nasdaq Global Market.</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does not purport to be complete and is qualified in its entirety by references to the Merger Agreement and the Support Agreement, a copy of each which is filed as Exhibits 99.1 and 99.2, respectively, and incorporated herein by reference in its entirety.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paragraph (a) – (c), (f) of Item 2 of this Schedule 13D is incorporated herein by reference in its entirety.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described above, the Reporting Person has no plans or proposals which relate to or would result in any of the actions specified in paragraphs</w:t>
      </w:r>
    </w:p>
    <w:p>
      <w:pPr>
        <w:spacing w:after="0" w:line="27" w:lineRule="exact"/>
        <w:rPr>
          <w:sz w:val="20"/>
          <w:szCs w:val="20"/>
          <w:color w:val="auto"/>
        </w:rPr>
      </w:pPr>
    </w:p>
    <w:p>
      <w:pPr>
        <w:ind w:left="4" w:right="200" w:hanging="4"/>
        <w:spacing w:after="0" w:line="255"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(j) of Item 4 of Schedule 13D. The Reporting Person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17" w:lineRule="exact"/>
        <w:rPr>
          <w:sz w:val="20"/>
          <w:szCs w:val="20"/>
          <w:color w:val="auto"/>
        </w:rPr>
      </w:pPr>
    </w:p>
    <w:p>
      <w:pPr>
        <w:ind w:left="4" w:right="260" w:hanging="4"/>
        <w:spacing w:after="0" w:line="286" w:lineRule="auto"/>
        <w:tabs>
          <w:tab w:leader="none" w:pos="259"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(b) </w:t>
      </w:r>
      <w:r>
        <w:rPr>
          <w:rFonts w:ascii="Times New Roman" w:cs="Times New Roman" w:eastAsia="Times New Roman" w:hAnsi="Times New Roman"/>
          <w:sz w:val="18"/>
          <w:szCs w:val="18"/>
          <w:color w:val="auto"/>
        </w:rPr>
        <w:t>The response of the Reporting Person to Rows (7) through (13), including the footnotes thereto, of the cover pages of this Schedule 13D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incorporated by reference in this Item 5.</w:t>
      </w:r>
    </w:p>
    <w:p>
      <w:pPr>
        <w:spacing w:after="0" w:line="159"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 may be deemed to be the member of a “group” with the other Rollover Shareholders pursuant to Section 13(d) of the Exchange Act. However, the Reporting Person expressly disclaims beneficial ownership of the Ordinary Shares (including Ordinary Shares represented by ADSs) beneficially owned (or deemed to be beneficially owned) by any of the other Rollover Shareholders. Neither the filing of this Schedule 13D nor any of its contents shall be deemed to constitute an admission that the Reporting Person beneficially owns any Ordinary Shares (including Ordinary Shares represented by ADSs) that are beneficially owned (or deemed to be beneficially owned) by any of the other Rollover Shareholders.</w:t>
      </w:r>
    </w:p>
    <w:p>
      <w:pPr>
        <w:spacing w:after="0" w:line="18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Collectively, the “group” may be deemed to beneficially own 17,589,131 Class A Ordinary Shares, comprised of an aggregate of (a) 13,107,568 Class A Ordinary Shares; (b) 4,385,078 Class A Ordinary Shares issuable upon the conversion of 4,385,078 Class B Ordinary Shares; and (c) 96,485 Class A Ordinary Shares issuable upon the exercise of options, held by the Rollover Shareholders. This total does not include 27,905 Class A Ordinary shares that are issuable upon the exercise of options and 164,990 Class A Ordinary Shares that are issuable upon vesting of</w:t>
      </w:r>
    </w:p>
    <w:p>
      <w:pPr>
        <w:sectPr>
          <w:pgSz w:w="11900" w:h="16838" w:orient="portrait"/>
          <w:cols w:equalWidth="0" w:num="1">
            <w:col w:w="10984"/>
          </w:cols>
          <w:pgMar w:left="436" w:top="266" w:right="479" w:bottom="1440" w:gutter="0" w:footer="0" w:header="0"/>
        </w:sectPr>
      </w:pPr>
    </w:p>
    <w:bookmarkStart w:id="4" w:name="page5"/>
    <w:bookmarkEnd w:id="4"/>
    <w:p>
      <w:pPr>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units, held by the Rollover Shareholders, that cannot be exercised or vest, respectively, within 60 days. This represents approximately 36% of the total outstanding Class A Ordinary Shares, assuming that there is a total of 48,958,919 Class A Ordinary Shares outstanding, which includes:</w:t>
      </w:r>
    </w:p>
    <w:p>
      <w:pPr>
        <w:spacing w:after="0" w:line="1" w:lineRule="exact"/>
        <w:rPr>
          <w:sz w:val="20"/>
          <w:szCs w:val="20"/>
          <w:color w:val="auto"/>
        </w:rPr>
      </w:pPr>
    </w:p>
    <w:p>
      <w:pPr>
        <w:ind w:left="4" w:right="20" w:hanging="4"/>
        <w:spacing w:after="0" w:line="255"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44,477,356 Class A Ordinary Shares outstanding as of November 24, 2023, as specified in the Merger Agreement filed by the Issuer with the SEC on November 24, 2023; (ii) 4,385,078 Class A Ordinary Shares issuable upon the conversion of the Class B Ordinary Shares held by the Rollover Shareholders; and (iii) 96,485 Class A Ordinary Shares issuable upon the exercise of options held by the Rollover Shareholders.</w:t>
      </w:r>
    </w:p>
    <w:p>
      <w:pPr>
        <w:spacing w:after="0" w:line="186" w:lineRule="exact"/>
        <w:rPr>
          <w:sz w:val="20"/>
          <w:szCs w:val="20"/>
          <w:color w:val="auto"/>
        </w:rPr>
      </w:pPr>
    </w:p>
    <w:p>
      <w:pPr>
        <w:ind w:left="4" w:right="240" w:hanging="4"/>
        <w:spacing w:after="0" w:line="282" w:lineRule="auto"/>
        <w:tabs>
          <w:tab w:leader="none" w:pos="24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the Reporting Person has not effected any transaction in the Class A Ordinary Shares during the 60 days preceding the date hereof.</w:t>
      </w:r>
    </w:p>
    <w:p>
      <w:pPr>
        <w:spacing w:after="0" w:line="161" w:lineRule="exact"/>
        <w:rPr>
          <w:rFonts w:ascii="Times New Roman" w:cs="Times New Roman" w:eastAsia="Times New Roman" w:hAnsi="Times New Roman"/>
          <w:sz w:val="18"/>
          <w:szCs w:val="18"/>
          <w:b w:val="1"/>
          <w:bCs w:val="1"/>
          <w:color w:val="auto"/>
        </w:rPr>
      </w:pPr>
    </w:p>
    <w:p>
      <w:pPr>
        <w:ind w:left="4" w:right="340" w:hanging="4"/>
        <w:spacing w:after="0" w:line="282" w:lineRule="auto"/>
        <w:tabs>
          <w:tab w:leader="none" w:pos="26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to the best knowledge of the Reporting Person, no other person has the right to receive or the power to direct the receipt of dividends from, or the proceeds from the sale of, the Class A Ordinary Shares beneficially owned by the Reporting Person.</w:t>
      </w:r>
    </w:p>
    <w:p>
      <w:pPr>
        <w:spacing w:after="0" w:line="161"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disclosure under Item 4 is incorporated herein by reference in its entirety.</w:t>
      </w:r>
    </w:p>
    <w:p>
      <w:pPr>
        <w:spacing w:after="0" w:line="225"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To the best knowledge of the Reporting Person, except as provided herein, there are no other contracts, arrangements, understandings or relationships (legal or otherwise) between the Reporting Person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5080</wp:posOffset>
            </wp:positionV>
            <wp:extent cx="64376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77" w:lineRule="exact"/>
        <w:rPr>
          <w:sz w:val="20"/>
          <w:szCs w:val="20"/>
          <w:color w:val="auto"/>
        </w:rPr>
      </w:pPr>
    </w:p>
    <w:p>
      <w:pPr>
        <w:ind w:left="884" w:hanging="876"/>
        <w:spacing w:after="0" w:line="266"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3">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 furnished by</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the Issuer to the SEC on November 24, 2023.</w:t>
        </w:r>
      </w:hyperlink>
    </w:p>
    <w:p>
      <w:pPr>
        <w:spacing w:after="0" w:line="68" w:lineRule="exact"/>
        <w:rPr>
          <w:rFonts w:ascii="Times New Roman" w:cs="Times New Roman" w:eastAsia="Times New Roman" w:hAnsi="Times New Roman"/>
          <w:sz w:val="18"/>
          <w:szCs w:val="18"/>
          <w:u w:val="single" w:color="auto"/>
          <w:color w:val="0000EE"/>
        </w:rPr>
      </w:pPr>
    </w:p>
    <w:p>
      <w:pPr>
        <w:ind w:left="884" w:right="220" w:hanging="876"/>
        <w:spacing w:after="0" w:line="277" w:lineRule="auto"/>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24">
        <w:r>
          <w:rPr>
            <w:rFonts w:ascii="Times New Roman" w:cs="Times New Roman" w:eastAsia="Times New Roman" w:hAnsi="Times New Roman"/>
            <w:sz w:val="17"/>
            <w:szCs w:val="17"/>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Holdings Limited, Wing Hong Sammy Hsieh, Marine Central Limited, Jianjun Huang, Creative Big Limited, Cheer Lead Global Limited,</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Huge Superpower Limited, Capable Excel Limited, Infinity Global Fund SPC, Integrated Asset Management (Asia) Limited, Chan Nai</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Hang, Likeable Limited, Tsang Hing Sze, Lau Ying Wai, Chik Yu Chung Roni, Tse Kok Yu Ryan, Imen Pang, Zhao Yong and Yang Xin,</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incorporated herein by reference to Exhibit 99.5 of the Schedule 13D/A furnished by the Sponsor to the SEC on November 27, 2023.</w:t>
        </w:r>
      </w:hyperlink>
    </w:p>
    <w:p>
      <w:pPr>
        <w:sectPr>
          <w:pgSz w:w="11900" w:h="16838" w:orient="portrait"/>
          <w:cols w:equalWidth="0" w:num="1">
            <w:col w:w="11024"/>
          </w:cols>
          <w:pgMar w:left="436" w:top="270" w:right="43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 YING WAI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 Ying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lvl w:ilvl="1">
      <w:lvlJc w:val="left"/>
      <w:lvlText w:val="%2."/>
      <w:numFmt w:val="decimal"/>
      <w:start w:val="7"/>
    </w:lvl>
  </w:abstractNum>
  <w:abstractNum w:abstractNumId="2">
    <w:nsid w:val="507ED7A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2EB141F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41B71EF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3" Type="http://schemas.openxmlformats.org/officeDocument/2006/relationships/hyperlink" Target="http://www.sec.gov/Archives/edgar/data/1697818/000110465923120926/tm2331491d1_ex99-2.htm" TargetMode="External"/><Relationship Id="rId24" Type="http://schemas.openxmlformats.org/officeDocument/2006/relationships/hyperlink" Target="http://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2023-12-05T05:20:01Z</dcterms:created>
  <dcterms:modified xsi:type="dcterms:W3CDTF">2023-12-05T05:20:01Z</dcterms:modified>
</cp:coreProperties>
</file>